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B2" w:rsidRPr="00A16EF4" w:rsidRDefault="00E32BB2" w:rsidP="00E32BB2">
      <w:pPr>
        <w:spacing w:after="240"/>
        <w:jc w:val="center"/>
        <w:rPr>
          <w:rFonts w:ascii="Palatino Linotype" w:hAnsi="Palatino Linotype" w:cs="Arial"/>
          <w:b/>
          <w:bCs/>
          <w:sz w:val="22"/>
          <w:szCs w:val="22"/>
        </w:rPr>
      </w:pPr>
      <w:r w:rsidRPr="00A16EF4">
        <w:rPr>
          <w:rFonts w:ascii="Palatino Linotype" w:hAnsi="Palatino Linotype" w:cs="Arial"/>
          <w:b/>
          <w:bCs/>
          <w:sz w:val="22"/>
          <w:szCs w:val="22"/>
        </w:rPr>
        <w:t>EXPOSICIÓN DE MOTIVOS</w:t>
      </w:r>
    </w:p>
    <w:p w:rsidR="00E32BB2" w:rsidRPr="00A16EF4" w:rsidRDefault="00E32BB2" w:rsidP="00E32BB2">
      <w:pPr>
        <w:spacing w:after="240"/>
        <w:ind w:firstLine="708"/>
        <w:jc w:val="both"/>
        <w:rPr>
          <w:rFonts w:ascii="Palatino Linotype" w:hAnsi="Palatino Linotype" w:cs="Arial"/>
          <w:bCs/>
          <w:sz w:val="22"/>
          <w:szCs w:val="22"/>
        </w:rPr>
      </w:pPr>
      <w:r w:rsidRPr="00A16EF4">
        <w:rPr>
          <w:rFonts w:ascii="Palatino Linotype" w:hAnsi="Palatino Linotype" w:cs="Arial"/>
          <w:bCs/>
          <w:sz w:val="22"/>
          <w:szCs w:val="22"/>
        </w:rPr>
        <w:t>La Constitución de la República del Ecuador, en su artículo 264, numeral uno, dentro de las competencias exclusivas de los gobiernos municipales</w:t>
      </w:r>
      <w:r w:rsidR="00203608" w:rsidRPr="00A16EF4">
        <w:rPr>
          <w:rFonts w:ascii="Palatino Linotype" w:hAnsi="Palatino Linotype" w:cs="Arial"/>
          <w:bCs/>
          <w:sz w:val="22"/>
          <w:szCs w:val="22"/>
        </w:rPr>
        <w:t>,</w:t>
      </w:r>
      <w:r w:rsidRPr="00A16EF4">
        <w:rPr>
          <w:rFonts w:ascii="Palatino Linotype" w:hAnsi="Palatino Linotype" w:cs="Arial"/>
          <w:bCs/>
          <w:sz w:val="22"/>
          <w:szCs w:val="22"/>
        </w:rPr>
        <w:t xml:space="preserve"> establece la de planificar el desarrollo cantonal y formular los correspondientes planes de ordenamiento territorial, de manera articulada con la planificación nacional, regional, provincial y parroquial, con el fin de regular el uso y la ocupación del suelo urbano y rural. </w:t>
      </w:r>
    </w:p>
    <w:p w:rsidR="00E32BB2" w:rsidRPr="00A16EF4" w:rsidRDefault="00E32BB2" w:rsidP="00E32BB2">
      <w:pPr>
        <w:spacing w:after="240"/>
        <w:ind w:firstLine="708"/>
        <w:jc w:val="both"/>
        <w:rPr>
          <w:rFonts w:ascii="Palatino Linotype" w:hAnsi="Palatino Linotype" w:cs="Arial"/>
          <w:bCs/>
          <w:sz w:val="22"/>
          <w:szCs w:val="22"/>
        </w:rPr>
      </w:pPr>
      <w:r w:rsidRPr="00A16EF4">
        <w:rPr>
          <w:rFonts w:ascii="Palatino Linotype" w:hAnsi="Palatino Linotype" w:cs="Arial"/>
          <w:bCs/>
          <w:sz w:val="22"/>
          <w:szCs w:val="22"/>
        </w:rPr>
        <w:t xml:space="preserve">El literal v) del artículo 87, del Código Orgánico de Organización Territorial, Autonomía y Descentralización, en lo que respecta de las atribuciones del Concejo Metropolitano </w:t>
      </w:r>
      <w:r w:rsidR="00203608" w:rsidRPr="00A16EF4">
        <w:rPr>
          <w:rFonts w:ascii="Palatino Linotype" w:hAnsi="Palatino Linotype" w:cs="Arial"/>
          <w:bCs/>
          <w:sz w:val="22"/>
          <w:szCs w:val="22"/>
        </w:rPr>
        <w:t>prevé</w:t>
      </w:r>
      <w:r w:rsidRPr="00A16EF4">
        <w:rPr>
          <w:rFonts w:ascii="Palatino Linotype" w:hAnsi="Palatino Linotype" w:cs="Arial"/>
          <w:bCs/>
          <w:sz w:val="22"/>
          <w:szCs w:val="22"/>
        </w:rPr>
        <w:t xml:space="preserve"> la </w:t>
      </w:r>
      <w:r w:rsidR="00203608" w:rsidRPr="00A16EF4">
        <w:rPr>
          <w:rFonts w:ascii="Palatino Linotype" w:hAnsi="Palatino Linotype" w:cs="Arial"/>
          <w:bCs/>
          <w:sz w:val="22"/>
          <w:szCs w:val="22"/>
        </w:rPr>
        <w:t xml:space="preserve">de </w:t>
      </w:r>
      <w:r w:rsidRPr="00A16EF4">
        <w:rPr>
          <w:rFonts w:ascii="Palatino Linotype" w:hAnsi="Palatino Linotype" w:cs="Arial"/>
          <w:bCs/>
          <w:sz w:val="22"/>
          <w:szCs w:val="22"/>
        </w:rPr>
        <w:t xml:space="preserve">regular y controlar el </w:t>
      </w:r>
      <w:r w:rsidR="00203608" w:rsidRPr="00A16EF4">
        <w:rPr>
          <w:rFonts w:ascii="Palatino Linotype" w:hAnsi="Palatino Linotype" w:cs="Arial"/>
          <w:bCs/>
          <w:sz w:val="22"/>
          <w:szCs w:val="22"/>
        </w:rPr>
        <w:t xml:space="preserve">uso </w:t>
      </w:r>
      <w:r w:rsidRPr="00A16EF4">
        <w:rPr>
          <w:rFonts w:ascii="Palatino Linotype" w:hAnsi="Palatino Linotype" w:cs="Arial"/>
          <w:bCs/>
          <w:sz w:val="22"/>
          <w:szCs w:val="22"/>
        </w:rPr>
        <w:t>de suelo en el territorio del Distrito Metropolitano, de conformidad con las leyes sobre la materia, y establecer el régimen urbanístico de la tierra.</w:t>
      </w:r>
    </w:p>
    <w:p w:rsidR="00E32BB2" w:rsidRPr="00A16EF4" w:rsidRDefault="00E32BB2" w:rsidP="00E32BB2">
      <w:pPr>
        <w:spacing w:after="240"/>
        <w:ind w:firstLine="708"/>
        <w:jc w:val="both"/>
        <w:rPr>
          <w:rFonts w:ascii="Palatino Linotype" w:hAnsi="Palatino Linotype" w:cs="Arial"/>
          <w:bCs/>
          <w:sz w:val="22"/>
          <w:szCs w:val="22"/>
        </w:rPr>
      </w:pPr>
      <w:r w:rsidRPr="00A16EF4">
        <w:rPr>
          <w:rFonts w:ascii="Palatino Linotype" w:hAnsi="Palatino Linotype" w:cs="Arial"/>
          <w:bCs/>
          <w:sz w:val="22"/>
          <w:szCs w:val="22"/>
        </w:rPr>
        <w:t>Mediante oficio No. 1141 de 18 de marzo de 2013, la Secretaría de Territorio Hábitat y Vivienda, emite criterio técnico favorable para la aprobación de la “Urbanización Campo Alegre”</w:t>
      </w:r>
      <w:r w:rsidR="00203608" w:rsidRPr="00A16EF4">
        <w:rPr>
          <w:rFonts w:ascii="Palatino Linotype" w:hAnsi="Palatino Linotype" w:cs="Arial"/>
          <w:bCs/>
          <w:sz w:val="22"/>
          <w:szCs w:val="22"/>
        </w:rPr>
        <w:t>.</w:t>
      </w:r>
    </w:p>
    <w:p w:rsidR="00E32BB2" w:rsidRPr="00A16EF4" w:rsidRDefault="00E32BB2" w:rsidP="00E32BB2">
      <w:pPr>
        <w:spacing w:after="240"/>
        <w:ind w:firstLine="708"/>
        <w:jc w:val="both"/>
        <w:rPr>
          <w:rFonts w:ascii="Palatino Linotype" w:hAnsi="Palatino Linotype" w:cs="Arial"/>
          <w:bCs/>
          <w:sz w:val="22"/>
          <w:szCs w:val="22"/>
        </w:rPr>
      </w:pPr>
      <w:r w:rsidRPr="00A16EF4">
        <w:rPr>
          <w:rFonts w:ascii="Palatino Linotype" w:hAnsi="Palatino Linotype" w:cs="Arial"/>
          <w:bCs/>
          <w:sz w:val="22"/>
          <w:szCs w:val="22"/>
        </w:rPr>
        <w:t>Mediante oficio No. 02081 de 14 de mayo de 2014, la Secretaría de Territorio, Hábitat y Vivienda, se ratifica en el informe técnico de 18 de marzo de 2013.</w:t>
      </w:r>
    </w:p>
    <w:p w:rsidR="00E32BB2" w:rsidRPr="00A16EF4" w:rsidRDefault="00E32BB2" w:rsidP="00E32BB2">
      <w:pPr>
        <w:spacing w:after="240"/>
        <w:ind w:firstLine="708"/>
        <w:jc w:val="both"/>
        <w:rPr>
          <w:rFonts w:ascii="Palatino Linotype" w:hAnsi="Palatino Linotype" w:cs="Arial"/>
          <w:bCs/>
          <w:sz w:val="22"/>
          <w:szCs w:val="22"/>
        </w:rPr>
      </w:pPr>
      <w:r w:rsidRPr="00A16EF4">
        <w:rPr>
          <w:rFonts w:ascii="Palatino Linotype" w:hAnsi="Palatino Linotype" w:cs="Arial"/>
          <w:bCs/>
          <w:sz w:val="22"/>
          <w:szCs w:val="22"/>
        </w:rPr>
        <w:t>Posteriormente</w:t>
      </w:r>
      <w:r w:rsidR="00203608" w:rsidRPr="00A16EF4">
        <w:rPr>
          <w:rFonts w:ascii="Palatino Linotype" w:hAnsi="Palatino Linotype" w:cs="Arial"/>
          <w:bCs/>
          <w:sz w:val="22"/>
          <w:szCs w:val="22"/>
        </w:rPr>
        <w:t>,</w:t>
      </w:r>
      <w:r w:rsidRPr="00A16EF4">
        <w:rPr>
          <w:rFonts w:ascii="Palatino Linotype" w:hAnsi="Palatino Linotype" w:cs="Arial"/>
          <w:bCs/>
          <w:sz w:val="22"/>
          <w:szCs w:val="22"/>
        </w:rPr>
        <w:t xml:space="preserve"> con oficio No. 2588 de 25 de junio de 2014, el Director Metropolitano de Gestión Territorial de la Secretaría de Territorio, Hábitat y Vivienda, nuevamente se ratifica en el informe técnico constante en oficio No. 1141 de 18 de marzo de 2013.</w:t>
      </w:r>
    </w:p>
    <w:p w:rsidR="00E32BB2" w:rsidRPr="00A16EF4" w:rsidRDefault="00E32BB2" w:rsidP="00E32BB2">
      <w:pPr>
        <w:spacing w:after="240"/>
        <w:ind w:firstLine="708"/>
        <w:jc w:val="both"/>
        <w:rPr>
          <w:rFonts w:ascii="Palatino Linotype" w:hAnsi="Palatino Linotype" w:cs="Arial"/>
          <w:bCs/>
          <w:sz w:val="22"/>
          <w:szCs w:val="22"/>
        </w:rPr>
      </w:pPr>
      <w:r w:rsidRPr="00A16EF4">
        <w:rPr>
          <w:rFonts w:ascii="Palatino Linotype" w:hAnsi="Palatino Linotype" w:cs="Arial"/>
          <w:bCs/>
          <w:sz w:val="22"/>
          <w:szCs w:val="22"/>
        </w:rPr>
        <w:t xml:space="preserve">Mediante expediente No. 1680-2013 de 20 de octubre de 2014, Procuraduría Metropolitana emite criterio legal favorable para que la Comisión de </w:t>
      </w:r>
      <w:r w:rsidR="00203608" w:rsidRPr="00A16EF4">
        <w:rPr>
          <w:rFonts w:ascii="Palatino Linotype" w:hAnsi="Palatino Linotype" w:cs="Arial"/>
          <w:bCs/>
          <w:sz w:val="22"/>
          <w:szCs w:val="22"/>
        </w:rPr>
        <w:t>U</w:t>
      </w:r>
      <w:r w:rsidRPr="00A16EF4">
        <w:rPr>
          <w:rFonts w:ascii="Palatino Linotype" w:hAnsi="Palatino Linotype" w:cs="Arial"/>
          <w:bCs/>
          <w:sz w:val="22"/>
          <w:szCs w:val="22"/>
        </w:rPr>
        <w:t>so de Suelo, alcance del Concejo Metropolitano la aprobación de la Urbanización Campo Alegre.</w:t>
      </w:r>
    </w:p>
    <w:p w:rsidR="00E32BB2" w:rsidRPr="00A16EF4" w:rsidRDefault="00E32BB2" w:rsidP="00E32BB2">
      <w:pPr>
        <w:spacing w:after="240"/>
        <w:ind w:firstLine="708"/>
        <w:jc w:val="both"/>
        <w:rPr>
          <w:rFonts w:ascii="Palatino Linotype" w:hAnsi="Palatino Linotype" w:cs="Arial"/>
          <w:bCs/>
          <w:sz w:val="22"/>
          <w:szCs w:val="22"/>
        </w:rPr>
      </w:pPr>
    </w:p>
    <w:p w:rsidR="00E32BB2" w:rsidRPr="00A16EF4" w:rsidRDefault="00E32BB2" w:rsidP="00A578A7">
      <w:pPr>
        <w:contextualSpacing/>
        <w:jc w:val="center"/>
        <w:rPr>
          <w:rFonts w:ascii="Palatino Linotype" w:hAnsi="Palatino Linotype" w:cs="Tahoma"/>
          <w:b/>
          <w:sz w:val="22"/>
          <w:szCs w:val="22"/>
        </w:rPr>
      </w:pPr>
    </w:p>
    <w:p w:rsidR="00E32BB2" w:rsidRPr="00A16EF4" w:rsidRDefault="00626B9C" w:rsidP="00626B9C">
      <w:pPr>
        <w:tabs>
          <w:tab w:val="left" w:pos="1452"/>
        </w:tabs>
        <w:contextualSpacing/>
        <w:rPr>
          <w:rFonts w:ascii="Palatino Linotype" w:hAnsi="Palatino Linotype" w:cs="Tahoma"/>
          <w:b/>
          <w:sz w:val="22"/>
          <w:szCs w:val="22"/>
        </w:rPr>
      </w:pPr>
      <w:r w:rsidRPr="00A16EF4">
        <w:rPr>
          <w:rFonts w:ascii="Palatino Linotype" w:hAnsi="Palatino Linotype" w:cs="Tahoma"/>
          <w:b/>
          <w:sz w:val="22"/>
          <w:szCs w:val="22"/>
        </w:rPr>
        <w:tab/>
      </w:r>
    </w:p>
    <w:p w:rsidR="00E32BB2" w:rsidRPr="00A16EF4" w:rsidRDefault="00E32BB2" w:rsidP="00A578A7">
      <w:pPr>
        <w:contextualSpacing/>
        <w:jc w:val="center"/>
        <w:rPr>
          <w:rFonts w:ascii="Palatino Linotype" w:hAnsi="Palatino Linotype" w:cs="Tahoma"/>
          <w:b/>
          <w:sz w:val="22"/>
          <w:szCs w:val="22"/>
        </w:rPr>
      </w:pPr>
    </w:p>
    <w:p w:rsidR="00E32BB2" w:rsidRPr="00A16EF4" w:rsidRDefault="00E32BB2" w:rsidP="00A578A7">
      <w:pPr>
        <w:contextualSpacing/>
        <w:jc w:val="center"/>
        <w:rPr>
          <w:rFonts w:ascii="Palatino Linotype" w:hAnsi="Palatino Linotype" w:cs="Tahoma"/>
          <w:b/>
          <w:sz w:val="22"/>
          <w:szCs w:val="22"/>
        </w:rPr>
      </w:pPr>
    </w:p>
    <w:p w:rsidR="00E32BB2" w:rsidRPr="00A16EF4" w:rsidRDefault="00E32BB2" w:rsidP="00A578A7">
      <w:pPr>
        <w:contextualSpacing/>
        <w:jc w:val="center"/>
        <w:rPr>
          <w:rFonts w:ascii="Palatino Linotype" w:hAnsi="Palatino Linotype" w:cs="Tahoma"/>
          <w:b/>
          <w:sz w:val="22"/>
          <w:szCs w:val="22"/>
        </w:rPr>
      </w:pPr>
    </w:p>
    <w:p w:rsidR="00E32BB2" w:rsidRPr="00A16EF4" w:rsidRDefault="00E32BB2" w:rsidP="00A578A7">
      <w:pPr>
        <w:contextualSpacing/>
        <w:jc w:val="center"/>
        <w:rPr>
          <w:rFonts w:ascii="Palatino Linotype" w:hAnsi="Palatino Linotype" w:cs="Tahoma"/>
          <w:b/>
          <w:sz w:val="22"/>
          <w:szCs w:val="22"/>
        </w:rPr>
      </w:pPr>
    </w:p>
    <w:p w:rsidR="00E32BB2" w:rsidRPr="00A16EF4" w:rsidRDefault="00E32BB2" w:rsidP="00A578A7">
      <w:pPr>
        <w:contextualSpacing/>
        <w:jc w:val="center"/>
        <w:rPr>
          <w:rFonts w:ascii="Palatino Linotype" w:hAnsi="Palatino Linotype" w:cs="Tahoma"/>
          <w:b/>
          <w:sz w:val="22"/>
          <w:szCs w:val="22"/>
        </w:rPr>
      </w:pPr>
    </w:p>
    <w:p w:rsidR="00E32BB2" w:rsidRPr="00A16EF4" w:rsidRDefault="00E32BB2" w:rsidP="00A578A7">
      <w:pPr>
        <w:contextualSpacing/>
        <w:jc w:val="center"/>
        <w:rPr>
          <w:rFonts w:ascii="Palatino Linotype" w:hAnsi="Palatino Linotype" w:cs="Tahoma"/>
          <w:b/>
          <w:sz w:val="22"/>
          <w:szCs w:val="22"/>
        </w:rPr>
      </w:pPr>
    </w:p>
    <w:p w:rsidR="00E32BB2" w:rsidRPr="00A16EF4" w:rsidRDefault="00E32BB2" w:rsidP="00A578A7">
      <w:pPr>
        <w:contextualSpacing/>
        <w:jc w:val="center"/>
        <w:rPr>
          <w:rFonts w:ascii="Palatino Linotype" w:hAnsi="Palatino Linotype" w:cs="Tahoma"/>
          <w:b/>
          <w:sz w:val="22"/>
          <w:szCs w:val="22"/>
        </w:rPr>
      </w:pPr>
    </w:p>
    <w:p w:rsidR="00203608" w:rsidRPr="00A16EF4" w:rsidRDefault="00203608" w:rsidP="00A578A7">
      <w:pPr>
        <w:contextualSpacing/>
        <w:jc w:val="center"/>
        <w:rPr>
          <w:rFonts w:ascii="Palatino Linotype" w:hAnsi="Palatino Linotype" w:cs="Tahoma"/>
          <w:b/>
          <w:sz w:val="22"/>
          <w:szCs w:val="22"/>
        </w:rPr>
        <w:sectPr w:rsidR="00203608" w:rsidRPr="00A16EF4" w:rsidSect="000B3213">
          <w:headerReference w:type="default" r:id="rId8"/>
          <w:pgSz w:w="12240" w:h="15840"/>
          <w:pgMar w:top="1418" w:right="1467" w:bottom="851" w:left="1701" w:header="709" w:footer="709" w:gutter="0"/>
          <w:cols w:space="708"/>
          <w:docGrid w:linePitch="360"/>
        </w:sectPr>
      </w:pPr>
    </w:p>
    <w:p w:rsidR="00A578A7" w:rsidRPr="00A16EF4" w:rsidRDefault="00E32BB2" w:rsidP="00203608">
      <w:pPr>
        <w:spacing w:after="240" w:line="276" w:lineRule="auto"/>
        <w:contextualSpacing/>
        <w:jc w:val="center"/>
        <w:rPr>
          <w:rFonts w:ascii="Palatino Linotype" w:hAnsi="Palatino Linotype" w:cs="Tahoma"/>
          <w:b/>
          <w:sz w:val="22"/>
          <w:szCs w:val="22"/>
        </w:rPr>
      </w:pPr>
      <w:r w:rsidRPr="00A16EF4">
        <w:rPr>
          <w:rFonts w:ascii="Palatino Linotype" w:hAnsi="Palatino Linotype" w:cs="Tahoma"/>
          <w:b/>
          <w:sz w:val="22"/>
          <w:szCs w:val="22"/>
        </w:rPr>
        <w:lastRenderedPageBreak/>
        <w:t>E</w:t>
      </w:r>
      <w:r w:rsidR="00A578A7" w:rsidRPr="00A16EF4">
        <w:rPr>
          <w:rFonts w:ascii="Palatino Linotype" w:hAnsi="Palatino Linotype" w:cs="Tahoma"/>
          <w:b/>
          <w:sz w:val="22"/>
          <w:szCs w:val="22"/>
        </w:rPr>
        <w:t>L CONCEJO METROPOLITANO DE QUITO</w:t>
      </w:r>
    </w:p>
    <w:p w:rsidR="00A578A7" w:rsidRPr="00A16EF4" w:rsidRDefault="00A578A7" w:rsidP="00203608">
      <w:pPr>
        <w:spacing w:after="240" w:line="276" w:lineRule="auto"/>
        <w:contextualSpacing/>
        <w:jc w:val="both"/>
        <w:rPr>
          <w:rFonts w:ascii="Palatino Linotype" w:hAnsi="Palatino Linotype" w:cs="Tahoma"/>
          <w:b/>
          <w:sz w:val="22"/>
          <w:szCs w:val="22"/>
        </w:rPr>
      </w:pPr>
    </w:p>
    <w:p w:rsidR="00A578A7" w:rsidRPr="00A16EF4" w:rsidRDefault="00A578A7" w:rsidP="00203608">
      <w:pPr>
        <w:spacing w:after="240" w:line="276" w:lineRule="auto"/>
        <w:contextualSpacing/>
        <w:jc w:val="both"/>
        <w:rPr>
          <w:rFonts w:ascii="Palatino Linotype" w:hAnsi="Palatino Linotype" w:cs="Tahoma"/>
          <w:sz w:val="22"/>
          <w:szCs w:val="22"/>
        </w:rPr>
      </w:pPr>
      <w:r w:rsidRPr="00A16EF4">
        <w:rPr>
          <w:rFonts w:ascii="Palatino Linotype" w:hAnsi="Palatino Linotype" w:cs="Tahoma"/>
          <w:sz w:val="22"/>
          <w:szCs w:val="22"/>
        </w:rPr>
        <w:t>Visto el Informe No.</w:t>
      </w:r>
      <w:r w:rsidR="007A2BC2" w:rsidRPr="00A16EF4">
        <w:rPr>
          <w:rFonts w:ascii="Palatino Linotype" w:hAnsi="Palatino Linotype" w:cs="Tahoma"/>
          <w:sz w:val="22"/>
          <w:szCs w:val="22"/>
        </w:rPr>
        <w:t xml:space="preserve"> IC-O-2015-121</w:t>
      </w:r>
      <w:r w:rsidR="00203608" w:rsidRPr="00A16EF4">
        <w:rPr>
          <w:rFonts w:ascii="Palatino Linotype" w:hAnsi="Palatino Linotype" w:cs="Tahoma"/>
          <w:sz w:val="22"/>
          <w:szCs w:val="22"/>
        </w:rPr>
        <w:t>,</w:t>
      </w:r>
      <w:r w:rsidRPr="00A16EF4">
        <w:rPr>
          <w:rFonts w:ascii="Palatino Linotype" w:hAnsi="Palatino Linotype" w:cs="Tahoma"/>
          <w:sz w:val="22"/>
          <w:szCs w:val="22"/>
        </w:rPr>
        <w:t xml:space="preserve"> de</w:t>
      </w:r>
      <w:r w:rsidR="007A2BC2" w:rsidRPr="00A16EF4">
        <w:rPr>
          <w:rFonts w:ascii="Palatino Linotype" w:hAnsi="Palatino Linotype" w:cs="Tahoma"/>
          <w:sz w:val="22"/>
          <w:szCs w:val="22"/>
        </w:rPr>
        <w:t xml:space="preserve"> 1 de junio de 2015</w:t>
      </w:r>
      <w:r w:rsidR="00203608" w:rsidRPr="00A16EF4">
        <w:rPr>
          <w:rFonts w:ascii="Palatino Linotype" w:hAnsi="Palatino Linotype" w:cs="Tahoma"/>
          <w:sz w:val="22"/>
          <w:szCs w:val="22"/>
        </w:rPr>
        <w:t>, emitido por</w:t>
      </w:r>
      <w:r w:rsidR="007A2BC2" w:rsidRPr="00A16EF4">
        <w:rPr>
          <w:rFonts w:ascii="Palatino Linotype" w:hAnsi="Palatino Linotype" w:cs="Tahoma"/>
          <w:sz w:val="22"/>
          <w:szCs w:val="22"/>
        </w:rPr>
        <w:t xml:space="preserve"> </w:t>
      </w:r>
      <w:r w:rsidRPr="00A16EF4">
        <w:rPr>
          <w:rFonts w:ascii="Palatino Linotype" w:hAnsi="Palatino Linotype" w:cs="Tahoma"/>
          <w:sz w:val="22"/>
          <w:szCs w:val="22"/>
        </w:rPr>
        <w:t>la Comisión de Uso de Suelo.</w:t>
      </w:r>
    </w:p>
    <w:p w:rsidR="00A578A7" w:rsidRPr="00A16EF4" w:rsidRDefault="00A578A7" w:rsidP="00203608">
      <w:pPr>
        <w:spacing w:after="240" w:line="276" w:lineRule="auto"/>
        <w:contextualSpacing/>
        <w:jc w:val="both"/>
        <w:rPr>
          <w:rFonts w:ascii="Palatino Linotype" w:hAnsi="Palatino Linotype" w:cs="Tahoma"/>
          <w:sz w:val="22"/>
          <w:szCs w:val="22"/>
        </w:rPr>
      </w:pPr>
    </w:p>
    <w:p w:rsidR="00A578A7" w:rsidRPr="00A16EF4" w:rsidRDefault="00A578A7" w:rsidP="00203608">
      <w:pPr>
        <w:spacing w:after="240" w:line="276" w:lineRule="auto"/>
        <w:contextualSpacing/>
        <w:jc w:val="center"/>
        <w:rPr>
          <w:rFonts w:ascii="Palatino Linotype" w:hAnsi="Palatino Linotype" w:cs="Tahoma"/>
          <w:b/>
          <w:sz w:val="22"/>
          <w:szCs w:val="22"/>
        </w:rPr>
      </w:pPr>
      <w:r w:rsidRPr="00A16EF4">
        <w:rPr>
          <w:rFonts w:ascii="Palatino Linotype" w:hAnsi="Palatino Linotype" w:cs="Tahoma"/>
          <w:b/>
          <w:sz w:val="22"/>
          <w:szCs w:val="22"/>
        </w:rPr>
        <w:t>CONSIDERANDO</w:t>
      </w:r>
      <w:r w:rsidR="00203608" w:rsidRPr="00A16EF4">
        <w:rPr>
          <w:rFonts w:ascii="Palatino Linotype" w:hAnsi="Palatino Linotype" w:cs="Tahoma"/>
          <w:b/>
          <w:sz w:val="22"/>
          <w:szCs w:val="22"/>
        </w:rPr>
        <w:t>:</w:t>
      </w:r>
    </w:p>
    <w:p w:rsidR="00A578A7" w:rsidRPr="00A16EF4" w:rsidRDefault="00A578A7" w:rsidP="00203608">
      <w:pPr>
        <w:spacing w:after="240" w:line="276" w:lineRule="auto"/>
        <w:contextualSpacing/>
        <w:rPr>
          <w:rFonts w:ascii="Palatino Linotype" w:hAnsi="Palatino Linotype" w:cs="Tahoma"/>
          <w:b/>
          <w:sz w:val="22"/>
          <w:szCs w:val="22"/>
        </w:rPr>
      </w:pPr>
    </w:p>
    <w:p w:rsidR="00A578A7" w:rsidRPr="00A16EF4" w:rsidRDefault="00A578A7" w:rsidP="00021B32">
      <w:pPr>
        <w:spacing w:after="240" w:line="276" w:lineRule="auto"/>
        <w:ind w:left="705" w:hanging="705"/>
        <w:jc w:val="both"/>
        <w:rPr>
          <w:rFonts w:ascii="Palatino Linotype" w:hAnsi="Palatino Linotype" w:cs="Tahoma"/>
          <w:sz w:val="22"/>
          <w:szCs w:val="22"/>
        </w:rPr>
      </w:pPr>
      <w:r w:rsidRPr="00A16EF4">
        <w:rPr>
          <w:rFonts w:ascii="Palatino Linotype" w:hAnsi="Palatino Linotype" w:cs="Tahoma"/>
          <w:b/>
          <w:sz w:val="22"/>
          <w:szCs w:val="22"/>
        </w:rPr>
        <w:t>Que,</w:t>
      </w:r>
      <w:r w:rsidRPr="00A16EF4">
        <w:rPr>
          <w:rFonts w:ascii="Palatino Linotype" w:hAnsi="Palatino Linotype" w:cs="Tahoma"/>
          <w:sz w:val="22"/>
          <w:szCs w:val="22"/>
        </w:rPr>
        <w:t xml:space="preserve"> </w:t>
      </w:r>
      <w:r w:rsidR="00021B32" w:rsidRPr="00A16EF4">
        <w:rPr>
          <w:rFonts w:ascii="Palatino Linotype" w:hAnsi="Palatino Linotype" w:cs="Tahoma"/>
          <w:sz w:val="22"/>
          <w:szCs w:val="22"/>
        </w:rPr>
        <w:tab/>
      </w:r>
      <w:r w:rsidRPr="00A16EF4">
        <w:rPr>
          <w:rFonts w:ascii="Palatino Linotype" w:hAnsi="Palatino Linotype" w:cs="Tahoma"/>
          <w:sz w:val="22"/>
          <w:szCs w:val="22"/>
        </w:rPr>
        <w:t xml:space="preserve">el artículo 240 de la Constitución de la República </w:t>
      </w:r>
      <w:r w:rsidR="008171BF" w:rsidRPr="00A16EF4">
        <w:rPr>
          <w:rFonts w:ascii="Palatino Linotype" w:hAnsi="Palatino Linotype" w:cs="Tahoma"/>
          <w:sz w:val="22"/>
          <w:szCs w:val="22"/>
        </w:rPr>
        <w:t xml:space="preserve">del Ecuador </w:t>
      </w:r>
      <w:r w:rsidRPr="00A16EF4">
        <w:rPr>
          <w:rFonts w:ascii="Palatino Linotype" w:hAnsi="Palatino Linotype" w:cs="Tahoma"/>
          <w:sz w:val="22"/>
          <w:szCs w:val="22"/>
        </w:rPr>
        <w:t>establece que: “</w:t>
      </w:r>
      <w:r w:rsidRPr="00A16EF4">
        <w:rPr>
          <w:rFonts w:ascii="Palatino Linotype" w:hAnsi="Palatino Linotype" w:cs="Tahoma"/>
          <w:i/>
          <w:sz w:val="22"/>
          <w:szCs w:val="22"/>
        </w:rPr>
        <w:t xml:space="preserve">Los gobiernos autónomos </w:t>
      </w:r>
      <w:bookmarkStart w:id="0" w:name="_GoBack"/>
      <w:bookmarkEnd w:id="0"/>
      <w:r w:rsidRPr="00A16EF4">
        <w:rPr>
          <w:rFonts w:ascii="Palatino Linotype" w:hAnsi="Palatino Linotype" w:cs="Tahoma"/>
          <w:i/>
          <w:sz w:val="22"/>
          <w:szCs w:val="22"/>
        </w:rPr>
        <w:t>descentralizados de las regiones, distritos metropolitanos, provincias y cantones tendrán facultades legislativas en el ámbito de sus competencias y jurisdicciones territoriales (…)</w:t>
      </w:r>
      <w:r w:rsidRPr="00A16EF4">
        <w:rPr>
          <w:rFonts w:ascii="Palatino Linotype" w:hAnsi="Palatino Linotype" w:cs="Tahoma"/>
          <w:sz w:val="22"/>
          <w:szCs w:val="22"/>
        </w:rPr>
        <w:t>”;</w:t>
      </w:r>
    </w:p>
    <w:p w:rsidR="00A578A7" w:rsidRPr="00A16EF4" w:rsidRDefault="00A578A7" w:rsidP="008171BF">
      <w:pPr>
        <w:spacing w:after="240" w:line="276" w:lineRule="auto"/>
        <w:ind w:left="705" w:hanging="705"/>
        <w:jc w:val="both"/>
        <w:rPr>
          <w:rFonts w:ascii="Palatino Linotype" w:hAnsi="Palatino Linotype" w:cs="Tahoma"/>
          <w:sz w:val="22"/>
          <w:szCs w:val="22"/>
        </w:rPr>
      </w:pPr>
      <w:r w:rsidRPr="00A16EF4">
        <w:rPr>
          <w:rFonts w:ascii="Palatino Linotype" w:hAnsi="Palatino Linotype" w:cs="Tahoma"/>
          <w:b/>
          <w:sz w:val="22"/>
          <w:szCs w:val="22"/>
        </w:rPr>
        <w:t>Que,</w:t>
      </w:r>
      <w:r w:rsidRPr="00A16EF4">
        <w:rPr>
          <w:rFonts w:ascii="Palatino Linotype" w:hAnsi="Palatino Linotype" w:cs="Tahoma"/>
          <w:sz w:val="22"/>
          <w:szCs w:val="22"/>
        </w:rPr>
        <w:t xml:space="preserve"> </w:t>
      </w:r>
      <w:r w:rsidR="008171BF" w:rsidRPr="00A16EF4">
        <w:rPr>
          <w:rFonts w:ascii="Palatino Linotype" w:hAnsi="Palatino Linotype" w:cs="Tahoma"/>
          <w:sz w:val="22"/>
          <w:szCs w:val="22"/>
        </w:rPr>
        <w:tab/>
      </w:r>
      <w:r w:rsidRPr="00A16EF4">
        <w:rPr>
          <w:rFonts w:ascii="Palatino Linotype" w:hAnsi="Palatino Linotype" w:cs="Tahoma"/>
          <w:sz w:val="22"/>
          <w:szCs w:val="22"/>
        </w:rPr>
        <w:t xml:space="preserve">el numeral </w:t>
      </w:r>
      <w:r w:rsidR="000451EA" w:rsidRPr="00A16EF4">
        <w:rPr>
          <w:rFonts w:ascii="Palatino Linotype" w:hAnsi="Palatino Linotype" w:cs="Tahoma"/>
          <w:sz w:val="22"/>
          <w:szCs w:val="22"/>
        </w:rPr>
        <w:t>1</w:t>
      </w:r>
      <w:r w:rsidRPr="00A16EF4">
        <w:rPr>
          <w:rFonts w:ascii="Palatino Linotype" w:hAnsi="Palatino Linotype" w:cs="Tahoma"/>
          <w:sz w:val="22"/>
          <w:szCs w:val="22"/>
        </w:rPr>
        <w:t xml:space="preserve"> del artículo 264 </w:t>
      </w:r>
      <w:r w:rsidR="000451EA" w:rsidRPr="00A16EF4">
        <w:rPr>
          <w:rFonts w:ascii="Palatino Linotype" w:hAnsi="Palatino Linotype" w:cs="Tahoma"/>
          <w:sz w:val="22"/>
          <w:szCs w:val="22"/>
        </w:rPr>
        <w:t>ibídem</w:t>
      </w:r>
      <w:r w:rsidRPr="00A16EF4">
        <w:rPr>
          <w:rFonts w:ascii="Palatino Linotype" w:hAnsi="Palatino Linotype" w:cs="Tahoma"/>
          <w:sz w:val="22"/>
          <w:szCs w:val="22"/>
        </w:rPr>
        <w:t xml:space="preserve"> </w:t>
      </w:r>
      <w:r w:rsidR="000451EA" w:rsidRPr="00A16EF4">
        <w:rPr>
          <w:rFonts w:ascii="Palatino Linotype" w:hAnsi="Palatino Linotype" w:cs="Tahoma"/>
          <w:bCs/>
          <w:sz w:val="22"/>
          <w:szCs w:val="22"/>
        </w:rPr>
        <w:t>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w:t>
      </w:r>
      <w:r w:rsidRPr="00A16EF4">
        <w:rPr>
          <w:rFonts w:ascii="Palatino Linotype" w:hAnsi="Palatino Linotype" w:cs="Tahoma"/>
          <w:sz w:val="22"/>
          <w:szCs w:val="22"/>
        </w:rPr>
        <w:t xml:space="preserve">; </w:t>
      </w:r>
    </w:p>
    <w:p w:rsidR="008171BF" w:rsidRPr="00A16EF4" w:rsidRDefault="00A578A7" w:rsidP="008171BF">
      <w:pPr>
        <w:spacing w:after="240" w:line="276" w:lineRule="auto"/>
        <w:ind w:left="705" w:hanging="705"/>
        <w:jc w:val="both"/>
        <w:rPr>
          <w:rFonts w:ascii="Palatino Linotype" w:hAnsi="Palatino Linotype" w:cs="Tahoma"/>
          <w:sz w:val="22"/>
          <w:szCs w:val="22"/>
        </w:rPr>
      </w:pPr>
      <w:r w:rsidRPr="00A16EF4">
        <w:rPr>
          <w:rFonts w:ascii="Palatino Linotype" w:hAnsi="Palatino Linotype" w:cs="Tahoma"/>
          <w:b/>
          <w:sz w:val="22"/>
          <w:szCs w:val="22"/>
        </w:rPr>
        <w:t>Que</w:t>
      </w:r>
      <w:r w:rsidR="008171BF" w:rsidRPr="00A16EF4">
        <w:rPr>
          <w:rFonts w:ascii="Palatino Linotype" w:hAnsi="Palatino Linotype" w:cs="Tahoma"/>
          <w:b/>
          <w:sz w:val="22"/>
          <w:szCs w:val="22"/>
        </w:rPr>
        <w:t>,</w:t>
      </w:r>
      <w:r w:rsidRPr="00A16EF4">
        <w:rPr>
          <w:rFonts w:ascii="Palatino Linotype" w:hAnsi="Palatino Linotype" w:cs="Tahoma"/>
          <w:sz w:val="22"/>
          <w:szCs w:val="22"/>
        </w:rPr>
        <w:t xml:space="preserve"> </w:t>
      </w:r>
      <w:r w:rsidR="008171BF" w:rsidRPr="00A16EF4">
        <w:rPr>
          <w:rFonts w:ascii="Palatino Linotype" w:hAnsi="Palatino Linotype" w:cs="Tahoma"/>
          <w:sz w:val="22"/>
          <w:szCs w:val="22"/>
        </w:rPr>
        <w:tab/>
      </w:r>
      <w:r w:rsidRPr="00A16EF4">
        <w:rPr>
          <w:rFonts w:ascii="Palatino Linotype" w:hAnsi="Palatino Linotype" w:cs="Tahoma"/>
          <w:sz w:val="22"/>
          <w:szCs w:val="22"/>
        </w:rPr>
        <w:t xml:space="preserve">el literal c) del artículo 54 del Código Orgánico de Organización Territorial, Autonomía y Descentralización, </w:t>
      </w:r>
      <w:r w:rsidR="008171BF" w:rsidRPr="00A16EF4">
        <w:rPr>
          <w:rFonts w:ascii="Palatino Linotype" w:hAnsi="Palatino Linotype" w:cs="Tahoma"/>
          <w:sz w:val="22"/>
          <w:szCs w:val="22"/>
        </w:rPr>
        <w:t>prevé</w:t>
      </w:r>
      <w:r w:rsidRPr="00A16EF4">
        <w:rPr>
          <w:rFonts w:ascii="Palatino Linotype" w:hAnsi="Palatino Linotype" w:cs="Tahoma"/>
          <w:sz w:val="22"/>
          <w:szCs w:val="22"/>
        </w:rPr>
        <w:t xml:space="preserve"> como función del Gobierno Autónomo Descentralizado Municipal la de establecer el régimen de uso del suelo y urbanístico, parcelación, lotización, división o cualquier otra forma de fraccionamiento de conformidad con la planificación cantonal, asegurando porcentajes para zonas verdes y áreas comunales;</w:t>
      </w:r>
    </w:p>
    <w:p w:rsidR="00A578A7" w:rsidRPr="00A16EF4" w:rsidRDefault="00A578A7" w:rsidP="008171BF">
      <w:pPr>
        <w:spacing w:after="240" w:line="276" w:lineRule="auto"/>
        <w:ind w:left="705" w:hanging="705"/>
        <w:jc w:val="both"/>
        <w:rPr>
          <w:rFonts w:ascii="Palatino Linotype" w:hAnsi="Palatino Linotype" w:cs="Tahoma"/>
          <w:sz w:val="22"/>
          <w:szCs w:val="22"/>
        </w:rPr>
      </w:pPr>
      <w:r w:rsidRPr="00A16EF4">
        <w:rPr>
          <w:rFonts w:ascii="Palatino Linotype" w:hAnsi="Palatino Linotype" w:cs="Tahoma"/>
          <w:b/>
          <w:sz w:val="22"/>
          <w:szCs w:val="22"/>
        </w:rPr>
        <w:t>Que</w:t>
      </w:r>
      <w:r w:rsidR="008171BF" w:rsidRPr="00A16EF4">
        <w:rPr>
          <w:rFonts w:ascii="Palatino Linotype" w:hAnsi="Palatino Linotype" w:cs="Tahoma"/>
          <w:b/>
          <w:sz w:val="22"/>
          <w:szCs w:val="22"/>
        </w:rPr>
        <w:t>,</w:t>
      </w:r>
      <w:r w:rsidR="008171BF" w:rsidRPr="00A16EF4">
        <w:rPr>
          <w:rFonts w:ascii="Palatino Linotype" w:hAnsi="Palatino Linotype" w:cs="Tahoma"/>
          <w:sz w:val="22"/>
          <w:szCs w:val="22"/>
        </w:rPr>
        <w:tab/>
      </w:r>
      <w:r w:rsidR="000451EA" w:rsidRPr="00A16EF4">
        <w:rPr>
          <w:rFonts w:ascii="Palatino Linotype" w:hAnsi="Palatino Linotype" w:cs="Tahoma"/>
          <w:sz w:val="22"/>
          <w:szCs w:val="22"/>
        </w:rPr>
        <w:t xml:space="preserve">los literales a) y x) del </w:t>
      </w:r>
      <w:r w:rsidRPr="00A16EF4">
        <w:rPr>
          <w:rFonts w:ascii="Palatino Linotype" w:hAnsi="Palatino Linotype" w:cs="Tahoma"/>
          <w:sz w:val="22"/>
          <w:szCs w:val="22"/>
        </w:rPr>
        <w:t>artículo 57 del mismo Código</w:t>
      </w:r>
      <w:r w:rsidR="000451EA" w:rsidRPr="00A16EF4">
        <w:rPr>
          <w:rFonts w:ascii="Palatino Linotype" w:hAnsi="Palatino Linotype" w:cs="Tahoma"/>
          <w:sz w:val="22"/>
          <w:szCs w:val="22"/>
        </w:rPr>
        <w:t>, respecto de las atribuciones del Concejo Metropolitano señala:</w:t>
      </w:r>
      <w:r w:rsidRPr="00A16EF4">
        <w:rPr>
          <w:rFonts w:ascii="Palatino Linotype" w:hAnsi="Palatino Linotype" w:cs="Tahoma"/>
          <w:sz w:val="22"/>
          <w:szCs w:val="22"/>
        </w:rPr>
        <w:t xml:space="preserve"> “</w:t>
      </w:r>
      <w:r w:rsidRPr="00A16EF4">
        <w:rPr>
          <w:rFonts w:ascii="Palatino Linotype" w:hAnsi="Palatino Linotype" w:cs="Tahoma"/>
          <w:i/>
          <w:sz w:val="22"/>
          <w:szCs w:val="22"/>
        </w:rPr>
        <w:t>a) El ejercicio de la facultad normativa en las materias de competencia del gobierno autónomo descentralizado municipal, mediante la expedición de ordenanzas cantonales, acuerdos y resoluciones;</w:t>
      </w:r>
      <w:r w:rsidR="000451EA" w:rsidRPr="00A16EF4">
        <w:rPr>
          <w:rFonts w:ascii="Palatino Linotype" w:hAnsi="Palatino Linotype" w:cs="Tahoma"/>
          <w:i/>
          <w:sz w:val="22"/>
          <w:szCs w:val="22"/>
        </w:rPr>
        <w:t xml:space="preserve"> y, (…)</w:t>
      </w:r>
      <w:r w:rsidRPr="00A16EF4">
        <w:rPr>
          <w:rFonts w:ascii="Palatino Linotype" w:hAnsi="Palatino Linotype" w:cs="Tahoma"/>
          <w:i/>
          <w:sz w:val="22"/>
          <w:szCs w:val="22"/>
        </w:rPr>
        <w:t xml:space="preserve"> x) Regular y controlar, mediante la normativa cantonal correspondiente, el uso del suelo en el territorio del cantón, de conformidad con las leyes sobre la materia, y establecer el régimen urbanístico de la tierra</w:t>
      </w:r>
      <w:r w:rsidRPr="00A16EF4">
        <w:rPr>
          <w:rFonts w:ascii="Palatino Linotype" w:hAnsi="Palatino Linotype" w:cs="Tahoma"/>
          <w:sz w:val="22"/>
          <w:szCs w:val="22"/>
        </w:rPr>
        <w:t>”</w:t>
      </w:r>
      <w:r w:rsidR="008171BF" w:rsidRPr="00A16EF4">
        <w:rPr>
          <w:rFonts w:ascii="Palatino Linotype" w:hAnsi="Palatino Linotype" w:cs="Tahoma"/>
          <w:sz w:val="22"/>
          <w:szCs w:val="22"/>
        </w:rPr>
        <w:t>;</w:t>
      </w:r>
    </w:p>
    <w:p w:rsidR="00A578A7" w:rsidRPr="00A16EF4" w:rsidRDefault="00A578A7" w:rsidP="008171BF">
      <w:pPr>
        <w:spacing w:after="240" w:line="276" w:lineRule="auto"/>
        <w:ind w:left="705" w:hanging="705"/>
        <w:jc w:val="both"/>
        <w:rPr>
          <w:rFonts w:ascii="Palatino Linotype" w:hAnsi="Palatino Linotype" w:cs="Tahoma"/>
          <w:sz w:val="22"/>
          <w:szCs w:val="22"/>
        </w:rPr>
      </w:pPr>
      <w:r w:rsidRPr="00A16EF4">
        <w:rPr>
          <w:rFonts w:ascii="Palatino Linotype" w:hAnsi="Palatino Linotype" w:cs="Tahoma"/>
          <w:b/>
          <w:sz w:val="22"/>
          <w:szCs w:val="22"/>
        </w:rPr>
        <w:t>Que</w:t>
      </w:r>
      <w:r w:rsidR="008171BF" w:rsidRPr="00A16EF4">
        <w:rPr>
          <w:rFonts w:ascii="Palatino Linotype" w:hAnsi="Palatino Linotype" w:cs="Tahoma"/>
          <w:b/>
          <w:sz w:val="22"/>
          <w:szCs w:val="22"/>
        </w:rPr>
        <w:t>,</w:t>
      </w:r>
      <w:r w:rsidRPr="00A16EF4">
        <w:rPr>
          <w:rFonts w:ascii="Palatino Linotype" w:hAnsi="Palatino Linotype" w:cs="Tahoma"/>
          <w:b/>
          <w:sz w:val="22"/>
          <w:szCs w:val="22"/>
        </w:rPr>
        <w:t xml:space="preserve"> </w:t>
      </w:r>
      <w:r w:rsidR="008171BF" w:rsidRPr="00A16EF4">
        <w:rPr>
          <w:rFonts w:ascii="Palatino Linotype" w:hAnsi="Palatino Linotype" w:cs="Tahoma"/>
          <w:b/>
          <w:sz w:val="22"/>
          <w:szCs w:val="22"/>
        </w:rPr>
        <w:tab/>
      </w:r>
      <w:r w:rsidRPr="00A16EF4">
        <w:rPr>
          <w:rFonts w:ascii="Palatino Linotype" w:hAnsi="Palatino Linotype" w:cs="Tahoma"/>
          <w:sz w:val="22"/>
          <w:szCs w:val="22"/>
        </w:rPr>
        <w:t>el artículo 322 del mismo Código establece el procedimiento para la aprobación de las Ordenanzas Municipales;</w:t>
      </w:r>
    </w:p>
    <w:p w:rsidR="00A578A7" w:rsidRPr="00A16EF4" w:rsidRDefault="00A578A7" w:rsidP="008171BF">
      <w:pPr>
        <w:spacing w:after="240" w:line="276" w:lineRule="auto"/>
        <w:ind w:left="705" w:hanging="705"/>
        <w:jc w:val="both"/>
        <w:rPr>
          <w:rFonts w:ascii="Palatino Linotype" w:hAnsi="Palatino Linotype" w:cs="Tahoma"/>
          <w:sz w:val="22"/>
          <w:szCs w:val="22"/>
        </w:rPr>
      </w:pPr>
      <w:r w:rsidRPr="00A16EF4">
        <w:rPr>
          <w:rFonts w:ascii="Palatino Linotype" w:hAnsi="Palatino Linotype" w:cs="Tahoma"/>
          <w:b/>
          <w:sz w:val="22"/>
          <w:szCs w:val="22"/>
        </w:rPr>
        <w:lastRenderedPageBreak/>
        <w:t>Que</w:t>
      </w:r>
      <w:r w:rsidR="008171BF" w:rsidRPr="00A16EF4">
        <w:rPr>
          <w:rFonts w:ascii="Palatino Linotype" w:hAnsi="Palatino Linotype" w:cs="Tahoma"/>
          <w:b/>
          <w:sz w:val="22"/>
          <w:szCs w:val="22"/>
        </w:rPr>
        <w:t>,</w:t>
      </w:r>
      <w:r w:rsidRPr="00A16EF4">
        <w:rPr>
          <w:rFonts w:ascii="Palatino Linotype" w:hAnsi="Palatino Linotype" w:cs="Tahoma"/>
          <w:sz w:val="22"/>
          <w:szCs w:val="22"/>
        </w:rPr>
        <w:t xml:space="preserve"> </w:t>
      </w:r>
      <w:r w:rsidR="008171BF" w:rsidRPr="00A16EF4">
        <w:rPr>
          <w:rFonts w:ascii="Palatino Linotype" w:hAnsi="Palatino Linotype" w:cs="Tahoma"/>
          <w:sz w:val="22"/>
          <w:szCs w:val="22"/>
        </w:rPr>
        <w:tab/>
      </w:r>
      <w:r w:rsidRPr="00A16EF4">
        <w:rPr>
          <w:rFonts w:ascii="Palatino Linotype" w:hAnsi="Palatino Linotype" w:cs="Tahoma"/>
          <w:sz w:val="22"/>
          <w:szCs w:val="22"/>
        </w:rPr>
        <w:t>el artículo 2, numeral 1 de la Ley de Régimen para el Distrito Metropolitano de Quito, tiene la competencia exclusiva y privativa de regular el uso y la adecuada ocupación del suelo, ejerciendo el control sobre el mismo.</w:t>
      </w:r>
    </w:p>
    <w:p w:rsidR="00A578A7" w:rsidRPr="00A16EF4" w:rsidRDefault="00A578A7" w:rsidP="008171BF">
      <w:pPr>
        <w:spacing w:after="240" w:line="276" w:lineRule="auto"/>
        <w:ind w:left="705" w:hanging="705"/>
        <w:jc w:val="both"/>
        <w:rPr>
          <w:rFonts w:ascii="Palatino Linotype" w:hAnsi="Palatino Linotype" w:cs="Tahoma"/>
          <w:sz w:val="22"/>
          <w:szCs w:val="22"/>
        </w:rPr>
      </w:pPr>
      <w:r w:rsidRPr="00A16EF4">
        <w:rPr>
          <w:rFonts w:ascii="Palatino Linotype" w:hAnsi="Palatino Linotype" w:cs="Tahoma"/>
          <w:b/>
          <w:sz w:val="22"/>
          <w:szCs w:val="22"/>
        </w:rPr>
        <w:t>Que</w:t>
      </w:r>
      <w:r w:rsidR="008171BF" w:rsidRPr="00A16EF4">
        <w:rPr>
          <w:rFonts w:ascii="Palatino Linotype" w:hAnsi="Palatino Linotype" w:cs="Tahoma"/>
          <w:b/>
          <w:sz w:val="22"/>
          <w:szCs w:val="22"/>
        </w:rPr>
        <w:t>,</w:t>
      </w:r>
      <w:r w:rsidRPr="00A16EF4">
        <w:rPr>
          <w:rFonts w:ascii="Palatino Linotype" w:hAnsi="Palatino Linotype" w:cs="Tahoma"/>
          <w:sz w:val="22"/>
          <w:szCs w:val="22"/>
        </w:rPr>
        <w:t xml:space="preserve"> </w:t>
      </w:r>
      <w:r w:rsidR="008171BF" w:rsidRPr="00A16EF4">
        <w:rPr>
          <w:rFonts w:ascii="Palatino Linotype" w:hAnsi="Palatino Linotype" w:cs="Tahoma"/>
          <w:sz w:val="22"/>
          <w:szCs w:val="22"/>
        </w:rPr>
        <w:tab/>
      </w:r>
      <w:r w:rsidRPr="00A16EF4">
        <w:rPr>
          <w:rFonts w:ascii="Palatino Linotype" w:hAnsi="Palatino Linotype" w:cs="Tahoma"/>
          <w:sz w:val="22"/>
          <w:szCs w:val="22"/>
        </w:rPr>
        <w:t>el artículo 8, numeral 1 del mismo cuerpo normativo, establece que el corresponde al Concejo Metropolitano, decidir mediante ordenanza, sobre los asuntos de interés general, relativos al desarrollo integral y a la ordenación urbanística del Distrito;</w:t>
      </w:r>
    </w:p>
    <w:p w:rsidR="00A578A7" w:rsidRPr="00A16EF4" w:rsidRDefault="00A578A7" w:rsidP="00A16EF4">
      <w:pPr>
        <w:spacing w:after="240" w:line="276" w:lineRule="auto"/>
        <w:ind w:left="705" w:hanging="705"/>
        <w:jc w:val="both"/>
        <w:rPr>
          <w:rFonts w:ascii="Palatino Linotype" w:hAnsi="Palatino Linotype" w:cs="Tahoma"/>
          <w:sz w:val="22"/>
          <w:szCs w:val="22"/>
        </w:rPr>
      </w:pPr>
      <w:r w:rsidRPr="00A16EF4">
        <w:rPr>
          <w:rFonts w:ascii="Palatino Linotype" w:hAnsi="Palatino Linotype" w:cs="Tahoma"/>
          <w:b/>
          <w:sz w:val="22"/>
          <w:szCs w:val="22"/>
        </w:rPr>
        <w:t>Que</w:t>
      </w:r>
      <w:r w:rsidR="00A16EF4" w:rsidRPr="00A16EF4">
        <w:rPr>
          <w:rFonts w:ascii="Palatino Linotype" w:hAnsi="Palatino Linotype" w:cs="Tahoma"/>
          <w:b/>
          <w:sz w:val="22"/>
          <w:szCs w:val="22"/>
        </w:rPr>
        <w:t>,</w:t>
      </w:r>
      <w:r w:rsidRPr="00A16EF4">
        <w:rPr>
          <w:rFonts w:ascii="Palatino Linotype" w:hAnsi="Palatino Linotype" w:cs="Tahoma"/>
          <w:sz w:val="22"/>
          <w:szCs w:val="22"/>
        </w:rPr>
        <w:t xml:space="preserve"> </w:t>
      </w:r>
      <w:r w:rsidR="00A16EF4" w:rsidRPr="00A16EF4">
        <w:rPr>
          <w:rFonts w:ascii="Palatino Linotype" w:hAnsi="Palatino Linotype" w:cs="Tahoma"/>
          <w:sz w:val="22"/>
          <w:szCs w:val="22"/>
        </w:rPr>
        <w:tab/>
      </w:r>
      <w:r w:rsidRPr="00A16EF4">
        <w:rPr>
          <w:rFonts w:ascii="Palatino Linotype" w:hAnsi="Palatino Linotype" w:cs="Tahoma"/>
          <w:sz w:val="22"/>
          <w:szCs w:val="22"/>
        </w:rPr>
        <w:t>el numeral 1 del artículo 69 de la Ordenanza Metropolitana No. 0172</w:t>
      </w:r>
      <w:r w:rsidR="00A16EF4" w:rsidRPr="00A16EF4">
        <w:rPr>
          <w:rFonts w:ascii="Palatino Linotype" w:hAnsi="Palatino Linotype" w:cs="Tahoma"/>
          <w:sz w:val="22"/>
          <w:szCs w:val="22"/>
        </w:rPr>
        <w:t>,</w:t>
      </w:r>
      <w:r w:rsidRPr="00A16EF4">
        <w:rPr>
          <w:rFonts w:ascii="Palatino Linotype" w:hAnsi="Palatino Linotype" w:cs="Tahoma"/>
          <w:sz w:val="22"/>
          <w:szCs w:val="22"/>
        </w:rPr>
        <w:t xml:space="preserve"> que establece el Régimen Administrativo del Suelo en el Distrito Metropolitano de Quito, establece que los proyectos de urbanización son propuestas de iniciativa municipal o privada que tienen por finalidad la división y habilitación del suelo en áreas de la circunscripción territorial del Distrito Metropolitano de Quito calificadas exclusivamente como suelo urbano por el Plan Metropolitano de Desarrollo y Ordenamiento Territorial (PMDOT) u otros instrumentos de planificación;</w:t>
      </w:r>
    </w:p>
    <w:p w:rsidR="00A578A7" w:rsidRPr="00A16EF4" w:rsidRDefault="00A578A7" w:rsidP="00A16EF4">
      <w:pPr>
        <w:spacing w:after="240" w:line="276" w:lineRule="auto"/>
        <w:ind w:left="705" w:hanging="705"/>
        <w:jc w:val="both"/>
        <w:rPr>
          <w:rFonts w:ascii="Palatino Linotype" w:hAnsi="Palatino Linotype" w:cs="Tahoma"/>
          <w:sz w:val="22"/>
          <w:szCs w:val="22"/>
        </w:rPr>
      </w:pPr>
      <w:r w:rsidRPr="00A16EF4">
        <w:rPr>
          <w:rFonts w:ascii="Palatino Linotype" w:hAnsi="Palatino Linotype" w:cs="Tahoma"/>
          <w:b/>
          <w:sz w:val="22"/>
          <w:szCs w:val="22"/>
        </w:rPr>
        <w:t>Que</w:t>
      </w:r>
      <w:r w:rsidR="00A16EF4" w:rsidRPr="00A16EF4">
        <w:rPr>
          <w:rFonts w:ascii="Palatino Linotype" w:hAnsi="Palatino Linotype" w:cs="Tahoma"/>
          <w:b/>
          <w:sz w:val="22"/>
          <w:szCs w:val="22"/>
        </w:rPr>
        <w:t>,</w:t>
      </w:r>
      <w:r w:rsidRPr="00A16EF4">
        <w:rPr>
          <w:rFonts w:ascii="Palatino Linotype" w:hAnsi="Palatino Linotype" w:cs="Tahoma"/>
          <w:sz w:val="22"/>
          <w:szCs w:val="22"/>
        </w:rPr>
        <w:t xml:space="preserve"> </w:t>
      </w:r>
      <w:r w:rsidR="00A16EF4" w:rsidRPr="00A16EF4">
        <w:rPr>
          <w:rFonts w:ascii="Palatino Linotype" w:hAnsi="Palatino Linotype" w:cs="Tahoma"/>
          <w:sz w:val="22"/>
          <w:szCs w:val="22"/>
        </w:rPr>
        <w:tab/>
      </w:r>
      <w:r w:rsidRPr="00A16EF4">
        <w:rPr>
          <w:rFonts w:ascii="Palatino Linotype" w:hAnsi="Palatino Linotype" w:cs="Tahoma"/>
          <w:sz w:val="22"/>
          <w:szCs w:val="22"/>
        </w:rPr>
        <w:t>el artículo 51 de la Ordenanza  Metropolitana No. 0156, establece que los proyectos de urbanización deberán ser aprobados mediante ordenanza por parte del Concejo Metropolitano, luego de lo cual la Secretaría responsable del territorio, hábitat y vivienda procederá a emitir la Licencia Metropolitana Urbanística LMU (10); y,</w:t>
      </w:r>
    </w:p>
    <w:p w:rsidR="00A578A7" w:rsidRPr="00A16EF4" w:rsidRDefault="00A578A7" w:rsidP="00A16EF4">
      <w:pPr>
        <w:spacing w:after="240" w:line="276" w:lineRule="auto"/>
        <w:ind w:left="705" w:hanging="705"/>
        <w:jc w:val="both"/>
        <w:rPr>
          <w:rFonts w:ascii="Palatino Linotype" w:hAnsi="Palatino Linotype" w:cs="Tahoma"/>
          <w:sz w:val="22"/>
          <w:szCs w:val="22"/>
        </w:rPr>
      </w:pPr>
      <w:r w:rsidRPr="00A16EF4">
        <w:rPr>
          <w:rFonts w:ascii="Palatino Linotype" w:hAnsi="Palatino Linotype" w:cs="Tahoma"/>
          <w:b/>
          <w:sz w:val="22"/>
          <w:szCs w:val="22"/>
        </w:rPr>
        <w:t>Que</w:t>
      </w:r>
      <w:r w:rsidR="00A16EF4" w:rsidRPr="00A16EF4">
        <w:rPr>
          <w:rFonts w:ascii="Palatino Linotype" w:hAnsi="Palatino Linotype" w:cs="Tahoma"/>
          <w:b/>
          <w:sz w:val="22"/>
          <w:szCs w:val="22"/>
        </w:rPr>
        <w:t>,</w:t>
      </w:r>
      <w:r w:rsidRPr="00A16EF4">
        <w:rPr>
          <w:rFonts w:ascii="Palatino Linotype" w:hAnsi="Palatino Linotype" w:cs="Tahoma"/>
          <w:sz w:val="22"/>
          <w:szCs w:val="22"/>
        </w:rPr>
        <w:t xml:space="preserve"> </w:t>
      </w:r>
      <w:r w:rsidR="00A16EF4" w:rsidRPr="00A16EF4">
        <w:rPr>
          <w:rFonts w:ascii="Palatino Linotype" w:hAnsi="Palatino Linotype" w:cs="Tahoma"/>
          <w:sz w:val="22"/>
          <w:szCs w:val="22"/>
        </w:rPr>
        <w:tab/>
      </w:r>
      <w:r w:rsidRPr="00A16EF4">
        <w:rPr>
          <w:rFonts w:ascii="Palatino Linotype" w:hAnsi="Palatino Linotype" w:cs="Tahoma"/>
          <w:sz w:val="22"/>
          <w:szCs w:val="22"/>
        </w:rPr>
        <w:t>mediante oficio No. STHV-001141 del 18 de marzo de 2013 la Unidad de Gestión Territorial de la Secretaría de Territorio, Hábitat y Vivienda, emitió informe técnico favorable para la aprobación de la Urbanización “Campo Alegre”</w:t>
      </w:r>
      <w:r w:rsidR="00A16EF4" w:rsidRPr="00A16EF4">
        <w:rPr>
          <w:rFonts w:ascii="Palatino Linotype" w:hAnsi="Palatino Linotype" w:cs="Tahoma"/>
          <w:sz w:val="22"/>
          <w:szCs w:val="22"/>
        </w:rPr>
        <w:t>.</w:t>
      </w:r>
      <w:r w:rsidRPr="00A16EF4">
        <w:rPr>
          <w:rFonts w:ascii="Palatino Linotype" w:hAnsi="Palatino Linotype" w:cs="Tahoma"/>
          <w:sz w:val="22"/>
          <w:szCs w:val="22"/>
        </w:rPr>
        <w:t xml:space="preserve">   </w:t>
      </w:r>
    </w:p>
    <w:p w:rsidR="00A578A7" w:rsidRPr="00A16EF4" w:rsidRDefault="00A578A7" w:rsidP="00203608">
      <w:pPr>
        <w:spacing w:after="240" w:line="276" w:lineRule="auto"/>
        <w:jc w:val="both"/>
        <w:rPr>
          <w:rFonts w:ascii="Palatino Linotype" w:hAnsi="Palatino Linotype" w:cs="Tahoma"/>
          <w:b/>
          <w:sz w:val="22"/>
          <w:szCs w:val="22"/>
        </w:rPr>
      </w:pPr>
      <w:r w:rsidRPr="00A16EF4">
        <w:rPr>
          <w:rFonts w:ascii="Palatino Linotype" w:hAnsi="Palatino Linotype" w:cs="Tahoma"/>
          <w:b/>
          <w:sz w:val="22"/>
          <w:szCs w:val="22"/>
        </w:rPr>
        <w:t>En ejercicio de sus atribuciones legales constantes en los artículos 240 y 264, numeral</w:t>
      </w:r>
      <w:r w:rsidR="000451EA" w:rsidRPr="00A16EF4">
        <w:rPr>
          <w:rFonts w:ascii="Palatino Linotype" w:hAnsi="Palatino Linotype" w:cs="Tahoma"/>
          <w:b/>
          <w:sz w:val="22"/>
          <w:szCs w:val="22"/>
        </w:rPr>
        <w:t>es</w:t>
      </w:r>
      <w:r w:rsidRPr="00A16EF4">
        <w:rPr>
          <w:rFonts w:ascii="Palatino Linotype" w:hAnsi="Palatino Linotype" w:cs="Tahoma"/>
          <w:b/>
          <w:sz w:val="22"/>
          <w:szCs w:val="22"/>
        </w:rPr>
        <w:t xml:space="preserve"> </w:t>
      </w:r>
      <w:r w:rsidR="000451EA" w:rsidRPr="00A16EF4">
        <w:rPr>
          <w:rFonts w:ascii="Palatino Linotype" w:hAnsi="Palatino Linotype" w:cs="Tahoma"/>
          <w:b/>
          <w:sz w:val="22"/>
          <w:szCs w:val="22"/>
        </w:rPr>
        <w:t>1</w:t>
      </w:r>
      <w:r w:rsidRPr="00A16EF4">
        <w:rPr>
          <w:rFonts w:ascii="Palatino Linotype" w:hAnsi="Palatino Linotype" w:cs="Tahoma"/>
          <w:b/>
          <w:sz w:val="22"/>
          <w:szCs w:val="22"/>
        </w:rPr>
        <w:t xml:space="preserve"> </w:t>
      </w:r>
      <w:r w:rsidR="000451EA" w:rsidRPr="00A16EF4">
        <w:rPr>
          <w:rFonts w:ascii="Palatino Linotype" w:hAnsi="Palatino Linotype" w:cs="Tahoma"/>
          <w:b/>
          <w:sz w:val="22"/>
          <w:szCs w:val="22"/>
        </w:rPr>
        <w:t xml:space="preserve">y 2 </w:t>
      </w:r>
      <w:r w:rsidRPr="00A16EF4">
        <w:rPr>
          <w:rFonts w:ascii="Palatino Linotype" w:hAnsi="Palatino Linotype" w:cs="Tahoma"/>
          <w:b/>
          <w:sz w:val="22"/>
          <w:szCs w:val="22"/>
        </w:rPr>
        <w:t>de la Constitución de la República; 54 literal c), 57 literales a), x) y 322 del Código Orgánico de Organización Territorial, Autonomía y Descentralización; 2 numeral 1, 8 numeral 1 de la Ley Orgánica del Régimen para el Distrito Metropolitano de Quito; 51 de la Ordenanza Metropolitana No. 0156; y, 69 de la Ordenanza Metropolitana No. 0172.</w:t>
      </w:r>
    </w:p>
    <w:p w:rsidR="00A578A7" w:rsidRPr="00A16EF4" w:rsidRDefault="00A578A7" w:rsidP="00203608">
      <w:pPr>
        <w:spacing w:after="240" w:line="276" w:lineRule="auto"/>
        <w:jc w:val="center"/>
        <w:rPr>
          <w:rFonts w:ascii="Palatino Linotype" w:hAnsi="Palatino Linotype" w:cs="Tahoma"/>
          <w:b/>
          <w:sz w:val="22"/>
          <w:szCs w:val="22"/>
        </w:rPr>
      </w:pPr>
      <w:r w:rsidRPr="00A16EF4">
        <w:rPr>
          <w:rFonts w:ascii="Palatino Linotype" w:hAnsi="Palatino Linotype" w:cs="Tahoma"/>
          <w:b/>
          <w:sz w:val="22"/>
          <w:szCs w:val="22"/>
        </w:rPr>
        <w:t>EXPIDE</w:t>
      </w:r>
      <w:r w:rsidR="00A16EF4" w:rsidRPr="00A16EF4">
        <w:rPr>
          <w:rFonts w:ascii="Palatino Linotype" w:hAnsi="Palatino Linotype" w:cs="Tahoma"/>
          <w:b/>
          <w:sz w:val="22"/>
          <w:szCs w:val="22"/>
        </w:rPr>
        <w:t xml:space="preserve"> LA SIGUIENTE</w:t>
      </w:r>
      <w:r w:rsidRPr="00A16EF4">
        <w:rPr>
          <w:rFonts w:ascii="Palatino Linotype" w:hAnsi="Palatino Linotype" w:cs="Tahoma"/>
          <w:b/>
          <w:sz w:val="22"/>
          <w:szCs w:val="22"/>
        </w:rPr>
        <w:t>:</w:t>
      </w:r>
    </w:p>
    <w:p w:rsidR="00A578A7" w:rsidRPr="00A16EF4" w:rsidRDefault="00A578A7" w:rsidP="00A16EF4">
      <w:pPr>
        <w:spacing w:after="240" w:line="276" w:lineRule="auto"/>
        <w:jc w:val="center"/>
        <w:rPr>
          <w:rFonts w:ascii="Palatino Linotype" w:hAnsi="Palatino Linotype" w:cs="Tahoma"/>
          <w:b/>
          <w:sz w:val="22"/>
          <w:szCs w:val="22"/>
        </w:rPr>
      </w:pPr>
      <w:r w:rsidRPr="00A16EF4">
        <w:rPr>
          <w:rFonts w:ascii="Palatino Linotype" w:hAnsi="Palatino Linotype" w:cs="Tahoma"/>
          <w:b/>
          <w:sz w:val="22"/>
          <w:szCs w:val="22"/>
        </w:rPr>
        <w:t>ORDENANZA DE APROBACIÓN DE LA URBANIZACIÓN CAMPO ALEGRE</w:t>
      </w:r>
    </w:p>
    <w:p w:rsidR="00A578A7" w:rsidRPr="00A16EF4" w:rsidRDefault="00A578A7" w:rsidP="00203608">
      <w:pPr>
        <w:spacing w:after="240" w:line="276" w:lineRule="auto"/>
        <w:jc w:val="both"/>
        <w:rPr>
          <w:rFonts w:ascii="Palatino Linotype" w:hAnsi="Palatino Linotype" w:cs="Tahoma"/>
          <w:b/>
          <w:sz w:val="22"/>
          <w:szCs w:val="22"/>
        </w:rPr>
      </w:pPr>
      <w:r w:rsidRPr="00A16EF4">
        <w:rPr>
          <w:rFonts w:ascii="Palatino Linotype" w:hAnsi="Palatino Linotype" w:cs="Tahoma"/>
          <w:b/>
          <w:sz w:val="22"/>
          <w:szCs w:val="22"/>
        </w:rPr>
        <w:t>Art</w:t>
      </w:r>
      <w:r w:rsidR="00A16EF4" w:rsidRPr="00A16EF4">
        <w:rPr>
          <w:rFonts w:ascii="Palatino Linotype" w:hAnsi="Palatino Linotype" w:cs="Tahoma"/>
          <w:b/>
          <w:sz w:val="22"/>
          <w:szCs w:val="22"/>
        </w:rPr>
        <w:t>ículo</w:t>
      </w:r>
      <w:r w:rsidRPr="00A16EF4">
        <w:rPr>
          <w:rFonts w:ascii="Palatino Linotype" w:hAnsi="Palatino Linotype" w:cs="Tahoma"/>
          <w:b/>
          <w:sz w:val="22"/>
          <w:szCs w:val="22"/>
        </w:rPr>
        <w:t xml:space="preserve"> 1.- </w:t>
      </w:r>
      <w:r w:rsidR="00A16EF4" w:rsidRPr="00A16EF4">
        <w:rPr>
          <w:rFonts w:ascii="Palatino Linotype" w:hAnsi="Palatino Linotype" w:cs="Tahoma"/>
          <w:b/>
          <w:sz w:val="22"/>
          <w:szCs w:val="22"/>
        </w:rPr>
        <w:t xml:space="preserve">Datos generales.- </w:t>
      </w:r>
    </w:p>
    <w:p w:rsidR="00A578A7" w:rsidRPr="00A16EF4" w:rsidRDefault="00A16EF4" w:rsidP="00203608">
      <w:pPr>
        <w:spacing w:after="240" w:line="276" w:lineRule="auto"/>
        <w:jc w:val="both"/>
        <w:rPr>
          <w:rFonts w:ascii="Palatino Linotype" w:hAnsi="Palatino Linotype" w:cs="Tahoma"/>
          <w:sz w:val="22"/>
          <w:szCs w:val="22"/>
        </w:rPr>
      </w:pPr>
      <w:r w:rsidRPr="00A16EF4">
        <w:rPr>
          <w:rFonts w:ascii="Palatino Linotype" w:hAnsi="Palatino Linotype" w:cs="Tahoma"/>
          <w:b/>
          <w:sz w:val="22"/>
          <w:szCs w:val="22"/>
        </w:rPr>
        <w:t>Propietaria:</w:t>
      </w:r>
      <w:r w:rsidRPr="00A16EF4">
        <w:rPr>
          <w:rFonts w:ascii="Palatino Linotype" w:hAnsi="Palatino Linotype" w:cs="Tahoma"/>
          <w:sz w:val="22"/>
          <w:szCs w:val="22"/>
        </w:rPr>
        <w:t xml:space="preserve">  </w:t>
      </w:r>
      <w:r w:rsidR="00A578A7" w:rsidRPr="00A16EF4">
        <w:rPr>
          <w:rFonts w:ascii="Palatino Linotype" w:hAnsi="Palatino Linotype" w:cs="Tahoma"/>
          <w:sz w:val="22"/>
          <w:szCs w:val="22"/>
        </w:rPr>
        <w:tab/>
      </w:r>
      <w:r w:rsidRPr="00A16EF4">
        <w:rPr>
          <w:rFonts w:ascii="Palatino Linotype" w:hAnsi="Palatino Linotype" w:cs="Tahoma"/>
          <w:sz w:val="22"/>
          <w:szCs w:val="22"/>
        </w:rPr>
        <w:tab/>
      </w:r>
      <w:r w:rsidRPr="00A16EF4">
        <w:rPr>
          <w:rFonts w:ascii="Palatino Linotype" w:hAnsi="Palatino Linotype" w:cs="Tahoma"/>
          <w:sz w:val="22"/>
          <w:szCs w:val="22"/>
        </w:rPr>
        <w:tab/>
      </w:r>
      <w:r w:rsidR="00A578A7" w:rsidRPr="00A16EF4">
        <w:rPr>
          <w:rFonts w:ascii="Palatino Linotype" w:hAnsi="Palatino Linotype" w:cs="Tahoma"/>
          <w:sz w:val="22"/>
          <w:szCs w:val="22"/>
        </w:rPr>
        <w:t>Mariana de Jesús Velasco Guevara</w:t>
      </w:r>
    </w:p>
    <w:p w:rsidR="00A578A7" w:rsidRPr="00A16EF4" w:rsidRDefault="00A16EF4" w:rsidP="00203608">
      <w:pPr>
        <w:spacing w:after="240" w:line="276" w:lineRule="auto"/>
        <w:mirrorIndents/>
        <w:jc w:val="both"/>
        <w:rPr>
          <w:rFonts w:ascii="Palatino Linotype" w:hAnsi="Palatino Linotype" w:cs="Tahoma"/>
          <w:sz w:val="22"/>
          <w:szCs w:val="22"/>
        </w:rPr>
      </w:pPr>
      <w:r w:rsidRPr="00A16EF4">
        <w:rPr>
          <w:rFonts w:ascii="Palatino Linotype" w:hAnsi="Palatino Linotype" w:cs="Tahoma"/>
          <w:b/>
          <w:sz w:val="22"/>
          <w:szCs w:val="22"/>
        </w:rPr>
        <w:lastRenderedPageBreak/>
        <w:t>Predio:</w:t>
      </w:r>
      <w:r w:rsidR="00A578A7" w:rsidRPr="00A16EF4">
        <w:rPr>
          <w:rFonts w:ascii="Palatino Linotype" w:hAnsi="Palatino Linotype" w:cs="Tahoma"/>
          <w:b/>
          <w:sz w:val="22"/>
          <w:szCs w:val="22"/>
        </w:rPr>
        <w:tab/>
      </w:r>
      <w:r w:rsidR="00A578A7" w:rsidRPr="00A16EF4">
        <w:rPr>
          <w:rFonts w:ascii="Palatino Linotype" w:hAnsi="Palatino Linotype" w:cs="Tahoma"/>
          <w:sz w:val="22"/>
          <w:szCs w:val="22"/>
        </w:rPr>
        <w:tab/>
      </w:r>
      <w:r w:rsidRPr="00A16EF4">
        <w:rPr>
          <w:rFonts w:ascii="Palatino Linotype" w:hAnsi="Palatino Linotype" w:cs="Tahoma"/>
          <w:sz w:val="22"/>
          <w:szCs w:val="22"/>
        </w:rPr>
        <w:tab/>
      </w:r>
      <w:r w:rsidR="00A578A7" w:rsidRPr="00A16EF4">
        <w:rPr>
          <w:rFonts w:ascii="Palatino Linotype" w:hAnsi="Palatino Linotype" w:cs="Tahoma"/>
          <w:sz w:val="22"/>
          <w:szCs w:val="22"/>
        </w:rPr>
        <w:t>162850</w:t>
      </w:r>
    </w:p>
    <w:p w:rsidR="00A578A7" w:rsidRPr="00A16EF4" w:rsidRDefault="00A16EF4" w:rsidP="00203608">
      <w:pPr>
        <w:spacing w:after="240" w:line="276" w:lineRule="auto"/>
        <w:mirrorIndents/>
        <w:jc w:val="both"/>
        <w:rPr>
          <w:rFonts w:ascii="Palatino Linotype" w:hAnsi="Palatino Linotype" w:cs="Tahoma"/>
          <w:sz w:val="22"/>
          <w:szCs w:val="22"/>
        </w:rPr>
      </w:pPr>
      <w:r w:rsidRPr="00A16EF4">
        <w:rPr>
          <w:rFonts w:ascii="Palatino Linotype" w:hAnsi="Palatino Linotype" w:cs="Tahoma"/>
          <w:b/>
          <w:sz w:val="22"/>
          <w:szCs w:val="22"/>
        </w:rPr>
        <w:t>Clave catastral:</w:t>
      </w:r>
      <w:r w:rsidR="00A578A7" w:rsidRPr="00A16EF4">
        <w:rPr>
          <w:rFonts w:ascii="Palatino Linotype" w:hAnsi="Palatino Linotype" w:cs="Tahoma"/>
          <w:b/>
          <w:sz w:val="22"/>
          <w:szCs w:val="22"/>
        </w:rPr>
        <w:tab/>
      </w:r>
      <w:r w:rsidRPr="00A16EF4">
        <w:rPr>
          <w:rFonts w:ascii="Palatino Linotype" w:hAnsi="Palatino Linotype" w:cs="Tahoma"/>
          <w:sz w:val="22"/>
          <w:szCs w:val="22"/>
        </w:rPr>
        <w:tab/>
      </w:r>
      <w:r w:rsidR="00A578A7" w:rsidRPr="00A16EF4">
        <w:rPr>
          <w:rFonts w:ascii="Palatino Linotype" w:hAnsi="Palatino Linotype" w:cs="Tahoma"/>
          <w:sz w:val="22"/>
          <w:szCs w:val="22"/>
        </w:rPr>
        <w:t xml:space="preserve">32703-01-007 </w:t>
      </w:r>
    </w:p>
    <w:p w:rsidR="00A578A7" w:rsidRPr="00A16EF4" w:rsidRDefault="00A16EF4" w:rsidP="00203608">
      <w:pPr>
        <w:spacing w:after="240" w:line="276" w:lineRule="auto"/>
        <w:mirrorIndents/>
        <w:jc w:val="both"/>
        <w:rPr>
          <w:rFonts w:ascii="Palatino Linotype" w:hAnsi="Palatino Linotype" w:cs="Tahoma"/>
          <w:sz w:val="22"/>
          <w:szCs w:val="22"/>
        </w:rPr>
      </w:pPr>
      <w:r w:rsidRPr="00A16EF4">
        <w:rPr>
          <w:rFonts w:ascii="Palatino Linotype" w:hAnsi="Palatino Linotype" w:cs="Tahoma"/>
          <w:b/>
          <w:sz w:val="22"/>
          <w:szCs w:val="22"/>
        </w:rPr>
        <w:t>Ubicación:</w:t>
      </w:r>
      <w:r w:rsidRPr="00A16EF4">
        <w:rPr>
          <w:rFonts w:ascii="Palatino Linotype" w:hAnsi="Palatino Linotype" w:cs="Tahoma"/>
          <w:sz w:val="22"/>
          <w:szCs w:val="22"/>
        </w:rPr>
        <w:tab/>
      </w:r>
      <w:r w:rsidR="00A578A7" w:rsidRPr="00A16EF4">
        <w:rPr>
          <w:rFonts w:ascii="Palatino Linotype" w:hAnsi="Palatino Linotype" w:cs="Tahoma"/>
          <w:sz w:val="22"/>
          <w:szCs w:val="22"/>
        </w:rPr>
        <w:tab/>
      </w:r>
      <w:r w:rsidRPr="00A16EF4">
        <w:rPr>
          <w:rFonts w:ascii="Palatino Linotype" w:hAnsi="Palatino Linotype" w:cs="Tahoma"/>
          <w:sz w:val="22"/>
          <w:szCs w:val="22"/>
        </w:rPr>
        <w:tab/>
      </w:r>
      <w:r w:rsidR="00A578A7" w:rsidRPr="00A16EF4">
        <w:rPr>
          <w:rFonts w:ascii="Palatino Linotype" w:hAnsi="Palatino Linotype" w:cs="Tahoma"/>
          <w:sz w:val="22"/>
          <w:szCs w:val="22"/>
        </w:rPr>
        <w:t>Anillo Vial de La Cocha</w:t>
      </w:r>
      <w:r w:rsidR="00A578A7" w:rsidRPr="00A16EF4">
        <w:rPr>
          <w:rFonts w:ascii="Palatino Linotype" w:hAnsi="Palatino Linotype" w:cs="Tahoma"/>
          <w:sz w:val="22"/>
          <w:szCs w:val="22"/>
        </w:rPr>
        <w:tab/>
      </w:r>
    </w:p>
    <w:p w:rsidR="00A578A7" w:rsidRPr="00A16EF4" w:rsidRDefault="00A16EF4" w:rsidP="00203608">
      <w:pPr>
        <w:spacing w:after="240" w:line="276" w:lineRule="auto"/>
        <w:mirrorIndents/>
        <w:jc w:val="both"/>
        <w:rPr>
          <w:rFonts w:ascii="Palatino Linotype" w:hAnsi="Palatino Linotype" w:cs="Tahoma"/>
          <w:sz w:val="22"/>
          <w:szCs w:val="22"/>
        </w:rPr>
      </w:pPr>
      <w:r w:rsidRPr="00A16EF4">
        <w:rPr>
          <w:rFonts w:ascii="Palatino Linotype" w:hAnsi="Palatino Linotype" w:cs="Tahoma"/>
          <w:b/>
          <w:sz w:val="22"/>
          <w:szCs w:val="22"/>
        </w:rPr>
        <w:t>Sector/Barrio:</w:t>
      </w:r>
      <w:r w:rsidR="00A578A7" w:rsidRPr="00A16EF4">
        <w:rPr>
          <w:rFonts w:ascii="Palatino Linotype" w:hAnsi="Palatino Linotype" w:cs="Tahoma"/>
          <w:b/>
          <w:sz w:val="22"/>
          <w:szCs w:val="22"/>
        </w:rPr>
        <w:tab/>
      </w:r>
      <w:r w:rsidRPr="00A16EF4">
        <w:rPr>
          <w:rFonts w:ascii="Palatino Linotype" w:hAnsi="Palatino Linotype" w:cs="Tahoma"/>
          <w:sz w:val="22"/>
          <w:szCs w:val="22"/>
        </w:rPr>
        <w:tab/>
      </w:r>
      <w:r w:rsidRPr="00A16EF4">
        <w:rPr>
          <w:rFonts w:ascii="Palatino Linotype" w:hAnsi="Palatino Linotype" w:cs="Tahoma"/>
          <w:sz w:val="22"/>
          <w:szCs w:val="22"/>
        </w:rPr>
        <w:tab/>
      </w:r>
      <w:r w:rsidR="00A578A7" w:rsidRPr="00A16EF4">
        <w:rPr>
          <w:rFonts w:ascii="Palatino Linotype" w:hAnsi="Palatino Linotype" w:cs="Tahoma"/>
          <w:sz w:val="22"/>
          <w:szCs w:val="22"/>
        </w:rPr>
        <w:t xml:space="preserve">Campo Alegre </w:t>
      </w:r>
    </w:p>
    <w:p w:rsidR="00A578A7" w:rsidRPr="00A16EF4" w:rsidRDefault="00A16EF4" w:rsidP="00203608">
      <w:pPr>
        <w:pStyle w:val="Ttulo1"/>
        <w:spacing w:after="240" w:line="276" w:lineRule="auto"/>
        <w:contextualSpacing/>
        <w:mirrorIndents/>
        <w:rPr>
          <w:rFonts w:ascii="Palatino Linotype" w:hAnsi="Palatino Linotype" w:cs="Tahoma"/>
          <w:sz w:val="22"/>
          <w:szCs w:val="22"/>
        </w:rPr>
      </w:pPr>
      <w:r w:rsidRPr="00A16EF4">
        <w:rPr>
          <w:rFonts w:ascii="Palatino Linotype" w:hAnsi="Palatino Linotype" w:cs="Tahoma"/>
          <w:b/>
          <w:sz w:val="22"/>
          <w:szCs w:val="22"/>
        </w:rPr>
        <w:t>Parroquia:</w:t>
      </w:r>
      <w:r w:rsidR="00A578A7" w:rsidRPr="00A16EF4">
        <w:rPr>
          <w:rFonts w:ascii="Palatino Linotype" w:hAnsi="Palatino Linotype" w:cs="Tahoma"/>
          <w:sz w:val="22"/>
          <w:szCs w:val="22"/>
        </w:rPr>
        <w:tab/>
      </w:r>
      <w:r w:rsidR="00A578A7" w:rsidRPr="00A16EF4">
        <w:rPr>
          <w:rFonts w:ascii="Palatino Linotype" w:hAnsi="Palatino Linotype" w:cs="Tahoma"/>
          <w:sz w:val="22"/>
          <w:szCs w:val="22"/>
        </w:rPr>
        <w:tab/>
      </w:r>
      <w:r w:rsidRPr="00A16EF4">
        <w:rPr>
          <w:rFonts w:ascii="Palatino Linotype" w:hAnsi="Palatino Linotype" w:cs="Tahoma"/>
          <w:sz w:val="22"/>
          <w:szCs w:val="22"/>
        </w:rPr>
        <w:tab/>
      </w:r>
      <w:r w:rsidR="00A578A7" w:rsidRPr="00A16EF4">
        <w:rPr>
          <w:rFonts w:ascii="Palatino Linotype" w:hAnsi="Palatino Linotype" w:cs="Tahoma"/>
          <w:sz w:val="22"/>
          <w:szCs w:val="22"/>
        </w:rPr>
        <w:t>Turubamba</w:t>
      </w:r>
    </w:p>
    <w:p w:rsidR="00A578A7" w:rsidRPr="00A16EF4" w:rsidRDefault="00A16EF4" w:rsidP="00203608">
      <w:pPr>
        <w:spacing w:after="240" w:line="276" w:lineRule="auto"/>
        <w:rPr>
          <w:rFonts w:ascii="Palatino Linotype" w:hAnsi="Palatino Linotype" w:cs="Tahoma"/>
          <w:sz w:val="22"/>
          <w:szCs w:val="22"/>
        </w:rPr>
      </w:pPr>
      <w:r w:rsidRPr="00A16EF4">
        <w:rPr>
          <w:rFonts w:ascii="Palatino Linotype" w:hAnsi="Palatino Linotype" w:cs="Tahoma"/>
          <w:b/>
          <w:sz w:val="22"/>
          <w:szCs w:val="22"/>
        </w:rPr>
        <w:t>Área total del terreno</w:t>
      </w:r>
      <w:r w:rsidR="00A578A7" w:rsidRPr="00A16EF4">
        <w:rPr>
          <w:rFonts w:ascii="Palatino Linotype" w:hAnsi="Palatino Linotype" w:cs="Tahoma"/>
          <w:b/>
          <w:sz w:val="22"/>
          <w:szCs w:val="22"/>
        </w:rPr>
        <w:t>:</w:t>
      </w:r>
      <w:r w:rsidR="00A578A7" w:rsidRPr="00A16EF4">
        <w:rPr>
          <w:rFonts w:ascii="Palatino Linotype" w:hAnsi="Palatino Linotype" w:cs="Tahoma"/>
          <w:sz w:val="22"/>
          <w:szCs w:val="22"/>
        </w:rPr>
        <w:tab/>
        <w:t>18.093,10 m</w:t>
      </w:r>
      <w:r w:rsidR="00A578A7" w:rsidRPr="00A16EF4">
        <w:rPr>
          <w:rFonts w:ascii="Palatino Linotype" w:hAnsi="Palatino Linotype" w:cs="Tahoma"/>
          <w:sz w:val="22"/>
          <w:szCs w:val="22"/>
          <w:vertAlign w:val="superscript"/>
        </w:rPr>
        <w:t>2</w:t>
      </w:r>
    </w:p>
    <w:p w:rsidR="00A578A7" w:rsidRPr="00A16EF4" w:rsidRDefault="00A16EF4" w:rsidP="00203608">
      <w:pPr>
        <w:spacing w:after="240" w:line="276" w:lineRule="auto"/>
        <w:jc w:val="both"/>
        <w:rPr>
          <w:rFonts w:ascii="Palatino Linotype" w:hAnsi="Palatino Linotype" w:cs="Tahoma"/>
          <w:b/>
          <w:sz w:val="22"/>
          <w:szCs w:val="22"/>
        </w:rPr>
      </w:pPr>
      <w:r w:rsidRPr="00A16EF4">
        <w:rPr>
          <w:rFonts w:ascii="Palatino Linotype" w:hAnsi="Palatino Linotype" w:cs="Tahoma"/>
          <w:b/>
          <w:sz w:val="22"/>
          <w:szCs w:val="22"/>
        </w:rPr>
        <w:t>Linderos:</w:t>
      </w:r>
    </w:p>
    <w:p w:rsidR="00A578A7" w:rsidRPr="00A16EF4" w:rsidRDefault="00A16EF4" w:rsidP="00203608">
      <w:pPr>
        <w:spacing w:after="240" w:line="276" w:lineRule="auto"/>
        <w:jc w:val="both"/>
        <w:rPr>
          <w:rFonts w:ascii="Palatino Linotype" w:hAnsi="Palatino Linotype" w:cs="Tahoma"/>
          <w:bCs/>
          <w:sz w:val="22"/>
          <w:szCs w:val="22"/>
        </w:rPr>
      </w:pPr>
      <w:r w:rsidRPr="00A16EF4">
        <w:rPr>
          <w:rFonts w:ascii="Palatino Linotype" w:hAnsi="Palatino Linotype" w:cs="Tahoma"/>
          <w:b/>
          <w:sz w:val="22"/>
          <w:szCs w:val="22"/>
        </w:rPr>
        <w:t>Norte:</w:t>
      </w:r>
      <w:r w:rsidR="00D10071" w:rsidRPr="00A16EF4">
        <w:rPr>
          <w:rFonts w:ascii="Palatino Linotype" w:hAnsi="Palatino Linotype" w:cs="Tahoma"/>
          <w:sz w:val="22"/>
          <w:szCs w:val="22"/>
        </w:rPr>
        <w:tab/>
      </w:r>
      <w:r w:rsidRPr="00A16EF4">
        <w:rPr>
          <w:rFonts w:ascii="Palatino Linotype" w:hAnsi="Palatino Linotype" w:cs="Tahoma"/>
          <w:sz w:val="22"/>
          <w:szCs w:val="22"/>
        </w:rPr>
        <w:tab/>
      </w:r>
      <w:r w:rsidRPr="00A16EF4">
        <w:rPr>
          <w:rFonts w:ascii="Palatino Linotype" w:hAnsi="Palatino Linotype" w:cs="Tahoma"/>
          <w:sz w:val="22"/>
          <w:szCs w:val="22"/>
        </w:rPr>
        <w:tab/>
      </w:r>
      <w:r w:rsidRPr="00A16EF4">
        <w:rPr>
          <w:rFonts w:ascii="Palatino Linotype" w:hAnsi="Palatino Linotype" w:cs="Tahoma"/>
          <w:sz w:val="22"/>
          <w:szCs w:val="22"/>
        </w:rPr>
        <w:tab/>
      </w:r>
      <w:r w:rsidR="00A578A7" w:rsidRPr="00A16EF4">
        <w:rPr>
          <w:rFonts w:ascii="Palatino Linotype" w:hAnsi="Palatino Linotype" w:cs="Tahoma"/>
          <w:sz w:val="22"/>
          <w:szCs w:val="22"/>
        </w:rPr>
        <w:t>120,11 m con lote No. 50 Parcelación El Conde</w:t>
      </w:r>
    </w:p>
    <w:p w:rsidR="00A578A7" w:rsidRPr="00A16EF4" w:rsidRDefault="00A16EF4" w:rsidP="00203608">
      <w:pPr>
        <w:spacing w:after="240" w:line="276" w:lineRule="auto"/>
        <w:jc w:val="both"/>
        <w:rPr>
          <w:rFonts w:ascii="Palatino Linotype" w:hAnsi="Palatino Linotype" w:cs="Tahoma"/>
          <w:sz w:val="22"/>
          <w:szCs w:val="22"/>
        </w:rPr>
      </w:pPr>
      <w:r w:rsidRPr="00A16EF4">
        <w:rPr>
          <w:rFonts w:ascii="Palatino Linotype" w:hAnsi="Palatino Linotype" w:cs="Tahoma"/>
          <w:b/>
          <w:sz w:val="22"/>
          <w:szCs w:val="22"/>
        </w:rPr>
        <w:t>Sur</w:t>
      </w:r>
      <w:r w:rsidR="00A578A7" w:rsidRPr="00A16EF4">
        <w:rPr>
          <w:rFonts w:ascii="Palatino Linotype" w:hAnsi="Palatino Linotype" w:cs="Tahoma"/>
          <w:b/>
          <w:sz w:val="22"/>
          <w:szCs w:val="22"/>
        </w:rPr>
        <w:t>:</w:t>
      </w:r>
      <w:r w:rsidR="00A578A7" w:rsidRPr="00A16EF4">
        <w:rPr>
          <w:rFonts w:ascii="Palatino Linotype" w:hAnsi="Palatino Linotype" w:cs="Tahoma"/>
          <w:sz w:val="22"/>
          <w:szCs w:val="22"/>
        </w:rPr>
        <w:tab/>
      </w:r>
      <w:r w:rsidR="00A578A7" w:rsidRPr="00A16EF4">
        <w:rPr>
          <w:rFonts w:ascii="Palatino Linotype" w:hAnsi="Palatino Linotype" w:cs="Tahoma"/>
          <w:sz w:val="22"/>
          <w:szCs w:val="22"/>
        </w:rPr>
        <w:tab/>
      </w:r>
      <w:r w:rsidRPr="00A16EF4">
        <w:rPr>
          <w:rFonts w:ascii="Palatino Linotype" w:hAnsi="Palatino Linotype" w:cs="Tahoma"/>
          <w:sz w:val="22"/>
          <w:szCs w:val="22"/>
        </w:rPr>
        <w:tab/>
      </w:r>
      <w:r w:rsidRPr="00A16EF4">
        <w:rPr>
          <w:rFonts w:ascii="Palatino Linotype" w:hAnsi="Palatino Linotype" w:cs="Tahoma"/>
          <w:sz w:val="22"/>
          <w:szCs w:val="22"/>
        </w:rPr>
        <w:tab/>
      </w:r>
      <w:r w:rsidR="00A578A7" w:rsidRPr="00A16EF4">
        <w:rPr>
          <w:rFonts w:ascii="Palatino Linotype" w:hAnsi="Palatino Linotype" w:cs="Tahoma"/>
          <w:sz w:val="22"/>
          <w:szCs w:val="22"/>
        </w:rPr>
        <w:t>103,05 m con lote No. 52 Parcelación El Conde</w:t>
      </w:r>
    </w:p>
    <w:p w:rsidR="00A578A7" w:rsidRPr="00A16EF4" w:rsidRDefault="00A16EF4" w:rsidP="00203608">
      <w:pPr>
        <w:spacing w:after="240" w:line="276" w:lineRule="auto"/>
        <w:jc w:val="both"/>
        <w:rPr>
          <w:rFonts w:ascii="Palatino Linotype" w:hAnsi="Palatino Linotype" w:cs="Tahoma"/>
          <w:sz w:val="22"/>
          <w:szCs w:val="22"/>
        </w:rPr>
      </w:pPr>
      <w:r w:rsidRPr="00A16EF4">
        <w:rPr>
          <w:rFonts w:ascii="Palatino Linotype" w:hAnsi="Palatino Linotype" w:cs="Tahoma"/>
          <w:b/>
          <w:sz w:val="22"/>
          <w:szCs w:val="22"/>
        </w:rPr>
        <w:t>Este:</w:t>
      </w:r>
      <w:r w:rsidRPr="00A16EF4">
        <w:rPr>
          <w:rFonts w:ascii="Palatino Linotype" w:hAnsi="Palatino Linotype" w:cs="Tahoma"/>
          <w:sz w:val="22"/>
          <w:szCs w:val="22"/>
        </w:rPr>
        <w:tab/>
      </w:r>
      <w:r w:rsidR="00A578A7" w:rsidRPr="00A16EF4">
        <w:rPr>
          <w:rFonts w:ascii="Palatino Linotype" w:hAnsi="Palatino Linotype" w:cs="Tahoma"/>
          <w:sz w:val="22"/>
          <w:szCs w:val="22"/>
        </w:rPr>
        <w:tab/>
      </w:r>
      <w:r w:rsidRPr="00A16EF4">
        <w:rPr>
          <w:rFonts w:ascii="Palatino Linotype" w:hAnsi="Palatino Linotype" w:cs="Tahoma"/>
          <w:sz w:val="22"/>
          <w:szCs w:val="22"/>
        </w:rPr>
        <w:tab/>
      </w:r>
      <w:r w:rsidRPr="00A16EF4">
        <w:rPr>
          <w:rFonts w:ascii="Palatino Linotype" w:hAnsi="Palatino Linotype" w:cs="Tahoma"/>
          <w:sz w:val="22"/>
          <w:szCs w:val="22"/>
        </w:rPr>
        <w:tab/>
      </w:r>
      <w:r w:rsidR="00A578A7" w:rsidRPr="00A16EF4">
        <w:rPr>
          <w:rFonts w:ascii="Palatino Linotype" w:hAnsi="Palatino Linotype" w:cs="Tahoma"/>
          <w:sz w:val="22"/>
          <w:szCs w:val="22"/>
        </w:rPr>
        <w:t>155,25 m con calle P</w:t>
      </w:r>
    </w:p>
    <w:p w:rsidR="00A16EF4" w:rsidRPr="00A16EF4" w:rsidRDefault="00A16EF4" w:rsidP="00203608">
      <w:pPr>
        <w:spacing w:after="240" w:line="276" w:lineRule="auto"/>
        <w:jc w:val="both"/>
        <w:rPr>
          <w:rFonts w:ascii="Palatino Linotype" w:hAnsi="Palatino Linotype" w:cs="Tahoma"/>
          <w:sz w:val="22"/>
          <w:szCs w:val="22"/>
        </w:rPr>
      </w:pPr>
      <w:r w:rsidRPr="00A16EF4">
        <w:rPr>
          <w:rFonts w:ascii="Palatino Linotype" w:hAnsi="Palatino Linotype" w:cs="Tahoma"/>
          <w:b/>
          <w:sz w:val="22"/>
          <w:szCs w:val="22"/>
        </w:rPr>
        <w:t>Oeste:</w:t>
      </w:r>
      <w:r w:rsidRPr="00A16EF4">
        <w:rPr>
          <w:rFonts w:ascii="Palatino Linotype" w:hAnsi="Palatino Linotype" w:cs="Tahoma"/>
          <w:sz w:val="22"/>
          <w:szCs w:val="22"/>
        </w:rPr>
        <w:tab/>
      </w:r>
      <w:r w:rsidR="00A578A7" w:rsidRPr="00A16EF4">
        <w:rPr>
          <w:rFonts w:ascii="Palatino Linotype" w:hAnsi="Palatino Linotype" w:cs="Tahoma"/>
          <w:sz w:val="22"/>
          <w:szCs w:val="22"/>
        </w:rPr>
        <w:tab/>
      </w:r>
      <w:r w:rsidRPr="00A16EF4">
        <w:rPr>
          <w:rFonts w:ascii="Palatino Linotype" w:hAnsi="Palatino Linotype" w:cs="Tahoma"/>
          <w:sz w:val="22"/>
          <w:szCs w:val="22"/>
        </w:rPr>
        <w:tab/>
      </w:r>
      <w:r w:rsidRPr="00A16EF4">
        <w:rPr>
          <w:rFonts w:ascii="Palatino Linotype" w:hAnsi="Palatino Linotype" w:cs="Tahoma"/>
          <w:sz w:val="22"/>
          <w:szCs w:val="22"/>
        </w:rPr>
        <w:tab/>
      </w:r>
      <w:r w:rsidR="00A578A7" w:rsidRPr="00A16EF4">
        <w:rPr>
          <w:rFonts w:ascii="Palatino Linotype" w:hAnsi="Palatino Linotype" w:cs="Tahoma"/>
          <w:sz w:val="22"/>
          <w:szCs w:val="22"/>
        </w:rPr>
        <w:t>162,25 m con calle D (Anillo Vial La Cocha)</w:t>
      </w:r>
      <w:r w:rsidR="00A578A7" w:rsidRPr="00A16EF4">
        <w:rPr>
          <w:rFonts w:ascii="Palatino Linotype" w:hAnsi="Palatino Linotype" w:cs="Tahoma"/>
          <w:sz w:val="22"/>
          <w:szCs w:val="22"/>
        </w:rPr>
        <w:tab/>
      </w:r>
    </w:p>
    <w:p w:rsidR="00A16EF4" w:rsidRPr="00A16EF4" w:rsidRDefault="00A16EF4" w:rsidP="00203608">
      <w:pPr>
        <w:spacing w:after="240" w:line="276" w:lineRule="auto"/>
        <w:jc w:val="both"/>
        <w:rPr>
          <w:rFonts w:ascii="Palatino Linotype" w:hAnsi="Palatino Linotype" w:cs="Tahoma"/>
          <w:b/>
          <w:sz w:val="22"/>
          <w:szCs w:val="22"/>
        </w:rPr>
      </w:pPr>
      <w:r w:rsidRPr="00A16EF4">
        <w:rPr>
          <w:rFonts w:ascii="Palatino Linotype" w:hAnsi="Palatino Linotype" w:cs="Tahoma"/>
          <w:b/>
          <w:sz w:val="22"/>
          <w:szCs w:val="22"/>
        </w:rPr>
        <w:t>Responsable técnico:</w:t>
      </w:r>
    </w:p>
    <w:p w:rsidR="00A16EF4" w:rsidRPr="00A16EF4" w:rsidRDefault="00A16EF4" w:rsidP="00A16EF4">
      <w:pPr>
        <w:spacing w:after="240" w:line="276" w:lineRule="auto"/>
        <w:jc w:val="both"/>
        <w:rPr>
          <w:rFonts w:ascii="Palatino Linotype" w:hAnsi="Palatino Linotype" w:cs="Tahoma"/>
          <w:sz w:val="22"/>
          <w:szCs w:val="22"/>
        </w:rPr>
      </w:pPr>
      <w:r w:rsidRPr="00A16EF4">
        <w:rPr>
          <w:rFonts w:ascii="Palatino Linotype" w:hAnsi="Palatino Linotype" w:cs="Tahoma"/>
          <w:b/>
          <w:sz w:val="22"/>
          <w:szCs w:val="22"/>
        </w:rPr>
        <w:t>Nombre:</w:t>
      </w:r>
      <w:r w:rsidR="00A578A7" w:rsidRPr="00A16EF4">
        <w:rPr>
          <w:rFonts w:ascii="Palatino Linotype" w:hAnsi="Palatino Linotype" w:cs="Tahoma"/>
          <w:b/>
          <w:sz w:val="22"/>
          <w:szCs w:val="22"/>
        </w:rPr>
        <w:tab/>
      </w:r>
      <w:r w:rsidRPr="00A16EF4">
        <w:rPr>
          <w:rFonts w:ascii="Palatino Linotype" w:hAnsi="Palatino Linotype" w:cs="Tahoma"/>
          <w:sz w:val="22"/>
          <w:szCs w:val="22"/>
        </w:rPr>
        <w:tab/>
      </w:r>
      <w:r w:rsidRPr="00A16EF4">
        <w:rPr>
          <w:rFonts w:ascii="Palatino Linotype" w:hAnsi="Palatino Linotype" w:cs="Tahoma"/>
          <w:sz w:val="22"/>
          <w:szCs w:val="22"/>
        </w:rPr>
        <w:tab/>
      </w:r>
      <w:r w:rsidR="00A578A7" w:rsidRPr="00A16EF4">
        <w:rPr>
          <w:rFonts w:ascii="Palatino Linotype" w:hAnsi="Palatino Linotype" w:cs="Tahoma"/>
          <w:sz w:val="22"/>
          <w:szCs w:val="22"/>
        </w:rPr>
        <w:t>Arq. Luis Pacheco Maldonado</w:t>
      </w:r>
    </w:p>
    <w:p w:rsidR="00A16EF4" w:rsidRDefault="00A16EF4" w:rsidP="00A16EF4">
      <w:pPr>
        <w:spacing w:after="240" w:line="276" w:lineRule="auto"/>
        <w:jc w:val="both"/>
        <w:rPr>
          <w:rFonts w:ascii="Palatino Linotype" w:hAnsi="Palatino Linotype" w:cs="Tahoma"/>
          <w:sz w:val="22"/>
          <w:szCs w:val="22"/>
        </w:rPr>
      </w:pPr>
      <w:r w:rsidRPr="00A16EF4">
        <w:rPr>
          <w:rFonts w:ascii="Palatino Linotype" w:hAnsi="Palatino Linotype" w:cs="Tahoma"/>
          <w:b/>
          <w:sz w:val="22"/>
          <w:szCs w:val="22"/>
        </w:rPr>
        <w:t>Licencia municipal:</w:t>
      </w:r>
      <w:r w:rsidR="007A2BC2" w:rsidRPr="00A16EF4">
        <w:rPr>
          <w:rFonts w:ascii="Palatino Linotype" w:hAnsi="Palatino Linotype" w:cs="Tahoma"/>
          <w:b/>
          <w:sz w:val="22"/>
          <w:szCs w:val="22"/>
        </w:rPr>
        <w:tab/>
      </w:r>
      <w:r w:rsidRPr="00A16EF4">
        <w:rPr>
          <w:rFonts w:ascii="Palatino Linotype" w:hAnsi="Palatino Linotype" w:cs="Tahoma"/>
          <w:b/>
          <w:sz w:val="22"/>
          <w:szCs w:val="22"/>
        </w:rPr>
        <w:tab/>
      </w:r>
      <w:r w:rsidR="00A578A7" w:rsidRPr="00A16EF4">
        <w:rPr>
          <w:rFonts w:ascii="Palatino Linotype" w:hAnsi="Palatino Linotype" w:cs="Tahoma"/>
          <w:sz w:val="22"/>
          <w:szCs w:val="22"/>
        </w:rPr>
        <w:t>AM-644</w:t>
      </w:r>
    </w:p>
    <w:p w:rsidR="00A16EF4" w:rsidRDefault="00A16EF4" w:rsidP="00A16EF4">
      <w:pPr>
        <w:spacing w:after="240" w:line="276" w:lineRule="auto"/>
        <w:jc w:val="both"/>
        <w:rPr>
          <w:rFonts w:ascii="Palatino Linotype" w:hAnsi="Palatino Linotype" w:cs="Tahoma"/>
          <w:bCs/>
          <w:sz w:val="22"/>
          <w:szCs w:val="22"/>
        </w:rPr>
      </w:pPr>
      <w:r w:rsidRPr="00A16EF4">
        <w:rPr>
          <w:rFonts w:ascii="Palatino Linotype" w:hAnsi="Palatino Linotype" w:cs="Tahoma"/>
          <w:b/>
          <w:bCs/>
          <w:sz w:val="22"/>
          <w:szCs w:val="22"/>
        </w:rPr>
        <w:t>Registro Conesup:</w:t>
      </w:r>
      <w:r w:rsidRPr="00A16EF4">
        <w:rPr>
          <w:rFonts w:ascii="Palatino Linotype" w:hAnsi="Palatino Linotype" w:cs="Tahoma"/>
          <w:b/>
          <w:bCs/>
          <w:sz w:val="22"/>
          <w:szCs w:val="22"/>
        </w:rPr>
        <w:tab/>
      </w:r>
      <w:r w:rsidR="00A578A7" w:rsidRPr="00A16EF4">
        <w:rPr>
          <w:rFonts w:ascii="Palatino Linotype" w:hAnsi="Palatino Linotype" w:cs="Tahoma"/>
          <w:b/>
          <w:bCs/>
          <w:sz w:val="22"/>
          <w:szCs w:val="22"/>
        </w:rPr>
        <w:tab/>
      </w:r>
      <w:r w:rsidR="00A578A7" w:rsidRPr="00A16EF4">
        <w:rPr>
          <w:rFonts w:ascii="Palatino Linotype" w:hAnsi="Palatino Linotype" w:cs="Tahoma"/>
          <w:bCs/>
          <w:sz w:val="22"/>
          <w:szCs w:val="22"/>
        </w:rPr>
        <w:t>1005-06-691420</w:t>
      </w:r>
    </w:p>
    <w:p w:rsidR="00A16EF4" w:rsidRDefault="00A578A7" w:rsidP="00A16EF4">
      <w:pPr>
        <w:spacing w:after="240" w:line="276" w:lineRule="auto"/>
        <w:jc w:val="both"/>
        <w:rPr>
          <w:rFonts w:ascii="Palatino Linotype" w:hAnsi="Palatino Linotype" w:cs="Tahoma"/>
          <w:sz w:val="22"/>
          <w:szCs w:val="22"/>
        </w:rPr>
      </w:pPr>
      <w:r w:rsidRPr="00A16EF4">
        <w:rPr>
          <w:rFonts w:ascii="Palatino Linotype" w:hAnsi="Palatino Linotype" w:cs="Tahoma"/>
          <w:b/>
          <w:sz w:val="22"/>
          <w:szCs w:val="22"/>
        </w:rPr>
        <w:t>Art</w:t>
      </w:r>
      <w:r w:rsidR="00A16EF4">
        <w:rPr>
          <w:rFonts w:ascii="Palatino Linotype" w:hAnsi="Palatino Linotype" w:cs="Tahoma"/>
          <w:b/>
          <w:sz w:val="22"/>
          <w:szCs w:val="22"/>
        </w:rPr>
        <w:t>ículo</w:t>
      </w:r>
      <w:r w:rsidRPr="00A16EF4">
        <w:rPr>
          <w:rFonts w:ascii="Palatino Linotype" w:hAnsi="Palatino Linotype" w:cs="Tahoma"/>
          <w:b/>
          <w:sz w:val="22"/>
          <w:szCs w:val="22"/>
        </w:rPr>
        <w:t xml:space="preserve"> 2.- </w:t>
      </w:r>
      <w:r w:rsidR="00A16EF4">
        <w:rPr>
          <w:rFonts w:ascii="Palatino Linotype" w:hAnsi="Palatino Linotype" w:cs="Tahoma"/>
          <w:b/>
          <w:sz w:val="22"/>
          <w:szCs w:val="22"/>
        </w:rPr>
        <w:t>E</w:t>
      </w:r>
      <w:r w:rsidR="00A16EF4" w:rsidRPr="00A16EF4">
        <w:rPr>
          <w:rFonts w:ascii="Palatino Linotype" w:hAnsi="Palatino Linotype" w:cs="Tahoma"/>
          <w:b/>
          <w:sz w:val="22"/>
          <w:szCs w:val="22"/>
        </w:rPr>
        <w:t>specificaciones técnicas</w:t>
      </w:r>
      <w:r w:rsidR="00A16EF4">
        <w:rPr>
          <w:rFonts w:ascii="Palatino Linotype" w:hAnsi="Palatino Linotype" w:cs="Tahoma"/>
          <w:sz w:val="22"/>
          <w:szCs w:val="22"/>
        </w:rPr>
        <w:t xml:space="preserve">.- </w:t>
      </w:r>
      <w:r w:rsidRPr="00A16EF4">
        <w:rPr>
          <w:rFonts w:ascii="Palatino Linotype" w:hAnsi="Palatino Linotype" w:cs="Tahoma"/>
          <w:sz w:val="22"/>
          <w:szCs w:val="22"/>
        </w:rPr>
        <w:t>En base a la revisión de los planos y de acuerdo a lo determinado en el Plan de Uso y Ocupación del Suelo (PUOS)</w:t>
      </w:r>
      <w:r w:rsidR="00D3459D">
        <w:rPr>
          <w:rFonts w:ascii="Palatino Linotype" w:hAnsi="Palatino Linotype" w:cs="Tahoma"/>
          <w:sz w:val="22"/>
          <w:szCs w:val="22"/>
        </w:rPr>
        <w:t>,</w:t>
      </w:r>
      <w:r w:rsidRPr="00A16EF4">
        <w:rPr>
          <w:rFonts w:ascii="Palatino Linotype" w:hAnsi="Palatino Linotype" w:cs="Tahoma"/>
          <w:sz w:val="22"/>
          <w:szCs w:val="22"/>
        </w:rPr>
        <w:t xml:space="preserve"> contenido en la Ordenanza </w:t>
      </w:r>
      <w:r w:rsidR="00D3459D">
        <w:rPr>
          <w:rFonts w:ascii="Palatino Linotype" w:hAnsi="Palatino Linotype" w:cs="Tahoma"/>
          <w:sz w:val="22"/>
          <w:szCs w:val="22"/>
        </w:rPr>
        <w:t xml:space="preserve">Metropolitana </w:t>
      </w:r>
      <w:r w:rsidRPr="00A16EF4">
        <w:rPr>
          <w:rFonts w:ascii="Palatino Linotype" w:hAnsi="Palatino Linotype" w:cs="Tahoma"/>
          <w:sz w:val="22"/>
          <w:szCs w:val="22"/>
        </w:rPr>
        <w:t xml:space="preserve">No. 041 y al </w:t>
      </w:r>
      <w:r w:rsidR="00D3459D">
        <w:rPr>
          <w:rFonts w:ascii="Palatino Linotype" w:hAnsi="Palatino Linotype" w:cs="Tahoma"/>
          <w:sz w:val="22"/>
          <w:szCs w:val="22"/>
        </w:rPr>
        <w:t>Informe de Regulación Metropolitana –</w:t>
      </w:r>
      <w:r w:rsidRPr="00A16EF4">
        <w:rPr>
          <w:rFonts w:ascii="Palatino Linotype" w:hAnsi="Palatino Linotype" w:cs="Tahoma"/>
          <w:sz w:val="22"/>
          <w:szCs w:val="22"/>
        </w:rPr>
        <w:t>IRM</w:t>
      </w:r>
      <w:r w:rsidR="00D3459D">
        <w:rPr>
          <w:rFonts w:ascii="Palatino Linotype" w:hAnsi="Palatino Linotype" w:cs="Tahoma"/>
          <w:sz w:val="22"/>
          <w:szCs w:val="22"/>
        </w:rPr>
        <w:t>-</w:t>
      </w:r>
      <w:r w:rsidRPr="00A16EF4">
        <w:rPr>
          <w:rFonts w:ascii="Palatino Linotype" w:hAnsi="Palatino Linotype" w:cs="Tahoma"/>
          <w:sz w:val="22"/>
          <w:szCs w:val="22"/>
        </w:rPr>
        <w:t xml:space="preserve"> No. 353336</w:t>
      </w:r>
      <w:r w:rsidR="00D3459D">
        <w:rPr>
          <w:rFonts w:ascii="Palatino Linotype" w:hAnsi="Palatino Linotype" w:cs="Tahoma"/>
          <w:sz w:val="22"/>
          <w:szCs w:val="22"/>
        </w:rPr>
        <w:t>,</w:t>
      </w:r>
      <w:r w:rsidRPr="00A16EF4">
        <w:rPr>
          <w:rFonts w:ascii="Palatino Linotype" w:hAnsi="Palatino Linotype" w:cs="Tahoma"/>
          <w:sz w:val="22"/>
          <w:szCs w:val="22"/>
        </w:rPr>
        <w:t xml:space="preserve"> de 12 de octubre de 2011</w:t>
      </w:r>
      <w:r w:rsidR="00D3459D">
        <w:rPr>
          <w:rFonts w:ascii="Palatino Linotype" w:hAnsi="Palatino Linotype" w:cs="Tahoma"/>
          <w:sz w:val="22"/>
          <w:szCs w:val="22"/>
        </w:rPr>
        <w:t>,</w:t>
      </w:r>
      <w:r w:rsidRPr="00A16EF4">
        <w:rPr>
          <w:rFonts w:ascii="Palatino Linotype" w:hAnsi="Palatino Linotype" w:cs="Tahoma"/>
          <w:sz w:val="22"/>
          <w:szCs w:val="22"/>
        </w:rPr>
        <w:t xml:space="preserve"> expedido por la Administración Zona Quitumbe, se establecen los siguientes datos:</w:t>
      </w:r>
    </w:p>
    <w:p w:rsidR="00A16EF4" w:rsidRDefault="00A16EF4" w:rsidP="00203608">
      <w:pPr>
        <w:spacing w:after="240" w:line="276" w:lineRule="auto"/>
        <w:jc w:val="both"/>
        <w:rPr>
          <w:rFonts w:ascii="Palatino Linotype" w:hAnsi="Palatino Linotype" w:cs="Tahoma"/>
          <w:b/>
          <w:sz w:val="22"/>
          <w:szCs w:val="22"/>
        </w:rPr>
      </w:pPr>
      <w:r w:rsidRPr="00A16EF4">
        <w:rPr>
          <w:rFonts w:ascii="Palatino Linotype" w:hAnsi="Palatino Linotype" w:cs="Tahoma"/>
          <w:b/>
          <w:sz w:val="22"/>
          <w:szCs w:val="22"/>
        </w:rPr>
        <w:t>Zonificación:</w:t>
      </w:r>
      <w:r w:rsidR="00A578A7" w:rsidRPr="00A16EF4">
        <w:rPr>
          <w:rFonts w:ascii="Palatino Linotype" w:hAnsi="Palatino Linotype" w:cs="Tahoma"/>
          <w:b/>
          <w:sz w:val="22"/>
          <w:szCs w:val="22"/>
        </w:rPr>
        <w:tab/>
      </w:r>
      <w:r w:rsidR="00A578A7" w:rsidRPr="00A16EF4">
        <w:rPr>
          <w:rFonts w:ascii="Palatino Linotype" w:hAnsi="Palatino Linotype" w:cs="Tahoma"/>
          <w:b/>
          <w:sz w:val="22"/>
          <w:szCs w:val="22"/>
        </w:rPr>
        <w:tab/>
      </w:r>
      <w:r w:rsidR="00A578A7" w:rsidRPr="00A16EF4">
        <w:rPr>
          <w:rFonts w:ascii="Palatino Linotype" w:hAnsi="Palatino Linotype" w:cs="Tahoma"/>
          <w:sz w:val="22"/>
          <w:szCs w:val="22"/>
        </w:rPr>
        <w:tab/>
        <w:t xml:space="preserve">D3(D203-80) </w:t>
      </w:r>
    </w:p>
    <w:p w:rsidR="00A16EF4" w:rsidRDefault="00A16EF4" w:rsidP="00203608">
      <w:pPr>
        <w:spacing w:after="240" w:line="276" w:lineRule="auto"/>
        <w:jc w:val="both"/>
        <w:rPr>
          <w:rFonts w:ascii="Palatino Linotype" w:hAnsi="Palatino Linotype" w:cs="Tahoma"/>
          <w:b/>
          <w:sz w:val="22"/>
          <w:szCs w:val="22"/>
        </w:rPr>
      </w:pPr>
      <w:r w:rsidRPr="00A16EF4">
        <w:rPr>
          <w:rFonts w:ascii="Palatino Linotype" w:hAnsi="Palatino Linotype" w:cs="Tahoma"/>
          <w:b/>
          <w:sz w:val="22"/>
          <w:szCs w:val="22"/>
        </w:rPr>
        <w:t>Uso de suelo:</w:t>
      </w:r>
      <w:r w:rsidR="00A578A7" w:rsidRPr="00A16EF4">
        <w:rPr>
          <w:rFonts w:ascii="Palatino Linotype" w:hAnsi="Palatino Linotype" w:cs="Tahoma"/>
          <w:b/>
          <w:sz w:val="22"/>
          <w:szCs w:val="22"/>
        </w:rPr>
        <w:tab/>
      </w:r>
      <w:r w:rsidR="00A578A7" w:rsidRPr="00A16EF4">
        <w:rPr>
          <w:rFonts w:ascii="Palatino Linotype" w:hAnsi="Palatino Linotype" w:cs="Tahoma"/>
          <w:sz w:val="22"/>
          <w:szCs w:val="22"/>
        </w:rPr>
        <w:t xml:space="preserve">          </w:t>
      </w:r>
      <w:r w:rsidR="00A578A7" w:rsidRPr="00A16EF4">
        <w:rPr>
          <w:rFonts w:ascii="Palatino Linotype" w:hAnsi="Palatino Linotype" w:cs="Tahoma"/>
          <w:sz w:val="22"/>
          <w:szCs w:val="22"/>
        </w:rPr>
        <w:tab/>
      </w:r>
      <w:r w:rsidR="00A578A7" w:rsidRPr="00A16EF4">
        <w:rPr>
          <w:rFonts w:ascii="Palatino Linotype" w:hAnsi="Palatino Linotype" w:cs="Tahoma"/>
          <w:sz w:val="22"/>
          <w:szCs w:val="22"/>
        </w:rPr>
        <w:tab/>
        <w:t xml:space="preserve">R2 Residencial Mediana Densidad </w:t>
      </w:r>
    </w:p>
    <w:p w:rsidR="00A16EF4" w:rsidRDefault="00A16EF4" w:rsidP="00203608">
      <w:pPr>
        <w:spacing w:after="240" w:line="276" w:lineRule="auto"/>
        <w:jc w:val="both"/>
        <w:rPr>
          <w:rFonts w:ascii="Palatino Linotype" w:hAnsi="Palatino Linotype" w:cs="Tahoma"/>
          <w:b/>
          <w:sz w:val="22"/>
          <w:szCs w:val="22"/>
        </w:rPr>
      </w:pPr>
      <w:r w:rsidRPr="00A16EF4">
        <w:rPr>
          <w:rFonts w:ascii="Palatino Linotype" w:hAnsi="Palatino Linotype" w:cs="Tahoma"/>
          <w:b/>
          <w:sz w:val="22"/>
          <w:szCs w:val="22"/>
        </w:rPr>
        <w:t>Número de lotes:</w:t>
      </w:r>
      <w:r w:rsidR="00A578A7" w:rsidRPr="00A16EF4">
        <w:rPr>
          <w:rFonts w:ascii="Palatino Linotype" w:hAnsi="Palatino Linotype" w:cs="Tahoma"/>
          <w:sz w:val="22"/>
          <w:szCs w:val="22"/>
        </w:rPr>
        <w:tab/>
      </w:r>
      <w:r w:rsidR="00A578A7" w:rsidRPr="00A16EF4">
        <w:rPr>
          <w:rFonts w:ascii="Palatino Linotype" w:hAnsi="Palatino Linotype" w:cs="Tahoma"/>
          <w:sz w:val="22"/>
          <w:szCs w:val="22"/>
        </w:rPr>
        <w:tab/>
        <w:t>51</w:t>
      </w:r>
    </w:p>
    <w:p w:rsidR="00A16EF4" w:rsidRDefault="00A16EF4" w:rsidP="00203608">
      <w:pPr>
        <w:spacing w:after="240" w:line="276" w:lineRule="auto"/>
        <w:jc w:val="both"/>
        <w:rPr>
          <w:rFonts w:ascii="Palatino Linotype" w:hAnsi="Palatino Linotype" w:cs="Tahoma"/>
          <w:b/>
          <w:sz w:val="22"/>
          <w:szCs w:val="22"/>
        </w:rPr>
      </w:pPr>
      <w:r w:rsidRPr="00A16EF4">
        <w:rPr>
          <w:rFonts w:ascii="Palatino Linotype" w:hAnsi="Palatino Linotype" w:cs="Tahoma"/>
          <w:b/>
          <w:sz w:val="22"/>
          <w:szCs w:val="22"/>
        </w:rPr>
        <w:lastRenderedPageBreak/>
        <w:t>Área útil de lotes:</w:t>
      </w:r>
      <w:r w:rsidR="00A578A7" w:rsidRPr="00A16EF4">
        <w:rPr>
          <w:rFonts w:ascii="Palatino Linotype" w:hAnsi="Palatino Linotype" w:cs="Tahoma"/>
          <w:sz w:val="22"/>
          <w:szCs w:val="22"/>
        </w:rPr>
        <w:tab/>
      </w:r>
      <w:r w:rsidR="00A578A7" w:rsidRPr="00A16EF4">
        <w:rPr>
          <w:rFonts w:ascii="Palatino Linotype" w:hAnsi="Palatino Linotype" w:cs="Tahoma"/>
          <w:sz w:val="22"/>
          <w:szCs w:val="22"/>
        </w:rPr>
        <w:tab/>
        <w:t>12.019,55 m</w:t>
      </w:r>
      <w:r w:rsidR="00A578A7" w:rsidRPr="00A16EF4">
        <w:rPr>
          <w:rFonts w:ascii="Palatino Linotype" w:hAnsi="Palatino Linotype" w:cs="Tahoma"/>
          <w:sz w:val="22"/>
          <w:szCs w:val="22"/>
          <w:vertAlign w:val="superscript"/>
        </w:rPr>
        <w:t>2</w:t>
      </w:r>
    </w:p>
    <w:p w:rsidR="00A16EF4" w:rsidRDefault="00A16EF4" w:rsidP="00203608">
      <w:pPr>
        <w:spacing w:after="240" w:line="276" w:lineRule="auto"/>
        <w:jc w:val="both"/>
        <w:rPr>
          <w:rFonts w:ascii="Palatino Linotype" w:hAnsi="Palatino Linotype" w:cs="Tahoma"/>
          <w:b/>
          <w:sz w:val="22"/>
          <w:szCs w:val="22"/>
        </w:rPr>
      </w:pPr>
      <w:r w:rsidRPr="00A16EF4">
        <w:rPr>
          <w:rFonts w:ascii="Palatino Linotype" w:hAnsi="Palatino Linotype" w:cs="Tahoma"/>
          <w:b/>
          <w:sz w:val="22"/>
          <w:szCs w:val="22"/>
        </w:rPr>
        <w:t>Área de vías:</w:t>
      </w:r>
      <w:r w:rsidR="007A2BC2" w:rsidRPr="00A16EF4">
        <w:rPr>
          <w:rFonts w:ascii="Palatino Linotype" w:hAnsi="Palatino Linotype" w:cs="Tahoma"/>
          <w:b/>
          <w:sz w:val="22"/>
          <w:szCs w:val="22"/>
        </w:rPr>
        <w:tab/>
      </w:r>
      <w:r w:rsidR="007A2BC2" w:rsidRPr="00A16EF4">
        <w:rPr>
          <w:rFonts w:ascii="Palatino Linotype" w:hAnsi="Palatino Linotype" w:cs="Tahoma"/>
          <w:sz w:val="22"/>
          <w:szCs w:val="22"/>
        </w:rPr>
        <w:tab/>
      </w:r>
      <w:r w:rsidR="007A2BC2" w:rsidRPr="00A16EF4">
        <w:rPr>
          <w:rFonts w:ascii="Palatino Linotype" w:hAnsi="Palatino Linotype" w:cs="Tahoma"/>
          <w:sz w:val="22"/>
          <w:szCs w:val="22"/>
        </w:rPr>
        <w:tab/>
      </w:r>
      <w:r w:rsidR="00A578A7" w:rsidRPr="00A16EF4">
        <w:rPr>
          <w:rFonts w:ascii="Palatino Linotype" w:hAnsi="Palatino Linotype" w:cs="Tahoma"/>
          <w:sz w:val="22"/>
          <w:szCs w:val="22"/>
        </w:rPr>
        <w:t>3.402,36 m</w:t>
      </w:r>
      <w:r w:rsidR="00A578A7" w:rsidRPr="00A16EF4">
        <w:rPr>
          <w:rFonts w:ascii="Palatino Linotype" w:hAnsi="Palatino Linotype" w:cs="Tahoma"/>
          <w:sz w:val="22"/>
          <w:szCs w:val="22"/>
          <w:vertAlign w:val="superscript"/>
        </w:rPr>
        <w:t xml:space="preserve">2 </w:t>
      </w:r>
    </w:p>
    <w:p w:rsidR="00A578A7" w:rsidRPr="00A16EF4" w:rsidRDefault="00A16EF4" w:rsidP="00203608">
      <w:pPr>
        <w:spacing w:after="240" w:line="276" w:lineRule="auto"/>
        <w:jc w:val="both"/>
        <w:rPr>
          <w:rFonts w:ascii="Palatino Linotype" w:hAnsi="Palatino Linotype" w:cs="Tahoma"/>
          <w:b/>
          <w:sz w:val="22"/>
          <w:szCs w:val="22"/>
        </w:rPr>
      </w:pPr>
      <w:r w:rsidRPr="00A16EF4">
        <w:rPr>
          <w:rFonts w:ascii="Palatino Linotype" w:hAnsi="Palatino Linotype" w:cs="Tahoma"/>
          <w:b/>
          <w:sz w:val="22"/>
          <w:szCs w:val="22"/>
        </w:rPr>
        <w:t>Área verde:</w:t>
      </w:r>
      <w:r w:rsidR="00A578A7" w:rsidRPr="00A16EF4">
        <w:rPr>
          <w:rFonts w:ascii="Palatino Linotype" w:hAnsi="Palatino Linotype" w:cs="Tahoma"/>
          <w:sz w:val="22"/>
          <w:szCs w:val="22"/>
        </w:rPr>
        <w:tab/>
      </w:r>
      <w:r w:rsidR="00A578A7" w:rsidRPr="00A16EF4">
        <w:rPr>
          <w:rFonts w:ascii="Palatino Linotype" w:hAnsi="Palatino Linotype" w:cs="Tahoma"/>
          <w:sz w:val="22"/>
          <w:szCs w:val="22"/>
        </w:rPr>
        <w:tab/>
      </w:r>
      <w:r w:rsidR="00A578A7" w:rsidRPr="00A16EF4">
        <w:rPr>
          <w:rFonts w:ascii="Palatino Linotype" w:hAnsi="Palatino Linotype" w:cs="Tahoma"/>
          <w:sz w:val="22"/>
          <w:szCs w:val="22"/>
        </w:rPr>
        <w:tab/>
        <w:t>1.319,58 m</w:t>
      </w:r>
      <w:r w:rsidR="00A578A7" w:rsidRPr="00A16EF4">
        <w:rPr>
          <w:rFonts w:ascii="Palatino Linotype" w:hAnsi="Palatino Linotype" w:cs="Tahoma"/>
          <w:sz w:val="22"/>
          <w:szCs w:val="22"/>
          <w:vertAlign w:val="superscript"/>
        </w:rPr>
        <w:t>2</w:t>
      </w:r>
    </w:p>
    <w:p w:rsidR="00A578A7" w:rsidRPr="00A16EF4" w:rsidRDefault="00A16EF4" w:rsidP="00203608">
      <w:pPr>
        <w:spacing w:after="240" w:line="276" w:lineRule="auto"/>
        <w:contextualSpacing/>
        <w:mirrorIndents/>
        <w:jc w:val="both"/>
        <w:rPr>
          <w:rFonts w:ascii="Palatino Linotype" w:hAnsi="Palatino Linotype" w:cs="Tahoma"/>
          <w:sz w:val="22"/>
          <w:szCs w:val="22"/>
        </w:rPr>
      </w:pPr>
      <w:r w:rsidRPr="00A16EF4">
        <w:rPr>
          <w:rFonts w:ascii="Palatino Linotype" w:hAnsi="Palatino Linotype" w:cs="Tahoma"/>
          <w:b/>
          <w:sz w:val="22"/>
          <w:szCs w:val="22"/>
        </w:rPr>
        <w:t>Área comunal:</w:t>
      </w:r>
      <w:r w:rsidRPr="00A16EF4">
        <w:rPr>
          <w:rFonts w:ascii="Palatino Linotype" w:hAnsi="Palatino Linotype" w:cs="Tahoma"/>
          <w:sz w:val="22"/>
          <w:szCs w:val="22"/>
        </w:rPr>
        <w:tab/>
      </w:r>
      <w:r w:rsidR="00A578A7" w:rsidRPr="00A16EF4">
        <w:rPr>
          <w:rFonts w:ascii="Palatino Linotype" w:hAnsi="Palatino Linotype" w:cs="Tahoma"/>
          <w:sz w:val="22"/>
          <w:szCs w:val="22"/>
        </w:rPr>
        <w:tab/>
        <w:t>609,74 m</w:t>
      </w:r>
      <w:r w:rsidR="00A578A7" w:rsidRPr="00A16EF4">
        <w:rPr>
          <w:rFonts w:ascii="Palatino Linotype" w:hAnsi="Palatino Linotype" w:cs="Tahoma"/>
          <w:sz w:val="22"/>
          <w:szCs w:val="22"/>
          <w:vertAlign w:val="superscript"/>
        </w:rPr>
        <w:t>2</w:t>
      </w:r>
    </w:p>
    <w:p w:rsidR="00A578A7" w:rsidRPr="00A16EF4" w:rsidRDefault="00A16EF4" w:rsidP="00203608">
      <w:pPr>
        <w:pStyle w:val="Ttulo1"/>
        <w:spacing w:after="240" w:line="276" w:lineRule="auto"/>
        <w:rPr>
          <w:rFonts w:ascii="Palatino Linotype" w:hAnsi="Palatino Linotype" w:cs="Tahoma"/>
          <w:sz w:val="22"/>
          <w:szCs w:val="22"/>
        </w:rPr>
      </w:pPr>
      <w:r w:rsidRPr="00A16EF4">
        <w:rPr>
          <w:rFonts w:ascii="Palatino Linotype" w:hAnsi="Palatino Linotype" w:cs="Tahoma"/>
          <w:b/>
          <w:sz w:val="22"/>
          <w:szCs w:val="22"/>
        </w:rPr>
        <w:t>Área total predio:</w:t>
      </w:r>
      <w:r w:rsidR="00D10071" w:rsidRPr="00A16EF4">
        <w:rPr>
          <w:rFonts w:ascii="Palatino Linotype" w:hAnsi="Palatino Linotype" w:cs="Tahoma"/>
          <w:sz w:val="22"/>
          <w:szCs w:val="22"/>
        </w:rPr>
        <w:tab/>
      </w:r>
      <w:r w:rsidR="00D10071" w:rsidRPr="00A16EF4">
        <w:rPr>
          <w:rFonts w:ascii="Palatino Linotype" w:hAnsi="Palatino Linotype" w:cs="Tahoma"/>
          <w:sz w:val="22"/>
          <w:szCs w:val="22"/>
        </w:rPr>
        <w:tab/>
      </w:r>
      <w:r w:rsidR="00A578A7" w:rsidRPr="00A16EF4">
        <w:rPr>
          <w:rFonts w:ascii="Palatino Linotype" w:hAnsi="Palatino Linotype" w:cs="Tahoma"/>
          <w:sz w:val="22"/>
          <w:szCs w:val="22"/>
        </w:rPr>
        <w:t>18.093,10 m</w:t>
      </w:r>
      <w:r w:rsidR="00A578A7" w:rsidRPr="00A16EF4">
        <w:rPr>
          <w:rFonts w:ascii="Palatino Linotype" w:hAnsi="Palatino Linotype" w:cs="Tahoma"/>
          <w:sz w:val="22"/>
          <w:szCs w:val="22"/>
          <w:vertAlign w:val="superscript"/>
        </w:rPr>
        <w:t>2</w:t>
      </w:r>
    </w:p>
    <w:p w:rsidR="00A578A7" w:rsidRPr="00A16EF4" w:rsidRDefault="00A578A7" w:rsidP="00203608">
      <w:pPr>
        <w:spacing w:after="240" w:line="276" w:lineRule="auto"/>
        <w:jc w:val="both"/>
        <w:rPr>
          <w:rFonts w:ascii="Palatino Linotype" w:hAnsi="Palatino Linotype" w:cs="Tahoma"/>
          <w:sz w:val="22"/>
          <w:szCs w:val="22"/>
        </w:rPr>
      </w:pPr>
      <w:r w:rsidRPr="00A16EF4">
        <w:rPr>
          <w:rFonts w:ascii="Palatino Linotype" w:hAnsi="Palatino Linotype" w:cs="Tahoma"/>
          <w:b/>
          <w:sz w:val="22"/>
          <w:szCs w:val="22"/>
        </w:rPr>
        <w:t>Art</w:t>
      </w:r>
      <w:r w:rsidR="00D3459D">
        <w:rPr>
          <w:rFonts w:ascii="Palatino Linotype" w:hAnsi="Palatino Linotype" w:cs="Tahoma"/>
          <w:b/>
          <w:sz w:val="22"/>
          <w:szCs w:val="22"/>
        </w:rPr>
        <w:t>ículo</w:t>
      </w:r>
      <w:r w:rsidRPr="00A16EF4">
        <w:rPr>
          <w:rFonts w:ascii="Palatino Linotype" w:hAnsi="Palatino Linotype" w:cs="Tahoma"/>
          <w:b/>
          <w:sz w:val="22"/>
          <w:szCs w:val="22"/>
        </w:rPr>
        <w:t xml:space="preserve"> 3.- D</w:t>
      </w:r>
      <w:r w:rsidR="00D3459D" w:rsidRPr="00A16EF4">
        <w:rPr>
          <w:rFonts w:ascii="Palatino Linotype" w:hAnsi="Palatino Linotype" w:cs="Tahoma"/>
          <w:b/>
          <w:sz w:val="22"/>
          <w:szCs w:val="22"/>
        </w:rPr>
        <w:t>el área verde y comunal</w:t>
      </w:r>
      <w:r w:rsidR="00D3459D">
        <w:rPr>
          <w:rFonts w:ascii="Palatino Linotype" w:hAnsi="Palatino Linotype" w:cs="Tahoma"/>
          <w:b/>
          <w:sz w:val="22"/>
          <w:szCs w:val="22"/>
        </w:rPr>
        <w:t xml:space="preserve">.- </w:t>
      </w:r>
      <w:r w:rsidRPr="00A16EF4">
        <w:rPr>
          <w:rFonts w:ascii="Palatino Linotype" w:hAnsi="Palatino Linotype" w:cs="Tahoma"/>
          <w:sz w:val="22"/>
          <w:szCs w:val="22"/>
        </w:rPr>
        <w:t>El proyectista y</w:t>
      </w:r>
      <w:r w:rsidR="00D3459D">
        <w:rPr>
          <w:rFonts w:ascii="Palatino Linotype" w:hAnsi="Palatino Linotype" w:cs="Tahoma"/>
          <w:sz w:val="22"/>
          <w:szCs w:val="22"/>
        </w:rPr>
        <w:t xml:space="preserve"> </w:t>
      </w:r>
      <w:r w:rsidRPr="00A16EF4">
        <w:rPr>
          <w:rFonts w:ascii="Palatino Linotype" w:hAnsi="Palatino Linotype" w:cs="Tahoma"/>
          <w:sz w:val="22"/>
          <w:szCs w:val="22"/>
        </w:rPr>
        <w:t>propietaria de la urbanización entregarán el área verde y comunal establecida en la normativa vigente, a favor del Municipio del Distrito Metropolitano de Quito, cuyas características técnicas, ubicación y linderos son los siguientes:</w:t>
      </w:r>
    </w:p>
    <w:p w:rsidR="00A578A7" w:rsidRPr="00D3459D" w:rsidRDefault="00D3459D" w:rsidP="00203608">
      <w:pPr>
        <w:pStyle w:val="Ttulo3"/>
        <w:spacing w:after="240" w:line="276" w:lineRule="auto"/>
        <w:rPr>
          <w:rFonts w:ascii="Palatino Linotype" w:hAnsi="Palatino Linotype" w:cs="Tahoma"/>
          <w:bCs w:val="0"/>
          <w:sz w:val="22"/>
          <w:szCs w:val="22"/>
        </w:rPr>
      </w:pPr>
      <w:r w:rsidRPr="00D3459D">
        <w:rPr>
          <w:rFonts w:ascii="Palatino Linotype" w:hAnsi="Palatino Linotype" w:cs="Tahoma"/>
          <w:bCs w:val="0"/>
          <w:sz w:val="22"/>
          <w:szCs w:val="22"/>
        </w:rPr>
        <w:t>Área verde comunal</w:t>
      </w:r>
      <w:r>
        <w:rPr>
          <w:rFonts w:ascii="Palatino Linotype" w:hAnsi="Palatino Linotype" w:cs="Tahoma"/>
          <w:bCs w:val="0"/>
          <w:sz w:val="22"/>
          <w:szCs w:val="22"/>
        </w:rPr>
        <w:t>:</w:t>
      </w:r>
    </w:p>
    <w:p w:rsidR="00A578A7" w:rsidRPr="00A16EF4" w:rsidRDefault="00A578A7" w:rsidP="00203608">
      <w:pPr>
        <w:pStyle w:val="Ttulo4"/>
        <w:spacing w:after="240" w:line="276" w:lineRule="auto"/>
        <w:rPr>
          <w:rFonts w:ascii="Palatino Linotype" w:hAnsi="Palatino Linotype" w:cs="Tahoma"/>
          <w:sz w:val="22"/>
          <w:szCs w:val="22"/>
        </w:rPr>
      </w:pPr>
      <w:r w:rsidRPr="00D3459D">
        <w:rPr>
          <w:rFonts w:ascii="Palatino Linotype" w:hAnsi="Palatino Linotype" w:cs="Tahoma"/>
          <w:b/>
          <w:sz w:val="22"/>
          <w:szCs w:val="22"/>
        </w:rPr>
        <w:t>Ubicación:</w:t>
      </w:r>
      <w:r w:rsidRPr="00A16EF4">
        <w:rPr>
          <w:rFonts w:ascii="Palatino Linotype" w:hAnsi="Palatino Linotype" w:cs="Tahoma"/>
          <w:sz w:val="22"/>
          <w:szCs w:val="22"/>
        </w:rPr>
        <w:tab/>
        <w:t>Calle N de la Urbanización</w:t>
      </w:r>
      <w:r w:rsidR="00D3459D">
        <w:rPr>
          <w:rFonts w:ascii="Palatino Linotype" w:hAnsi="Palatino Linotype" w:cs="Tahoma"/>
          <w:sz w:val="22"/>
          <w:szCs w:val="22"/>
        </w:rPr>
        <w:t>.</w:t>
      </w:r>
    </w:p>
    <w:p w:rsidR="00A578A7" w:rsidRPr="00A16EF4" w:rsidRDefault="00A578A7" w:rsidP="00203608">
      <w:pPr>
        <w:spacing w:after="240" w:line="276" w:lineRule="auto"/>
        <w:rPr>
          <w:rFonts w:ascii="Palatino Linotype" w:hAnsi="Palatino Linotype" w:cs="Tahoma"/>
          <w:sz w:val="22"/>
          <w:szCs w:val="22"/>
        </w:rPr>
      </w:pPr>
      <w:r w:rsidRPr="00D3459D">
        <w:rPr>
          <w:rFonts w:ascii="Palatino Linotype" w:hAnsi="Palatino Linotype" w:cs="Tahoma"/>
          <w:b/>
          <w:sz w:val="22"/>
          <w:szCs w:val="22"/>
        </w:rPr>
        <w:t>Referencia:</w:t>
      </w:r>
      <w:r w:rsidRPr="00A16EF4">
        <w:rPr>
          <w:rFonts w:ascii="Palatino Linotype" w:hAnsi="Palatino Linotype" w:cs="Tahoma"/>
          <w:sz w:val="22"/>
          <w:szCs w:val="22"/>
        </w:rPr>
        <w:tab/>
        <w:t>Hoja Catastral 32703</w:t>
      </w:r>
      <w:r w:rsidR="00D3459D">
        <w:rPr>
          <w:rFonts w:ascii="Palatino Linotype" w:hAnsi="Palatino Linotype" w:cs="Tahoma"/>
          <w:sz w:val="22"/>
          <w:szCs w:val="22"/>
        </w:rPr>
        <w:t>.</w:t>
      </w:r>
    </w:p>
    <w:p w:rsidR="00A578A7" w:rsidRPr="00A16EF4" w:rsidRDefault="00A578A7" w:rsidP="00203608">
      <w:pPr>
        <w:spacing w:after="240" w:line="276" w:lineRule="auto"/>
        <w:rPr>
          <w:rFonts w:ascii="Palatino Linotype" w:hAnsi="Palatino Linotype" w:cs="Tahoma"/>
          <w:sz w:val="22"/>
          <w:szCs w:val="22"/>
        </w:rPr>
      </w:pPr>
      <w:r w:rsidRPr="00D3459D">
        <w:rPr>
          <w:rFonts w:ascii="Palatino Linotype" w:hAnsi="Palatino Linotype" w:cs="Tahoma"/>
          <w:b/>
          <w:sz w:val="22"/>
          <w:szCs w:val="22"/>
        </w:rPr>
        <w:t>Superficie:</w:t>
      </w:r>
      <w:r w:rsidRPr="00A16EF4">
        <w:rPr>
          <w:rFonts w:ascii="Palatino Linotype" w:hAnsi="Palatino Linotype" w:cs="Tahoma"/>
          <w:sz w:val="22"/>
          <w:szCs w:val="22"/>
        </w:rPr>
        <w:tab/>
        <w:t>1.319,58 m</w:t>
      </w:r>
      <w:r w:rsidRPr="00D3459D">
        <w:rPr>
          <w:rFonts w:ascii="Palatino Linotype" w:hAnsi="Palatino Linotype" w:cs="Tahoma"/>
          <w:sz w:val="22"/>
          <w:szCs w:val="22"/>
          <w:vertAlign w:val="superscript"/>
        </w:rPr>
        <w:t>2</w:t>
      </w:r>
    </w:p>
    <w:p w:rsidR="00A578A7" w:rsidRPr="00A16EF4" w:rsidRDefault="00A578A7" w:rsidP="00203608">
      <w:pPr>
        <w:spacing w:after="240" w:line="276" w:lineRule="auto"/>
        <w:rPr>
          <w:rFonts w:ascii="Palatino Linotype" w:hAnsi="Palatino Linotype" w:cs="Tahoma"/>
          <w:sz w:val="22"/>
          <w:szCs w:val="22"/>
        </w:rPr>
      </w:pPr>
      <w:r w:rsidRPr="00D3459D">
        <w:rPr>
          <w:rFonts w:ascii="Palatino Linotype" w:hAnsi="Palatino Linotype" w:cs="Tahoma"/>
          <w:b/>
          <w:sz w:val="22"/>
          <w:szCs w:val="22"/>
        </w:rPr>
        <w:t>Pendiente:</w:t>
      </w:r>
      <w:r w:rsidRPr="00A16EF4">
        <w:rPr>
          <w:rFonts w:ascii="Palatino Linotype" w:hAnsi="Palatino Linotype" w:cs="Tahoma"/>
          <w:sz w:val="22"/>
          <w:szCs w:val="22"/>
        </w:rPr>
        <w:tab/>
        <w:t>20°</w:t>
      </w:r>
    </w:p>
    <w:p w:rsidR="00A578A7" w:rsidRPr="00D3459D" w:rsidRDefault="00D3459D" w:rsidP="00203608">
      <w:pPr>
        <w:spacing w:after="240" w:line="276" w:lineRule="auto"/>
        <w:rPr>
          <w:rFonts w:ascii="Palatino Linotype" w:hAnsi="Palatino Linotype" w:cs="Tahoma"/>
          <w:b/>
          <w:sz w:val="22"/>
          <w:szCs w:val="22"/>
        </w:rPr>
      </w:pPr>
      <w:r w:rsidRPr="00D3459D">
        <w:rPr>
          <w:rFonts w:ascii="Palatino Linotype" w:hAnsi="Palatino Linotype" w:cs="Tahoma"/>
          <w:b/>
          <w:sz w:val="22"/>
          <w:szCs w:val="22"/>
        </w:rPr>
        <w:t>Linderos:</w:t>
      </w:r>
    </w:p>
    <w:p w:rsidR="00A578A7" w:rsidRPr="00A16EF4" w:rsidRDefault="00D3459D" w:rsidP="00203608">
      <w:pPr>
        <w:spacing w:after="240" w:line="276" w:lineRule="auto"/>
        <w:rPr>
          <w:rFonts w:ascii="Palatino Linotype" w:hAnsi="Palatino Linotype" w:cs="Tahoma"/>
          <w:sz w:val="22"/>
          <w:szCs w:val="22"/>
        </w:rPr>
      </w:pPr>
      <w:r w:rsidRPr="00D3459D">
        <w:rPr>
          <w:rFonts w:ascii="Palatino Linotype" w:hAnsi="Palatino Linotype" w:cs="Tahoma"/>
          <w:b/>
          <w:sz w:val="22"/>
          <w:szCs w:val="22"/>
        </w:rPr>
        <w:t>Norte</w:t>
      </w:r>
      <w:r w:rsidR="00D10071" w:rsidRPr="00D3459D">
        <w:rPr>
          <w:rFonts w:ascii="Palatino Linotype" w:hAnsi="Palatino Linotype" w:cs="Tahoma"/>
          <w:b/>
          <w:sz w:val="22"/>
          <w:szCs w:val="22"/>
        </w:rPr>
        <w:t>:</w:t>
      </w:r>
      <w:r w:rsidR="00D10071" w:rsidRPr="00D3459D">
        <w:rPr>
          <w:rFonts w:ascii="Palatino Linotype" w:hAnsi="Palatino Linotype" w:cs="Tahoma"/>
          <w:b/>
          <w:sz w:val="22"/>
          <w:szCs w:val="22"/>
        </w:rPr>
        <w:tab/>
      </w:r>
      <w:r>
        <w:rPr>
          <w:rFonts w:ascii="Palatino Linotype" w:hAnsi="Palatino Linotype" w:cs="Tahoma"/>
          <w:sz w:val="22"/>
          <w:szCs w:val="22"/>
        </w:rPr>
        <w:tab/>
      </w:r>
      <w:r w:rsidR="00A578A7" w:rsidRPr="00A16EF4">
        <w:rPr>
          <w:rFonts w:ascii="Palatino Linotype" w:hAnsi="Palatino Linotype" w:cs="Tahoma"/>
          <w:sz w:val="22"/>
          <w:szCs w:val="22"/>
        </w:rPr>
        <w:t>Parcelación</w:t>
      </w:r>
      <w:r>
        <w:rPr>
          <w:rFonts w:ascii="Palatino Linotype" w:hAnsi="Palatino Linotype" w:cs="Tahoma"/>
          <w:sz w:val="22"/>
          <w:szCs w:val="22"/>
        </w:rPr>
        <w:t xml:space="preserve"> de la Hacienda El Conde en 45,</w:t>
      </w:r>
      <w:r w:rsidR="00A578A7" w:rsidRPr="00A16EF4">
        <w:rPr>
          <w:rFonts w:ascii="Palatino Linotype" w:hAnsi="Palatino Linotype" w:cs="Tahoma"/>
          <w:sz w:val="22"/>
          <w:szCs w:val="22"/>
        </w:rPr>
        <w:t>03 m</w:t>
      </w:r>
      <w:r>
        <w:rPr>
          <w:rFonts w:ascii="Palatino Linotype" w:hAnsi="Palatino Linotype" w:cs="Tahoma"/>
          <w:sz w:val="22"/>
          <w:szCs w:val="22"/>
        </w:rPr>
        <w:t>.</w:t>
      </w:r>
    </w:p>
    <w:p w:rsidR="00A578A7" w:rsidRPr="00A16EF4" w:rsidRDefault="00D3459D" w:rsidP="00203608">
      <w:pPr>
        <w:spacing w:after="240" w:line="276" w:lineRule="auto"/>
        <w:rPr>
          <w:rFonts w:ascii="Palatino Linotype" w:hAnsi="Palatino Linotype" w:cs="Tahoma"/>
          <w:sz w:val="22"/>
          <w:szCs w:val="22"/>
        </w:rPr>
      </w:pPr>
      <w:r w:rsidRPr="00D3459D">
        <w:rPr>
          <w:rFonts w:ascii="Palatino Linotype" w:hAnsi="Palatino Linotype" w:cs="Tahoma"/>
          <w:b/>
          <w:sz w:val="22"/>
          <w:szCs w:val="22"/>
        </w:rPr>
        <w:t>Sur:</w:t>
      </w:r>
      <w:r w:rsidRPr="00A16EF4">
        <w:rPr>
          <w:rFonts w:ascii="Palatino Linotype" w:hAnsi="Palatino Linotype" w:cs="Tahoma"/>
          <w:sz w:val="22"/>
          <w:szCs w:val="22"/>
        </w:rPr>
        <w:tab/>
      </w:r>
      <w:r w:rsidR="00A578A7" w:rsidRPr="00A16EF4">
        <w:rPr>
          <w:rFonts w:ascii="Palatino Linotype" w:hAnsi="Palatino Linotype" w:cs="Tahoma"/>
          <w:sz w:val="22"/>
          <w:szCs w:val="22"/>
        </w:rPr>
        <w:tab/>
        <w:t>Lotes N</w:t>
      </w:r>
      <w:r>
        <w:rPr>
          <w:rFonts w:ascii="Palatino Linotype" w:hAnsi="Palatino Linotype" w:cs="Tahoma"/>
          <w:sz w:val="22"/>
          <w:szCs w:val="22"/>
        </w:rPr>
        <w:t>os. 37 y 48 en 28,</w:t>
      </w:r>
      <w:r w:rsidR="00A578A7" w:rsidRPr="00A16EF4">
        <w:rPr>
          <w:rFonts w:ascii="Palatino Linotype" w:hAnsi="Palatino Linotype" w:cs="Tahoma"/>
          <w:sz w:val="22"/>
          <w:szCs w:val="22"/>
        </w:rPr>
        <w:t>59 m</w:t>
      </w:r>
      <w:r>
        <w:rPr>
          <w:rFonts w:ascii="Palatino Linotype" w:hAnsi="Palatino Linotype" w:cs="Tahoma"/>
          <w:sz w:val="22"/>
          <w:szCs w:val="22"/>
        </w:rPr>
        <w:t>.</w:t>
      </w:r>
    </w:p>
    <w:p w:rsidR="00A578A7" w:rsidRPr="00A16EF4" w:rsidRDefault="00D3459D" w:rsidP="00203608">
      <w:pPr>
        <w:spacing w:after="240" w:line="276" w:lineRule="auto"/>
        <w:rPr>
          <w:rFonts w:ascii="Palatino Linotype" w:hAnsi="Palatino Linotype" w:cs="Tahoma"/>
          <w:sz w:val="22"/>
          <w:szCs w:val="22"/>
        </w:rPr>
      </w:pPr>
      <w:r w:rsidRPr="00D3459D">
        <w:rPr>
          <w:rFonts w:ascii="Palatino Linotype" w:hAnsi="Palatino Linotype" w:cs="Tahoma"/>
          <w:b/>
          <w:sz w:val="22"/>
          <w:szCs w:val="22"/>
        </w:rPr>
        <w:t>Este:</w:t>
      </w:r>
      <w:r w:rsidR="00A578A7" w:rsidRPr="00D3459D">
        <w:rPr>
          <w:rFonts w:ascii="Palatino Linotype" w:hAnsi="Palatino Linotype" w:cs="Tahoma"/>
          <w:b/>
          <w:sz w:val="22"/>
          <w:szCs w:val="22"/>
        </w:rPr>
        <w:tab/>
      </w:r>
      <w:r>
        <w:rPr>
          <w:rFonts w:ascii="Palatino Linotype" w:hAnsi="Palatino Linotype" w:cs="Tahoma"/>
          <w:sz w:val="22"/>
          <w:szCs w:val="22"/>
        </w:rPr>
        <w:tab/>
        <w:t>Pasaje No. 2 y Lotes N</w:t>
      </w:r>
      <w:r w:rsidR="00A578A7" w:rsidRPr="00A16EF4">
        <w:rPr>
          <w:rFonts w:ascii="Palatino Linotype" w:hAnsi="Palatino Linotype" w:cs="Tahoma"/>
          <w:sz w:val="22"/>
          <w:szCs w:val="22"/>
        </w:rPr>
        <w:t>os. 49, 50 y 51 en 36,00 m</w:t>
      </w:r>
      <w:r>
        <w:rPr>
          <w:rFonts w:ascii="Palatino Linotype" w:hAnsi="Palatino Linotype" w:cs="Tahoma"/>
          <w:sz w:val="22"/>
          <w:szCs w:val="22"/>
        </w:rPr>
        <w:t>.</w:t>
      </w:r>
    </w:p>
    <w:p w:rsidR="00A578A7" w:rsidRPr="00A16EF4" w:rsidRDefault="00D3459D" w:rsidP="00203608">
      <w:pPr>
        <w:spacing w:after="240" w:line="276" w:lineRule="auto"/>
        <w:rPr>
          <w:rFonts w:ascii="Palatino Linotype" w:hAnsi="Palatino Linotype" w:cs="Tahoma"/>
          <w:sz w:val="22"/>
          <w:szCs w:val="22"/>
        </w:rPr>
      </w:pPr>
      <w:r w:rsidRPr="00D3459D">
        <w:rPr>
          <w:rFonts w:ascii="Palatino Linotype" w:hAnsi="Palatino Linotype" w:cs="Tahoma"/>
          <w:b/>
          <w:sz w:val="22"/>
          <w:szCs w:val="22"/>
        </w:rPr>
        <w:t>Oeste:</w:t>
      </w:r>
      <w:r w:rsidR="00A578A7" w:rsidRPr="00D3459D">
        <w:rPr>
          <w:rFonts w:ascii="Palatino Linotype" w:hAnsi="Palatino Linotype" w:cs="Tahoma"/>
          <w:b/>
          <w:sz w:val="22"/>
          <w:szCs w:val="22"/>
        </w:rPr>
        <w:tab/>
      </w:r>
      <w:r>
        <w:rPr>
          <w:rFonts w:ascii="Palatino Linotype" w:hAnsi="Palatino Linotype" w:cs="Tahoma"/>
          <w:sz w:val="22"/>
          <w:szCs w:val="22"/>
        </w:rPr>
        <w:tab/>
      </w:r>
      <w:r w:rsidR="00A578A7" w:rsidRPr="00A16EF4">
        <w:rPr>
          <w:rFonts w:ascii="Palatino Linotype" w:hAnsi="Palatino Linotype" w:cs="Tahoma"/>
          <w:sz w:val="22"/>
          <w:szCs w:val="22"/>
        </w:rPr>
        <w:t>Radio de curvatura calle N en 27,82 m y Área Comunal en 16,55 m</w:t>
      </w:r>
      <w:r>
        <w:rPr>
          <w:rFonts w:ascii="Palatino Linotype" w:hAnsi="Palatino Linotype" w:cs="Tahoma"/>
          <w:sz w:val="22"/>
          <w:szCs w:val="22"/>
        </w:rPr>
        <w:t>.</w:t>
      </w:r>
    </w:p>
    <w:p w:rsidR="00A578A7" w:rsidRPr="00D3459D" w:rsidRDefault="00D3459D" w:rsidP="00203608">
      <w:pPr>
        <w:pStyle w:val="Ttulo3"/>
        <w:spacing w:after="240" w:line="276" w:lineRule="auto"/>
        <w:rPr>
          <w:rFonts w:ascii="Palatino Linotype" w:hAnsi="Palatino Linotype" w:cs="Tahoma"/>
          <w:bCs w:val="0"/>
          <w:sz w:val="22"/>
          <w:szCs w:val="22"/>
        </w:rPr>
      </w:pPr>
      <w:r w:rsidRPr="00D3459D">
        <w:rPr>
          <w:rFonts w:ascii="Palatino Linotype" w:hAnsi="Palatino Linotype" w:cs="Tahoma"/>
          <w:bCs w:val="0"/>
          <w:sz w:val="22"/>
          <w:szCs w:val="22"/>
        </w:rPr>
        <w:t>Área de equipamiento comunal</w:t>
      </w:r>
      <w:r>
        <w:rPr>
          <w:rFonts w:ascii="Palatino Linotype" w:hAnsi="Palatino Linotype" w:cs="Tahoma"/>
          <w:bCs w:val="0"/>
          <w:sz w:val="22"/>
          <w:szCs w:val="22"/>
        </w:rPr>
        <w:t>:</w:t>
      </w:r>
    </w:p>
    <w:p w:rsidR="00A578A7" w:rsidRPr="00A16EF4" w:rsidRDefault="00A578A7" w:rsidP="00203608">
      <w:pPr>
        <w:pStyle w:val="Ttulo4"/>
        <w:spacing w:after="240" w:line="276" w:lineRule="auto"/>
        <w:rPr>
          <w:rFonts w:ascii="Palatino Linotype" w:hAnsi="Palatino Linotype" w:cs="Tahoma"/>
          <w:sz w:val="22"/>
          <w:szCs w:val="22"/>
        </w:rPr>
      </w:pPr>
      <w:r w:rsidRPr="00D3459D">
        <w:rPr>
          <w:rFonts w:ascii="Palatino Linotype" w:hAnsi="Palatino Linotype" w:cs="Tahoma"/>
          <w:b/>
          <w:sz w:val="22"/>
          <w:szCs w:val="22"/>
        </w:rPr>
        <w:t>Ubicación:</w:t>
      </w:r>
      <w:r w:rsidRPr="00A16EF4">
        <w:rPr>
          <w:rFonts w:ascii="Palatino Linotype" w:hAnsi="Palatino Linotype" w:cs="Tahoma"/>
          <w:sz w:val="22"/>
          <w:szCs w:val="22"/>
        </w:rPr>
        <w:tab/>
        <w:t>Calle N de la Urbanización</w:t>
      </w:r>
      <w:r w:rsidR="00D3459D">
        <w:rPr>
          <w:rFonts w:ascii="Palatino Linotype" w:hAnsi="Palatino Linotype" w:cs="Tahoma"/>
          <w:sz w:val="22"/>
          <w:szCs w:val="22"/>
        </w:rPr>
        <w:t>.</w:t>
      </w:r>
    </w:p>
    <w:p w:rsidR="00A578A7" w:rsidRPr="00A16EF4" w:rsidRDefault="00A578A7" w:rsidP="00203608">
      <w:pPr>
        <w:spacing w:after="240" w:line="276" w:lineRule="auto"/>
        <w:rPr>
          <w:rFonts w:ascii="Palatino Linotype" w:hAnsi="Palatino Linotype" w:cs="Tahoma"/>
          <w:sz w:val="22"/>
          <w:szCs w:val="22"/>
        </w:rPr>
      </w:pPr>
      <w:r w:rsidRPr="00D3459D">
        <w:rPr>
          <w:rFonts w:ascii="Palatino Linotype" w:hAnsi="Palatino Linotype" w:cs="Tahoma"/>
          <w:b/>
          <w:sz w:val="22"/>
          <w:szCs w:val="22"/>
        </w:rPr>
        <w:t>Referencia:</w:t>
      </w:r>
      <w:r w:rsidRPr="00A16EF4">
        <w:rPr>
          <w:rFonts w:ascii="Palatino Linotype" w:hAnsi="Palatino Linotype" w:cs="Tahoma"/>
          <w:sz w:val="22"/>
          <w:szCs w:val="22"/>
        </w:rPr>
        <w:tab/>
        <w:t>Hoja Catastral 32703</w:t>
      </w:r>
      <w:r w:rsidR="00D3459D">
        <w:rPr>
          <w:rFonts w:ascii="Palatino Linotype" w:hAnsi="Palatino Linotype" w:cs="Tahoma"/>
          <w:sz w:val="22"/>
          <w:szCs w:val="22"/>
        </w:rPr>
        <w:t>.</w:t>
      </w:r>
    </w:p>
    <w:p w:rsidR="00A578A7" w:rsidRPr="00A16EF4" w:rsidRDefault="00A578A7" w:rsidP="00203608">
      <w:pPr>
        <w:spacing w:after="240" w:line="276" w:lineRule="auto"/>
        <w:rPr>
          <w:rFonts w:ascii="Palatino Linotype" w:hAnsi="Palatino Linotype" w:cs="Tahoma"/>
          <w:sz w:val="22"/>
          <w:szCs w:val="22"/>
        </w:rPr>
      </w:pPr>
      <w:r w:rsidRPr="00D3459D">
        <w:rPr>
          <w:rFonts w:ascii="Palatino Linotype" w:hAnsi="Palatino Linotype" w:cs="Tahoma"/>
          <w:b/>
          <w:sz w:val="22"/>
          <w:szCs w:val="22"/>
        </w:rPr>
        <w:lastRenderedPageBreak/>
        <w:t>Superficie:</w:t>
      </w:r>
      <w:r w:rsidRPr="00A16EF4">
        <w:rPr>
          <w:rFonts w:ascii="Palatino Linotype" w:hAnsi="Palatino Linotype" w:cs="Tahoma"/>
          <w:sz w:val="22"/>
          <w:szCs w:val="22"/>
        </w:rPr>
        <w:tab/>
        <w:t>609,74 m</w:t>
      </w:r>
      <w:r w:rsidRPr="00D3459D">
        <w:rPr>
          <w:rFonts w:ascii="Palatino Linotype" w:hAnsi="Palatino Linotype" w:cs="Tahoma"/>
          <w:sz w:val="22"/>
          <w:szCs w:val="22"/>
          <w:vertAlign w:val="superscript"/>
        </w:rPr>
        <w:t>2</w:t>
      </w:r>
    </w:p>
    <w:p w:rsidR="00A578A7" w:rsidRPr="00A16EF4" w:rsidRDefault="00A578A7" w:rsidP="00203608">
      <w:pPr>
        <w:spacing w:after="240" w:line="276" w:lineRule="auto"/>
        <w:rPr>
          <w:rFonts w:ascii="Palatino Linotype" w:hAnsi="Palatino Linotype" w:cs="Tahoma"/>
          <w:sz w:val="22"/>
          <w:szCs w:val="22"/>
        </w:rPr>
      </w:pPr>
      <w:r w:rsidRPr="00D3459D">
        <w:rPr>
          <w:rFonts w:ascii="Palatino Linotype" w:hAnsi="Palatino Linotype" w:cs="Tahoma"/>
          <w:b/>
          <w:sz w:val="22"/>
          <w:szCs w:val="22"/>
        </w:rPr>
        <w:t>Pendiente:</w:t>
      </w:r>
      <w:r w:rsidRPr="00A16EF4">
        <w:rPr>
          <w:rFonts w:ascii="Palatino Linotype" w:hAnsi="Palatino Linotype" w:cs="Tahoma"/>
          <w:sz w:val="22"/>
          <w:szCs w:val="22"/>
        </w:rPr>
        <w:tab/>
        <w:t>20°</w:t>
      </w:r>
    </w:p>
    <w:p w:rsidR="00A578A7" w:rsidRPr="00D3459D" w:rsidRDefault="00D3459D" w:rsidP="00203608">
      <w:pPr>
        <w:spacing w:after="240" w:line="276" w:lineRule="auto"/>
        <w:rPr>
          <w:rFonts w:ascii="Palatino Linotype" w:hAnsi="Palatino Linotype" w:cs="Tahoma"/>
          <w:b/>
          <w:sz w:val="22"/>
          <w:szCs w:val="22"/>
        </w:rPr>
      </w:pPr>
      <w:r w:rsidRPr="00D3459D">
        <w:rPr>
          <w:rFonts w:ascii="Palatino Linotype" w:hAnsi="Palatino Linotype" w:cs="Tahoma"/>
          <w:b/>
          <w:sz w:val="22"/>
          <w:szCs w:val="22"/>
        </w:rPr>
        <w:t>Linderos:</w:t>
      </w:r>
    </w:p>
    <w:p w:rsidR="00A578A7" w:rsidRPr="00A16EF4" w:rsidRDefault="00D3459D" w:rsidP="00203608">
      <w:pPr>
        <w:spacing w:after="240" w:line="276" w:lineRule="auto"/>
        <w:rPr>
          <w:rFonts w:ascii="Palatino Linotype" w:hAnsi="Palatino Linotype" w:cs="Tahoma"/>
          <w:sz w:val="22"/>
          <w:szCs w:val="22"/>
        </w:rPr>
      </w:pPr>
      <w:r w:rsidRPr="00D3459D">
        <w:rPr>
          <w:rFonts w:ascii="Palatino Linotype" w:hAnsi="Palatino Linotype" w:cs="Tahoma"/>
          <w:b/>
          <w:sz w:val="22"/>
          <w:szCs w:val="22"/>
        </w:rPr>
        <w:t>Norte:</w:t>
      </w:r>
      <w:r w:rsidR="00D10071" w:rsidRPr="00A16EF4">
        <w:rPr>
          <w:rFonts w:ascii="Palatino Linotype" w:hAnsi="Palatino Linotype" w:cs="Tahoma"/>
          <w:sz w:val="22"/>
          <w:szCs w:val="22"/>
        </w:rPr>
        <w:tab/>
      </w:r>
      <w:r>
        <w:rPr>
          <w:rFonts w:ascii="Palatino Linotype" w:hAnsi="Palatino Linotype" w:cs="Tahoma"/>
          <w:sz w:val="22"/>
          <w:szCs w:val="22"/>
        </w:rPr>
        <w:tab/>
      </w:r>
      <w:r w:rsidR="00A578A7" w:rsidRPr="00A16EF4">
        <w:rPr>
          <w:rFonts w:ascii="Palatino Linotype" w:hAnsi="Palatino Linotype" w:cs="Tahoma"/>
          <w:sz w:val="22"/>
          <w:szCs w:val="22"/>
        </w:rPr>
        <w:t>Parcelación de la Hacienda El Conde en 31,95 m</w:t>
      </w:r>
      <w:r>
        <w:rPr>
          <w:rFonts w:ascii="Palatino Linotype" w:hAnsi="Palatino Linotype" w:cs="Tahoma"/>
          <w:sz w:val="22"/>
          <w:szCs w:val="22"/>
        </w:rPr>
        <w:t>.</w:t>
      </w:r>
    </w:p>
    <w:p w:rsidR="00A578A7" w:rsidRPr="00A16EF4" w:rsidRDefault="00D3459D" w:rsidP="00203608">
      <w:pPr>
        <w:spacing w:after="240" w:line="276" w:lineRule="auto"/>
        <w:rPr>
          <w:rFonts w:ascii="Palatino Linotype" w:hAnsi="Palatino Linotype" w:cs="Tahoma"/>
          <w:sz w:val="22"/>
          <w:szCs w:val="22"/>
        </w:rPr>
      </w:pPr>
      <w:r w:rsidRPr="00D3459D">
        <w:rPr>
          <w:rFonts w:ascii="Palatino Linotype" w:hAnsi="Palatino Linotype" w:cs="Tahoma"/>
          <w:b/>
          <w:sz w:val="22"/>
          <w:szCs w:val="22"/>
        </w:rPr>
        <w:t>Sur:</w:t>
      </w:r>
      <w:r w:rsidRPr="00D3459D">
        <w:rPr>
          <w:rFonts w:ascii="Palatino Linotype" w:hAnsi="Palatino Linotype" w:cs="Tahoma"/>
          <w:b/>
          <w:sz w:val="22"/>
          <w:szCs w:val="22"/>
        </w:rPr>
        <w:tab/>
      </w:r>
      <w:r w:rsidR="00A578A7" w:rsidRPr="00A16EF4">
        <w:rPr>
          <w:rFonts w:ascii="Palatino Linotype" w:hAnsi="Palatino Linotype" w:cs="Tahoma"/>
          <w:sz w:val="22"/>
          <w:szCs w:val="22"/>
        </w:rPr>
        <w:tab/>
        <w:t>Lotes No. 26 en 20,59 m y calle N en 12,18 m</w:t>
      </w:r>
      <w:r>
        <w:rPr>
          <w:rFonts w:ascii="Palatino Linotype" w:hAnsi="Palatino Linotype" w:cs="Tahoma"/>
          <w:sz w:val="22"/>
          <w:szCs w:val="22"/>
        </w:rPr>
        <w:t>.</w:t>
      </w:r>
    </w:p>
    <w:p w:rsidR="00A578A7" w:rsidRPr="00A16EF4" w:rsidRDefault="00D3459D" w:rsidP="00203608">
      <w:pPr>
        <w:spacing w:after="240" w:line="276" w:lineRule="auto"/>
        <w:rPr>
          <w:rFonts w:ascii="Palatino Linotype" w:hAnsi="Palatino Linotype" w:cs="Tahoma"/>
          <w:sz w:val="22"/>
          <w:szCs w:val="22"/>
        </w:rPr>
      </w:pPr>
      <w:r w:rsidRPr="00D3459D">
        <w:rPr>
          <w:rFonts w:ascii="Palatino Linotype" w:hAnsi="Palatino Linotype" w:cs="Tahoma"/>
          <w:b/>
          <w:sz w:val="22"/>
          <w:szCs w:val="22"/>
        </w:rPr>
        <w:t>Este:</w:t>
      </w:r>
      <w:r>
        <w:rPr>
          <w:rFonts w:ascii="Palatino Linotype" w:hAnsi="Palatino Linotype" w:cs="Tahoma"/>
          <w:sz w:val="22"/>
          <w:szCs w:val="22"/>
        </w:rPr>
        <w:tab/>
      </w:r>
      <w:r>
        <w:rPr>
          <w:rFonts w:ascii="Palatino Linotype" w:hAnsi="Palatino Linotype" w:cs="Tahoma"/>
          <w:sz w:val="22"/>
          <w:szCs w:val="22"/>
        </w:rPr>
        <w:tab/>
        <w:t>Área v</w:t>
      </w:r>
      <w:r w:rsidR="00A578A7" w:rsidRPr="00A16EF4">
        <w:rPr>
          <w:rFonts w:ascii="Palatino Linotype" w:hAnsi="Palatino Linotype" w:cs="Tahoma"/>
          <w:sz w:val="22"/>
          <w:szCs w:val="22"/>
        </w:rPr>
        <w:t>erde en 16,55 m</w:t>
      </w:r>
      <w:r>
        <w:rPr>
          <w:rFonts w:ascii="Palatino Linotype" w:hAnsi="Palatino Linotype" w:cs="Tahoma"/>
          <w:sz w:val="22"/>
          <w:szCs w:val="22"/>
        </w:rPr>
        <w:t>.</w:t>
      </w:r>
    </w:p>
    <w:p w:rsidR="00A578A7" w:rsidRPr="00A16EF4" w:rsidRDefault="00D3459D" w:rsidP="00203608">
      <w:pPr>
        <w:spacing w:after="240" w:line="276" w:lineRule="auto"/>
        <w:rPr>
          <w:rFonts w:ascii="Palatino Linotype" w:hAnsi="Palatino Linotype" w:cs="Tahoma"/>
          <w:sz w:val="22"/>
          <w:szCs w:val="22"/>
        </w:rPr>
      </w:pPr>
      <w:r w:rsidRPr="00D3459D">
        <w:rPr>
          <w:rFonts w:ascii="Palatino Linotype" w:hAnsi="Palatino Linotype" w:cs="Tahoma"/>
          <w:b/>
          <w:sz w:val="22"/>
          <w:szCs w:val="22"/>
        </w:rPr>
        <w:t>Oeste:</w:t>
      </w:r>
      <w:r w:rsidR="00A578A7" w:rsidRPr="00A16EF4">
        <w:rPr>
          <w:rFonts w:ascii="Palatino Linotype" w:hAnsi="Palatino Linotype" w:cs="Tahoma"/>
          <w:sz w:val="22"/>
          <w:szCs w:val="22"/>
        </w:rPr>
        <w:tab/>
      </w:r>
      <w:r w:rsidR="00A578A7" w:rsidRPr="00A16EF4">
        <w:rPr>
          <w:rFonts w:ascii="Palatino Linotype" w:hAnsi="Palatino Linotype" w:cs="Tahoma"/>
          <w:sz w:val="22"/>
          <w:szCs w:val="22"/>
        </w:rPr>
        <w:tab/>
        <w:t>Lotes No</w:t>
      </w:r>
      <w:r>
        <w:rPr>
          <w:rFonts w:ascii="Palatino Linotype" w:hAnsi="Palatino Linotype" w:cs="Tahoma"/>
          <w:sz w:val="22"/>
          <w:szCs w:val="22"/>
        </w:rPr>
        <w:t>s</w:t>
      </w:r>
      <w:r w:rsidR="00A578A7" w:rsidRPr="00A16EF4">
        <w:rPr>
          <w:rFonts w:ascii="Palatino Linotype" w:hAnsi="Palatino Linotype" w:cs="Tahoma"/>
          <w:sz w:val="22"/>
          <w:szCs w:val="22"/>
        </w:rPr>
        <w:t>. 1 y 2 en 21,27 m</w:t>
      </w:r>
      <w:r>
        <w:rPr>
          <w:rFonts w:ascii="Palatino Linotype" w:hAnsi="Palatino Linotype" w:cs="Tahoma"/>
          <w:sz w:val="22"/>
          <w:szCs w:val="22"/>
        </w:rPr>
        <w:t>.</w:t>
      </w:r>
    </w:p>
    <w:p w:rsidR="00A578A7" w:rsidRPr="00A16EF4" w:rsidRDefault="00A578A7" w:rsidP="00203608">
      <w:pPr>
        <w:spacing w:after="240" w:line="276" w:lineRule="auto"/>
        <w:jc w:val="both"/>
        <w:rPr>
          <w:rFonts w:ascii="Palatino Linotype" w:hAnsi="Palatino Linotype" w:cs="Tahoma"/>
          <w:sz w:val="22"/>
          <w:szCs w:val="22"/>
        </w:rPr>
      </w:pPr>
      <w:r w:rsidRPr="00A16EF4">
        <w:rPr>
          <w:rFonts w:ascii="Palatino Linotype" w:hAnsi="Palatino Linotype" w:cs="Tahoma"/>
          <w:b/>
          <w:sz w:val="22"/>
          <w:szCs w:val="22"/>
        </w:rPr>
        <w:t>Art</w:t>
      </w:r>
      <w:r w:rsidR="00D3459D">
        <w:rPr>
          <w:rFonts w:ascii="Palatino Linotype" w:hAnsi="Palatino Linotype" w:cs="Tahoma"/>
          <w:b/>
          <w:sz w:val="22"/>
          <w:szCs w:val="22"/>
        </w:rPr>
        <w:t>ículo</w:t>
      </w:r>
      <w:r w:rsidRPr="00A16EF4">
        <w:rPr>
          <w:rFonts w:ascii="Palatino Linotype" w:hAnsi="Palatino Linotype" w:cs="Tahoma"/>
          <w:b/>
          <w:sz w:val="22"/>
          <w:szCs w:val="22"/>
        </w:rPr>
        <w:t xml:space="preserve"> 4.- D</w:t>
      </w:r>
      <w:r w:rsidR="00D3459D" w:rsidRPr="00A16EF4">
        <w:rPr>
          <w:rFonts w:ascii="Palatino Linotype" w:hAnsi="Palatino Linotype" w:cs="Tahoma"/>
          <w:b/>
          <w:sz w:val="22"/>
          <w:szCs w:val="22"/>
        </w:rPr>
        <w:t>e las vías</w:t>
      </w:r>
      <w:r w:rsidR="00D3459D">
        <w:rPr>
          <w:rFonts w:ascii="Palatino Linotype" w:hAnsi="Palatino Linotype" w:cs="Tahoma"/>
          <w:b/>
          <w:sz w:val="22"/>
          <w:szCs w:val="22"/>
        </w:rPr>
        <w:t xml:space="preserve">.- </w:t>
      </w:r>
      <w:r w:rsidRPr="00A16EF4">
        <w:rPr>
          <w:rFonts w:ascii="Palatino Linotype" w:hAnsi="Palatino Linotype" w:cs="Tahoma"/>
          <w:sz w:val="22"/>
          <w:szCs w:val="22"/>
        </w:rPr>
        <w:t>Las vías de la urbanización tiene una sección transversal de 12,00 metros y 6.00 metros, respectivamente.</w:t>
      </w:r>
    </w:p>
    <w:p w:rsidR="00A578A7" w:rsidRPr="00A16EF4" w:rsidRDefault="00A578A7" w:rsidP="00203608">
      <w:pPr>
        <w:spacing w:after="240" w:line="276" w:lineRule="auto"/>
        <w:jc w:val="both"/>
        <w:rPr>
          <w:rFonts w:ascii="Palatino Linotype" w:hAnsi="Palatino Linotype" w:cs="Tahoma"/>
          <w:sz w:val="22"/>
          <w:szCs w:val="22"/>
        </w:rPr>
      </w:pPr>
      <w:r w:rsidRPr="00A16EF4">
        <w:rPr>
          <w:rFonts w:ascii="Palatino Linotype" w:hAnsi="Palatino Linotype" w:cs="Tahoma"/>
          <w:b/>
          <w:sz w:val="22"/>
          <w:szCs w:val="22"/>
        </w:rPr>
        <w:t>Art</w:t>
      </w:r>
      <w:r w:rsidR="00D3459D">
        <w:rPr>
          <w:rFonts w:ascii="Palatino Linotype" w:hAnsi="Palatino Linotype" w:cs="Tahoma"/>
          <w:b/>
          <w:sz w:val="22"/>
          <w:szCs w:val="22"/>
        </w:rPr>
        <w:t>ículo</w:t>
      </w:r>
      <w:r w:rsidRPr="00A16EF4">
        <w:rPr>
          <w:rFonts w:ascii="Palatino Linotype" w:hAnsi="Palatino Linotype" w:cs="Tahoma"/>
          <w:b/>
          <w:sz w:val="22"/>
          <w:szCs w:val="22"/>
        </w:rPr>
        <w:t xml:space="preserve"> 5.- D</w:t>
      </w:r>
      <w:r w:rsidR="00D3459D" w:rsidRPr="00A16EF4">
        <w:rPr>
          <w:rFonts w:ascii="Palatino Linotype" w:hAnsi="Palatino Linotype" w:cs="Tahoma"/>
          <w:b/>
          <w:sz w:val="22"/>
          <w:szCs w:val="22"/>
        </w:rPr>
        <w:t>e la garantía para la ejecución de las obras</w:t>
      </w:r>
      <w:r w:rsidRPr="00A16EF4">
        <w:rPr>
          <w:rFonts w:ascii="Palatino Linotype" w:hAnsi="Palatino Linotype" w:cs="Tahoma"/>
          <w:b/>
          <w:sz w:val="22"/>
          <w:szCs w:val="22"/>
        </w:rPr>
        <w:t xml:space="preserve">.- </w:t>
      </w:r>
      <w:r w:rsidRPr="00A16EF4">
        <w:rPr>
          <w:rFonts w:ascii="Palatino Linotype" w:hAnsi="Palatino Linotype" w:cs="Tahoma"/>
          <w:sz w:val="22"/>
          <w:szCs w:val="22"/>
        </w:rPr>
        <w:t xml:space="preserve">Se establece </w:t>
      </w:r>
      <w:r w:rsidR="00D3459D">
        <w:rPr>
          <w:rFonts w:ascii="Palatino Linotype" w:hAnsi="Palatino Linotype" w:cs="Tahoma"/>
          <w:sz w:val="22"/>
          <w:szCs w:val="22"/>
        </w:rPr>
        <w:t>un valor de USD.</w:t>
      </w:r>
      <w:r w:rsidR="00D3459D" w:rsidRPr="00A16EF4">
        <w:rPr>
          <w:rFonts w:ascii="Palatino Linotype" w:hAnsi="Palatino Linotype" w:cs="Tahoma"/>
          <w:sz w:val="22"/>
          <w:szCs w:val="22"/>
        </w:rPr>
        <w:t xml:space="preserve"> 20,00</w:t>
      </w:r>
      <w:r w:rsidR="00D3459D">
        <w:rPr>
          <w:rFonts w:ascii="Palatino Linotype" w:hAnsi="Palatino Linotype" w:cs="Tahoma"/>
          <w:sz w:val="22"/>
          <w:szCs w:val="22"/>
        </w:rPr>
        <w:t xml:space="preserve"> (veinte dólares de los Estados Unidos de América</w:t>
      </w:r>
      <w:r w:rsidRPr="00A16EF4">
        <w:rPr>
          <w:rFonts w:ascii="Palatino Linotype" w:hAnsi="Palatino Linotype" w:cs="Tahoma"/>
          <w:sz w:val="22"/>
          <w:szCs w:val="22"/>
        </w:rPr>
        <w:t>) al costo unitario del metro cuadrado de</w:t>
      </w:r>
      <w:r w:rsidR="00D3459D">
        <w:rPr>
          <w:rFonts w:ascii="Palatino Linotype" w:hAnsi="Palatino Linotype" w:cs="Tahoma"/>
          <w:sz w:val="22"/>
          <w:szCs w:val="22"/>
        </w:rPr>
        <w:t>l</w:t>
      </w:r>
      <w:r w:rsidRPr="00A16EF4">
        <w:rPr>
          <w:rFonts w:ascii="Palatino Linotype" w:hAnsi="Palatino Linotype" w:cs="Tahoma"/>
          <w:sz w:val="22"/>
          <w:szCs w:val="22"/>
        </w:rPr>
        <w:t xml:space="preserve"> área útil en obras de urbanización, por lo cual la garantía que deberá rendir la propietaria de la urbanización es de USD</w:t>
      </w:r>
      <w:r w:rsidR="00D3459D">
        <w:rPr>
          <w:rFonts w:ascii="Palatino Linotype" w:hAnsi="Palatino Linotype" w:cs="Tahoma"/>
          <w:sz w:val="22"/>
          <w:szCs w:val="22"/>
        </w:rPr>
        <w:t>.</w:t>
      </w:r>
      <w:r w:rsidRPr="00A16EF4">
        <w:rPr>
          <w:rFonts w:ascii="Palatino Linotype" w:hAnsi="Palatino Linotype" w:cs="Tahoma"/>
          <w:sz w:val="22"/>
          <w:szCs w:val="22"/>
        </w:rPr>
        <w:t xml:space="preserve"> 240.391,00 (</w:t>
      </w:r>
      <w:r w:rsidR="00D3459D" w:rsidRPr="00A16EF4">
        <w:rPr>
          <w:rFonts w:ascii="Palatino Linotype" w:hAnsi="Palatino Linotype" w:cs="Tahoma"/>
          <w:sz w:val="22"/>
          <w:szCs w:val="22"/>
        </w:rPr>
        <w:t>doscientos cuarenta mil trescientos noventa y un</w:t>
      </w:r>
      <w:r w:rsidR="00D3459D">
        <w:rPr>
          <w:rFonts w:ascii="Palatino Linotype" w:hAnsi="Palatino Linotype" w:cs="Tahoma"/>
          <w:sz w:val="22"/>
          <w:szCs w:val="22"/>
        </w:rPr>
        <w:t xml:space="preserve"> dólares de los Estados Unidos de América</w:t>
      </w:r>
      <w:r w:rsidR="00D3459D" w:rsidRPr="00A16EF4">
        <w:rPr>
          <w:rFonts w:ascii="Palatino Linotype" w:hAnsi="Palatino Linotype" w:cs="Tahoma"/>
          <w:sz w:val="22"/>
          <w:szCs w:val="22"/>
        </w:rPr>
        <w:t xml:space="preserve"> con 00/100 centavos</w:t>
      </w:r>
      <w:r w:rsidRPr="00A16EF4">
        <w:rPr>
          <w:rFonts w:ascii="Palatino Linotype" w:hAnsi="Palatino Linotype" w:cs="Tahoma"/>
          <w:sz w:val="22"/>
          <w:szCs w:val="22"/>
        </w:rPr>
        <w:t>).</w:t>
      </w:r>
    </w:p>
    <w:p w:rsidR="00A578A7" w:rsidRPr="00A16EF4" w:rsidRDefault="00A578A7" w:rsidP="00203608">
      <w:pPr>
        <w:spacing w:after="240" w:line="276" w:lineRule="auto"/>
        <w:jc w:val="both"/>
        <w:rPr>
          <w:rFonts w:ascii="Palatino Linotype" w:hAnsi="Palatino Linotype" w:cs="Tahoma"/>
          <w:sz w:val="22"/>
          <w:szCs w:val="22"/>
        </w:rPr>
      </w:pPr>
      <w:r w:rsidRPr="00A16EF4">
        <w:rPr>
          <w:rFonts w:ascii="Palatino Linotype" w:hAnsi="Palatino Linotype" w:cs="Tahoma"/>
          <w:sz w:val="22"/>
          <w:szCs w:val="22"/>
        </w:rPr>
        <w:t xml:space="preserve">La garantía podrá ser rendida a favor del Municipio del Distrito Metropolitano de Quito de </w:t>
      </w:r>
      <w:r w:rsidR="00D3459D">
        <w:rPr>
          <w:rFonts w:ascii="Palatino Linotype" w:hAnsi="Palatino Linotype" w:cs="Tahoma"/>
          <w:sz w:val="22"/>
          <w:szCs w:val="22"/>
        </w:rPr>
        <w:t>entre las previstas en la Ley Orgánica del Sistema Nacional de</w:t>
      </w:r>
      <w:r w:rsidRPr="00A16EF4">
        <w:rPr>
          <w:rFonts w:ascii="Palatino Linotype" w:hAnsi="Palatino Linotype" w:cs="Tahoma"/>
          <w:sz w:val="22"/>
          <w:szCs w:val="22"/>
        </w:rPr>
        <w:t xml:space="preserve"> Contratación Pública, por un valor equivalente al cien por ciento (100%) del valor de las obras de urbanización. Se podrá constituir hipoteca sobre inmuebles diferentes al predio a urbanizarse.</w:t>
      </w:r>
    </w:p>
    <w:p w:rsidR="00A578A7" w:rsidRPr="00A16EF4" w:rsidRDefault="00A578A7" w:rsidP="00203608">
      <w:pPr>
        <w:spacing w:after="240" w:line="276" w:lineRule="auto"/>
        <w:jc w:val="both"/>
        <w:rPr>
          <w:rFonts w:ascii="Palatino Linotype" w:hAnsi="Palatino Linotype" w:cs="Tahoma"/>
          <w:sz w:val="22"/>
          <w:szCs w:val="22"/>
        </w:rPr>
      </w:pPr>
      <w:r w:rsidRPr="00A16EF4">
        <w:rPr>
          <w:rFonts w:ascii="Palatino Linotype" w:hAnsi="Palatino Linotype" w:cs="Tahoma"/>
          <w:b/>
          <w:sz w:val="22"/>
          <w:szCs w:val="22"/>
        </w:rPr>
        <w:t>Art</w:t>
      </w:r>
      <w:r w:rsidR="00D3459D">
        <w:rPr>
          <w:rFonts w:ascii="Palatino Linotype" w:hAnsi="Palatino Linotype" w:cs="Tahoma"/>
          <w:b/>
          <w:sz w:val="22"/>
          <w:szCs w:val="22"/>
        </w:rPr>
        <w:t>ículo</w:t>
      </w:r>
      <w:r w:rsidRPr="00A16EF4">
        <w:rPr>
          <w:rFonts w:ascii="Palatino Linotype" w:hAnsi="Palatino Linotype" w:cs="Tahoma"/>
          <w:b/>
          <w:sz w:val="22"/>
          <w:szCs w:val="22"/>
        </w:rPr>
        <w:t xml:space="preserve"> 6.- P</w:t>
      </w:r>
      <w:r w:rsidR="00D3459D" w:rsidRPr="00A16EF4">
        <w:rPr>
          <w:rFonts w:ascii="Palatino Linotype" w:hAnsi="Palatino Linotype" w:cs="Tahoma"/>
          <w:b/>
          <w:sz w:val="22"/>
          <w:szCs w:val="22"/>
        </w:rPr>
        <w:t>lazo para la ejecución de las obras</w:t>
      </w:r>
      <w:r w:rsidRPr="00A16EF4">
        <w:rPr>
          <w:rFonts w:ascii="Palatino Linotype" w:hAnsi="Palatino Linotype" w:cs="Tahoma"/>
          <w:b/>
          <w:sz w:val="22"/>
          <w:szCs w:val="22"/>
        </w:rPr>
        <w:t xml:space="preserve">.- </w:t>
      </w:r>
      <w:r w:rsidR="00D3459D">
        <w:rPr>
          <w:rFonts w:ascii="Palatino Linotype" w:hAnsi="Palatino Linotype" w:cs="Tahoma"/>
          <w:sz w:val="22"/>
          <w:szCs w:val="22"/>
        </w:rPr>
        <w:t>De acuerdo al c</w:t>
      </w:r>
      <w:r w:rsidRPr="00A16EF4">
        <w:rPr>
          <w:rFonts w:ascii="Palatino Linotype" w:hAnsi="Palatino Linotype" w:cs="Tahoma"/>
          <w:sz w:val="22"/>
          <w:szCs w:val="22"/>
        </w:rPr>
        <w:t>ronograma valorado de obras constante en el plano que contiene la implantación del proyecto urbanístico, el plazo para la ejecución de las obras de urbanización es de dos (2) años.</w:t>
      </w:r>
    </w:p>
    <w:p w:rsidR="00C76F80" w:rsidRPr="00D3459D" w:rsidRDefault="00A578A7" w:rsidP="00D3459D">
      <w:pPr>
        <w:spacing w:after="240" w:line="276" w:lineRule="auto"/>
        <w:jc w:val="both"/>
        <w:rPr>
          <w:rFonts w:ascii="Palatino Linotype" w:hAnsi="Palatino Linotype" w:cs="Tahoma"/>
          <w:sz w:val="22"/>
          <w:szCs w:val="22"/>
        </w:rPr>
      </w:pPr>
      <w:r w:rsidRPr="00D3459D">
        <w:rPr>
          <w:rFonts w:ascii="Palatino Linotype" w:hAnsi="Palatino Linotype" w:cs="Tahoma"/>
          <w:sz w:val="22"/>
          <w:szCs w:val="22"/>
        </w:rPr>
        <w:t>De las obras de urbanización, se deberán pagar las contribuciones y mejoras de ley</w:t>
      </w:r>
      <w:r w:rsidR="00D3459D">
        <w:rPr>
          <w:rFonts w:ascii="Palatino Linotype" w:hAnsi="Palatino Linotype" w:cs="Tahoma"/>
          <w:sz w:val="22"/>
          <w:szCs w:val="22"/>
        </w:rPr>
        <w:t>; y, d</w:t>
      </w:r>
      <w:r w:rsidRPr="00D3459D">
        <w:rPr>
          <w:rFonts w:ascii="Palatino Linotype" w:hAnsi="Palatino Linotype" w:cs="Tahoma"/>
          <w:sz w:val="22"/>
          <w:szCs w:val="22"/>
        </w:rPr>
        <w:t>eberá cancelarse la tasa retributiva por gastos administrativos correspondientes al registro de la Urbanización, de conformidad con la normativa vigente.</w:t>
      </w:r>
    </w:p>
    <w:p w:rsidR="00A578A7" w:rsidRPr="00A16EF4" w:rsidRDefault="00A578A7" w:rsidP="00203608">
      <w:pPr>
        <w:spacing w:after="240" w:line="276" w:lineRule="auto"/>
        <w:jc w:val="both"/>
        <w:rPr>
          <w:rFonts w:ascii="Palatino Linotype" w:hAnsi="Palatino Linotype" w:cs="Tahoma"/>
          <w:sz w:val="22"/>
          <w:szCs w:val="22"/>
        </w:rPr>
      </w:pPr>
      <w:r w:rsidRPr="00A16EF4">
        <w:rPr>
          <w:rFonts w:ascii="Palatino Linotype" w:hAnsi="Palatino Linotype" w:cs="Tahoma"/>
          <w:b/>
          <w:sz w:val="22"/>
          <w:szCs w:val="22"/>
        </w:rPr>
        <w:t>Art</w:t>
      </w:r>
      <w:r w:rsidR="00D3459D">
        <w:rPr>
          <w:rFonts w:ascii="Palatino Linotype" w:hAnsi="Palatino Linotype" w:cs="Tahoma"/>
          <w:b/>
          <w:sz w:val="22"/>
          <w:szCs w:val="22"/>
        </w:rPr>
        <w:t>ículo</w:t>
      </w:r>
      <w:r w:rsidRPr="00A16EF4">
        <w:rPr>
          <w:rFonts w:ascii="Palatino Linotype" w:hAnsi="Palatino Linotype" w:cs="Tahoma"/>
          <w:b/>
          <w:sz w:val="22"/>
          <w:szCs w:val="22"/>
        </w:rPr>
        <w:t xml:space="preserve"> 7.- D</w:t>
      </w:r>
      <w:r w:rsidR="00D3459D" w:rsidRPr="00A16EF4">
        <w:rPr>
          <w:rFonts w:ascii="Palatino Linotype" w:hAnsi="Palatino Linotype" w:cs="Tahoma"/>
          <w:b/>
          <w:sz w:val="22"/>
          <w:szCs w:val="22"/>
        </w:rPr>
        <w:t>el control de ejecución de las obras</w:t>
      </w:r>
      <w:r w:rsidRPr="00A16EF4">
        <w:rPr>
          <w:rFonts w:ascii="Palatino Linotype" w:hAnsi="Palatino Linotype" w:cs="Tahoma"/>
          <w:b/>
          <w:sz w:val="22"/>
          <w:szCs w:val="22"/>
        </w:rPr>
        <w:t xml:space="preserve">.- </w:t>
      </w:r>
      <w:r w:rsidRPr="00A16EF4">
        <w:rPr>
          <w:rFonts w:ascii="Palatino Linotype" w:hAnsi="Palatino Linotype" w:cs="Tahoma"/>
          <w:sz w:val="22"/>
          <w:szCs w:val="22"/>
        </w:rPr>
        <w:t>La instancia competente del control realizará el control y seguimiento de la ejecución de las obras de urbanización, hasta la terminación de las mismas.</w:t>
      </w:r>
    </w:p>
    <w:p w:rsidR="00A578A7" w:rsidRPr="00A16EF4" w:rsidRDefault="00A578A7" w:rsidP="00203608">
      <w:pPr>
        <w:spacing w:after="240" w:line="276" w:lineRule="auto"/>
        <w:jc w:val="both"/>
        <w:rPr>
          <w:rFonts w:ascii="Palatino Linotype" w:hAnsi="Palatino Linotype" w:cs="Tahoma"/>
          <w:sz w:val="22"/>
          <w:szCs w:val="22"/>
        </w:rPr>
      </w:pPr>
      <w:r w:rsidRPr="00A16EF4">
        <w:rPr>
          <w:rFonts w:ascii="Palatino Linotype" w:hAnsi="Palatino Linotype" w:cs="Tahoma"/>
          <w:b/>
          <w:sz w:val="22"/>
          <w:szCs w:val="22"/>
        </w:rPr>
        <w:lastRenderedPageBreak/>
        <w:t>Art</w:t>
      </w:r>
      <w:r w:rsidR="00D3459D">
        <w:rPr>
          <w:rFonts w:ascii="Palatino Linotype" w:hAnsi="Palatino Linotype" w:cs="Tahoma"/>
          <w:b/>
          <w:sz w:val="22"/>
          <w:szCs w:val="22"/>
        </w:rPr>
        <w:t>ículo</w:t>
      </w:r>
      <w:r w:rsidRPr="00A16EF4">
        <w:rPr>
          <w:rFonts w:ascii="Palatino Linotype" w:hAnsi="Palatino Linotype" w:cs="Tahoma"/>
          <w:b/>
          <w:sz w:val="22"/>
          <w:szCs w:val="22"/>
        </w:rPr>
        <w:t xml:space="preserve"> 8.- D</w:t>
      </w:r>
      <w:r w:rsidR="00D3459D" w:rsidRPr="00A16EF4">
        <w:rPr>
          <w:rFonts w:ascii="Palatino Linotype" w:hAnsi="Palatino Linotype" w:cs="Tahoma"/>
          <w:b/>
          <w:sz w:val="22"/>
          <w:szCs w:val="22"/>
        </w:rPr>
        <w:t>el retraso en la ejecución de obras</w:t>
      </w:r>
      <w:r w:rsidRPr="00A16EF4">
        <w:rPr>
          <w:rFonts w:ascii="Palatino Linotype" w:hAnsi="Palatino Linotype" w:cs="Tahoma"/>
          <w:b/>
          <w:sz w:val="22"/>
          <w:szCs w:val="22"/>
        </w:rPr>
        <w:t xml:space="preserve">.- </w:t>
      </w:r>
      <w:r w:rsidRPr="00A16EF4">
        <w:rPr>
          <w:rFonts w:ascii="Palatino Linotype" w:hAnsi="Palatino Linotype" w:cs="Tahoma"/>
          <w:sz w:val="22"/>
          <w:szCs w:val="22"/>
        </w:rPr>
        <w:t xml:space="preserve">En caso de retraso en la ejecución de las obras de urbanización, la propietaria pagará a la Municipalidad, en calidad de multa, el uno por mil por cada día de retraso, calculado del costo de las obras no ejecutadas, cuyo monto se establecerá en base a los informes técnicos correspondientes; particular que deberá notificarse a la Dirección Metropolitana Financiera, para que emita el título de crédito respectivo y proceda a su cobro, incluso por la vía coactiva. </w:t>
      </w:r>
    </w:p>
    <w:p w:rsidR="00A578A7" w:rsidRPr="00A16EF4" w:rsidRDefault="00A578A7" w:rsidP="00203608">
      <w:pPr>
        <w:spacing w:after="240" w:line="276" w:lineRule="auto"/>
        <w:jc w:val="both"/>
        <w:rPr>
          <w:rFonts w:ascii="Palatino Linotype" w:hAnsi="Palatino Linotype" w:cs="Tahoma"/>
          <w:sz w:val="22"/>
          <w:szCs w:val="22"/>
        </w:rPr>
      </w:pPr>
      <w:r w:rsidRPr="00A16EF4">
        <w:rPr>
          <w:rFonts w:ascii="Palatino Linotype" w:hAnsi="Palatino Linotype" w:cs="Tahoma"/>
          <w:b/>
          <w:sz w:val="22"/>
          <w:szCs w:val="22"/>
        </w:rPr>
        <w:t>Art</w:t>
      </w:r>
      <w:r w:rsidR="00D3459D">
        <w:rPr>
          <w:rFonts w:ascii="Palatino Linotype" w:hAnsi="Palatino Linotype" w:cs="Tahoma"/>
          <w:b/>
          <w:sz w:val="22"/>
          <w:szCs w:val="22"/>
        </w:rPr>
        <w:t>ículo</w:t>
      </w:r>
      <w:r w:rsidRPr="00A16EF4">
        <w:rPr>
          <w:rFonts w:ascii="Palatino Linotype" w:hAnsi="Palatino Linotype" w:cs="Tahoma"/>
          <w:b/>
          <w:sz w:val="22"/>
          <w:szCs w:val="22"/>
        </w:rPr>
        <w:t xml:space="preserve"> 9.- E</w:t>
      </w:r>
      <w:r w:rsidR="000B3213" w:rsidRPr="00A16EF4">
        <w:rPr>
          <w:rFonts w:ascii="Palatino Linotype" w:hAnsi="Palatino Linotype" w:cs="Tahoma"/>
          <w:b/>
          <w:sz w:val="22"/>
          <w:szCs w:val="22"/>
        </w:rPr>
        <w:t>scritura y registro</w:t>
      </w:r>
      <w:r w:rsidRPr="00A16EF4">
        <w:rPr>
          <w:rFonts w:ascii="Palatino Linotype" w:hAnsi="Palatino Linotype" w:cs="Tahoma"/>
          <w:b/>
          <w:sz w:val="22"/>
          <w:szCs w:val="22"/>
        </w:rPr>
        <w:t>.-</w:t>
      </w:r>
      <w:r w:rsidRPr="00A16EF4">
        <w:rPr>
          <w:rFonts w:ascii="Palatino Linotype" w:hAnsi="Palatino Linotype" w:cs="Tahoma"/>
          <w:sz w:val="22"/>
          <w:szCs w:val="22"/>
        </w:rPr>
        <w:t xml:space="preserve"> Los urbanizadores se comprometen en el plazo de 120 días, contados a partir de la sanción de la presente ordenanza, a suscribir e inscribir la correspondiente escritura pública de transferencia de dominio de las áreas verdes y de equipamiento comunal a favor del Municipio, y</w:t>
      </w:r>
      <w:r w:rsidR="000B3213">
        <w:rPr>
          <w:rFonts w:ascii="Palatino Linotype" w:hAnsi="Palatino Linotype" w:cs="Tahoma"/>
          <w:sz w:val="22"/>
          <w:szCs w:val="22"/>
        </w:rPr>
        <w:t xml:space="preserve"> a</w:t>
      </w:r>
      <w:r w:rsidRPr="00A16EF4">
        <w:rPr>
          <w:rFonts w:ascii="Palatino Linotype" w:hAnsi="Palatino Linotype" w:cs="Tahoma"/>
          <w:sz w:val="22"/>
          <w:szCs w:val="22"/>
        </w:rPr>
        <w:t xml:space="preserve"> protocolizarla e inscribirla en el Registro de la Propiedad del Distrito Metropolitano de Quito, con todos sus documentos habilitantes, caso contrario el Concejo Metropolitano revocará  la presente ordenanza, notificándose del particular a la Comisaría de la </w:t>
      </w:r>
      <w:r w:rsidR="000B3213">
        <w:rPr>
          <w:rFonts w:ascii="Palatino Linotype" w:hAnsi="Palatino Linotype" w:cs="Tahoma"/>
          <w:sz w:val="22"/>
          <w:szCs w:val="22"/>
        </w:rPr>
        <w:t xml:space="preserve">Administración </w:t>
      </w:r>
      <w:r w:rsidRPr="00A16EF4">
        <w:rPr>
          <w:rFonts w:ascii="Palatino Linotype" w:hAnsi="Palatino Linotype" w:cs="Tahoma"/>
          <w:sz w:val="22"/>
          <w:szCs w:val="22"/>
        </w:rPr>
        <w:t>Zona</w:t>
      </w:r>
      <w:r w:rsidR="000B3213">
        <w:rPr>
          <w:rFonts w:ascii="Palatino Linotype" w:hAnsi="Palatino Linotype" w:cs="Tahoma"/>
          <w:sz w:val="22"/>
          <w:szCs w:val="22"/>
        </w:rPr>
        <w:t>l</w:t>
      </w:r>
      <w:r w:rsidRPr="00A16EF4">
        <w:rPr>
          <w:rFonts w:ascii="Palatino Linotype" w:hAnsi="Palatino Linotype" w:cs="Tahoma"/>
          <w:sz w:val="22"/>
          <w:szCs w:val="22"/>
        </w:rPr>
        <w:t xml:space="preserve"> correspondiente, para que inicie las acciones legales pertinentes.</w:t>
      </w:r>
    </w:p>
    <w:p w:rsidR="00A578A7" w:rsidRPr="00A16EF4" w:rsidRDefault="00A578A7" w:rsidP="00203608">
      <w:pPr>
        <w:spacing w:after="240" w:line="276" w:lineRule="auto"/>
        <w:jc w:val="both"/>
        <w:rPr>
          <w:rFonts w:ascii="Palatino Linotype" w:hAnsi="Palatino Linotype" w:cs="Tahoma"/>
          <w:sz w:val="22"/>
          <w:szCs w:val="22"/>
        </w:rPr>
      </w:pPr>
      <w:r w:rsidRPr="00A16EF4">
        <w:rPr>
          <w:rFonts w:ascii="Palatino Linotype" w:hAnsi="Palatino Linotype" w:cs="Tahoma"/>
          <w:b/>
          <w:sz w:val="22"/>
          <w:szCs w:val="22"/>
        </w:rPr>
        <w:t>Art</w:t>
      </w:r>
      <w:r w:rsidR="000B3213">
        <w:rPr>
          <w:rFonts w:ascii="Palatino Linotype" w:hAnsi="Palatino Linotype" w:cs="Tahoma"/>
          <w:b/>
          <w:sz w:val="22"/>
          <w:szCs w:val="22"/>
        </w:rPr>
        <w:t>ículo</w:t>
      </w:r>
      <w:r w:rsidRPr="00A16EF4">
        <w:rPr>
          <w:rFonts w:ascii="Palatino Linotype" w:hAnsi="Palatino Linotype" w:cs="Tahoma"/>
          <w:b/>
          <w:sz w:val="22"/>
          <w:szCs w:val="22"/>
        </w:rPr>
        <w:t xml:space="preserve"> 10.- </w:t>
      </w:r>
      <w:r w:rsidRPr="00A16EF4">
        <w:rPr>
          <w:rFonts w:ascii="Palatino Linotype" w:hAnsi="Palatino Linotype" w:cs="Tahoma"/>
          <w:sz w:val="22"/>
          <w:szCs w:val="22"/>
        </w:rPr>
        <w:t>En caso de comprobarse ocultamiento o falsedad en los datos, planos o de existir reclamos de terceros afectados, el Concejo Metropolitano revocará la presente ordenanza bajo exclusiva responsabilidad de la propietaria y del proyectista de la urbanización, mismas que no podrán alegar a su favor que se encuentran ejecutadas las obras de urbanización o celebradas escrituras de transferencia de dominio a favor de terceros.</w:t>
      </w:r>
    </w:p>
    <w:p w:rsidR="000B3213" w:rsidRPr="00B452F1" w:rsidRDefault="000B3213" w:rsidP="000B3213">
      <w:pPr>
        <w:shd w:val="clear" w:color="auto" w:fill="FFFFFF"/>
        <w:spacing w:after="240" w:line="276" w:lineRule="auto"/>
        <w:jc w:val="both"/>
        <w:rPr>
          <w:rFonts w:ascii="Palatino Linotype" w:hAnsi="Palatino Linotype" w:cs="Arial"/>
          <w:bCs/>
          <w:sz w:val="22"/>
          <w:szCs w:val="22"/>
          <w:lang w:val="es-ES_tradnl"/>
        </w:rPr>
      </w:pPr>
      <w:r w:rsidRPr="00B452F1">
        <w:rPr>
          <w:rFonts w:ascii="Palatino Linotype" w:hAnsi="Palatino Linotype" w:cs="Arial"/>
          <w:b/>
          <w:sz w:val="22"/>
          <w:szCs w:val="22"/>
          <w:lang w:val="es-ES_tradnl"/>
        </w:rPr>
        <w:t xml:space="preserve">Disposición </w:t>
      </w:r>
      <w:r w:rsidR="00ED25F6">
        <w:rPr>
          <w:rFonts w:ascii="Palatino Linotype" w:hAnsi="Palatino Linotype" w:cs="Arial"/>
          <w:b/>
          <w:sz w:val="22"/>
          <w:szCs w:val="22"/>
          <w:lang w:val="es-ES_tradnl"/>
        </w:rPr>
        <w:t>f</w:t>
      </w:r>
      <w:r w:rsidRPr="00B452F1">
        <w:rPr>
          <w:rFonts w:ascii="Palatino Linotype" w:hAnsi="Palatino Linotype" w:cs="Arial"/>
          <w:b/>
          <w:sz w:val="22"/>
          <w:szCs w:val="22"/>
          <w:lang w:val="es-ES_tradnl"/>
        </w:rPr>
        <w:t xml:space="preserve">inal.- </w:t>
      </w:r>
      <w:r w:rsidRPr="00B452F1">
        <w:rPr>
          <w:rFonts w:ascii="Palatino Linotype" w:hAnsi="Palatino Linotype" w:cs="Arial"/>
          <w:bCs/>
          <w:sz w:val="22"/>
          <w:szCs w:val="22"/>
          <w:lang w:val="es-ES_tradnl"/>
        </w:rPr>
        <w:t xml:space="preserve"> Esta ordenanza entrará en vigencia a partir de la fecha de su sanción</w:t>
      </w:r>
      <w:r>
        <w:rPr>
          <w:rFonts w:ascii="Palatino Linotype" w:hAnsi="Palatino Linotype" w:cs="Arial"/>
          <w:bCs/>
          <w:sz w:val="22"/>
          <w:szCs w:val="22"/>
          <w:lang w:val="es-ES_tradnl"/>
        </w:rPr>
        <w:t>, sin perjuicio de su publicación en la página web institucional de la Municipalidad</w:t>
      </w:r>
      <w:r w:rsidRPr="00B452F1">
        <w:rPr>
          <w:rFonts w:ascii="Palatino Linotype" w:hAnsi="Palatino Linotype" w:cs="Arial"/>
          <w:bCs/>
          <w:sz w:val="22"/>
          <w:szCs w:val="22"/>
          <w:lang w:val="es-ES_tradnl"/>
        </w:rPr>
        <w:t>.</w:t>
      </w:r>
    </w:p>
    <w:p w:rsidR="000B3213" w:rsidRPr="003843CA" w:rsidRDefault="000B3213" w:rsidP="000B3213">
      <w:pPr>
        <w:spacing w:after="240" w:line="276" w:lineRule="auto"/>
        <w:jc w:val="both"/>
        <w:rPr>
          <w:rFonts w:ascii="Palatino Linotype" w:hAnsi="Palatino Linotype" w:cs="Arial"/>
          <w:sz w:val="22"/>
          <w:szCs w:val="22"/>
        </w:rPr>
      </w:pPr>
      <w:r w:rsidRPr="003843CA">
        <w:rPr>
          <w:rFonts w:ascii="Palatino Linotype" w:hAnsi="Palatino Linotype" w:cs="Arial"/>
          <w:sz w:val="22"/>
          <w:szCs w:val="22"/>
        </w:rPr>
        <w:t xml:space="preserve">Dada, en la Sala de Sesiones del Concejo Metropolitano de Quito, el </w:t>
      </w:r>
      <w:r>
        <w:rPr>
          <w:rFonts w:ascii="Palatino Linotype" w:hAnsi="Palatino Linotype" w:cs="Arial"/>
          <w:sz w:val="22"/>
          <w:szCs w:val="22"/>
        </w:rPr>
        <w:t>30</w:t>
      </w:r>
      <w:r w:rsidRPr="003843CA">
        <w:rPr>
          <w:rFonts w:ascii="Palatino Linotype" w:hAnsi="Palatino Linotype" w:cs="Arial"/>
          <w:sz w:val="22"/>
          <w:szCs w:val="22"/>
        </w:rPr>
        <w:t xml:space="preserve"> de </w:t>
      </w:r>
      <w:r>
        <w:rPr>
          <w:rFonts w:ascii="Palatino Linotype" w:hAnsi="Palatino Linotype" w:cs="Arial"/>
          <w:sz w:val="22"/>
          <w:szCs w:val="22"/>
        </w:rPr>
        <w:t xml:space="preserve">julio </w:t>
      </w:r>
      <w:r w:rsidRPr="003843CA">
        <w:rPr>
          <w:rFonts w:ascii="Palatino Linotype" w:hAnsi="Palatino Linotype" w:cs="Arial"/>
          <w:sz w:val="22"/>
          <w:szCs w:val="22"/>
        </w:rPr>
        <w:t>de 201</w:t>
      </w:r>
      <w:r>
        <w:rPr>
          <w:rFonts w:ascii="Palatino Linotype" w:hAnsi="Palatino Linotype" w:cs="Arial"/>
          <w:sz w:val="22"/>
          <w:szCs w:val="22"/>
        </w:rPr>
        <w:t>5</w:t>
      </w:r>
      <w:r w:rsidRPr="003843CA">
        <w:rPr>
          <w:rFonts w:ascii="Palatino Linotype" w:hAnsi="Palatino Linotype" w:cs="Arial"/>
          <w:sz w:val="22"/>
          <w:szCs w:val="22"/>
        </w:rPr>
        <w:t>.</w:t>
      </w:r>
    </w:p>
    <w:p w:rsidR="000B3213" w:rsidRDefault="000B3213" w:rsidP="000B3213">
      <w:pPr>
        <w:pStyle w:val="Textopredeterminado"/>
        <w:shd w:val="clear" w:color="auto" w:fill="FFFFFF"/>
        <w:jc w:val="both"/>
        <w:rPr>
          <w:rFonts w:ascii="Palatino Linotype" w:hAnsi="Palatino Linotype" w:cs="Arial"/>
          <w:sz w:val="22"/>
          <w:szCs w:val="22"/>
          <w:lang w:val="es-ES"/>
        </w:rPr>
      </w:pPr>
    </w:p>
    <w:p w:rsidR="00ED25F6" w:rsidRDefault="00ED25F6" w:rsidP="000B3213">
      <w:pPr>
        <w:pStyle w:val="Textopredeterminado"/>
        <w:shd w:val="clear" w:color="auto" w:fill="FFFFFF"/>
        <w:jc w:val="both"/>
        <w:rPr>
          <w:rFonts w:ascii="Palatino Linotype" w:hAnsi="Palatino Linotype" w:cs="Arial"/>
          <w:sz w:val="22"/>
          <w:szCs w:val="22"/>
          <w:lang w:val="es-ES"/>
        </w:rPr>
      </w:pPr>
    </w:p>
    <w:p w:rsidR="000B3213" w:rsidRDefault="000B3213" w:rsidP="000B3213">
      <w:pPr>
        <w:pStyle w:val="Textopredeterminado"/>
        <w:shd w:val="clear" w:color="auto" w:fill="FFFFFF"/>
        <w:jc w:val="both"/>
        <w:rPr>
          <w:rFonts w:ascii="Palatino Linotype" w:hAnsi="Palatino Linotype" w:cs="Arial"/>
          <w:sz w:val="22"/>
          <w:szCs w:val="22"/>
          <w:lang w:val="es-ES"/>
        </w:rPr>
      </w:pPr>
    </w:p>
    <w:tbl>
      <w:tblPr>
        <w:tblW w:w="10899" w:type="dxa"/>
        <w:jc w:val="center"/>
        <w:tblInd w:w="-885" w:type="dxa"/>
        <w:tblLook w:val="04A0"/>
      </w:tblPr>
      <w:tblGrid>
        <w:gridCol w:w="5575"/>
        <w:gridCol w:w="5324"/>
      </w:tblGrid>
      <w:tr w:rsidR="000B3213" w:rsidRPr="00680EAC" w:rsidTr="00243D7F">
        <w:trPr>
          <w:jc w:val="center"/>
        </w:trPr>
        <w:tc>
          <w:tcPr>
            <w:tcW w:w="5575" w:type="dxa"/>
            <w:hideMark/>
          </w:tcPr>
          <w:p w:rsidR="000B3213" w:rsidRPr="00680EAC" w:rsidRDefault="000B3213" w:rsidP="00243D7F">
            <w:pPr>
              <w:pStyle w:val="Textopredeterminado"/>
              <w:jc w:val="center"/>
              <w:rPr>
                <w:rFonts w:ascii="Palatino Linotype" w:hAnsi="Palatino Linotype" w:cs="Arial"/>
                <w:sz w:val="19"/>
                <w:szCs w:val="19"/>
              </w:rPr>
            </w:pPr>
            <w:r>
              <w:rPr>
                <w:rFonts w:ascii="Palatino Linotype" w:hAnsi="Palatino Linotype" w:cs="Arial"/>
                <w:sz w:val="19"/>
                <w:szCs w:val="19"/>
              </w:rPr>
              <w:t>Abg. Daniela Chacón Arias</w:t>
            </w:r>
          </w:p>
          <w:p w:rsidR="000B3213" w:rsidRPr="00680EAC" w:rsidRDefault="000B3213" w:rsidP="00243D7F">
            <w:pPr>
              <w:pStyle w:val="Textopredeterminado"/>
              <w:jc w:val="center"/>
              <w:rPr>
                <w:rFonts w:ascii="Palatino Linotype" w:hAnsi="Palatino Linotype" w:cs="Arial"/>
                <w:b/>
                <w:sz w:val="19"/>
                <w:szCs w:val="19"/>
              </w:rPr>
            </w:pPr>
            <w:r>
              <w:rPr>
                <w:rFonts w:ascii="Palatino Linotype" w:hAnsi="Palatino Linotype" w:cs="Arial"/>
                <w:b/>
                <w:sz w:val="19"/>
                <w:szCs w:val="19"/>
              </w:rPr>
              <w:t xml:space="preserve">Primera </w:t>
            </w:r>
            <w:r w:rsidRPr="00680EAC">
              <w:rPr>
                <w:rFonts w:ascii="Palatino Linotype" w:hAnsi="Palatino Linotype" w:cs="Arial"/>
                <w:b/>
                <w:sz w:val="19"/>
                <w:szCs w:val="19"/>
              </w:rPr>
              <w:t>Vicepresident</w:t>
            </w:r>
            <w:r>
              <w:rPr>
                <w:rFonts w:ascii="Palatino Linotype" w:hAnsi="Palatino Linotype" w:cs="Arial"/>
                <w:b/>
                <w:sz w:val="19"/>
                <w:szCs w:val="19"/>
              </w:rPr>
              <w:t>a</w:t>
            </w:r>
            <w:r w:rsidRPr="00680EAC">
              <w:rPr>
                <w:rFonts w:ascii="Palatino Linotype" w:hAnsi="Palatino Linotype" w:cs="Arial"/>
                <w:b/>
                <w:sz w:val="19"/>
                <w:szCs w:val="19"/>
              </w:rPr>
              <w:t xml:space="preserve"> del Concejo Metropolitano de Quito</w:t>
            </w:r>
          </w:p>
        </w:tc>
        <w:tc>
          <w:tcPr>
            <w:tcW w:w="5324" w:type="dxa"/>
            <w:hideMark/>
          </w:tcPr>
          <w:p w:rsidR="000B3213" w:rsidRPr="00680EAC" w:rsidRDefault="000B3213" w:rsidP="00243D7F">
            <w:pPr>
              <w:pStyle w:val="Textopredeterminado"/>
              <w:jc w:val="center"/>
              <w:rPr>
                <w:rFonts w:ascii="Palatino Linotype" w:hAnsi="Palatino Linotype" w:cs="Arial"/>
                <w:sz w:val="19"/>
                <w:szCs w:val="19"/>
              </w:rPr>
            </w:pPr>
            <w:r>
              <w:rPr>
                <w:rFonts w:ascii="Palatino Linotype" w:hAnsi="Palatino Linotype" w:cs="Arial"/>
                <w:sz w:val="19"/>
                <w:szCs w:val="19"/>
              </w:rPr>
              <w:t>Dr. Mauricio Bustamante Holguín</w:t>
            </w:r>
          </w:p>
          <w:p w:rsidR="000B3213" w:rsidRDefault="000B3213" w:rsidP="00243D7F">
            <w:pPr>
              <w:pStyle w:val="Textopredeterminado"/>
              <w:jc w:val="center"/>
              <w:rPr>
                <w:rFonts w:ascii="Palatino Linotype" w:hAnsi="Palatino Linotype" w:cs="Arial"/>
                <w:b/>
                <w:sz w:val="19"/>
                <w:szCs w:val="19"/>
              </w:rPr>
            </w:pPr>
            <w:r w:rsidRPr="00680EAC">
              <w:rPr>
                <w:rFonts w:ascii="Palatino Linotype" w:hAnsi="Palatino Linotype" w:cs="Arial"/>
                <w:b/>
                <w:sz w:val="19"/>
                <w:szCs w:val="19"/>
              </w:rPr>
              <w:t>Secretar</w:t>
            </w:r>
            <w:r>
              <w:rPr>
                <w:rFonts w:ascii="Palatino Linotype" w:hAnsi="Palatino Linotype" w:cs="Arial"/>
                <w:b/>
                <w:sz w:val="19"/>
                <w:szCs w:val="19"/>
              </w:rPr>
              <w:t>io</w:t>
            </w:r>
            <w:r w:rsidRPr="00680EAC">
              <w:rPr>
                <w:rFonts w:ascii="Palatino Linotype" w:hAnsi="Palatino Linotype" w:cs="Arial"/>
                <w:b/>
                <w:sz w:val="19"/>
                <w:szCs w:val="19"/>
              </w:rPr>
              <w:t xml:space="preserve"> General del Concejo Metropolitano de Quito</w:t>
            </w:r>
          </w:p>
          <w:p w:rsidR="00ED25F6" w:rsidRDefault="00ED25F6" w:rsidP="00243D7F">
            <w:pPr>
              <w:pStyle w:val="Textopredeterminado"/>
              <w:rPr>
                <w:rFonts w:ascii="Palatino Linotype" w:hAnsi="Palatino Linotype" w:cs="Arial"/>
                <w:b/>
                <w:sz w:val="19"/>
                <w:szCs w:val="19"/>
              </w:rPr>
            </w:pPr>
          </w:p>
          <w:p w:rsidR="00ED25F6" w:rsidRDefault="00ED25F6" w:rsidP="00243D7F">
            <w:pPr>
              <w:pStyle w:val="Textopredeterminado"/>
              <w:rPr>
                <w:rFonts w:ascii="Palatino Linotype" w:hAnsi="Palatino Linotype" w:cs="Arial"/>
                <w:b/>
                <w:sz w:val="19"/>
                <w:szCs w:val="19"/>
              </w:rPr>
            </w:pPr>
          </w:p>
          <w:p w:rsidR="00ED25F6" w:rsidRDefault="00ED25F6" w:rsidP="00243D7F">
            <w:pPr>
              <w:pStyle w:val="Textopredeterminado"/>
              <w:rPr>
                <w:rFonts w:ascii="Palatino Linotype" w:hAnsi="Palatino Linotype" w:cs="Arial"/>
                <w:b/>
                <w:sz w:val="19"/>
                <w:szCs w:val="19"/>
              </w:rPr>
            </w:pPr>
          </w:p>
          <w:p w:rsidR="00ED25F6" w:rsidRDefault="00ED25F6" w:rsidP="00243D7F">
            <w:pPr>
              <w:pStyle w:val="Textopredeterminado"/>
              <w:rPr>
                <w:rFonts w:ascii="Palatino Linotype" w:hAnsi="Palatino Linotype" w:cs="Arial"/>
                <w:b/>
                <w:sz w:val="19"/>
                <w:szCs w:val="19"/>
              </w:rPr>
            </w:pPr>
          </w:p>
          <w:p w:rsidR="00ED25F6" w:rsidRDefault="00ED25F6" w:rsidP="00243D7F">
            <w:pPr>
              <w:pStyle w:val="Textopredeterminado"/>
              <w:rPr>
                <w:rFonts w:ascii="Palatino Linotype" w:hAnsi="Palatino Linotype" w:cs="Arial"/>
                <w:b/>
                <w:sz w:val="19"/>
                <w:szCs w:val="19"/>
              </w:rPr>
            </w:pPr>
          </w:p>
          <w:p w:rsidR="00ED25F6" w:rsidRPr="00680EAC" w:rsidRDefault="00ED25F6" w:rsidP="00243D7F">
            <w:pPr>
              <w:pStyle w:val="Textopredeterminado"/>
              <w:rPr>
                <w:rFonts w:ascii="Palatino Linotype" w:hAnsi="Palatino Linotype" w:cs="Arial"/>
                <w:b/>
                <w:sz w:val="19"/>
                <w:szCs w:val="19"/>
              </w:rPr>
            </w:pPr>
          </w:p>
        </w:tc>
      </w:tr>
      <w:tr w:rsidR="000B3213" w:rsidRPr="00680EAC" w:rsidTr="00243D7F">
        <w:trPr>
          <w:jc w:val="center"/>
        </w:trPr>
        <w:tc>
          <w:tcPr>
            <w:tcW w:w="5575" w:type="dxa"/>
            <w:hideMark/>
          </w:tcPr>
          <w:p w:rsidR="000B3213" w:rsidRDefault="000B3213" w:rsidP="00243D7F">
            <w:pPr>
              <w:pStyle w:val="Textopredeterminado"/>
              <w:jc w:val="center"/>
              <w:rPr>
                <w:rFonts w:ascii="Palatino Linotype" w:hAnsi="Palatino Linotype" w:cs="Arial"/>
                <w:sz w:val="19"/>
                <w:szCs w:val="19"/>
              </w:rPr>
            </w:pPr>
          </w:p>
        </w:tc>
        <w:tc>
          <w:tcPr>
            <w:tcW w:w="5324" w:type="dxa"/>
            <w:hideMark/>
          </w:tcPr>
          <w:p w:rsidR="000B3213" w:rsidRDefault="000B3213" w:rsidP="00243D7F">
            <w:pPr>
              <w:pStyle w:val="Textopredeterminado"/>
              <w:jc w:val="center"/>
              <w:rPr>
                <w:rFonts w:ascii="Palatino Linotype" w:hAnsi="Palatino Linotype" w:cs="Arial"/>
                <w:sz w:val="19"/>
                <w:szCs w:val="19"/>
              </w:rPr>
            </w:pPr>
          </w:p>
        </w:tc>
      </w:tr>
    </w:tbl>
    <w:p w:rsidR="000B3213" w:rsidRPr="003843CA" w:rsidRDefault="000B3213" w:rsidP="000B3213">
      <w:pPr>
        <w:pStyle w:val="Textosinformato"/>
        <w:pBdr>
          <w:top w:val="single" w:sz="4" w:space="1" w:color="auto"/>
          <w:left w:val="single" w:sz="4" w:space="4" w:color="auto"/>
          <w:bottom w:val="single" w:sz="4" w:space="1" w:color="auto"/>
          <w:right w:val="single" w:sz="4" w:space="4" w:color="auto"/>
        </w:pBdr>
        <w:jc w:val="center"/>
        <w:rPr>
          <w:rFonts w:ascii="Palatino Linotype" w:eastAsia="MS Mincho" w:hAnsi="Palatino Linotype" w:cs="Arial"/>
          <w:b/>
          <w:bCs/>
          <w:sz w:val="22"/>
          <w:szCs w:val="22"/>
        </w:rPr>
      </w:pPr>
      <w:r w:rsidRPr="003843CA">
        <w:rPr>
          <w:rFonts w:ascii="Palatino Linotype" w:eastAsia="MS Mincho" w:hAnsi="Palatino Linotype" w:cs="Arial"/>
          <w:b/>
          <w:bCs/>
          <w:sz w:val="22"/>
          <w:szCs w:val="22"/>
        </w:rPr>
        <w:lastRenderedPageBreak/>
        <w:t>CERTIFICADO DE DISCUSIÓN</w:t>
      </w:r>
    </w:p>
    <w:p w:rsidR="000B3213" w:rsidRPr="003843CA" w:rsidRDefault="000B3213" w:rsidP="000B3213">
      <w:pPr>
        <w:pStyle w:val="Textosinformato"/>
        <w:jc w:val="both"/>
        <w:rPr>
          <w:rFonts w:ascii="Palatino Linotype" w:eastAsia="MS Mincho" w:hAnsi="Palatino Linotype" w:cs="Arial"/>
          <w:sz w:val="22"/>
          <w:szCs w:val="22"/>
        </w:rPr>
      </w:pPr>
    </w:p>
    <w:p w:rsidR="000B3213" w:rsidRPr="003843CA" w:rsidRDefault="008500ED" w:rsidP="000B3213">
      <w:pPr>
        <w:pStyle w:val="Textosinformato"/>
        <w:jc w:val="both"/>
        <w:rPr>
          <w:rFonts w:ascii="Palatino Linotype" w:eastAsia="MS Mincho" w:hAnsi="Palatino Linotype" w:cs="Arial"/>
          <w:sz w:val="22"/>
          <w:szCs w:val="22"/>
        </w:rPr>
      </w:pPr>
      <w:r>
        <w:rPr>
          <w:rFonts w:ascii="Palatino Linotype" w:eastAsia="MS Mincho" w:hAnsi="Palatino Linotype" w:cs="Arial"/>
          <w:sz w:val="22"/>
          <w:szCs w:val="22"/>
        </w:rPr>
        <w:t>La</w:t>
      </w:r>
      <w:r w:rsidR="000B3213" w:rsidRPr="003843CA">
        <w:rPr>
          <w:rFonts w:ascii="Palatino Linotype" w:eastAsia="MS Mincho" w:hAnsi="Palatino Linotype" w:cs="Arial"/>
          <w:sz w:val="22"/>
          <w:szCs w:val="22"/>
        </w:rPr>
        <w:t xml:space="preserve"> infrascrit</w:t>
      </w:r>
      <w:r>
        <w:rPr>
          <w:rFonts w:ascii="Palatino Linotype" w:eastAsia="MS Mincho" w:hAnsi="Palatino Linotype" w:cs="Arial"/>
          <w:sz w:val="22"/>
          <w:szCs w:val="22"/>
        </w:rPr>
        <w:t>a</w:t>
      </w:r>
      <w:r w:rsidR="000B3213" w:rsidRPr="003843CA">
        <w:rPr>
          <w:rFonts w:ascii="Palatino Linotype" w:eastAsia="MS Mincho" w:hAnsi="Palatino Linotype" w:cs="Arial"/>
          <w:sz w:val="22"/>
          <w:szCs w:val="22"/>
        </w:rPr>
        <w:t xml:space="preserve"> Secretari</w:t>
      </w:r>
      <w:r>
        <w:rPr>
          <w:rFonts w:ascii="Palatino Linotype" w:eastAsia="MS Mincho" w:hAnsi="Palatino Linotype" w:cs="Arial"/>
          <w:sz w:val="22"/>
          <w:szCs w:val="22"/>
        </w:rPr>
        <w:t>a</w:t>
      </w:r>
      <w:r w:rsidR="000B3213" w:rsidRPr="003843CA">
        <w:rPr>
          <w:rFonts w:ascii="Palatino Linotype" w:eastAsia="MS Mincho" w:hAnsi="Palatino Linotype" w:cs="Arial"/>
          <w:sz w:val="22"/>
          <w:szCs w:val="22"/>
        </w:rPr>
        <w:t xml:space="preserve"> General del Concejo Metropolitano de Quito</w:t>
      </w:r>
      <w:r>
        <w:rPr>
          <w:rFonts w:ascii="Palatino Linotype" w:eastAsia="MS Mincho" w:hAnsi="Palatino Linotype" w:cs="Arial"/>
          <w:sz w:val="22"/>
          <w:szCs w:val="22"/>
        </w:rPr>
        <w:t xml:space="preserve"> (E)</w:t>
      </w:r>
      <w:r w:rsidR="000B3213" w:rsidRPr="003843CA">
        <w:rPr>
          <w:rFonts w:ascii="Palatino Linotype" w:eastAsia="MS Mincho" w:hAnsi="Palatino Linotype" w:cs="Arial"/>
          <w:sz w:val="22"/>
          <w:szCs w:val="22"/>
        </w:rPr>
        <w:t xml:space="preserve">, certifica que la presente ordenanza fue discutida y aprobada en dos debates, en sesiones de </w:t>
      </w:r>
      <w:r w:rsidR="00ED25F6">
        <w:rPr>
          <w:rFonts w:ascii="Palatino Linotype" w:eastAsia="MS Mincho" w:hAnsi="Palatino Linotype" w:cs="Arial"/>
          <w:sz w:val="22"/>
          <w:szCs w:val="22"/>
        </w:rPr>
        <w:t>16</w:t>
      </w:r>
      <w:r w:rsidR="000B3213">
        <w:rPr>
          <w:rFonts w:ascii="Palatino Linotype" w:eastAsia="MS Mincho" w:hAnsi="Palatino Linotype" w:cs="Arial"/>
          <w:sz w:val="22"/>
          <w:szCs w:val="22"/>
        </w:rPr>
        <w:t xml:space="preserve"> y </w:t>
      </w:r>
      <w:r w:rsidR="00ED25F6">
        <w:rPr>
          <w:rFonts w:ascii="Palatino Linotype" w:eastAsia="MS Mincho" w:hAnsi="Palatino Linotype" w:cs="Arial"/>
          <w:sz w:val="22"/>
          <w:szCs w:val="22"/>
        </w:rPr>
        <w:t>30</w:t>
      </w:r>
      <w:r w:rsidR="000B3213" w:rsidRPr="003843CA">
        <w:rPr>
          <w:rFonts w:ascii="Palatino Linotype" w:eastAsia="MS Mincho" w:hAnsi="Palatino Linotype" w:cs="Arial"/>
          <w:sz w:val="22"/>
          <w:szCs w:val="22"/>
        </w:rPr>
        <w:t xml:space="preserve"> de </w:t>
      </w:r>
      <w:r w:rsidR="00ED25F6">
        <w:rPr>
          <w:rFonts w:ascii="Palatino Linotype" w:eastAsia="MS Mincho" w:hAnsi="Palatino Linotype" w:cs="Arial"/>
          <w:sz w:val="22"/>
          <w:szCs w:val="22"/>
        </w:rPr>
        <w:t xml:space="preserve">julio </w:t>
      </w:r>
      <w:r w:rsidR="000B3213" w:rsidRPr="003843CA">
        <w:rPr>
          <w:rFonts w:ascii="Palatino Linotype" w:eastAsia="MS Mincho" w:hAnsi="Palatino Linotype" w:cs="Arial"/>
          <w:sz w:val="22"/>
          <w:szCs w:val="22"/>
        </w:rPr>
        <w:t>de 201</w:t>
      </w:r>
      <w:r w:rsidR="000B3213">
        <w:rPr>
          <w:rFonts w:ascii="Palatino Linotype" w:eastAsia="MS Mincho" w:hAnsi="Palatino Linotype" w:cs="Arial"/>
          <w:sz w:val="22"/>
          <w:szCs w:val="22"/>
        </w:rPr>
        <w:t>5</w:t>
      </w:r>
      <w:r w:rsidR="000B3213" w:rsidRPr="003843CA">
        <w:rPr>
          <w:rFonts w:ascii="Palatino Linotype" w:eastAsia="MS Mincho" w:hAnsi="Palatino Linotype" w:cs="Arial"/>
          <w:sz w:val="22"/>
          <w:szCs w:val="22"/>
        </w:rPr>
        <w:t>.- Quito,</w:t>
      </w:r>
    </w:p>
    <w:p w:rsidR="000B3213" w:rsidRDefault="000B3213" w:rsidP="000B3213">
      <w:pPr>
        <w:pStyle w:val="Textosinformato"/>
        <w:jc w:val="both"/>
        <w:rPr>
          <w:rFonts w:ascii="Palatino Linotype" w:eastAsia="MS Mincho" w:hAnsi="Palatino Linotype" w:cs="Arial"/>
          <w:sz w:val="22"/>
          <w:szCs w:val="22"/>
        </w:rPr>
      </w:pPr>
    </w:p>
    <w:p w:rsidR="008500ED" w:rsidRDefault="008500ED" w:rsidP="000B3213">
      <w:pPr>
        <w:pStyle w:val="Textosinformato"/>
        <w:jc w:val="both"/>
        <w:rPr>
          <w:rFonts w:ascii="Palatino Linotype" w:eastAsia="MS Mincho" w:hAnsi="Palatino Linotype" w:cs="Arial"/>
          <w:sz w:val="22"/>
          <w:szCs w:val="22"/>
        </w:rPr>
      </w:pPr>
    </w:p>
    <w:p w:rsidR="000B3213" w:rsidRPr="003843CA" w:rsidRDefault="000B3213" w:rsidP="000B3213">
      <w:pPr>
        <w:pStyle w:val="Textosinformato"/>
        <w:jc w:val="both"/>
        <w:rPr>
          <w:rFonts w:ascii="Palatino Linotype" w:eastAsia="MS Mincho" w:hAnsi="Palatino Linotype" w:cs="Arial"/>
          <w:sz w:val="22"/>
          <w:szCs w:val="22"/>
        </w:rPr>
      </w:pPr>
    </w:p>
    <w:p w:rsidR="000B3213" w:rsidRPr="003843CA" w:rsidRDefault="008500ED" w:rsidP="000B3213">
      <w:pPr>
        <w:pStyle w:val="Textosinformato"/>
        <w:jc w:val="center"/>
        <w:rPr>
          <w:rFonts w:ascii="Palatino Linotype" w:eastAsia="MS Mincho" w:hAnsi="Palatino Linotype" w:cs="Arial"/>
          <w:sz w:val="22"/>
          <w:szCs w:val="22"/>
        </w:rPr>
      </w:pPr>
      <w:r>
        <w:rPr>
          <w:rFonts w:ascii="Palatino Linotype" w:eastAsia="MS Mincho" w:hAnsi="Palatino Linotype" w:cs="Arial"/>
          <w:sz w:val="22"/>
          <w:szCs w:val="22"/>
        </w:rPr>
        <w:t>Abg. María Elisa Holmes Roldós</w:t>
      </w:r>
    </w:p>
    <w:p w:rsidR="000B3213" w:rsidRDefault="000B3213" w:rsidP="000B3213">
      <w:pPr>
        <w:pStyle w:val="Textosinformato"/>
        <w:jc w:val="center"/>
        <w:rPr>
          <w:rFonts w:ascii="Palatino Linotype" w:eastAsia="MS Mincho" w:hAnsi="Palatino Linotype" w:cs="Arial"/>
          <w:b/>
          <w:bCs/>
          <w:sz w:val="22"/>
          <w:szCs w:val="22"/>
        </w:rPr>
      </w:pPr>
      <w:r w:rsidRPr="003843CA">
        <w:rPr>
          <w:rFonts w:ascii="Palatino Linotype" w:eastAsia="MS Mincho" w:hAnsi="Palatino Linotype" w:cs="Arial"/>
          <w:b/>
          <w:bCs/>
          <w:sz w:val="22"/>
          <w:szCs w:val="22"/>
        </w:rPr>
        <w:t>SECRETARI</w:t>
      </w:r>
      <w:r w:rsidR="008500ED">
        <w:rPr>
          <w:rFonts w:ascii="Palatino Linotype" w:eastAsia="MS Mincho" w:hAnsi="Palatino Linotype" w:cs="Arial"/>
          <w:b/>
          <w:bCs/>
          <w:sz w:val="22"/>
          <w:szCs w:val="22"/>
        </w:rPr>
        <w:t>A</w:t>
      </w:r>
      <w:r w:rsidRPr="003843CA">
        <w:rPr>
          <w:rFonts w:ascii="Palatino Linotype" w:eastAsia="MS Mincho" w:hAnsi="Palatino Linotype" w:cs="Arial"/>
          <w:b/>
          <w:bCs/>
          <w:sz w:val="22"/>
          <w:szCs w:val="22"/>
        </w:rPr>
        <w:t xml:space="preserve"> GENERAL DEL CONCEJO METROPOLITANO DE QUITO</w:t>
      </w:r>
      <w:r w:rsidR="008500ED">
        <w:rPr>
          <w:rFonts w:ascii="Palatino Linotype" w:eastAsia="MS Mincho" w:hAnsi="Palatino Linotype" w:cs="Arial"/>
          <w:b/>
          <w:bCs/>
          <w:sz w:val="22"/>
          <w:szCs w:val="22"/>
        </w:rPr>
        <w:t xml:space="preserve"> (E)</w:t>
      </w:r>
    </w:p>
    <w:p w:rsidR="000B3213" w:rsidRDefault="000B3213" w:rsidP="000B3213">
      <w:pPr>
        <w:pStyle w:val="Textosinformato"/>
        <w:jc w:val="center"/>
        <w:rPr>
          <w:rFonts w:ascii="Palatino Linotype" w:eastAsia="MS Mincho" w:hAnsi="Palatino Linotype" w:cs="Arial"/>
          <w:sz w:val="22"/>
          <w:szCs w:val="22"/>
        </w:rPr>
      </w:pPr>
    </w:p>
    <w:p w:rsidR="000B3213" w:rsidRPr="003843CA" w:rsidRDefault="000B3213" w:rsidP="000B3213">
      <w:pPr>
        <w:pStyle w:val="Textosinformato"/>
        <w:jc w:val="center"/>
        <w:rPr>
          <w:rFonts w:ascii="Palatino Linotype" w:eastAsia="MS Mincho" w:hAnsi="Palatino Linotype" w:cs="Arial"/>
          <w:sz w:val="22"/>
          <w:szCs w:val="22"/>
        </w:rPr>
      </w:pPr>
      <w:r w:rsidRPr="003843CA">
        <w:rPr>
          <w:rFonts w:ascii="Palatino Linotype" w:eastAsia="MS Mincho" w:hAnsi="Palatino Linotype" w:cs="Arial"/>
          <w:b/>
          <w:bCs/>
          <w:sz w:val="22"/>
          <w:szCs w:val="22"/>
        </w:rPr>
        <w:t>ALCALDÍA DEL DISTRITO METROPOLITANO.-</w:t>
      </w:r>
      <w:r w:rsidRPr="003843CA">
        <w:rPr>
          <w:rFonts w:ascii="Palatino Linotype" w:eastAsia="MS Mincho" w:hAnsi="Palatino Linotype" w:cs="Arial"/>
          <w:sz w:val="22"/>
          <w:szCs w:val="22"/>
        </w:rPr>
        <w:t xml:space="preserve">  Distrito Metropolitano de Quito,</w:t>
      </w:r>
    </w:p>
    <w:p w:rsidR="000B3213" w:rsidRDefault="000B3213" w:rsidP="000B3213">
      <w:pPr>
        <w:pStyle w:val="Textosinformato"/>
        <w:jc w:val="center"/>
        <w:rPr>
          <w:rFonts w:ascii="Palatino Linotype" w:eastAsia="MS Mincho" w:hAnsi="Palatino Linotype" w:cs="Arial"/>
          <w:b/>
          <w:sz w:val="22"/>
          <w:szCs w:val="22"/>
        </w:rPr>
      </w:pPr>
    </w:p>
    <w:p w:rsidR="000B3213" w:rsidRPr="003843CA" w:rsidRDefault="000B3213" w:rsidP="000B3213">
      <w:pPr>
        <w:pStyle w:val="Textosinformato"/>
        <w:jc w:val="center"/>
        <w:rPr>
          <w:rFonts w:ascii="Palatino Linotype" w:eastAsia="MS Mincho" w:hAnsi="Palatino Linotype" w:cs="Arial"/>
          <w:b/>
          <w:sz w:val="22"/>
          <w:szCs w:val="22"/>
        </w:rPr>
      </w:pPr>
      <w:r w:rsidRPr="003843CA">
        <w:rPr>
          <w:rFonts w:ascii="Palatino Linotype" w:eastAsia="MS Mincho" w:hAnsi="Palatino Linotype" w:cs="Arial"/>
          <w:b/>
          <w:sz w:val="22"/>
          <w:szCs w:val="22"/>
        </w:rPr>
        <w:t>EJECÚTESE:</w:t>
      </w:r>
    </w:p>
    <w:p w:rsidR="000B3213" w:rsidRPr="003843CA" w:rsidRDefault="000B3213" w:rsidP="000B3213">
      <w:pPr>
        <w:pStyle w:val="Textosinformato"/>
        <w:jc w:val="center"/>
        <w:rPr>
          <w:rFonts w:ascii="Palatino Linotype" w:eastAsia="MS Mincho" w:hAnsi="Palatino Linotype" w:cs="Arial"/>
          <w:sz w:val="22"/>
          <w:szCs w:val="22"/>
        </w:rPr>
      </w:pPr>
    </w:p>
    <w:p w:rsidR="000B3213" w:rsidRPr="003843CA" w:rsidRDefault="000B3213" w:rsidP="000B3213">
      <w:pPr>
        <w:pStyle w:val="Textosinformato"/>
        <w:jc w:val="center"/>
        <w:rPr>
          <w:rFonts w:ascii="Palatino Linotype" w:eastAsia="MS Mincho" w:hAnsi="Palatino Linotype" w:cs="Arial"/>
          <w:sz w:val="22"/>
          <w:szCs w:val="22"/>
        </w:rPr>
      </w:pPr>
    </w:p>
    <w:p w:rsidR="000B3213" w:rsidRDefault="000B3213" w:rsidP="000B3213">
      <w:pPr>
        <w:pStyle w:val="Textosinformato"/>
        <w:jc w:val="center"/>
        <w:rPr>
          <w:rFonts w:ascii="Palatino Linotype" w:eastAsia="MS Mincho" w:hAnsi="Palatino Linotype" w:cs="Arial"/>
          <w:sz w:val="22"/>
          <w:szCs w:val="22"/>
        </w:rPr>
      </w:pPr>
    </w:p>
    <w:p w:rsidR="000B3213" w:rsidRPr="003843CA" w:rsidRDefault="000B3213" w:rsidP="000B3213">
      <w:pPr>
        <w:pStyle w:val="Textosinformato"/>
        <w:jc w:val="center"/>
        <w:rPr>
          <w:rFonts w:ascii="Palatino Linotype" w:eastAsia="MS Mincho" w:hAnsi="Palatino Linotype" w:cs="Arial"/>
          <w:sz w:val="22"/>
          <w:szCs w:val="22"/>
        </w:rPr>
      </w:pPr>
    </w:p>
    <w:p w:rsidR="000B3213" w:rsidRPr="003843CA" w:rsidRDefault="000B3213" w:rsidP="000B3213">
      <w:pPr>
        <w:pStyle w:val="Textosinformato"/>
        <w:jc w:val="center"/>
        <w:rPr>
          <w:rFonts w:ascii="Palatino Linotype" w:eastAsia="MS Mincho" w:hAnsi="Palatino Linotype" w:cs="Arial"/>
          <w:sz w:val="22"/>
          <w:szCs w:val="22"/>
        </w:rPr>
      </w:pPr>
      <w:r w:rsidRPr="003843CA">
        <w:rPr>
          <w:rFonts w:ascii="Palatino Linotype" w:eastAsia="MS Mincho" w:hAnsi="Palatino Linotype" w:cs="Arial"/>
          <w:sz w:val="22"/>
          <w:szCs w:val="22"/>
        </w:rPr>
        <w:t xml:space="preserve">Dr. </w:t>
      </w:r>
      <w:r>
        <w:rPr>
          <w:rFonts w:ascii="Palatino Linotype" w:eastAsia="MS Mincho" w:hAnsi="Palatino Linotype" w:cs="Arial"/>
          <w:sz w:val="22"/>
          <w:szCs w:val="22"/>
        </w:rPr>
        <w:t>Mauricio Rodas Espinel</w:t>
      </w:r>
    </w:p>
    <w:p w:rsidR="000B3213" w:rsidRPr="003843CA" w:rsidRDefault="000B3213" w:rsidP="000B3213">
      <w:pPr>
        <w:pStyle w:val="Textosinformato"/>
        <w:jc w:val="center"/>
        <w:rPr>
          <w:rFonts w:ascii="Palatino Linotype" w:eastAsia="MS Mincho" w:hAnsi="Palatino Linotype" w:cs="Arial"/>
          <w:b/>
          <w:bCs/>
          <w:sz w:val="22"/>
          <w:szCs w:val="22"/>
        </w:rPr>
      </w:pPr>
      <w:r w:rsidRPr="003843CA">
        <w:rPr>
          <w:rFonts w:ascii="Palatino Linotype" w:eastAsia="MS Mincho" w:hAnsi="Palatino Linotype" w:cs="Arial"/>
          <w:b/>
          <w:bCs/>
          <w:sz w:val="22"/>
          <w:szCs w:val="22"/>
        </w:rPr>
        <w:t>ALCALDE DEL DISTRITO METROPOLITANO DE QUITO</w:t>
      </w:r>
    </w:p>
    <w:p w:rsidR="000B3213" w:rsidRPr="003843CA" w:rsidRDefault="000B3213" w:rsidP="000B3213">
      <w:pPr>
        <w:pStyle w:val="Textosinformato"/>
        <w:jc w:val="center"/>
        <w:rPr>
          <w:rFonts w:ascii="Palatino Linotype" w:eastAsia="MS Mincho" w:hAnsi="Palatino Linotype" w:cs="Arial"/>
          <w:sz w:val="22"/>
          <w:szCs w:val="22"/>
        </w:rPr>
      </w:pPr>
    </w:p>
    <w:p w:rsidR="000B3213" w:rsidRDefault="000B3213" w:rsidP="000B3213">
      <w:pPr>
        <w:pStyle w:val="Textosinformato"/>
        <w:jc w:val="both"/>
        <w:rPr>
          <w:rFonts w:ascii="Palatino Linotype" w:eastAsia="MS Mincho" w:hAnsi="Palatino Linotype" w:cs="Arial"/>
          <w:sz w:val="22"/>
          <w:szCs w:val="22"/>
        </w:rPr>
      </w:pPr>
      <w:r w:rsidRPr="003843CA">
        <w:rPr>
          <w:rFonts w:ascii="Palatino Linotype" w:eastAsia="MS Mincho" w:hAnsi="Palatino Linotype" w:cs="Arial"/>
          <w:b/>
          <w:bCs/>
          <w:sz w:val="22"/>
          <w:szCs w:val="22"/>
        </w:rPr>
        <w:t>CERTIFICO,</w:t>
      </w:r>
      <w:r w:rsidRPr="003843CA">
        <w:rPr>
          <w:rFonts w:ascii="Palatino Linotype" w:eastAsia="MS Mincho" w:hAnsi="Palatino Linotype" w:cs="Arial"/>
          <w:sz w:val="22"/>
          <w:szCs w:val="22"/>
        </w:rPr>
        <w:t xml:space="preserve"> que la presente ordenanza fue sancionada por el Dr. </w:t>
      </w:r>
      <w:r>
        <w:rPr>
          <w:rFonts w:ascii="Palatino Linotype" w:eastAsia="MS Mincho" w:hAnsi="Palatino Linotype" w:cs="Arial"/>
          <w:sz w:val="22"/>
          <w:szCs w:val="22"/>
        </w:rPr>
        <w:t>Mauricio Rodas Espinel</w:t>
      </w:r>
      <w:r w:rsidRPr="003843CA">
        <w:rPr>
          <w:rFonts w:ascii="Palatino Linotype" w:eastAsia="MS Mincho" w:hAnsi="Palatino Linotype" w:cs="Arial"/>
          <w:sz w:val="22"/>
          <w:szCs w:val="22"/>
        </w:rPr>
        <w:t>, Alcalde  del Distrito Metropolitano de Quito, el</w:t>
      </w:r>
    </w:p>
    <w:p w:rsidR="000B3213" w:rsidRPr="003843CA" w:rsidRDefault="000B3213" w:rsidP="000B3213">
      <w:pPr>
        <w:pStyle w:val="Textosinformato"/>
        <w:tabs>
          <w:tab w:val="right" w:pos="8504"/>
        </w:tabs>
        <w:jc w:val="both"/>
        <w:rPr>
          <w:rFonts w:ascii="Palatino Linotype" w:eastAsia="MS Mincho" w:hAnsi="Palatino Linotype" w:cs="Arial"/>
          <w:sz w:val="22"/>
          <w:szCs w:val="22"/>
        </w:rPr>
      </w:pPr>
      <w:r w:rsidRPr="003843CA">
        <w:rPr>
          <w:rFonts w:ascii="Palatino Linotype" w:eastAsia="MS Mincho" w:hAnsi="Palatino Linotype" w:cs="Arial"/>
          <w:sz w:val="22"/>
          <w:szCs w:val="22"/>
        </w:rPr>
        <w:t>.- Distrito Metropolitano de Quito,</w:t>
      </w:r>
    </w:p>
    <w:p w:rsidR="000B3213" w:rsidRPr="003843CA" w:rsidRDefault="000B3213" w:rsidP="000B3213">
      <w:pPr>
        <w:pStyle w:val="Textosinformato"/>
        <w:jc w:val="center"/>
        <w:rPr>
          <w:rFonts w:ascii="Palatino Linotype" w:eastAsia="MS Mincho" w:hAnsi="Palatino Linotype" w:cs="Arial"/>
          <w:sz w:val="22"/>
          <w:szCs w:val="22"/>
        </w:rPr>
      </w:pPr>
    </w:p>
    <w:p w:rsidR="000B3213" w:rsidRPr="003843CA" w:rsidRDefault="000B3213" w:rsidP="000B3213">
      <w:pPr>
        <w:pStyle w:val="Textosinformato"/>
        <w:jc w:val="center"/>
        <w:rPr>
          <w:rFonts w:ascii="Palatino Linotype" w:eastAsia="MS Mincho" w:hAnsi="Palatino Linotype" w:cs="Arial"/>
          <w:sz w:val="22"/>
          <w:szCs w:val="22"/>
        </w:rPr>
      </w:pPr>
    </w:p>
    <w:p w:rsidR="000B3213" w:rsidRDefault="000B3213" w:rsidP="000B3213">
      <w:pPr>
        <w:pStyle w:val="Textosinformato"/>
        <w:jc w:val="center"/>
        <w:rPr>
          <w:rFonts w:ascii="Palatino Linotype" w:eastAsia="MS Mincho" w:hAnsi="Palatino Linotype" w:cs="Arial"/>
          <w:sz w:val="22"/>
          <w:szCs w:val="22"/>
        </w:rPr>
      </w:pPr>
    </w:p>
    <w:p w:rsidR="000B3213" w:rsidRPr="003843CA" w:rsidRDefault="000B3213" w:rsidP="000B3213">
      <w:pPr>
        <w:pStyle w:val="Textosinformato"/>
        <w:jc w:val="center"/>
        <w:rPr>
          <w:rFonts w:ascii="Palatino Linotype" w:eastAsia="MS Mincho" w:hAnsi="Palatino Linotype" w:cs="Arial"/>
          <w:sz w:val="22"/>
          <w:szCs w:val="22"/>
        </w:rPr>
      </w:pPr>
    </w:p>
    <w:p w:rsidR="008500ED" w:rsidRPr="003843CA" w:rsidRDefault="008500ED" w:rsidP="008500ED">
      <w:pPr>
        <w:pStyle w:val="Textosinformato"/>
        <w:jc w:val="center"/>
        <w:rPr>
          <w:rFonts w:ascii="Palatino Linotype" w:eastAsia="MS Mincho" w:hAnsi="Palatino Linotype" w:cs="Arial"/>
          <w:sz w:val="22"/>
          <w:szCs w:val="22"/>
        </w:rPr>
      </w:pPr>
      <w:r>
        <w:rPr>
          <w:rFonts w:ascii="Palatino Linotype" w:eastAsia="MS Mincho" w:hAnsi="Palatino Linotype" w:cs="Arial"/>
          <w:sz w:val="22"/>
          <w:szCs w:val="22"/>
        </w:rPr>
        <w:t>Abg. María Elisa Holmes Roldós</w:t>
      </w:r>
    </w:p>
    <w:p w:rsidR="008500ED" w:rsidRDefault="008500ED" w:rsidP="008500ED">
      <w:pPr>
        <w:pStyle w:val="Textosinformato"/>
        <w:jc w:val="center"/>
        <w:rPr>
          <w:rFonts w:ascii="Palatino Linotype" w:eastAsia="MS Mincho" w:hAnsi="Palatino Linotype" w:cs="Arial"/>
          <w:b/>
          <w:bCs/>
          <w:sz w:val="22"/>
          <w:szCs w:val="22"/>
        </w:rPr>
      </w:pPr>
      <w:r w:rsidRPr="003843CA">
        <w:rPr>
          <w:rFonts w:ascii="Palatino Linotype" w:eastAsia="MS Mincho" w:hAnsi="Palatino Linotype" w:cs="Arial"/>
          <w:b/>
          <w:bCs/>
          <w:sz w:val="22"/>
          <w:szCs w:val="22"/>
        </w:rPr>
        <w:t>SECRETARI</w:t>
      </w:r>
      <w:r>
        <w:rPr>
          <w:rFonts w:ascii="Palatino Linotype" w:eastAsia="MS Mincho" w:hAnsi="Palatino Linotype" w:cs="Arial"/>
          <w:b/>
          <w:bCs/>
          <w:sz w:val="22"/>
          <w:szCs w:val="22"/>
        </w:rPr>
        <w:t>A</w:t>
      </w:r>
      <w:r w:rsidRPr="003843CA">
        <w:rPr>
          <w:rFonts w:ascii="Palatino Linotype" w:eastAsia="MS Mincho" w:hAnsi="Palatino Linotype" w:cs="Arial"/>
          <w:b/>
          <w:bCs/>
          <w:sz w:val="22"/>
          <w:szCs w:val="22"/>
        </w:rPr>
        <w:t xml:space="preserve"> GENERAL DEL CONCEJO METROPOLITANO DE QUITO</w:t>
      </w:r>
      <w:r>
        <w:rPr>
          <w:rFonts w:ascii="Palatino Linotype" w:eastAsia="MS Mincho" w:hAnsi="Palatino Linotype" w:cs="Arial"/>
          <w:b/>
          <w:bCs/>
          <w:sz w:val="22"/>
          <w:szCs w:val="22"/>
        </w:rPr>
        <w:t xml:space="preserve"> (E)</w:t>
      </w:r>
    </w:p>
    <w:p w:rsidR="00ED25F6" w:rsidRPr="00ED25F6" w:rsidRDefault="00ED25F6" w:rsidP="00ED25F6">
      <w:pPr>
        <w:pStyle w:val="Textosinformato"/>
        <w:rPr>
          <w:rFonts w:ascii="Palatino Linotype" w:eastAsia="MS Mincho" w:hAnsi="Palatino Linotype" w:cs="Arial"/>
          <w:bCs/>
          <w:sz w:val="14"/>
          <w:szCs w:val="14"/>
        </w:rPr>
      </w:pPr>
      <w:r>
        <w:rPr>
          <w:rFonts w:ascii="Palatino Linotype" w:eastAsia="MS Mincho" w:hAnsi="Palatino Linotype" w:cs="Arial"/>
          <w:b/>
          <w:bCs/>
          <w:sz w:val="14"/>
          <w:szCs w:val="14"/>
        </w:rPr>
        <w:t>DSCS</w:t>
      </w:r>
    </w:p>
    <w:sectPr w:rsidR="00ED25F6" w:rsidRPr="00ED25F6" w:rsidSect="00ED25F6">
      <w:headerReference w:type="default" r:id="rId9"/>
      <w:footerReference w:type="default" r:id="rId10"/>
      <w:pgSz w:w="12240" w:h="15840"/>
      <w:pgMar w:top="1418" w:right="1467" w:bottom="85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0A7" w:rsidRDefault="006C40A7" w:rsidP="007A2BC2">
      <w:r>
        <w:separator/>
      </w:r>
    </w:p>
  </w:endnote>
  <w:endnote w:type="continuationSeparator" w:id="1">
    <w:p w:rsidR="006C40A7" w:rsidRDefault="006C40A7" w:rsidP="007A2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988439"/>
      <w:docPartObj>
        <w:docPartGallery w:val="Page Numbers (Bottom of Page)"/>
        <w:docPartUnique/>
      </w:docPartObj>
    </w:sdtPr>
    <w:sdtContent>
      <w:sdt>
        <w:sdtPr>
          <w:id w:val="860082579"/>
          <w:docPartObj>
            <w:docPartGallery w:val="Page Numbers (Top of Page)"/>
            <w:docPartUnique/>
          </w:docPartObj>
        </w:sdtPr>
        <w:sdtContent>
          <w:p w:rsidR="00203608" w:rsidRDefault="00203608">
            <w:pPr>
              <w:pStyle w:val="Piedepgina"/>
              <w:jc w:val="right"/>
            </w:pPr>
            <w:r w:rsidRPr="00203608">
              <w:rPr>
                <w:rFonts w:ascii="Palatino Linotype" w:hAnsi="Palatino Linotype"/>
                <w:sz w:val="22"/>
                <w:szCs w:val="22"/>
              </w:rPr>
              <w:t xml:space="preserve">Página </w:t>
            </w:r>
            <w:r w:rsidR="00034771" w:rsidRPr="00203608">
              <w:rPr>
                <w:rFonts w:ascii="Palatino Linotype" w:hAnsi="Palatino Linotype"/>
                <w:b/>
                <w:bCs/>
                <w:sz w:val="22"/>
                <w:szCs w:val="22"/>
              </w:rPr>
              <w:fldChar w:fldCharType="begin"/>
            </w:r>
            <w:r w:rsidRPr="00203608">
              <w:rPr>
                <w:rFonts w:ascii="Palatino Linotype" w:hAnsi="Palatino Linotype"/>
                <w:b/>
                <w:bCs/>
                <w:sz w:val="22"/>
                <w:szCs w:val="22"/>
              </w:rPr>
              <w:instrText>PAGE</w:instrText>
            </w:r>
            <w:r w:rsidR="00034771" w:rsidRPr="00203608">
              <w:rPr>
                <w:rFonts w:ascii="Palatino Linotype" w:hAnsi="Palatino Linotype"/>
                <w:b/>
                <w:bCs/>
                <w:sz w:val="22"/>
                <w:szCs w:val="22"/>
              </w:rPr>
              <w:fldChar w:fldCharType="separate"/>
            </w:r>
            <w:r w:rsidR="008500ED">
              <w:rPr>
                <w:rFonts w:ascii="Palatino Linotype" w:hAnsi="Palatino Linotype"/>
                <w:b/>
                <w:bCs/>
                <w:noProof/>
                <w:sz w:val="22"/>
                <w:szCs w:val="22"/>
              </w:rPr>
              <w:t>7</w:t>
            </w:r>
            <w:r w:rsidR="00034771" w:rsidRPr="00203608">
              <w:rPr>
                <w:rFonts w:ascii="Palatino Linotype" w:hAnsi="Palatino Linotype"/>
                <w:b/>
                <w:bCs/>
                <w:sz w:val="22"/>
                <w:szCs w:val="22"/>
              </w:rPr>
              <w:fldChar w:fldCharType="end"/>
            </w:r>
            <w:r w:rsidRPr="00203608">
              <w:rPr>
                <w:rFonts w:ascii="Palatino Linotype" w:hAnsi="Palatino Linotype"/>
                <w:sz w:val="22"/>
                <w:szCs w:val="22"/>
              </w:rPr>
              <w:t xml:space="preserve"> de </w:t>
            </w:r>
            <w:r w:rsidR="00ED25F6">
              <w:rPr>
                <w:rFonts w:ascii="Palatino Linotype" w:hAnsi="Palatino Linotype"/>
                <w:b/>
                <w:bCs/>
                <w:sz w:val="22"/>
                <w:szCs w:val="22"/>
              </w:rPr>
              <w:t>7</w:t>
            </w:r>
          </w:p>
        </w:sdtContent>
      </w:sdt>
    </w:sdtContent>
  </w:sdt>
  <w:p w:rsidR="00203608" w:rsidRDefault="0020360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0A7" w:rsidRDefault="006C40A7" w:rsidP="007A2BC2">
      <w:r>
        <w:separator/>
      </w:r>
    </w:p>
  </w:footnote>
  <w:footnote w:type="continuationSeparator" w:id="1">
    <w:p w:rsidR="006C40A7" w:rsidRDefault="006C40A7" w:rsidP="007A2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08" w:rsidRDefault="00203608">
    <w:pPr>
      <w:pStyle w:val="Encabezado"/>
    </w:pPr>
  </w:p>
  <w:p w:rsidR="00203608" w:rsidRDefault="00203608">
    <w:pPr>
      <w:pStyle w:val="Encabezado"/>
    </w:pPr>
  </w:p>
  <w:p w:rsidR="00203608" w:rsidRDefault="00203608">
    <w:pPr>
      <w:pStyle w:val="Encabezado"/>
    </w:pPr>
  </w:p>
  <w:p w:rsidR="00203608" w:rsidRDefault="00203608">
    <w:pPr>
      <w:pStyle w:val="Encabezado"/>
    </w:pPr>
  </w:p>
  <w:p w:rsidR="00203608" w:rsidRDefault="00203608">
    <w:pPr>
      <w:pStyle w:val="Encabezado"/>
    </w:pPr>
  </w:p>
  <w:p w:rsidR="008171BF" w:rsidRDefault="008171BF" w:rsidP="00203608">
    <w:pPr>
      <w:spacing w:after="240"/>
      <w:jc w:val="center"/>
      <w:rPr>
        <w:rFonts w:ascii="Palatino Linotype" w:hAnsi="Palatino Linotype" w:cs="Arial"/>
        <w:b/>
        <w:bCs/>
      </w:rPr>
    </w:pPr>
  </w:p>
  <w:p w:rsidR="00203608" w:rsidRPr="00203608" w:rsidRDefault="00203608" w:rsidP="00203608">
    <w:pPr>
      <w:spacing w:after="240"/>
      <w:jc w:val="center"/>
      <w:rPr>
        <w:rFonts w:ascii="Palatino Linotype" w:hAnsi="Palatino Linotype" w:cs="Arial"/>
        <w:b/>
        <w:bCs/>
      </w:rPr>
    </w:pPr>
    <w:r>
      <w:rPr>
        <w:rFonts w:ascii="Palatino Linotype" w:hAnsi="Palatino Linotype" w:cs="Arial"/>
        <w:b/>
        <w:bCs/>
      </w:rPr>
      <w:t>ORDENANZA No.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08" w:rsidRDefault="00203608">
    <w:pPr>
      <w:pStyle w:val="Encabezado"/>
    </w:pPr>
  </w:p>
  <w:p w:rsidR="00203608" w:rsidRDefault="00203608">
    <w:pPr>
      <w:pStyle w:val="Encabezado"/>
    </w:pPr>
  </w:p>
  <w:p w:rsidR="00203608" w:rsidRDefault="00203608">
    <w:pPr>
      <w:pStyle w:val="Encabezado"/>
    </w:pPr>
  </w:p>
  <w:p w:rsidR="00203608" w:rsidRDefault="00203608">
    <w:pPr>
      <w:pStyle w:val="Encabezado"/>
    </w:pPr>
  </w:p>
  <w:p w:rsidR="00203608" w:rsidRDefault="00203608">
    <w:pPr>
      <w:pStyle w:val="Encabezado"/>
    </w:pPr>
  </w:p>
  <w:p w:rsidR="00203608" w:rsidRPr="00203608" w:rsidRDefault="00203608" w:rsidP="00203608">
    <w:pPr>
      <w:spacing w:after="240"/>
      <w:jc w:val="center"/>
      <w:rPr>
        <w:rFonts w:ascii="Palatino Linotype" w:hAnsi="Palatino Linotype" w:cs="Arial"/>
        <w:b/>
        <w:bCs/>
      </w:rPr>
    </w:pPr>
    <w:r>
      <w:rPr>
        <w:rFonts w:ascii="Palatino Linotype" w:hAnsi="Palatino Linotype" w:cs="Arial"/>
        <w:b/>
        <w:bCs/>
      </w:rPr>
      <w:t>ORDENANZA No.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60D9A"/>
    <w:multiLevelType w:val="hybridMultilevel"/>
    <w:tmpl w:val="F58EDF72"/>
    <w:lvl w:ilvl="0" w:tplc="7370E896">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578A7"/>
    <w:rsid w:val="00021B32"/>
    <w:rsid w:val="00034771"/>
    <w:rsid w:val="000451EA"/>
    <w:rsid w:val="000B3213"/>
    <w:rsid w:val="001F5CC8"/>
    <w:rsid w:val="00203608"/>
    <w:rsid w:val="003166BF"/>
    <w:rsid w:val="004C1EB7"/>
    <w:rsid w:val="0051377D"/>
    <w:rsid w:val="00626B9C"/>
    <w:rsid w:val="00677B37"/>
    <w:rsid w:val="006C40A7"/>
    <w:rsid w:val="006E0F5F"/>
    <w:rsid w:val="007A2BC2"/>
    <w:rsid w:val="008171BF"/>
    <w:rsid w:val="008500ED"/>
    <w:rsid w:val="00853D5B"/>
    <w:rsid w:val="008A03BE"/>
    <w:rsid w:val="00A16EF4"/>
    <w:rsid w:val="00A578A7"/>
    <w:rsid w:val="00B27915"/>
    <w:rsid w:val="00BC15EE"/>
    <w:rsid w:val="00C76F80"/>
    <w:rsid w:val="00D10071"/>
    <w:rsid w:val="00D3459D"/>
    <w:rsid w:val="00DC798E"/>
    <w:rsid w:val="00DF3E21"/>
    <w:rsid w:val="00E32BB2"/>
    <w:rsid w:val="00EB490C"/>
    <w:rsid w:val="00EB54E5"/>
    <w:rsid w:val="00ED25F6"/>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A7"/>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A578A7"/>
    <w:pPr>
      <w:keepNext/>
      <w:jc w:val="both"/>
      <w:outlineLvl w:val="0"/>
    </w:pPr>
    <w:rPr>
      <w:sz w:val="24"/>
    </w:rPr>
  </w:style>
  <w:style w:type="paragraph" w:styleId="Ttulo3">
    <w:name w:val="heading 3"/>
    <w:basedOn w:val="Normal"/>
    <w:next w:val="Normal"/>
    <w:link w:val="Ttulo3Car"/>
    <w:unhideWhenUsed/>
    <w:qFormat/>
    <w:rsid w:val="00A578A7"/>
    <w:pPr>
      <w:keepNext/>
      <w:outlineLvl w:val="2"/>
    </w:pPr>
    <w:rPr>
      <w:b/>
      <w:bCs/>
      <w:sz w:val="24"/>
    </w:rPr>
  </w:style>
  <w:style w:type="paragraph" w:styleId="Ttulo4">
    <w:name w:val="heading 4"/>
    <w:basedOn w:val="Normal"/>
    <w:next w:val="Normal"/>
    <w:link w:val="Ttulo4Car"/>
    <w:unhideWhenUsed/>
    <w:qFormat/>
    <w:rsid w:val="00A578A7"/>
    <w:pPr>
      <w:keepNext/>
      <w:outlineLvl w:val="3"/>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78A7"/>
    <w:rPr>
      <w:rFonts w:ascii="Times New Roman" w:eastAsia="Times New Roman" w:hAnsi="Times New Roman" w:cs="Times New Roman"/>
      <w:sz w:val="24"/>
      <w:szCs w:val="20"/>
      <w:lang w:val="es-ES" w:eastAsia="es-ES"/>
    </w:rPr>
  </w:style>
  <w:style w:type="character" w:customStyle="1" w:styleId="Ttulo3Car">
    <w:name w:val="Título 3 Car"/>
    <w:basedOn w:val="Fuentedeprrafopredeter"/>
    <w:link w:val="Ttulo3"/>
    <w:rsid w:val="00A578A7"/>
    <w:rPr>
      <w:rFonts w:ascii="Times New Roman" w:eastAsia="Times New Roman" w:hAnsi="Times New Roman" w:cs="Times New Roman"/>
      <w:b/>
      <w:bCs/>
      <w:sz w:val="24"/>
      <w:szCs w:val="20"/>
      <w:lang w:val="es-ES" w:eastAsia="es-ES"/>
    </w:rPr>
  </w:style>
  <w:style w:type="character" w:customStyle="1" w:styleId="Ttulo4Car">
    <w:name w:val="Título 4 Car"/>
    <w:basedOn w:val="Fuentedeprrafopredeter"/>
    <w:link w:val="Ttulo4"/>
    <w:rsid w:val="00A578A7"/>
    <w:rPr>
      <w:rFonts w:ascii="Times New Roman" w:eastAsia="Times New Roman" w:hAnsi="Times New Roman" w:cs="Times New Roman"/>
      <w:sz w:val="24"/>
      <w:szCs w:val="20"/>
      <w:lang w:val="es-ES" w:eastAsia="es-ES"/>
    </w:rPr>
  </w:style>
  <w:style w:type="paragraph" w:styleId="Textoindependiente">
    <w:name w:val="Body Text"/>
    <w:basedOn w:val="Normal"/>
    <w:link w:val="TextoindependienteCar"/>
    <w:unhideWhenUsed/>
    <w:rsid w:val="00A578A7"/>
    <w:pPr>
      <w:jc w:val="both"/>
    </w:pPr>
    <w:rPr>
      <w:bCs/>
      <w:sz w:val="24"/>
    </w:rPr>
  </w:style>
  <w:style w:type="character" w:customStyle="1" w:styleId="TextoindependienteCar">
    <w:name w:val="Texto independiente Car"/>
    <w:basedOn w:val="Fuentedeprrafopredeter"/>
    <w:link w:val="Textoindependiente"/>
    <w:rsid w:val="00A578A7"/>
    <w:rPr>
      <w:rFonts w:ascii="Times New Roman" w:eastAsia="Times New Roman" w:hAnsi="Times New Roman" w:cs="Times New Roman"/>
      <w:bCs/>
      <w:sz w:val="24"/>
      <w:szCs w:val="20"/>
      <w:lang w:val="es-ES" w:eastAsia="es-ES"/>
    </w:rPr>
  </w:style>
  <w:style w:type="paragraph" w:styleId="Prrafodelista">
    <w:name w:val="List Paragraph"/>
    <w:basedOn w:val="Normal"/>
    <w:uiPriority w:val="34"/>
    <w:qFormat/>
    <w:rsid w:val="00A578A7"/>
    <w:pPr>
      <w:ind w:left="720"/>
      <w:contextualSpacing/>
    </w:pPr>
  </w:style>
  <w:style w:type="paragraph" w:styleId="Encabezado">
    <w:name w:val="header"/>
    <w:basedOn w:val="Normal"/>
    <w:link w:val="EncabezadoCar"/>
    <w:uiPriority w:val="99"/>
    <w:unhideWhenUsed/>
    <w:rsid w:val="007A2BC2"/>
    <w:pPr>
      <w:tabs>
        <w:tab w:val="center" w:pos="4419"/>
        <w:tab w:val="right" w:pos="8838"/>
      </w:tabs>
    </w:pPr>
  </w:style>
  <w:style w:type="character" w:customStyle="1" w:styleId="EncabezadoCar">
    <w:name w:val="Encabezado Car"/>
    <w:basedOn w:val="Fuentedeprrafopredeter"/>
    <w:link w:val="Encabezado"/>
    <w:uiPriority w:val="99"/>
    <w:rsid w:val="007A2BC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A2BC2"/>
    <w:pPr>
      <w:tabs>
        <w:tab w:val="center" w:pos="4419"/>
        <w:tab w:val="right" w:pos="8838"/>
      </w:tabs>
    </w:pPr>
  </w:style>
  <w:style w:type="character" w:customStyle="1" w:styleId="PiedepginaCar">
    <w:name w:val="Pie de página Car"/>
    <w:basedOn w:val="Fuentedeprrafopredeter"/>
    <w:link w:val="Piedepgina"/>
    <w:uiPriority w:val="99"/>
    <w:rsid w:val="007A2BC2"/>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0B3213"/>
    <w:rPr>
      <w:rFonts w:ascii="Courier New" w:hAnsi="Courier New"/>
    </w:rPr>
  </w:style>
  <w:style w:type="character" w:customStyle="1" w:styleId="TextosinformatoCar">
    <w:name w:val="Texto sin formato Car"/>
    <w:basedOn w:val="Fuentedeprrafopredeter"/>
    <w:link w:val="Textosinformato"/>
    <w:rsid w:val="000B3213"/>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0B3213"/>
    <w:rPr>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A7"/>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A578A7"/>
    <w:pPr>
      <w:keepNext/>
      <w:jc w:val="both"/>
      <w:outlineLvl w:val="0"/>
    </w:pPr>
    <w:rPr>
      <w:sz w:val="24"/>
    </w:rPr>
  </w:style>
  <w:style w:type="paragraph" w:styleId="Ttulo3">
    <w:name w:val="heading 3"/>
    <w:basedOn w:val="Normal"/>
    <w:next w:val="Normal"/>
    <w:link w:val="Ttulo3Car"/>
    <w:unhideWhenUsed/>
    <w:qFormat/>
    <w:rsid w:val="00A578A7"/>
    <w:pPr>
      <w:keepNext/>
      <w:outlineLvl w:val="2"/>
    </w:pPr>
    <w:rPr>
      <w:b/>
      <w:bCs/>
      <w:sz w:val="24"/>
    </w:rPr>
  </w:style>
  <w:style w:type="paragraph" w:styleId="Ttulo4">
    <w:name w:val="heading 4"/>
    <w:basedOn w:val="Normal"/>
    <w:next w:val="Normal"/>
    <w:link w:val="Ttulo4Car"/>
    <w:unhideWhenUsed/>
    <w:qFormat/>
    <w:rsid w:val="00A578A7"/>
    <w:pPr>
      <w:keepNext/>
      <w:outlineLvl w:val="3"/>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78A7"/>
    <w:rPr>
      <w:rFonts w:ascii="Times New Roman" w:eastAsia="Times New Roman" w:hAnsi="Times New Roman" w:cs="Times New Roman"/>
      <w:sz w:val="24"/>
      <w:szCs w:val="20"/>
      <w:lang w:val="es-ES" w:eastAsia="es-ES"/>
    </w:rPr>
  </w:style>
  <w:style w:type="character" w:customStyle="1" w:styleId="Ttulo3Car">
    <w:name w:val="Título 3 Car"/>
    <w:basedOn w:val="Fuentedeprrafopredeter"/>
    <w:link w:val="Ttulo3"/>
    <w:rsid w:val="00A578A7"/>
    <w:rPr>
      <w:rFonts w:ascii="Times New Roman" w:eastAsia="Times New Roman" w:hAnsi="Times New Roman" w:cs="Times New Roman"/>
      <w:b/>
      <w:bCs/>
      <w:sz w:val="24"/>
      <w:szCs w:val="20"/>
      <w:lang w:val="es-ES" w:eastAsia="es-ES"/>
    </w:rPr>
  </w:style>
  <w:style w:type="character" w:customStyle="1" w:styleId="Ttulo4Car">
    <w:name w:val="Título 4 Car"/>
    <w:basedOn w:val="Fuentedeprrafopredeter"/>
    <w:link w:val="Ttulo4"/>
    <w:rsid w:val="00A578A7"/>
    <w:rPr>
      <w:rFonts w:ascii="Times New Roman" w:eastAsia="Times New Roman" w:hAnsi="Times New Roman" w:cs="Times New Roman"/>
      <w:sz w:val="24"/>
      <w:szCs w:val="20"/>
      <w:lang w:val="es-ES" w:eastAsia="es-ES"/>
    </w:rPr>
  </w:style>
  <w:style w:type="paragraph" w:styleId="Textoindependiente">
    <w:name w:val="Body Text"/>
    <w:basedOn w:val="Normal"/>
    <w:link w:val="TextoindependienteCar"/>
    <w:unhideWhenUsed/>
    <w:rsid w:val="00A578A7"/>
    <w:pPr>
      <w:jc w:val="both"/>
    </w:pPr>
    <w:rPr>
      <w:bCs/>
      <w:sz w:val="24"/>
    </w:rPr>
  </w:style>
  <w:style w:type="character" w:customStyle="1" w:styleId="TextoindependienteCar">
    <w:name w:val="Texto independiente Car"/>
    <w:basedOn w:val="Fuentedeprrafopredeter"/>
    <w:link w:val="Textoindependiente"/>
    <w:rsid w:val="00A578A7"/>
    <w:rPr>
      <w:rFonts w:ascii="Times New Roman" w:eastAsia="Times New Roman" w:hAnsi="Times New Roman" w:cs="Times New Roman"/>
      <w:bCs/>
      <w:sz w:val="24"/>
      <w:szCs w:val="20"/>
      <w:lang w:val="es-ES" w:eastAsia="es-ES"/>
    </w:rPr>
  </w:style>
  <w:style w:type="paragraph" w:styleId="Prrafodelista">
    <w:name w:val="List Paragraph"/>
    <w:basedOn w:val="Normal"/>
    <w:uiPriority w:val="34"/>
    <w:qFormat/>
    <w:rsid w:val="00A578A7"/>
    <w:pPr>
      <w:ind w:left="720"/>
      <w:contextualSpacing/>
    </w:pPr>
  </w:style>
</w:styles>
</file>

<file path=word/webSettings.xml><?xml version="1.0" encoding="utf-8"?>
<w:webSettings xmlns:r="http://schemas.openxmlformats.org/officeDocument/2006/relationships" xmlns:w="http://schemas.openxmlformats.org/wordprocessingml/2006/main">
  <w:divs>
    <w:div w:id="164373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095F0-6637-43C7-8037-7C933B06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1895</Words>
  <Characters>10423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eortiz</dc:creator>
  <cp:lastModifiedBy>dcevallos</cp:lastModifiedBy>
  <cp:revision>8</cp:revision>
  <cp:lastPrinted>2015-07-30T15:51:00Z</cp:lastPrinted>
  <dcterms:created xsi:type="dcterms:W3CDTF">2015-07-30T13:45:00Z</dcterms:created>
  <dcterms:modified xsi:type="dcterms:W3CDTF">2015-07-30T15:59:00Z</dcterms:modified>
</cp:coreProperties>
</file>