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2F" w:rsidRPr="00904960" w:rsidRDefault="00823A2F" w:rsidP="00823A2F">
      <w:pPr>
        <w:autoSpaceDE w:val="0"/>
        <w:autoSpaceDN w:val="0"/>
        <w:adjustRightInd w:val="0"/>
        <w:spacing w:after="0" w:line="240" w:lineRule="auto"/>
        <w:jc w:val="center"/>
        <w:rPr>
          <w:rFonts w:ascii="Palatino Linotype" w:hAnsi="Palatino Linotype" w:cs="Arial"/>
          <w:b/>
          <w:bCs/>
        </w:rPr>
      </w:pPr>
      <w:r w:rsidRPr="00904960">
        <w:rPr>
          <w:rFonts w:ascii="Palatino Linotype" w:hAnsi="Palatino Linotype" w:cs="Arial"/>
          <w:b/>
          <w:bCs/>
        </w:rPr>
        <w:t>EXPOSICIÓN DE MOTIVOS</w:t>
      </w:r>
    </w:p>
    <w:p w:rsidR="00823A2F" w:rsidRPr="00904960" w:rsidRDefault="00823A2F" w:rsidP="00823A2F">
      <w:pPr>
        <w:autoSpaceDE w:val="0"/>
        <w:autoSpaceDN w:val="0"/>
        <w:adjustRightInd w:val="0"/>
        <w:spacing w:after="0" w:line="240" w:lineRule="auto"/>
        <w:jc w:val="center"/>
        <w:rPr>
          <w:rFonts w:ascii="Palatino Linotype" w:hAnsi="Palatino Linotype" w:cs="Arial"/>
          <w:b/>
          <w:bCs/>
        </w:rPr>
      </w:pPr>
    </w:p>
    <w:p w:rsidR="00823A2F" w:rsidRPr="00904960" w:rsidRDefault="00823A2F" w:rsidP="00823A2F">
      <w:pPr>
        <w:autoSpaceDE w:val="0"/>
        <w:autoSpaceDN w:val="0"/>
        <w:adjustRightInd w:val="0"/>
        <w:spacing w:after="0" w:line="240" w:lineRule="auto"/>
        <w:ind w:firstLine="708"/>
        <w:jc w:val="both"/>
        <w:rPr>
          <w:rFonts w:ascii="Palatino Linotype" w:hAnsi="Palatino Linotype" w:cs="Arial"/>
          <w:bCs/>
        </w:rPr>
      </w:pPr>
      <w:r w:rsidRPr="00904960">
        <w:rPr>
          <w:rFonts w:ascii="Palatino Linotype" w:hAnsi="Palatino Linotype" w:cs="Arial"/>
          <w:bCs/>
        </w:rPr>
        <w:t>Para el desarrollo del proyecto de urbanización y posterior construcción de la misma, los promotores presentan por iniciativa privada, la división y habilitación del suelo para la Urbanización “La Quinta”</w:t>
      </w:r>
      <w:r>
        <w:rPr>
          <w:rFonts w:ascii="Palatino Linotype" w:hAnsi="Palatino Linotype" w:cs="Arial"/>
          <w:bCs/>
        </w:rPr>
        <w:t>.</w:t>
      </w:r>
    </w:p>
    <w:p w:rsidR="00823A2F" w:rsidRPr="004503E5" w:rsidRDefault="00823A2F" w:rsidP="00823A2F">
      <w:pPr>
        <w:autoSpaceDE w:val="0"/>
        <w:autoSpaceDN w:val="0"/>
        <w:adjustRightInd w:val="0"/>
        <w:spacing w:before="240" w:after="0"/>
        <w:ind w:firstLine="708"/>
        <w:jc w:val="both"/>
        <w:rPr>
          <w:rFonts w:ascii="Palatino Linotype" w:hAnsi="Palatino Linotype" w:cs="Arial"/>
          <w:bCs/>
        </w:rPr>
      </w:pPr>
      <w:r w:rsidRPr="00904960">
        <w:rPr>
          <w:rFonts w:ascii="Palatino Linotype" w:hAnsi="Palatino Linotype" w:cs="Arial"/>
          <w:bCs/>
        </w:rPr>
        <w:t xml:space="preserve">El </w:t>
      </w:r>
      <w:r>
        <w:rPr>
          <w:rFonts w:ascii="Palatino Linotype" w:hAnsi="Palatino Linotype" w:cs="Arial"/>
          <w:bCs/>
        </w:rPr>
        <w:t>o</w:t>
      </w:r>
      <w:r w:rsidRPr="00904960">
        <w:rPr>
          <w:rFonts w:ascii="Palatino Linotype" w:hAnsi="Palatino Linotype" w:cs="Arial"/>
          <w:bCs/>
        </w:rPr>
        <w:t>bjetivo de la Urbanización está orientado a contribuir a la construcci</w:t>
      </w:r>
      <w:r w:rsidRPr="004503E5">
        <w:rPr>
          <w:rFonts w:ascii="Palatino Linotype" w:hAnsi="Palatino Linotype" w:cs="Arial"/>
          <w:bCs/>
        </w:rPr>
        <w:t xml:space="preserve">ón de un hábitat seguro, saludable, con amplias áreas de vegetación; y, a ofrecer lotes de terreno para la construcción de viviendas adecuadas; planificado dentro de los correspondientes planes de ordenamiento territorial y en cumplimiento de los requerimientos técnicos definidos por el Municipio </w:t>
      </w:r>
      <w:r>
        <w:rPr>
          <w:rFonts w:ascii="Palatino Linotype" w:hAnsi="Palatino Linotype" w:cs="Arial"/>
          <w:bCs/>
        </w:rPr>
        <w:t xml:space="preserve">del Distrito </w:t>
      </w:r>
      <w:r w:rsidRPr="004503E5">
        <w:rPr>
          <w:rFonts w:ascii="Palatino Linotype" w:hAnsi="Palatino Linotype" w:cs="Arial"/>
          <w:bCs/>
        </w:rPr>
        <w:t>Metropolitano</w:t>
      </w:r>
      <w:r>
        <w:rPr>
          <w:rFonts w:ascii="Palatino Linotype" w:hAnsi="Palatino Linotype" w:cs="Arial"/>
          <w:bCs/>
        </w:rPr>
        <w:t xml:space="preserve"> de Quito</w:t>
      </w:r>
      <w:r w:rsidRPr="004503E5">
        <w:rPr>
          <w:rFonts w:ascii="Palatino Linotype" w:hAnsi="Palatino Linotype" w:cs="Arial"/>
          <w:bCs/>
        </w:rPr>
        <w:t>.</w:t>
      </w:r>
    </w:p>
    <w:p w:rsidR="00823A2F" w:rsidRPr="004503E5" w:rsidRDefault="00823A2F" w:rsidP="00823A2F">
      <w:pPr>
        <w:autoSpaceDE w:val="0"/>
        <w:autoSpaceDN w:val="0"/>
        <w:adjustRightInd w:val="0"/>
        <w:spacing w:before="240" w:after="0"/>
        <w:ind w:firstLine="708"/>
        <w:jc w:val="both"/>
        <w:rPr>
          <w:rFonts w:ascii="Palatino Linotype" w:hAnsi="Palatino Linotype" w:cs="Arial"/>
          <w:bCs/>
        </w:rPr>
      </w:pPr>
      <w:r w:rsidRPr="004503E5">
        <w:rPr>
          <w:rFonts w:ascii="Palatino Linotype" w:hAnsi="Palatino Linotype" w:cs="Arial"/>
          <w:bCs/>
        </w:rPr>
        <w:t>En este contexto el proyecto destina el 55% de la superficie del terreno, a lotes para la venta y el área restante a parques, jardines y calles. Se implanta teniendo en cuenta el armónico desarrollo urbano del sector.</w:t>
      </w:r>
    </w:p>
    <w:p w:rsidR="00823A2F" w:rsidRPr="004503E5" w:rsidRDefault="00823A2F" w:rsidP="00823A2F">
      <w:pPr>
        <w:autoSpaceDE w:val="0"/>
        <w:autoSpaceDN w:val="0"/>
        <w:adjustRightInd w:val="0"/>
        <w:spacing w:before="240" w:after="0"/>
        <w:ind w:firstLine="708"/>
        <w:jc w:val="both"/>
        <w:rPr>
          <w:rFonts w:ascii="Palatino Linotype" w:hAnsi="Palatino Linotype" w:cs="Arial"/>
          <w:bCs/>
        </w:rPr>
      </w:pPr>
      <w:r w:rsidRPr="004503E5">
        <w:rPr>
          <w:rFonts w:ascii="Palatino Linotype" w:hAnsi="Palatino Linotype" w:cs="Arial"/>
          <w:bCs/>
        </w:rPr>
        <w:t>Para la generación de este proyecto de urbanización se cumple con los requisitos de presentación de anteproyectos, proyecto definitivo, diseño de redes de servicios básicos, diseño vial, que permitirán el bienestar posterior de los futuros propietarios.</w:t>
      </w:r>
    </w:p>
    <w:p w:rsidR="00823A2F" w:rsidRDefault="00823A2F">
      <w:pPr>
        <w:sectPr w:rsidR="00823A2F" w:rsidSect="00F800C6">
          <w:headerReference w:type="default" r:id="rId6"/>
          <w:footerReference w:type="default" r:id="rId7"/>
          <w:pgSz w:w="12240" w:h="15840"/>
          <w:pgMar w:top="1417" w:right="1701" w:bottom="1417" w:left="1701" w:header="708" w:footer="708" w:gutter="0"/>
          <w:cols w:space="708"/>
          <w:docGrid w:linePitch="360"/>
        </w:sectPr>
      </w:pPr>
    </w:p>
    <w:p w:rsidR="00823A2F" w:rsidRPr="004503E5" w:rsidRDefault="00823A2F" w:rsidP="00823A2F">
      <w:pPr>
        <w:autoSpaceDE w:val="0"/>
        <w:autoSpaceDN w:val="0"/>
        <w:adjustRightInd w:val="0"/>
        <w:spacing w:before="240" w:after="0"/>
        <w:jc w:val="center"/>
        <w:rPr>
          <w:rFonts w:ascii="Palatino Linotype" w:hAnsi="Palatino Linotype" w:cs="Arial"/>
          <w:b/>
          <w:bCs/>
        </w:rPr>
      </w:pPr>
      <w:r w:rsidRPr="004503E5">
        <w:rPr>
          <w:rFonts w:ascii="Palatino Linotype" w:hAnsi="Palatino Linotype" w:cs="Arial"/>
          <w:b/>
          <w:bCs/>
        </w:rPr>
        <w:lastRenderedPageBreak/>
        <w:t>EL CONCEJO METROPOLITANO DE QUITO</w:t>
      </w:r>
    </w:p>
    <w:p w:rsidR="00823A2F" w:rsidRPr="004503E5" w:rsidRDefault="00823A2F" w:rsidP="00823A2F">
      <w:pPr>
        <w:autoSpaceDE w:val="0"/>
        <w:autoSpaceDN w:val="0"/>
        <w:adjustRightInd w:val="0"/>
        <w:spacing w:before="240" w:after="0"/>
        <w:rPr>
          <w:rFonts w:ascii="Palatino Linotype" w:hAnsi="Palatino Linotype" w:cs="Arial"/>
        </w:rPr>
      </w:pPr>
      <w:r w:rsidRPr="004503E5">
        <w:rPr>
          <w:rFonts w:ascii="Palatino Linotype" w:hAnsi="Palatino Linotype" w:cs="Arial"/>
        </w:rPr>
        <w:t xml:space="preserve">Visto </w:t>
      </w:r>
      <w:r>
        <w:rPr>
          <w:rFonts w:ascii="Palatino Linotype" w:hAnsi="Palatino Linotype" w:cs="Arial"/>
        </w:rPr>
        <w:t>e</w:t>
      </w:r>
      <w:r w:rsidRPr="004503E5">
        <w:rPr>
          <w:rFonts w:ascii="Palatino Linotype" w:hAnsi="Palatino Linotype" w:cs="Arial"/>
        </w:rPr>
        <w:t>l informe</w:t>
      </w:r>
      <w:r>
        <w:rPr>
          <w:rFonts w:ascii="Palatino Linotype" w:hAnsi="Palatino Linotype" w:cs="Arial"/>
        </w:rPr>
        <w:t xml:space="preserve"> No.</w:t>
      </w:r>
      <w:r w:rsidRPr="004503E5">
        <w:rPr>
          <w:rFonts w:ascii="Palatino Linotype" w:hAnsi="Palatino Linotype" w:cs="Arial"/>
        </w:rPr>
        <w:t xml:space="preserve"> IC-</w:t>
      </w:r>
      <w:r>
        <w:rPr>
          <w:rFonts w:ascii="Palatino Linotype" w:hAnsi="Palatino Linotype" w:cs="Arial"/>
        </w:rPr>
        <w:t>O-</w:t>
      </w:r>
      <w:r w:rsidRPr="004503E5">
        <w:rPr>
          <w:rFonts w:ascii="Palatino Linotype" w:hAnsi="Palatino Linotype" w:cs="Arial"/>
        </w:rPr>
        <w:t>2015-071</w:t>
      </w:r>
      <w:r>
        <w:rPr>
          <w:rFonts w:ascii="Palatino Linotype" w:hAnsi="Palatino Linotype" w:cs="Arial"/>
        </w:rPr>
        <w:t>,</w:t>
      </w:r>
      <w:r w:rsidRPr="004503E5">
        <w:rPr>
          <w:rFonts w:ascii="Palatino Linotype" w:hAnsi="Palatino Linotype" w:cs="Arial"/>
        </w:rPr>
        <w:t xml:space="preserve"> de 16 de abril de 2015, expedido </w:t>
      </w:r>
      <w:r>
        <w:rPr>
          <w:rFonts w:ascii="Palatino Linotype" w:hAnsi="Palatino Linotype" w:cs="Arial"/>
        </w:rPr>
        <w:t>por la Comisión de Uso de Suelo.</w:t>
      </w:r>
      <w:r w:rsidRPr="004503E5">
        <w:rPr>
          <w:rFonts w:ascii="Palatino Linotype" w:hAnsi="Palatino Linotype" w:cs="Arial"/>
        </w:rPr>
        <w:t xml:space="preserve"> </w:t>
      </w:r>
    </w:p>
    <w:p w:rsidR="00823A2F" w:rsidRPr="004503E5" w:rsidRDefault="00823A2F" w:rsidP="00823A2F">
      <w:pPr>
        <w:autoSpaceDE w:val="0"/>
        <w:autoSpaceDN w:val="0"/>
        <w:adjustRightInd w:val="0"/>
        <w:spacing w:before="240" w:after="0"/>
        <w:jc w:val="center"/>
        <w:rPr>
          <w:rFonts w:ascii="Palatino Linotype" w:hAnsi="Palatino Linotype" w:cs="Arial"/>
          <w:b/>
          <w:bCs/>
        </w:rPr>
      </w:pPr>
      <w:r w:rsidRPr="004503E5">
        <w:rPr>
          <w:rFonts w:ascii="Palatino Linotype" w:hAnsi="Palatino Linotype" w:cs="Arial"/>
          <w:b/>
          <w:bCs/>
        </w:rPr>
        <w:t>CONSIDERANDO:</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i/>
          <w:iCs/>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 xml:space="preserve">el artículo 30 de la Constitución de la República del Ecuador dispone que: </w:t>
      </w:r>
      <w:r w:rsidRPr="004503E5">
        <w:rPr>
          <w:rFonts w:ascii="Palatino Linotype" w:hAnsi="Palatino Linotype" w:cs="Arial"/>
          <w:i/>
          <w:iCs/>
        </w:rPr>
        <w:t>“Las personas tienen derecho a un hábitat seguro y saludable, y a una vivienda adecuada y digna, con independencia de su situación social y económica.</w:t>
      </w:r>
      <w:r>
        <w:rPr>
          <w:rFonts w:ascii="Palatino Linotype" w:hAnsi="Palatino Linotype" w:cs="Arial"/>
          <w:i/>
          <w:iCs/>
        </w:rPr>
        <w:t xml:space="preserve"> </w:t>
      </w:r>
      <w:r w:rsidRPr="004503E5">
        <w:rPr>
          <w:rFonts w:ascii="Palatino Linotype" w:hAnsi="Palatino Linotype" w:cs="Arial"/>
          <w:i/>
          <w:iCs/>
        </w:rPr>
        <w:t>(…);”</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i/>
          <w:iCs/>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 xml:space="preserve">los numerales 1 y 2 del artículo 264, de la Constitución otorgan a los gobiernos municipales, las competencias exclusivas de: </w:t>
      </w:r>
      <w:r w:rsidRPr="004503E5">
        <w:rPr>
          <w:rFonts w:ascii="Palatino Linotype" w:hAnsi="Palatino Linotype" w:cs="Arial"/>
          <w:i/>
          <w:iCs/>
        </w:rPr>
        <w:t>“1. Planificar el desarrollo cantonal y formular los correspondientes planes de ordenamiento territorial, de manera articulada con la planificación nacional, regional, provincial y parroquial, con el fin de regular el uso y la ocupación del suelo urbano y rural; 2. Ejercer control sobre el uso y ocupación del suelo en el cantón. (…)”;</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el artículo 266 de la carta fundamental establece que los gobiernos de los distritos metropolitanos autónomos, “</w:t>
      </w:r>
      <w:r w:rsidRPr="004503E5">
        <w:rPr>
          <w:rFonts w:ascii="Palatino Linotype" w:hAnsi="Palatino Linotype" w:cs="Arial"/>
          <w:i/>
        </w:rPr>
        <w:t>ejercerán las competencias que corresponden  a los gobiernos cantonales y todas las que sean aplicables de los gobiernos provinciales y regionales (…)”.</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i/>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 xml:space="preserve">el literal c) del artículo 54 del Código Orgánico de Organización Territorial, Autonomía y Descentralización (COOTAD),en concordancia con el literal c), del artículo 84 del mismo, determina que es función del gobierno  autónomo descentralizado municipal: “(…) </w:t>
      </w:r>
      <w:r w:rsidRPr="004503E5">
        <w:rPr>
          <w:rFonts w:ascii="Palatino Linotype" w:hAnsi="Palatino Linotype" w:cs="Arial"/>
          <w:i/>
        </w:rP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i/>
          <w:iCs/>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 xml:space="preserve">los literales a) y x) del artículo 57 del COOTAD, en concordancia con los literales a) y v), del artículo 87 del referido cuerpo normativo, establecen que al concejo  municipal, le corresponde: “ a) El ejercicio de la </w:t>
      </w:r>
      <w:r w:rsidRPr="004503E5">
        <w:rPr>
          <w:rFonts w:ascii="Palatino Linotype" w:hAnsi="Palatino Linotype" w:cs="Arial"/>
          <w:i/>
          <w:iCs/>
        </w:rPr>
        <w:t xml:space="preserve">facultad normativa en las materias de competencia del  gobierno autónomo descentralizado municipal, mediante la expedición de ordenanzas cantonales, acuerdos y resoluciones”; v) Regular y controlar mediante la </w:t>
      </w:r>
      <w:r w:rsidRPr="004503E5">
        <w:rPr>
          <w:rFonts w:ascii="Palatino Linotype" w:hAnsi="Palatino Linotype" w:cs="Arial"/>
          <w:i/>
          <w:iCs/>
        </w:rPr>
        <w:lastRenderedPageBreak/>
        <w:t>normativa cantonal correspondiente, el uso del suelo en el territorio del distrito metropolitano, de conformidad con las leyes sobre la materia, y establecer el régimen urbanístico de la tierra”;</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iCs/>
        </w:rPr>
      </w:pPr>
      <w:r w:rsidRPr="004503E5">
        <w:rPr>
          <w:rFonts w:ascii="Palatino Linotype" w:hAnsi="Palatino Linotype" w:cs="Arial"/>
          <w:b/>
          <w:iCs/>
        </w:rPr>
        <w:t>Que,</w:t>
      </w:r>
      <w:r w:rsidRPr="004503E5">
        <w:rPr>
          <w:rFonts w:ascii="Palatino Linotype" w:hAnsi="Palatino Linotype" w:cs="Arial"/>
          <w:iCs/>
        </w:rPr>
        <w:t xml:space="preserve"> </w:t>
      </w:r>
      <w:r w:rsidRPr="004503E5">
        <w:rPr>
          <w:rFonts w:ascii="Palatino Linotype" w:hAnsi="Palatino Linotype" w:cs="Arial"/>
          <w:iCs/>
        </w:rPr>
        <w:tab/>
        <w:t>el artículo 322 del citado Código Orgánico contempla que los concejos metropolitanos y municipales  aprobarán ordenanzas metropolitanas y municipales, determinando el  procedimiento a observarse;</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rPr>
      </w:pPr>
      <w:r w:rsidRPr="004503E5">
        <w:rPr>
          <w:rFonts w:ascii="Palatino Linotype" w:hAnsi="Palatino Linotype" w:cs="Arial"/>
          <w:b/>
        </w:rPr>
        <w:t>Que,</w:t>
      </w:r>
      <w:r>
        <w:rPr>
          <w:rFonts w:ascii="Palatino Linotype" w:hAnsi="Palatino Linotype" w:cs="Arial"/>
        </w:rPr>
        <w:t xml:space="preserve"> </w:t>
      </w:r>
      <w:r>
        <w:rPr>
          <w:rFonts w:ascii="Palatino Linotype" w:hAnsi="Palatino Linotype" w:cs="Arial"/>
        </w:rPr>
        <w:tab/>
      </w:r>
      <w:r w:rsidRPr="004503E5">
        <w:rPr>
          <w:rFonts w:ascii="Palatino Linotype" w:hAnsi="Palatino Linotype" w:cs="Arial"/>
        </w:rPr>
        <w:t xml:space="preserve">el artículo ….(69), de la Ordenanza Metropolitana No. 172, determina: “1. </w:t>
      </w:r>
      <w:r w:rsidRPr="004503E5">
        <w:rPr>
          <w:rFonts w:ascii="Palatino Linotype" w:hAnsi="Palatino Linotype" w:cs="Arial"/>
          <w:i/>
        </w:rPr>
        <w:t>Los proyectos de Urbanización son propuestas de iniciativa municipal o privada que tienen por finalidad  la división y habilitación del suelo en áreas de la circunscripción territorial del Distrito Metropolitano de Quito calificadas exclusivamente como suelo urbano por el PMOT u otros instrumentos de planificación. En Urbanizaciones, la división  del suelo contemplará  más de diez lotes, además del correspondiente  al de las áreas de equipamiento comunal y áreas verdes.</w:t>
      </w:r>
      <w:r w:rsidRPr="004503E5">
        <w:rPr>
          <w:rFonts w:ascii="Palatino Linotype" w:hAnsi="Palatino Linotype" w:cs="Arial"/>
        </w:rPr>
        <w:t>- 2</w:t>
      </w:r>
      <w:r w:rsidRPr="004503E5">
        <w:rPr>
          <w:rFonts w:ascii="Palatino Linotype" w:hAnsi="Palatino Linotype" w:cs="Arial"/>
          <w:i/>
        </w:rPr>
        <w:t>) Los proyectos de urbanización no podrán modificar  las previsiones del PMOT ni las determinaciones normativas  sobre ordenación, uso y ocupación del suelo y edificación; deberán integrar  sus redes de infraestructura y vialidad a las redes generales  (existentes o previstas), y deberán adjuntar los certificados de  factibilidad de servicio y las propuestas técnicas para la ejecución de obras de infraestructura y vialidad”;</w:t>
      </w:r>
      <w:r w:rsidRPr="004503E5">
        <w:rPr>
          <w:rFonts w:ascii="Palatino Linotype" w:hAnsi="Palatino Linotype" w:cs="Arial"/>
        </w:rPr>
        <w:t xml:space="preserve">  </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i/>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 xml:space="preserve">la Disposición Transitoria Primera reformada, de la Ordenanza Metropolitana No. 156, establece: </w:t>
      </w:r>
      <w:r w:rsidRPr="004503E5">
        <w:rPr>
          <w:rFonts w:ascii="Palatino Linotype" w:hAnsi="Palatino Linotype" w:cs="Arial"/>
          <w:i/>
        </w:rPr>
        <w:t xml:space="preserve">“1.- Los procedimientos iniciados con anterioridad a la implementación de la presente Ordenanza Metropolitana y que se encuentren en trámite, seguirán los procedimientos contemplados en las Ordenanzas correspondientes vigentes a la época en la que aquellos se iniciaron.- 2.- Las normas administrativas sustantivas y reglas técnicas de aplicación de los procedimientos iniciados con anterioridad a la entrada en vigencia  de la presente Ordenanza Metropolitana, y que se encuentren en trámite, se ajustarán a las mismas”;   </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rPr>
      </w:pPr>
      <w:r w:rsidRPr="004503E5">
        <w:rPr>
          <w:rFonts w:ascii="Palatino Linotype" w:hAnsi="Palatino Linotype" w:cs="Arial"/>
          <w:b/>
        </w:rPr>
        <w:t>Que</w:t>
      </w:r>
      <w:r>
        <w:rPr>
          <w:rFonts w:ascii="Palatino Linotype" w:hAnsi="Palatino Linotype" w:cs="Arial"/>
          <w:b/>
        </w:rPr>
        <w:t>,</w:t>
      </w:r>
      <w:r w:rsidRPr="004503E5">
        <w:rPr>
          <w:rFonts w:ascii="Palatino Linotype" w:hAnsi="Palatino Linotype" w:cs="Arial"/>
          <w:b/>
        </w:rPr>
        <w:t xml:space="preserve"> </w:t>
      </w:r>
      <w:r>
        <w:rPr>
          <w:rFonts w:ascii="Palatino Linotype" w:hAnsi="Palatino Linotype" w:cs="Arial"/>
        </w:rPr>
        <w:tab/>
      </w:r>
      <w:r w:rsidRPr="004503E5">
        <w:rPr>
          <w:rFonts w:ascii="Palatino Linotype" w:hAnsi="Palatino Linotype" w:cs="Arial"/>
        </w:rPr>
        <w:t>la Secretaría de Territorio, Hábitat y Vivienda, mediante oficio N</w:t>
      </w:r>
      <w:r>
        <w:rPr>
          <w:rFonts w:ascii="Palatino Linotype" w:hAnsi="Palatino Linotype" w:cs="Arial"/>
        </w:rPr>
        <w:t>o.</w:t>
      </w:r>
      <w:r w:rsidRPr="004503E5">
        <w:rPr>
          <w:rFonts w:ascii="Palatino Linotype" w:hAnsi="Palatino Linotype" w:cs="Arial"/>
        </w:rPr>
        <w:t xml:space="preserve"> SOT-GT-001528, de 10 de abril de 2014,  emitió informe técnico favorable para la aprobación de la presente ordenanza; </w:t>
      </w:r>
      <w:r>
        <w:rPr>
          <w:rFonts w:ascii="Palatino Linotype" w:hAnsi="Palatino Linotype" w:cs="Arial"/>
        </w:rPr>
        <w:t>y,</w:t>
      </w:r>
    </w:p>
    <w:p w:rsidR="00823A2F" w:rsidRPr="004503E5" w:rsidRDefault="00823A2F" w:rsidP="00823A2F">
      <w:pPr>
        <w:autoSpaceDE w:val="0"/>
        <w:autoSpaceDN w:val="0"/>
        <w:adjustRightInd w:val="0"/>
        <w:spacing w:before="240" w:after="0"/>
        <w:ind w:left="705" w:hanging="705"/>
        <w:jc w:val="both"/>
        <w:rPr>
          <w:rFonts w:ascii="Palatino Linotype" w:hAnsi="Palatino Linotype" w:cs="Arial"/>
        </w:rPr>
      </w:pPr>
      <w:r w:rsidRPr="004503E5">
        <w:rPr>
          <w:rFonts w:ascii="Palatino Linotype" w:hAnsi="Palatino Linotype" w:cs="Arial"/>
          <w:b/>
        </w:rPr>
        <w:t>Que,</w:t>
      </w:r>
      <w:r w:rsidRPr="004503E5">
        <w:rPr>
          <w:rFonts w:ascii="Palatino Linotype" w:hAnsi="Palatino Linotype" w:cs="Arial"/>
        </w:rPr>
        <w:t xml:space="preserve"> </w:t>
      </w:r>
      <w:r w:rsidRPr="004503E5">
        <w:rPr>
          <w:rFonts w:ascii="Palatino Linotype" w:hAnsi="Palatino Linotype" w:cs="Arial"/>
        </w:rPr>
        <w:tab/>
        <w:t xml:space="preserve">la Procuraduría Metropolitana, mediante </w:t>
      </w:r>
      <w:r>
        <w:rPr>
          <w:rFonts w:ascii="Palatino Linotype" w:hAnsi="Palatino Linotype" w:cs="Arial"/>
        </w:rPr>
        <w:t>oficio, referencia e</w:t>
      </w:r>
      <w:r w:rsidRPr="004503E5">
        <w:rPr>
          <w:rFonts w:ascii="Palatino Linotype" w:hAnsi="Palatino Linotype" w:cs="Arial"/>
        </w:rPr>
        <w:t>xp</w:t>
      </w:r>
      <w:r>
        <w:rPr>
          <w:rFonts w:ascii="Palatino Linotype" w:hAnsi="Palatino Linotype" w:cs="Arial"/>
        </w:rPr>
        <w:t>ediente</w:t>
      </w:r>
      <w:r w:rsidRPr="004503E5">
        <w:rPr>
          <w:rFonts w:ascii="Palatino Linotype" w:hAnsi="Palatino Linotype" w:cs="Arial"/>
        </w:rPr>
        <w:t xml:space="preserve"> 1279, de 23 de abril de 2014, emitió criterio legal favorable para la aprobación de la presente </w:t>
      </w:r>
      <w:r>
        <w:rPr>
          <w:rFonts w:ascii="Palatino Linotype" w:hAnsi="Palatino Linotype" w:cs="Arial"/>
        </w:rPr>
        <w:t>O</w:t>
      </w:r>
      <w:r w:rsidRPr="004503E5">
        <w:rPr>
          <w:rFonts w:ascii="Palatino Linotype" w:hAnsi="Palatino Linotype" w:cs="Arial"/>
        </w:rPr>
        <w:t>rdenanza</w:t>
      </w:r>
      <w:r>
        <w:rPr>
          <w:rFonts w:ascii="Palatino Linotype" w:hAnsi="Palatino Linotype" w:cs="Arial"/>
        </w:rPr>
        <w:t>.</w:t>
      </w:r>
    </w:p>
    <w:p w:rsidR="00823A2F" w:rsidRPr="00062511" w:rsidRDefault="00823A2F" w:rsidP="00823A2F">
      <w:pPr>
        <w:autoSpaceDE w:val="0"/>
        <w:autoSpaceDN w:val="0"/>
        <w:adjustRightInd w:val="0"/>
        <w:spacing w:before="240" w:after="0"/>
        <w:jc w:val="both"/>
        <w:rPr>
          <w:rFonts w:ascii="Palatino Linotype" w:hAnsi="Palatino Linotype" w:cs="Arial"/>
          <w:b/>
          <w:bCs/>
        </w:rPr>
      </w:pPr>
      <w:r w:rsidRPr="00062511">
        <w:rPr>
          <w:rFonts w:ascii="Palatino Linotype" w:hAnsi="Palatino Linotype" w:cs="Arial"/>
          <w:b/>
          <w:bCs/>
        </w:rPr>
        <w:lastRenderedPageBreak/>
        <w:t>En ejercicio de sus atribuciones legales constantes en los artículos 84, letra c)  y 87, letras a) y v),  del Código Orgánico de Organización Territorial, Autonomía y Descentralización.</w:t>
      </w:r>
    </w:p>
    <w:p w:rsidR="00823A2F" w:rsidRPr="004503E5" w:rsidRDefault="00823A2F" w:rsidP="00823A2F">
      <w:pPr>
        <w:autoSpaceDE w:val="0"/>
        <w:autoSpaceDN w:val="0"/>
        <w:adjustRightInd w:val="0"/>
        <w:spacing w:before="240" w:after="0"/>
        <w:jc w:val="center"/>
        <w:rPr>
          <w:rFonts w:ascii="Palatino Linotype" w:hAnsi="Palatino Linotype" w:cs="Arial"/>
          <w:b/>
        </w:rPr>
      </w:pPr>
      <w:r w:rsidRPr="004503E5">
        <w:rPr>
          <w:rFonts w:ascii="Palatino Linotype" w:hAnsi="Palatino Linotype" w:cs="Arial"/>
          <w:b/>
        </w:rPr>
        <w:t>EXPIDE</w:t>
      </w:r>
      <w:r>
        <w:rPr>
          <w:rFonts w:ascii="Palatino Linotype" w:hAnsi="Palatino Linotype" w:cs="Arial"/>
          <w:b/>
        </w:rPr>
        <w:t xml:space="preserve"> LA SIGUIENTE</w:t>
      </w:r>
      <w:r w:rsidRPr="004503E5">
        <w:rPr>
          <w:rFonts w:ascii="Palatino Linotype" w:hAnsi="Palatino Linotype" w:cs="Arial"/>
          <w:b/>
        </w:rPr>
        <w:t>:</w:t>
      </w:r>
    </w:p>
    <w:p w:rsidR="00823A2F" w:rsidRPr="004503E5" w:rsidRDefault="00823A2F" w:rsidP="00823A2F">
      <w:pPr>
        <w:autoSpaceDE w:val="0"/>
        <w:autoSpaceDN w:val="0"/>
        <w:adjustRightInd w:val="0"/>
        <w:spacing w:before="240" w:after="0"/>
        <w:jc w:val="center"/>
        <w:rPr>
          <w:rFonts w:ascii="Palatino Linotype" w:hAnsi="Palatino Linotype" w:cs="Arial"/>
          <w:b/>
        </w:rPr>
      </w:pPr>
      <w:r w:rsidRPr="004503E5">
        <w:rPr>
          <w:rFonts w:ascii="Palatino Linotype" w:hAnsi="Palatino Linotype" w:cs="Arial"/>
          <w:b/>
        </w:rPr>
        <w:t>ORDENANZA DEL PROYECTO URBANISTICO LA QUINTA</w:t>
      </w:r>
      <w:r>
        <w:rPr>
          <w:rFonts w:ascii="Palatino Linotype" w:hAnsi="Palatino Linotype" w:cs="Arial"/>
          <w:b/>
        </w:rPr>
        <w:t xml:space="preserve"> </w:t>
      </w:r>
      <w:r w:rsidRPr="004503E5">
        <w:rPr>
          <w:rFonts w:ascii="Palatino Linotype" w:hAnsi="Palatino Linotype" w:cs="Arial"/>
          <w:b/>
        </w:rPr>
        <w:t>-</w:t>
      </w:r>
      <w:r>
        <w:rPr>
          <w:rFonts w:ascii="Palatino Linotype" w:hAnsi="Palatino Linotype" w:cs="Arial"/>
          <w:b/>
        </w:rPr>
        <w:t xml:space="preserve"> </w:t>
      </w:r>
      <w:r w:rsidRPr="004503E5">
        <w:rPr>
          <w:rFonts w:ascii="Palatino Linotype" w:hAnsi="Palatino Linotype" w:cs="Arial"/>
          <w:b/>
        </w:rPr>
        <w:t>CUMBAYA</w:t>
      </w:r>
    </w:p>
    <w:p w:rsidR="00823A2F" w:rsidRPr="004503E5" w:rsidRDefault="00823A2F" w:rsidP="00823A2F">
      <w:pPr>
        <w:autoSpaceDE w:val="0"/>
        <w:autoSpaceDN w:val="0"/>
        <w:adjustRightInd w:val="0"/>
        <w:spacing w:before="240" w:after="0"/>
        <w:jc w:val="both"/>
        <w:rPr>
          <w:rFonts w:ascii="Palatino Linotype" w:hAnsi="Palatino Linotype" w:cs="Arial"/>
        </w:rPr>
      </w:pPr>
      <w:r>
        <w:rPr>
          <w:rFonts w:ascii="Palatino Linotype" w:hAnsi="Palatino Linotype" w:cs="Arial"/>
          <w:b/>
        </w:rPr>
        <w:t xml:space="preserve">Artículo 1.- </w:t>
      </w:r>
      <w:r w:rsidRPr="004503E5">
        <w:rPr>
          <w:rFonts w:ascii="Palatino Linotype" w:hAnsi="Palatino Linotype" w:cs="Arial"/>
        </w:rPr>
        <w:t>La Urbanización “La Quinta” se regirá por las siguientes especificaciones técnicas:</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Propietarios:</w:t>
      </w:r>
      <w:r>
        <w:rPr>
          <w:rFonts w:ascii="Palatino Linotype" w:hAnsi="Palatino Linotype" w:cs="Arial"/>
        </w:rPr>
        <w:tab/>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Compañía Santorini Internacional S.A., y otros.</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Predio No.:</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5019501</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Clave catastral:</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10818-04-001</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Ubicación</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Calle El Placer</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Sector/Barrio</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Sector Pillagua</w:t>
      </w:r>
      <w:r w:rsidRPr="004503E5">
        <w:rPr>
          <w:rFonts w:ascii="Palatino Linotype" w:hAnsi="Palatino Linotype" w:cs="Arial"/>
        </w:rPr>
        <w:tab/>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Parroquia:</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Cumbayá</w:t>
      </w:r>
    </w:p>
    <w:p w:rsidR="00823A2F" w:rsidRPr="004503E5" w:rsidRDefault="00823A2F" w:rsidP="00823A2F">
      <w:pPr>
        <w:autoSpaceDE w:val="0"/>
        <w:autoSpaceDN w:val="0"/>
        <w:adjustRightInd w:val="0"/>
        <w:spacing w:before="240" w:after="0"/>
        <w:rPr>
          <w:rFonts w:ascii="Palatino Linotype" w:hAnsi="Palatino Linotype" w:cs="Arial"/>
        </w:rPr>
      </w:pPr>
      <w:r>
        <w:rPr>
          <w:rFonts w:ascii="Palatino Linotype" w:hAnsi="Palatino Linotype" w:cs="Arial"/>
          <w:b/>
        </w:rPr>
        <w:t>Área total del terreno</w:t>
      </w:r>
      <w:r w:rsidRPr="004503E5">
        <w:rPr>
          <w:rFonts w:ascii="Palatino Linotype" w:hAnsi="Palatino Linotype" w:cs="Arial"/>
        </w:rPr>
        <w:t>:</w:t>
      </w:r>
      <w:r>
        <w:rPr>
          <w:rFonts w:ascii="Palatino Linotype" w:hAnsi="Palatino Linotype" w:cs="Arial"/>
        </w:rPr>
        <w:tab/>
      </w:r>
      <w:r w:rsidRPr="004503E5">
        <w:rPr>
          <w:rFonts w:ascii="Palatino Linotype" w:hAnsi="Palatino Linotype" w:cs="Arial"/>
        </w:rPr>
        <w:tab/>
      </w:r>
      <w:r>
        <w:rPr>
          <w:rFonts w:ascii="Palatino Linotype" w:hAnsi="Palatino Linotype" w:cs="Arial"/>
        </w:rPr>
        <w:tab/>
      </w:r>
      <w:r w:rsidRPr="004503E5">
        <w:rPr>
          <w:rFonts w:ascii="Palatino Linotype" w:hAnsi="Palatino Linotype" w:cs="Arial"/>
        </w:rPr>
        <w:t>221</w:t>
      </w:r>
      <w:r>
        <w:rPr>
          <w:rFonts w:ascii="Palatino Linotype" w:hAnsi="Palatino Linotype" w:cs="Arial"/>
        </w:rPr>
        <w:t>.</w:t>
      </w:r>
      <w:r w:rsidRPr="004503E5">
        <w:rPr>
          <w:rFonts w:ascii="Palatino Linotype" w:hAnsi="Palatino Linotype" w:cs="Arial"/>
        </w:rPr>
        <w:t>398,21 m</w:t>
      </w:r>
      <w:r w:rsidRPr="00062511">
        <w:rPr>
          <w:rFonts w:ascii="Palatino Linotype" w:hAnsi="Palatino Linotype" w:cs="Arial"/>
          <w:vertAlign w:val="superscript"/>
        </w:rPr>
        <w:t>2</w:t>
      </w:r>
    </w:p>
    <w:p w:rsidR="00823A2F" w:rsidRPr="00062511" w:rsidRDefault="00823A2F" w:rsidP="00823A2F">
      <w:pPr>
        <w:autoSpaceDE w:val="0"/>
        <w:autoSpaceDN w:val="0"/>
        <w:adjustRightInd w:val="0"/>
        <w:spacing w:before="240" w:after="0"/>
        <w:rPr>
          <w:rFonts w:ascii="Palatino Linotype" w:hAnsi="Palatino Linotype" w:cs="Arial"/>
          <w:b/>
        </w:rPr>
      </w:pPr>
      <w:r w:rsidRPr="00062511">
        <w:rPr>
          <w:rFonts w:ascii="Palatino Linotype" w:hAnsi="Palatino Linotype" w:cs="Arial"/>
          <w:b/>
        </w:rPr>
        <w:t>L</w:t>
      </w:r>
      <w:r>
        <w:rPr>
          <w:rFonts w:ascii="Palatino Linotype" w:hAnsi="Palatino Linotype" w:cs="Arial"/>
          <w:b/>
        </w:rPr>
        <w:t>inderos:</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062511">
        <w:rPr>
          <w:rFonts w:ascii="Palatino Linotype" w:hAnsi="Palatino Linotype" w:cs="Arial"/>
          <w:b/>
        </w:rPr>
        <w:t>Norte: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834</w:t>
      </w:r>
      <w:r w:rsidR="008D1286">
        <w:rPr>
          <w:rFonts w:ascii="Palatino Linotype" w:hAnsi="Palatino Linotype" w:cs="Arial"/>
        </w:rPr>
        <w:t>.</w:t>
      </w:r>
      <w:r w:rsidRPr="004503E5">
        <w:rPr>
          <w:rFonts w:ascii="Palatino Linotype" w:hAnsi="Palatino Linotype" w:cs="Arial"/>
        </w:rPr>
        <w:t>651</w:t>
      </w:r>
      <w:r w:rsidR="008D1286">
        <w:rPr>
          <w:rFonts w:ascii="Palatino Linotype" w:hAnsi="Palatino Linotype" w:cs="Arial"/>
        </w:rPr>
        <w:t xml:space="preserve"> </w:t>
      </w:r>
      <w:r w:rsidRPr="004503E5">
        <w:rPr>
          <w:rFonts w:ascii="Palatino Linotype" w:hAnsi="Palatino Linotype" w:cs="Arial"/>
        </w:rPr>
        <w:t>m, con quebrada</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062511">
        <w:rPr>
          <w:rFonts w:ascii="Palatino Linotype" w:hAnsi="Palatino Linotype" w:cs="Arial"/>
          <w:b/>
        </w:rPr>
        <w:t>Sur</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448</w:t>
      </w:r>
      <w:r w:rsidR="008D1286">
        <w:rPr>
          <w:rFonts w:ascii="Palatino Linotype" w:hAnsi="Palatino Linotype" w:cs="Arial"/>
        </w:rPr>
        <w:t>.</w:t>
      </w:r>
      <w:r w:rsidRPr="004503E5">
        <w:rPr>
          <w:rFonts w:ascii="Palatino Linotype" w:hAnsi="Palatino Linotype" w:cs="Arial"/>
        </w:rPr>
        <w:t>172</w:t>
      </w:r>
      <w:r>
        <w:rPr>
          <w:rFonts w:ascii="Palatino Linotype" w:hAnsi="Palatino Linotype" w:cs="Arial"/>
        </w:rPr>
        <w:t xml:space="preserve"> </w:t>
      </w:r>
      <w:r w:rsidRPr="004503E5">
        <w:rPr>
          <w:rFonts w:ascii="Palatino Linotype" w:hAnsi="Palatino Linotype" w:cs="Arial"/>
        </w:rPr>
        <w:t>m</w:t>
      </w:r>
      <w:r>
        <w:rPr>
          <w:rFonts w:ascii="Palatino Linotype" w:hAnsi="Palatino Linotype" w:cs="Arial"/>
        </w:rPr>
        <w:t>,</w:t>
      </w:r>
      <w:r w:rsidRPr="004503E5">
        <w:rPr>
          <w:rFonts w:ascii="Palatino Linotype" w:hAnsi="Palatino Linotype" w:cs="Arial"/>
        </w:rPr>
        <w:t xml:space="preserve"> con Urbanización Meneses Pallares</w:t>
      </w:r>
    </w:p>
    <w:p w:rsidR="00823A2F" w:rsidRPr="004503E5" w:rsidRDefault="00823A2F" w:rsidP="00823A2F">
      <w:pPr>
        <w:tabs>
          <w:tab w:val="left" w:pos="709"/>
        </w:tabs>
        <w:autoSpaceDE w:val="0"/>
        <w:autoSpaceDN w:val="0"/>
        <w:adjustRightInd w:val="0"/>
        <w:spacing w:before="240" w:after="0"/>
        <w:ind w:left="4248" w:hanging="4248"/>
        <w:jc w:val="both"/>
        <w:rPr>
          <w:rFonts w:ascii="Palatino Linotype" w:hAnsi="Palatino Linotype" w:cs="Arial"/>
        </w:rPr>
      </w:pPr>
      <w:r w:rsidRPr="00062511">
        <w:rPr>
          <w:rFonts w:ascii="Palatino Linotype" w:hAnsi="Palatino Linotype" w:cs="Arial"/>
          <w:b/>
        </w:rPr>
        <w:t>E</w:t>
      </w:r>
      <w:r>
        <w:rPr>
          <w:rFonts w:ascii="Palatino Linotype" w:hAnsi="Palatino Linotype" w:cs="Arial"/>
          <w:b/>
        </w:rPr>
        <w:t>ste:</w:t>
      </w:r>
      <w:r w:rsidRPr="004503E5">
        <w:rPr>
          <w:rFonts w:ascii="Palatino Linotype" w:hAnsi="Palatino Linotype" w:cs="Arial"/>
        </w:rPr>
        <w:tab/>
      </w:r>
      <w:r w:rsidRPr="004503E5">
        <w:rPr>
          <w:rFonts w:ascii="Palatino Linotype" w:hAnsi="Palatino Linotype" w:cs="Arial"/>
        </w:rPr>
        <w:tab/>
        <w:t>759</w:t>
      </w:r>
      <w:r w:rsidR="008D1286">
        <w:rPr>
          <w:rFonts w:ascii="Palatino Linotype" w:hAnsi="Palatino Linotype" w:cs="Arial"/>
        </w:rPr>
        <w:t>.</w:t>
      </w:r>
      <w:r w:rsidRPr="004503E5">
        <w:rPr>
          <w:rFonts w:ascii="Palatino Linotype" w:hAnsi="Palatino Linotype" w:cs="Arial"/>
        </w:rPr>
        <w:t>427</w:t>
      </w:r>
      <w:r>
        <w:rPr>
          <w:rFonts w:ascii="Palatino Linotype" w:hAnsi="Palatino Linotype" w:cs="Arial"/>
        </w:rPr>
        <w:t xml:space="preserve"> </w:t>
      </w:r>
      <w:r w:rsidRPr="004503E5">
        <w:rPr>
          <w:rFonts w:ascii="Palatino Linotype" w:hAnsi="Palatino Linotype" w:cs="Arial"/>
        </w:rPr>
        <w:t>m</w:t>
      </w:r>
      <w:r>
        <w:rPr>
          <w:rFonts w:ascii="Palatino Linotype" w:hAnsi="Palatino Linotype" w:cs="Arial"/>
        </w:rPr>
        <w:t>,</w:t>
      </w:r>
      <w:r w:rsidRPr="004503E5">
        <w:rPr>
          <w:rFonts w:ascii="Palatino Linotype" w:hAnsi="Palatino Linotype" w:cs="Arial"/>
        </w:rPr>
        <w:t xml:space="preserve"> en parte con </w:t>
      </w:r>
      <w:r>
        <w:rPr>
          <w:rFonts w:ascii="Palatino Linotype" w:hAnsi="Palatino Linotype" w:cs="Arial"/>
        </w:rPr>
        <w:t>c</w:t>
      </w:r>
      <w:r w:rsidRPr="004503E5">
        <w:rPr>
          <w:rFonts w:ascii="Palatino Linotype" w:hAnsi="Palatino Linotype" w:cs="Arial"/>
        </w:rPr>
        <w:t xml:space="preserve">alle </w:t>
      </w:r>
      <w:r>
        <w:rPr>
          <w:rFonts w:ascii="Palatino Linotype" w:hAnsi="Palatino Linotype" w:cs="Arial"/>
        </w:rPr>
        <w:t>p</w:t>
      </w:r>
      <w:r w:rsidRPr="004503E5">
        <w:rPr>
          <w:rFonts w:ascii="Palatino Linotype" w:hAnsi="Palatino Linotype" w:cs="Arial"/>
        </w:rPr>
        <w:t>ública y Urbanización Pillagua</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062511">
        <w:rPr>
          <w:rFonts w:ascii="Palatino Linotype" w:hAnsi="Palatino Linotype" w:cs="Arial"/>
          <w:b/>
        </w:rPr>
        <w:t>O</w:t>
      </w:r>
      <w:r>
        <w:rPr>
          <w:rFonts w:ascii="Palatino Linotype" w:hAnsi="Palatino Linotype" w:cs="Arial"/>
          <w:b/>
        </w:rPr>
        <w:t>este</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008D1286">
        <w:rPr>
          <w:rFonts w:ascii="Palatino Linotype" w:hAnsi="Palatino Linotype" w:cs="Arial"/>
        </w:rPr>
        <w:t>270.</w:t>
      </w:r>
      <w:r w:rsidRPr="004503E5">
        <w:rPr>
          <w:rFonts w:ascii="Palatino Linotype" w:hAnsi="Palatino Linotype" w:cs="Arial"/>
        </w:rPr>
        <w:t>034</w:t>
      </w:r>
      <w:r>
        <w:rPr>
          <w:rFonts w:ascii="Palatino Linotype" w:hAnsi="Palatino Linotype" w:cs="Arial"/>
        </w:rPr>
        <w:t xml:space="preserve"> </w:t>
      </w:r>
      <w:r w:rsidRPr="004503E5">
        <w:rPr>
          <w:rFonts w:ascii="Palatino Linotype" w:hAnsi="Palatino Linotype" w:cs="Arial"/>
        </w:rPr>
        <w:t>m</w:t>
      </w:r>
      <w:r>
        <w:rPr>
          <w:rFonts w:ascii="Palatino Linotype" w:hAnsi="Palatino Linotype" w:cs="Arial"/>
        </w:rPr>
        <w:t>,</w:t>
      </w:r>
      <w:r w:rsidRPr="004503E5">
        <w:rPr>
          <w:rFonts w:ascii="Palatino Linotype" w:hAnsi="Palatino Linotype" w:cs="Arial"/>
        </w:rPr>
        <w:t xml:space="preserve"> con quebrada</w:t>
      </w:r>
    </w:p>
    <w:p w:rsidR="00823A2F" w:rsidRPr="00062511" w:rsidRDefault="00823A2F" w:rsidP="00823A2F">
      <w:pPr>
        <w:autoSpaceDE w:val="0"/>
        <w:autoSpaceDN w:val="0"/>
        <w:adjustRightInd w:val="0"/>
        <w:spacing w:before="240" w:after="0"/>
        <w:rPr>
          <w:rFonts w:ascii="Palatino Linotype" w:hAnsi="Palatino Linotype" w:cs="Arial"/>
          <w:b/>
        </w:rPr>
      </w:pPr>
      <w:r w:rsidRPr="00062511">
        <w:rPr>
          <w:rFonts w:ascii="Palatino Linotype" w:hAnsi="Palatino Linotype" w:cs="Arial"/>
          <w:b/>
        </w:rPr>
        <w:t>Responsable T</w:t>
      </w:r>
      <w:r>
        <w:rPr>
          <w:rFonts w:ascii="Palatino Linotype" w:hAnsi="Palatino Linotype" w:cs="Arial"/>
          <w:b/>
        </w:rPr>
        <w:t>é</w:t>
      </w:r>
      <w:r w:rsidRPr="00062511">
        <w:rPr>
          <w:rFonts w:ascii="Palatino Linotype" w:hAnsi="Palatino Linotype" w:cs="Arial"/>
          <w:b/>
        </w:rPr>
        <w:t>cnico</w:t>
      </w:r>
      <w:r>
        <w:rPr>
          <w:rFonts w:ascii="Palatino Linotype" w:hAnsi="Palatino Linotype" w:cs="Arial"/>
          <w:b/>
        </w:rPr>
        <w:t>:</w:t>
      </w:r>
      <w:r w:rsidRPr="00062511">
        <w:rPr>
          <w:rFonts w:ascii="Palatino Linotype" w:hAnsi="Palatino Linotype" w:cs="Arial"/>
          <w:b/>
        </w:rPr>
        <w:tab/>
      </w:r>
      <w:r w:rsidRPr="00062511">
        <w:rPr>
          <w:rFonts w:ascii="Palatino Linotype" w:hAnsi="Palatino Linotype" w:cs="Arial"/>
          <w:b/>
        </w:rPr>
        <w:tab/>
      </w:r>
      <w:r w:rsidRPr="00062511">
        <w:rPr>
          <w:rFonts w:ascii="Palatino Linotype" w:hAnsi="Palatino Linotype" w:cs="Arial"/>
          <w:b/>
        </w:rPr>
        <w:tab/>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Nombre: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Arq. Miriam Hernández</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lastRenderedPageBreak/>
        <w:t>Licencia profesional:</w:t>
      </w:r>
      <w:r w:rsidRPr="00062511">
        <w:rPr>
          <w:rFonts w:ascii="Palatino Linotype" w:hAnsi="Palatino Linotype" w:cs="Arial"/>
          <w:b/>
        </w:rPr>
        <w:tab/>
      </w:r>
      <w:r w:rsidRPr="00062511">
        <w:rPr>
          <w:rFonts w:ascii="Palatino Linotype" w:hAnsi="Palatino Linotype" w:cs="Arial"/>
          <w:b/>
        </w:rPr>
        <w:tab/>
      </w:r>
      <w:r w:rsidRPr="00062511">
        <w:rPr>
          <w:rFonts w:ascii="Palatino Linotype" w:hAnsi="Palatino Linotype" w:cs="Arial"/>
          <w:b/>
        </w:rPr>
        <w:tab/>
      </w:r>
      <w:r w:rsidRPr="00062511">
        <w:rPr>
          <w:rFonts w:ascii="Palatino Linotype" w:hAnsi="Palatino Linotype" w:cs="Arial"/>
          <w:b/>
        </w:rPr>
        <w:tab/>
      </w:r>
      <w:r w:rsidRPr="004503E5">
        <w:rPr>
          <w:rFonts w:ascii="Palatino Linotype" w:hAnsi="Palatino Linotype" w:cs="Arial"/>
        </w:rPr>
        <w:t>A-6491</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Licencia municipal:</w:t>
      </w:r>
      <w:r w:rsidRPr="00062511">
        <w:rPr>
          <w:rFonts w:ascii="Palatino Linotype" w:hAnsi="Palatino Linotype" w:cs="Arial"/>
          <w:b/>
        </w:rPr>
        <w:tab/>
      </w:r>
      <w:r w:rsidRPr="00062511">
        <w:rPr>
          <w:rFonts w:ascii="Palatino Linotype" w:hAnsi="Palatino Linotype" w:cs="Arial"/>
          <w:b/>
        </w:rPr>
        <w:tab/>
      </w:r>
      <w:r w:rsidRPr="00062511">
        <w:rPr>
          <w:rFonts w:ascii="Palatino Linotype" w:hAnsi="Palatino Linotype" w:cs="Arial"/>
          <w:b/>
        </w:rPr>
        <w:tab/>
      </w:r>
      <w:r w:rsidRPr="00062511">
        <w:rPr>
          <w:rFonts w:ascii="Palatino Linotype" w:hAnsi="Palatino Linotype" w:cs="Arial"/>
          <w:b/>
        </w:rPr>
        <w:tab/>
      </w:r>
      <w:r w:rsidRPr="004503E5">
        <w:rPr>
          <w:rFonts w:ascii="Palatino Linotype" w:hAnsi="Palatino Linotype" w:cs="Arial"/>
        </w:rPr>
        <w:t>P-5076</w:t>
      </w:r>
    </w:p>
    <w:p w:rsidR="00823A2F" w:rsidRPr="00062511" w:rsidRDefault="00823A2F" w:rsidP="00823A2F">
      <w:pPr>
        <w:autoSpaceDE w:val="0"/>
        <w:autoSpaceDN w:val="0"/>
        <w:adjustRightInd w:val="0"/>
        <w:spacing w:before="240" w:after="0"/>
        <w:rPr>
          <w:rFonts w:ascii="Palatino Linotype" w:hAnsi="Palatino Linotype" w:cs="Arial"/>
          <w:b/>
        </w:rPr>
      </w:pPr>
      <w:r w:rsidRPr="00062511">
        <w:rPr>
          <w:rFonts w:ascii="Palatino Linotype" w:hAnsi="Palatino Linotype" w:cs="Arial"/>
          <w:b/>
        </w:rPr>
        <w:t>Especificaciones técnicas:</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rPr>
        <w:t>La Secretaría de Territorio, Hábitat y Vivienda, de acuerdo a la revisión de planos y</w:t>
      </w:r>
      <w:r w:rsidR="008D1286">
        <w:rPr>
          <w:rFonts w:ascii="Palatino Linotype" w:hAnsi="Palatino Linotype" w:cs="Arial"/>
        </w:rPr>
        <w:t xml:space="preserve"> conforme lo</w:t>
      </w:r>
      <w:r w:rsidRPr="004503E5">
        <w:rPr>
          <w:rFonts w:ascii="Palatino Linotype" w:hAnsi="Palatino Linotype" w:cs="Arial"/>
        </w:rPr>
        <w:t xml:space="preserve"> determinado por el </w:t>
      </w:r>
      <w:r>
        <w:rPr>
          <w:rFonts w:ascii="Palatino Linotype" w:hAnsi="Palatino Linotype" w:cs="Arial"/>
        </w:rPr>
        <w:t xml:space="preserve">Informe de Regulación Metropolitana -IRM- </w:t>
      </w:r>
      <w:r w:rsidRPr="004503E5">
        <w:rPr>
          <w:rFonts w:ascii="Palatino Linotype" w:hAnsi="Palatino Linotype" w:cs="Arial"/>
        </w:rPr>
        <w:t>No. 410563, de 19 de julio de 2012, expedido por la Administración Municipal Zona Valle de Tumbaco, establece los siguientes datos:</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Zonificación:</w:t>
      </w:r>
      <w:r w:rsidRPr="00062511">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sidRPr="004503E5">
        <w:rPr>
          <w:rFonts w:ascii="Palatino Linotype" w:hAnsi="Palatino Linotype" w:cs="Arial"/>
        </w:rPr>
        <w:t>A37 (A1002-35(VU) y A31 (PQ)</w:t>
      </w:r>
    </w:p>
    <w:p w:rsidR="00823A2F" w:rsidRPr="004503E5" w:rsidRDefault="00823A2F" w:rsidP="00823A2F">
      <w:pPr>
        <w:autoSpaceDE w:val="0"/>
        <w:autoSpaceDN w:val="0"/>
        <w:adjustRightInd w:val="0"/>
        <w:spacing w:before="240" w:after="0"/>
        <w:ind w:left="4950" w:hanging="4950"/>
        <w:rPr>
          <w:rFonts w:ascii="Palatino Linotype" w:hAnsi="Palatino Linotype" w:cs="Arial"/>
        </w:rPr>
      </w:pPr>
      <w:r w:rsidRPr="00062511">
        <w:rPr>
          <w:rFonts w:ascii="Palatino Linotype" w:hAnsi="Palatino Linotype" w:cs="Arial"/>
          <w:b/>
        </w:rPr>
        <w:t>U</w:t>
      </w:r>
      <w:r>
        <w:rPr>
          <w:rFonts w:ascii="Palatino Linotype" w:hAnsi="Palatino Linotype" w:cs="Arial"/>
          <w:b/>
        </w:rPr>
        <w:t>so de suelo</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sidRPr="004503E5">
        <w:rPr>
          <w:rFonts w:ascii="Palatino Linotype" w:hAnsi="Palatino Linotype" w:cs="Arial"/>
        </w:rPr>
        <w:t>Agrícola Residencial (AR) y Protección Ecológica/Áreas Naturales (PE)</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 xml:space="preserve">No. </w:t>
      </w:r>
      <w:r>
        <w:rPr>
          <w:rFonts w:ascii="Palatino Linotype" w:hAnsi="Palatino Linotype" w:cs="Arial"/>
          <w:b/>
        </w:rPr>
        <w:t>de lotes</w:t>
      </w:r>
      <w:r w:rsidRPr="004503E5">
        <w:rPr>
          <w:rFonts w:ascii="Palatino Linotype" w:hAnsi="Palatino Linotype" w:cs="Arial"/>
        </w:rPr>
        <w:t xml:space="preserve">: </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102</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Área útil de lotes</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122.590,52 m</w:t>
      </w:r>
      <w:r w:rsidRPr="00062511">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Área de calles y aceras</w:t>
      </w:r>
      <w:r w:rsidRPr="004503E5">
        <w:rPr>
          <w:rFonts w:ascii="Palatino Linotype" w:hAnsi="Palatino Linotype" w:cs="Arial"/>
        </w:rPr>
        <w:t>:</w:t>
      </w:r>
      <w:r w:rsidRPr="004503E5">
        <w:rPr>
          <w:rFonts w:ascii="Palatino Linotype" w:hAnsi="Palatino Linotype" w:cs="Arial"/>
        </w:rPr>
        <w:tab/>
        <w:t xml:space="preserve">  </w:t>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48.920,16 m</w:t>
      </w:r>
      <w:r w:rsidRPr="00062511">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Áre</w:t>
      </w:r>
      <w:r>
        <w:rPr>
          <w:rFonts w:ascii="Palatino Linotype" w:hAnsi="Palatino Linotype" w:cs="Arial"/>
          <w:b/>
        </w:rPr>
        <w:t>a</w:t>
      </w:r>
      <w:r w:rsidRPr="00062511">
        <w:rPr>
          <w:rFonts w:ascii="Palatino Linotype" w:hAnsi="Palatino Linotype" w:cs="Arial"/>
          <w:b/>
        </w:rPr>
        <w:t xml:space="preserve"> </w:t>
      </w:r>
      <w:r>
        <w:rPr>
          <w:rFonts w:ascii="Palatino Linotype" w:hAnsi="Palatino Linotype" w:cs="Arial"/>
          <w:b/>
        </w:rPr>
        <w:t>v</w:t>
      </w:r>
      <w:r w:rsidRPr="00062511">
        <w:rPr>
          <w:rFonts w:ascii="Palatino Linotype" w:hAnsi="Palatino Linotype" w:cs="Arial"/>
          <w:b/>
        </w:rPr>
        <w:t xml:space="preserve">erde </w:t>
      </w:r>
      <w:r>
        <w:rPr>
          <w:rFonts w:ascii="Palatino Linotype" w:hAnsi="Palatino Linotype" w:cs="Arial"/>
          <w:b/>
        </w:rPr>
        <w:t>y c</w:t>
      </w:r>
      <w:r w:rsidRPr="00062511">
        <w:rPr>
          <w:rFonts w:ascii="Palatino Linotype" w:hAnsi="Palatino Linotype" w:cs="Arial"/>
          <w:b/>
        </w:rPr>
        <w:t>omunal:</w:t>
      </w:r>
      <w:r w:rsidRPr="00062511">
        <w:rPr>
          <w:rFonts w:ascii="Palatino Linotype" w:hAnsi="Palatino Linotype" w:cs="Arial"/>
          <w:b/>
        </w:rPr>
        <w:tab/>
        <w:t xml:space="preserve"> </w:t>
      </w:r>
      <w:r w:rsidRPr="004503E5">
        <w:rPr>
          <w:rFonts w:ascii="Palatino Linotype" w:hAnsi="Palatino Linotype" w:cs="Arial"/>
        </w:rPr>
        <w:t xml:space="preserve"> </w:t>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16.130,61 m</w:t>
      </w:r>
      <w:r w:rsidRPr="00062511">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Área de afectación vial:</w:t>
      </w:r>
      <w:r w:rsidRPr="004503E5">
        <w:rPr>
          <w:rFonts w:ascii="Palatino Linotype" w:hAnsi="Palatino Linotype" w:cs="Arial"/>
        </w:rPr>
        <w:tab/>
        <w:t xml:space="preserve">    </w:t>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5.555,22 m</w:t>
      </w:r>
      <w:r w:rsidRPr="00062511">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Área de protección talud:</w:t>
      </w:r>
      <w:r w:rsidRPr="004503E5">
        <w:rPr>
          <w:rFonts w:ascii="Palatino Linotype" w:hAnsi="Palatino Linotype" w:cs="Arial"/>
        </w:rPr>
        <w:tab/>
        <w:t xml:space="preserve">  </w:t>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12.713,12 m</w:t>
      </w:r>
      <w:r w:rsidRPr="00062511">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062511">
        <w:rPr>
          <w:rFonts w:ascii="Palatino Linotype" w:hAnsi="Palatino Linotype" w:cs="Arial"/>
          <w:b/>
        </w:rPr>
        <w:t xml:space="preserve">Área de protección </w:t>
      </w:r>
      <w:r>
        <w:rPr>
          <w:rFonts w:ascii="Palatino Linotype" w:hAnsi="Palatino Linotype" w:cs="Arial"/>
          <w:b/>
        </w:rPr>
        <w:t>d</w:t>
      </w:r>
      <w:r w:rsidRPr="00062511">
        <w:rPr>
          <w:rFonts w:ascii="Palatino Linotype" w:hAnsi="Palatino Linotype" w:cs="Arial"/>
          <w:b/>
        </w:rPr>
        <w:t>e quebrada</w:t>
      </w:r>
      <w:r w:rsidRPr="004503E5">
        <w:rPr>
          <w:rFonts w:ascii="Palatino Linotype" w:hAnsi="Palatino Linotype" w:cs="Arial"/>
        </w:rPr>
        <w:t>:</w:t>
      </w:r>
      <w:r w:rsidRPr="004503E5">
        <w:rPr>
          <w:rFonts w:ascii="Palatino Linotype" w:hAnsi="Palatino Linotype" w:cs="Arial"/>
        </w:rPr>
        <w:tab/>
        <w:t xml:space="preserve">    </w:t>
      </w:r>
      <w:r>
        <w:rPr>
          <w:rFonts w:ascii="Palatino Linotype" w:hAnsi="Palatino Linotype" w:cs="Arial"/>
        </w:rPr>
        <w:tab/>
      </w:r>
      <w:r>
        <w:rPr>
          <w:rFonts w:ascii="Palatino Linotype" w:hAnsi="Palatino Linotype" w:cs="Arial"/>
        </w:rPr>
        <w:tab/>
      </w:r>
      <w:r w:rsidRPr="004503E5">
        <w:rPr>
          <w:rFonts w:ascii="Palatino Linotype" w:hAnsi="Palatino Linotype" w:cs="Arial"/>
        </w:rPr>
        <w:t>3.660,41 m</w:t>
      </w:r>
      <w:r w:rsidRPr="00062511">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7842BD">
        <w:rPr>
          <w:rFonts w:ascii="Palatino Linotype" w:hAnsi="Palatino Linotype" w:cs="Arial"/>
          <w:b/>
        </w:rPr>
        <w:t xml:space="preserve">Área de protección </w:t>
      </w:r>
      <w:r>
        <w:rPr>
          <w:rFonts w:ascii="Palatino Linotype" w:hAnsi="Palatino Linotype" w:cs="Arial"/>
          <w:b/>
        </w:rPr>
        <w:t>a</w:t>
      </w:r>
      <w:r w:rsidRPr="007842BD">
        <w:rPr>
          <w:rFonts w:ascii="Palatino Linotype" w:hAnsi="Palatino Linotype" w:cs="Arial"/>
          <w:b/>
        </w:rPr>
        <w:t>cueducto:</w:t>
      </w:r>
      <w:r w:rsidRPr="004503E5">
        <w:rPr>
          <w:rFonts w:ascii="Palatino Linotype" w:hAnsi="Palatino Linotype" w:cs="Arial"/>
        </w:rPr>
        <w:tab/>
        <w:t xml:space="preserve">    </w:t>
      </w:r>
      <w:r>
        <w:rPr>
          <w:rFonts w:ascii="Palatino Linotype" w:hAnsi="Palatino Linotype" w:cs="Arial"/>
        </w:rPr>
        <w:tab/>
      </w:r>
      <w:r>
        <w:rPr>
          <w:rFonts w:ascii="Palatino Linotype" w:hAnsi="Palatino Linotype" w:cs="Arial"/>
        </w:rPr>
        <w:tab/>
      </w:r>
      <w:r w:rsidRPr="004503E5">
        <w:rPr>
          <w:rFonts w:ascii="Palatino Linotype" w:hAnsi="Palatino Linotype" w:cs="Arial"/>
        </w:rPr>
        <w:t>6.725,63 m</w:t>
      </w:r>
      <w:r w:rsidRPr="007842BD">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CC7F57">
        <w:rPr>
          <w:rFonts w:ascii="Palatino Linotype" w:hAnsi="Palatino Linotype" w:cs="Arial"/>
          <w:b/>
        </w:rPr>
        <w:t>Área  de protección alta tensión:</w:t>
      </w:r>
      <w:r w:rsidRPr="004503E5">
        <w:rPr>
          <w:rFonts w:ascii="Palatino Linotype" w:hAnsi="Palatino Linotype" w:cs="Arial"/>
        </w:rPr>
        <w:tab/>
        <w:t xml:space="preserve">    </w:t>
      </w:r>
      <w:r>
        <w:rPr>
          <w:rFonts w:ascii="Palatino Linotype" w:hAnsi="Palatino Linotype" w:cs="Arial"/>
        </w:rPr>
        <w:tab/>
      </w:r>
      <w:r>
        <w:rPr>
          <w:rFonts w:ascii="Palatino Linotype" w:hAnsi="Palatino Linotype" w:cs="Arial"/>
        </w:rPr>
        <w:tab/>
      </w:r>
      <w:r w:rsidRPr="004503E5">
        <w:rPr>
          <w:rFonts w:ascii="Palatino Linotype" w:hAnsi="Palatino Linotype" w:cs="Arial"/>
        </w:rPr>
        <w:t>2.448,61 m</w:t>
      </w:r>
      <w:r w:rsidRPr="00CC7F57">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CC7F57">
        <w:rPr>
          <w:rFonts w:ascii="Palatino Linotype" w:hAnsi="Palatino Linotype" w:cs="Arial"/>
          <w:b/>
        </w:rPr>
        <w:t>Área de protección quebrada en área verde</w:t>
      </w:r>
      <w:r w:rsidRPr="004503E5">
        <w:rPr>
          <w:rFonts w:ascii="Palatino Linotype" w:hAnsi="Palatino Linotype" w:cs="Arial"/>
        </w:rPr>
        <w:t xml:space="preserve">: </w:t>
      </w:r>
      <w:r>
        <w:rPr>
          <w:rFonts w:ascii="Palatino Linotype" w:hAnsi="Palatino Linotype" w:cs="Arial"/>
        </w:rPr>
        <w:tab/>
      </w:r>
      <w:r w:rsidRPr="004503E5">
        <w:rPr>
          <w:rFonts w:ascii="Palatino Linotype" w:hAnsi="Palatino Linotype" w:cs="Arial"/>
        </w:rPr>
        <w:t>2.653,93</w:t>
      </w:r>
      <w:r>
        <w:rPr>
          <w:rFonts w:ascii="Palatino Linotype" w:hAnsi="Palatino Linotype" w:cs="Arial"/>
        </w:rPr>
        <w:t xml:space="preserve"> </w:t>
      </w:r>
      <w:r w:rsidRPr="004503E5">
        <w:rPr>
          <w:rFonts w:ascii="Palatino Linotype" w:hAnsi="Palatino Linotype" w:cs="Arial"/>
        </w:rPr>
        <w:t>m</w:t>
      </w:r>
      <w:r w:rsidRPr="00CC7F57">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3E21AF">
        <w:rPr>
          <w:rFonts w:ascii="Palatino Linotype" w:hAnsi="Palatino Linotype" w:cs="Arial"/>
          <w:b/>
        </w:rPr>
        <w:t>Área total predio:</w:t>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221.398,21 m</w:t>
      </w:r>
      <w:r w:rsidRPr="00CC7F57">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lastRenderedPageBreak/>
        <w:t>Artículo 2.-</w:t>
      </w:r>
      <w:r w:rsidRPr="004503E5">
        <w:rPr>
          <w:rFonts w:ascii="Palatino Linotype" w:hAnsi="Palatino Linotype" w:cs="Arial"/>
        </w:rPr>
        <w:t xml:space="preserve"> </w:t>
      </w:r>
      <w:r w:rsidRPr="004503E5">
        <w:rPr>
          <w:rFonts w:ascii="Palatino Linotype" w:hAnsi="Palatino Linotype" w:cs="Arial"/>
          <w:b/>
        </w:rPr>
        <w:t>Restitución de la clasificación del suelo</w:t>
      </w:r>
      <w:r w:rsidRPr="004503E5">
        <w:rPr>
          <w:rFonts w:ascii="Palatino Linotype" w:hAnsi="Palatino Linotype" w:cs="Arial"/>
        </w:rPr>
        <w:t>.- De conformidad con los informes técnicos emitidos por la Secretaría de Territorio, Hábitat y Vivienda, mediante oficio No. SOT-GT-001528</w:t>
      </w:r>
      <w:r>
        <w:rPr>
          <w:rFonts w:ascii="Palatino Linotype" w:hAnsi="Palatino Linotype" w:cs="Arial"/>
        </w:rPr>
        <w:t>,</w:t>
      </w:r>
      <w:r w:rsidRPr="004503E5">
        <w:rPr>
          <w:rFonts w:ascii="Palatino Linotype" w:hAnsi="Palatino Linotype" w:cs="Arial"/>
        </w:rPr>
        <w:t xml:space="preserve"> de 10 de abril de 2014</w:t>
      </w:r>
      <w:r w:rsidR="008D1286">
        <w:rPr>
          <w:rFonts w:ascii="Palatino Linotype" w:hAnsi="Palatino Linotype" w:cs="Arial"/>
        </w:rPr>
        <w:t>;</w:t>
      </w:r>
      <w:r w:rsidRPr="004503E5">
        <w:rPr>
          <w:rFonts w:ascii="Palatino Linotype" w:hAnsi="Palatino Linotype" w:cs="Arial"/>
        </w:rPr>
        <w:t xml:space="preserve"> y, la Dirección Metropolitana de Catastro, mediante oficio No. 0009239</w:t>
      </w:r>
      <w:r>
        <w:rPr>
          <w:rFonts w:ascii="Palatino Linotype" w:hAnsi="Palatino Linotype" w:cs="Arial"/>
        </w:rPr>
        <w:t>,</w:t>
      </w:r>
      <w:r w:rsidRPr="004503E5">
        <w:rPr>
          <w:rFonts w:ascii="Palatino Linotype" w:hAnsi="Palatino Linotype" w:cs="Arial"/>
        </w:rPr>
        <w:t xml:space="preserve"> de 3 de octubre de 2013, se autoriza la restitución de la clasificación del suelo a urbano del predio No. 5019501</w:t>
      </w:r>
      <w:r>
        <w:rPr>
          <w:rFonts w:ascii="Palatino Linotype" w:hAnsi="Palatino Linotype" w:cs="Arial"/>
        </w:rPr>
        <w:t>,</w:t>
      </w:r>
      <w:r w:rsidRPr="004503E5">
        <w:rPr>
          <w:rFonts w:ascii="Palatino Linotype" w:hAnsi="Palatino Linotype" w:cs="Arial"/>
        </w:rPr>
        <w:t xml:space="preserve"> clave catastral </w:t>
      </w:r>
      <w:r>
        <w:rPr>
          <w:rFonts w:ascii="Palatino Linotype" w:hAnsi="Palatino Linotype" w:cs="Arial"/>
        </w:rPr>
        <w:t xml:space="preserve">No. </w:t>
      </w:r>
      <w:r w:rsidRPr="004503E5">
        <w:rPr>
          <w:rFonts w:ascii="Palatino Linotype" w:hAnsi="Palatino Linotype" w:cs="Arial"/>
        </w:rPr>
        <w:t>10818-04-001, ubicado en el sector Pillagua, parroquia Cumbayá.</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3.- Del área verde y comunal</w:t>
      </w:r>
      <w:r w:rsidRPr="004503E5">
        <w:rPr>
          <w:rFonts w:ascii="Palatino Linotype" w:hAnsi="Palatino Linotype" w:cs="Arial"/>
        </w:rPr>
        <w:t xml:space="preserve">.- De conformidad con lo prescrito en el artículo …(77) de la Ordenanza </w:t>
      </w:r>
      <w:r w:rsidR="008D1286">
        <w:rPr>
          <w:rFonts w:ascii="Palatino Linotype" w:hAnsi="Palatino Linotype" w:cs="Arial"/>
        </w:rPr>
        <w:t xml:space="preserve">Metropolitana </w:t>
      </w:r>
      <w:r w:rsidRPr="004503E5">
        <w:rPr>
          <w:rFonts w:ascii="Palatino Linotype" w:hAnsi="Palatino Linotype" w:cs="Arial"/>
        </w:rPr>
        <w:t>No. 172</w:t>
      </w:r>
      <w:r w:rsidR="008D1286">
        <w:rPr>
          <w:rFonts w:ascii="Palatino Linotype" w:hAnsi="Palatino Linotype" w:cs="Arial"/>
        </w:rPr>
        <w:t>,</w:t>
      </w:r>
      <w:r w:rsidRPr="004503E5">
        <w:rPr>
          <w:rFonts w:ascii="Palatino Linotype" w:hAnsi="Palatino Linotype" w:cs="Arial"/>
        </w:rPr>
        <w:t xml:space="preserve"> del Régimen Administrativo de Suelo en el Distrito Metropolitano de Quito, los propietarios de la Urbanización transfieren como aporte de áreas verde y comunal a favor del Municipio del Distrito Metropolitano de Quito, la superficie de 16.130,61 m</w:t>
      </w:r>
      <w:r w:rsidRPr="008D1286">
        <w:rPr>
          <w:rFonts w:ascii="Palatino Linotype" w:hAnsi="Palatino Linotype" w:cs="Arial"/>
          <w:vertAlign w:val="superscript"/>
        </w:rPr>
        <w:t>2</w:t>
      </w:r>
      <w:r w:rsidRPr="004503E5">
        <w:rPr>
          <w:rFonts w:ascii="Palatino Linotype" w:hAnsi="Palatino Linotype" w:cs="Arial"/>
        </w:rPr>
        <w:t>, de acuerdo al Oficio No. 4254</w:t>
      </w:r>
      <w:r w:rsidR="008D1286">
        <w:rPr>
          <w:rFonts w:ascii="Palatino Linotype" w:hAnsi="Palatino Linotype" w:cs="Arial"/>
        </w:rPr>
        <w:t>,</w:t>
      </w:r>
      <w:r w:rsidRPr="004503E5">
        <w:rPr>
          <w:rFonts w:ascii="Palatino Linotype" w:hAnsi="Palatino Linotype" w:cs="Arial"/>
        </w:rPr>
        <w:t xml:space="preserve"> de 1 de junio de 2011</w:t>
      </w:r>
      <w:r w:rsidR="008D1286">
        <w:rPr>
          <w:rFonts w:ascii="Palatino Linotype" w:hAnsi="Palatino Linotype" w:cs="Arial"/>
        </w:rPr>
        <w:t>,</w:t>
      </w:r>
      <w:r w:rsidRPr="004503E5">
        <w:rPr>
          <w:rFonts w:ascii="Palatino Linotype" w:hAnsi="Palatino Linotype" w:cs="Arial"/>
        </w:rPr>
        <w:t xml:space="preserve"> de la Dirección Metropolitana de Catastro, áreas que tienen los siguientes datos técnicos:</w:t>
      </w:r>
    </w:p>
    <w:p w:rsidR="00823A2F" w:rsidRPr="00D2632F" w:rsidRDefault="00823A2F" w:rsidP="00823A2F">
      <w:pPr>
        <w:autoSpaceDE w:val="0"/>
        <w:autoSpaceDN w:val="0"/>
        <w:adjustRightInd w:val="0"/>
        <w:spacing w:before="240" w:after="0"/>
        <w:rPr>
          <w:rFonts w:ascii="Palatino Linotype" w:hAnsi="Palatino Linotype" w:cs="Arial"/>
          <w:b/>
        </w:rPr>
      </w:pPr>
      <w:r w:rsidRPr="00D2632F">
        <w:rPr>
          <w:rFonts w:ascii="Palatino Linotype" w:hAnsi="Palatino Linotype" w:cs="Arial"/>
          <w:b/>
        </w:rPr>
        <w:t>Área verde comunal 1</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Ubicación:</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Calle 1 y Vía de ingreso</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S</w:t>
      </w:r>
      <w:r>
        <w:rPr>
          <w:rFonts w:ascii="Palatino Linotype" w:hAnsi="Palatino Linotype" w:cs="Arial"/>
          <w:b/>
        </w:rPr>
        <w:t>uperficie</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8.207,01 m</w:t>
      </w:r>
      <w:r w:rsidRPr="00D2632F">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Pendiente</w:t>
      </w:r>
      <w:r w:rsidRPr="004503E5">
        <w:rPr>
          <w:rFonts w:ascii="Palatino Linotype" w:hAnsi="Palatino Linotype" w:cs="Arial"/>
        </w:rPr>
        <w:t>:</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10° Norte-Sur y 30° Este-Oeste</w:t>
      </w:r>
    </w:p>
    <w:p w:rsidR="00823A2F" w:rsidRPr="00D2632F" w:rsidRDefault="00823A2F" w:rsidP="00823A2F">
      <w:pPr>
        <w:autoSpaceDE w:val="0"/>
        <w:autoSpaceDN w:val="0"/>
        <w:adjustRightInd w:val="0"/>
        <w:spacing w:before="240" w:after="0"/>
        <w:rPr>
          <w:rFonts w:ascii="Palatino Linotype" w:hAnsi="Palatino Linotype" w:cs="Arial"/>
          <w:b/>
        </w:rPr>
      </w:pPr>
      <w:r w:rsidRPr="00D2632F">
        <w:rPr>
          <w:rFonts w:ascii="Palatino Linotype" w:hAnsi="Palatino Linotype" w:cs="Arial"/>
          <w:b/>
        </w:rPr>
        <w:t>Linderos:</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Norte: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Con vía de ingres</w:t>
      </w:r>
      <w:r w:rsidR="008D1286">
        <w:rPr>
          <w:rFonts w:ascii="Palatino Linotype" w:hAnsi="Palatino Linotype" w:cs="Arial"/>
        </w:rPr>
        <w:t>o</w:t>
      </w:r>
      <w:r w:rsidRPr="004503E5">
        <w:rPr>
          <w:rFonts w:ascii="Palatino Linotype" w:hAnsi="Palatino Linotype" w:cs="Arial"/>
        </w:rPr>
        <w:t xml:space="preserve"> en 88</w:t>
      </w:r>
      <w:r w:rsidR="008D1286">
        <w:rPr>
          <w:rFonts w:ascii="Palatino Linotype" w:hAnsi="Palatino Linotype" w:cs="Arial"/>
        </w:rPr>
        <w:t>,</w:t>
      </w:r>
      <w:r w:rsidRPr="004503E5">
        <w:rPr>
          <w:rFonts w:ascii="Palatino Linotype" w:hAnsi="Palatino Linotype" w:cs="Arial"/>
        </w:rPr>
        <w:t>82</w:t>
      </w:r>
      <w:r w:rsidR="008D1286">
        <w:rPr>
          <w:rFonts w:ascii="Palatino Linotype" w:hAnsi="Palatino Linotype" w:cs="Arial"/>
        </w:rPr>
        <w:t xml:space="preserve"> </w:t>
      </w:r>
      <w:r w:rsidRPr="004503E5">
        <w:rPr>
          <w:rFonts w:ascii="Palatino Linotype" w:hAnsi="Palatino Linotype" w:cs="Arial"/>
        </w:rPr>
        <w:t>m.</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Sur:</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Con faja de protección en 117</w:t>
      </w:r>
      <w:r w:rsidR="008D1286">
        <w:rPr>
          <w:rFonts w:ascii="Palatino Linotype" w:hAnsi="Palatino Linotype" w:cs="Arial"/>
        </w:rPr>
        <w:t>,</w:t>
      </w:r>
      <w:r w:rsidRPr="004503E5">
        <w:rPr>
          <w:rFonts w:ascii="Palatino Linotype" w:hAnsi="Palatino Linotype" w:cs="Arial"/>
        </w:rPr>
        <w:t>01 m</w:t>
      </w:r>
    </w:p>
    <w:p w:rsidR="00823A2F"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Este: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Con faja de protección en 148</w:t>
      </w:r>
      <w:r w:rsidR="008D1286">
        <w:rPr>
          <w:rFonts w:ascii="Palatino Linotype" w:hAnsi="Palatino Linotype" w:cs="Arial"/>
        </w:rPr>
        <w:t>,</w:t>
      </w:r>
      <w:r w:rsidRPr="004503E5">
        <w:rPr>
          <w:rFonts w:ascii="Palatino Linotype" w:hAnsi="Palatino Linotype" w:cs="Arial"/>
        </w:rPr>
        <w:t>75 m</w:t>
      </w:r>
    </w:p>
    <w:p w:rsidR="00823A2F" w:rsidRPr="004503E5" w:rsidRDefault="00823A2F" w:rsidP="0022557E">
      <w:pPr>
        <w:autoSpaceDE w:val="0"/>
        <w:autoSpaceDN w:val="0"/>
        <w:adjustRightInd w:val="0"/>
        <w:spacing w:before="240" w:after="0"/>
        <w:jc w:val="both"/>
        <w:rPr>
          <w:rFonts w:ascii="Palatino Linotype" w:hAnsi="Palatino Linotype" w:cs="Arial"/>
        </w:rPr>
      </w:pPr>
      <w:r w:rsidRPr="00D2632F">
        <w:rPr>
          <w:rFonts w:ascii="Palatino Linotype" w:hAnsi="Palatino Linotype" w:cs="Arial"/>
          <w:b/>
        </w:rPr>
        <w:t>Oeste:</w:t>
      </w:r>
      <w:r>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 xml:space="preserve">Calle 1 de la Urbanización y </w:t>
      </w:r>
      <w:r w:rsidR="008D1286">
        <w:rPr>
          <w:rFonts w:ascii="Palatino Linotype" w:hAnsi="Palatino Linotype" w:cs="Arial"/>
        </w:rPr>
        <w:t>l</w:t>
      </w:r>
      <w:r w:rsidRPr="004503E5">
        <w:rPr>
          <w:rFonts w:ascii="Palatino Linotype" w:hAnsi="Palatino Linotype" w:cs="Arial"/>
        </w:rPr>
        <w:t>ote No.</w:t>
      </w:r>
      <w:r w:rsidR="008D1286">
        <w:rPr>
          <w:rFonts w:ascii="Palatino Linotype" w:hAnsi="Palatino Linotype" w:cs="Arial"/>
        </w:rPr>
        <w:t xml:space="preserve"> </w:t>
      </w:r>
      <w:r w:rsidRPr="004503E5">
        <w:rPr>
          <w:rFonts w:ascii="Palatino Linotype" w:hAnsi="Palatino Linotype" w:cs="Arial"/>
        </w:rPr>
        <w:t>38 en 169</w:t>
      </w:r>
      <w:r w:rsidR="008D1286">
        <w:rPr>
          <w:rFonts w:ascii="Palatino Linotype" w:hAnsi="Palatino Linotype" w:cs="Arial"/>
        </w:rPr>
        <w:t>,</w:t>
      </w:r>
      <w:r w:rsidRPr="004503E5">
        <w:rPr>
          <w:rFonts w:ascii="Palatino Linotype" w:hAnsi="Palatino Linotype" w:cs="Arial"/>
        </w:rPr>
        <w:t>24</w:t>
      </w:r>
      <w:r w:rsidR="008D1286">
        <w:rPr>
          <w:rFonts w:ascii="Palatino Linotype" w:hAnsi="Palatino Linotype" w:cs="Arial"/>
        </w:rPr>
        <w:t xml:space="preserve"> </w:t>
      </w:r>
      <w:r w:rsidRPr="004503E5">
        <w:rPr>
          <w:rFonts w:ascii="Palatino Linotype" w:hAnsi="Palatino Linotype" w:cs="Arial"/>
        </w:rPr>
        <w:t>m</w:t>
      </w:r>
    </w:p>
    <w:p w:rsidR="00823A2F" w:rsidRPr="00D2632F" w:rsidRDefault="00823A2F" w:rsidP="00823A2F">
      <w:pPr>
        <w:autoSpaceDE w:val="0"/>
        <w:autoSpaceDN w:val="0"/>
        <w:adjustRightInd w:val="0"/>
        <w:spacing w:before="240" w:after="0"/>
        <w:rPr>
          <w:rFonts w:ascii="Palatino Linotype" w:hAnsi="Palatino Linotype" w:cs="Arial"/>
          <w:b/>
        </w:rPr>
      </w:pPr>
      <w:r w:rsidRPr="00D2632F">
        <w:rPr>
          <w:rFonts w:ascii="Palatino Linotype" w:hAnsi="Palatino Linotype" w:cs="Arial"/>
          <w:b/>
        </w:rPr>
        <w:t>Área verde comunal 2</w:t>
      </w:r>
      <w:bookmarkStart w:id="0" w:name="_GoBack"/>
      <w:bookmarkEnd w:id="0"/>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Ubicación:</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Vía proyectada y vía de ingreso</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t>Superficie: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6.774,19 m</w:t>
      </w:r>
      <w:r w:rsidRPr="00D2632F">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D2632F">
        <w:rPr>
          <w:rFonts w:ascii="Palatino Linotype" w:hAnsi="Palatino Linotype" w:cs="Arial"/>
          <w:b/>
        </w:rPr>
        <w:lastRenderedPageBreak/>
        <w:t>Pendiente: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2°</w:t>
      </w:r>
    </w:p>
    <w:p w:rsidR="00823A2F" w:rsidRPr="00D2632F" w:rsidRDefault="00823A2F" w:rsidP="00823A2F">
      <w:pPr>
        <w:autoSpaceDE w:val="0"/>
        <w:autoSpaceDN w:val="0"/>
        <w:adjustRightInd w:val="0"/>
        <w:spacing w:before="240" w:after="0"/>
        <w:rPr>
          <w:rFonts w:ascii="Palatino Linotype" w:hAnsi="Palatino Linotype" w:cs="Arial"/>
          <w:b/>
        </w:rPr>
      </w:pPr>
      <w:r w:rsidRPr="00D2632F">
        <w:rPr>
          <w:rFonts w:ascii="Palatino Linotype" w:hAnsi="Palatino Linotype" w:cs="Arial"/>
          <w:b/>
        </w:rPr>
        <w:t>Linderos:</w:t>
      </w:r>
    </w:p>
    <w:p w:rsidR="00823A2F" w:rsidRPr="004503E5" w:rsidRDefault="00823A2F" w:rsidP="00823A2F">
      <w:pPr>
        <w:autoSpaceDE w:val="0"/>
        <w:autoSpaceDN w:val="0"/>
        <w:adjustRightInd w:val="0"/>
        <w:spacing w:before="240" w:after="0"/>
        <w:rPr>
          <w:rFonts w:ascii="Palatino Linotype" w:hAnsi="Palatino Linotype" w:cs="Arial"/>
        </w:rPr>
      </w:pPr>
      <w:r w:rsidRPr="008549C7">
        <w:rPr>
          <w:rFonts w:ascii="Palatino Linotype" w:hAnsi="Palatino Linotype" w:cs="Arial"/>
          <w:b/>
        </w:rPr>
        <w:t>Norte: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Con vía proyectada en 322,14 m</w:t>
      </w:r>
    </w:p>
    <w:p w:rsidR="00823A2F" w:rsidRPr="004503E5" w:rsidRDefault="00823A2F" w:rsidP="0022557E">
      <w:pPr>
        <w:autoSpaceDE w:val="0"/>
        <w:autoSpaceDN w:val="0"/>
        <w:adjustRightInd w:val="0"/>
        <w:spacing w:before="240" w:after="0"/>
        <w:ind w:left="2832" w:hanging="2832"/>
        <w:jc w:val="both"/>
        <w:rPr>
          <w:rFonts w:ascii="Palatino Linotype" w:hAnsi="Palatino Linotype" w:cs="Arial"/>
        </w:rPr>
      </w:pPr>
      <w:r w:rsidRPr="008549C7">
        <w:rPr>
          <w:rFonts w:ascii="Palatino Linotype" w:hAnsi="Palatino Linotype" w:cs="Arial"/>
          <w:b/>
        </w:rPr>
        <w:t>Sur:</w:t>
      </w:r>
      <w:r>
        <w:rPr>
          <w:rFonts w:ascii="Palatino Linotype" w:hAnsi="Palatino Linotype" w:cs="Arial"/>
          <w:b/>
        </w:rPr>
        <w:t xml:space="preserve"> </w:t>
      </w:r>
      <w:r>
        <w:rPr>
          <w:rFonts w:ascii="Palatino Linotype" w:hAnsi="Palatino Linotype" w:cs="Arial"/>
          <w:b/>
        </w:rPr>
        <w:tab/>
      </w:r>
      <w:r w:rsidR="0022557E">
        <w:rPr>
          <w:rFonts w:ascii="Palatino Linotype" w:hAnsi="Palatino Linotype" w:cs="Arial"/>
        </w:rPr>
        <w:t>Con calle 9, l</w:t>
      </w:r>
      <w:r w:rsidRPr="004503E5">
        <w:rPr>
          <w:rFonts w:ascii="Palatino Linotype" w:hAnsi="Palatino Linotype" w:cs="Arial"/>
        </w:rPr>
        <w:t xml:space="preserve">otes </w:t>
      </w:r>
      <w:r>
        <w:rPr>
          <w:rFonts w:ascii="Palatino Linotype" w:hAnsi="Palatino Linotype" w:cs="Arial"/>
        </w:rPr>
        <w:t xml:space="preserve">Nos. </w:t>
      </w:r>
      <w:r w:rsidRPr="004503E5">
        <w:rPr>
          <w:rFonts w:ascii="Palatino Linotype" w:hAnsi="Palatino Linotype" w:cs="Arial"/>
        </w:rPr>
        <w:t>88, 89, 90, 91, 92</w:t>
      </w:r>
      <w:r>
        <w:rPr>
          <w:rFonts w:ascii="Palatino Linotype" w:hAnsi="Palatino Linotype" w:cs="Arial"/>
        </w:rPr>
        <w:t xml:space="preserve"> y</w:t>
      </w:r>
      <w:r w:rsidRPr="004503E5">
        <w:rPr>
          <w:rFonts w:ascii="Palatino Linotype" w:hAnsi="Palatino Linotype" w:cs="Arial"/>
        </w:rPr>
        <w:t xml:space="preserve"> 93</w:t>
      </w:r>
      <w:r>
        <w:rPr>
          <w:rFonts w:ascii="Palatino Linotype" w:hAnsi="Palatino Linotype" w:cs="Arial"/>
        </w:rPr>
        <w:t>;</w:t>
      </w:r>
      <w:r w:rsidRPr="004503E5">
        <w:rPr>
          <w:rFonts w:ascii="Palatino Linotype" w:hAnsi="Palatino Linotype" w:cs="Arial"/>
        </w:rPr>
        <w:t xml:space="preserve"> y</w:t>
      </w:r>
      <w:r>
        <w:rPr>
          <w:rFonts w:ascii="Palatino Linotype" w:hAnsi="Palatino Linotype" w:cs="Arial"/>
        </w:rPr>
        <w:t>,</w:t>
      </w:r>
      <w:r w:rsidR="0022557E">
        <w:rPr>
          <w:rFonts w:ascii="Palatino Linotype" w:hAnsi="Palatino Linotype" w:cs="Arial"/>
        </w:rPr>
        <w:t xml:space="preserve"> vía de ingreso en 306,</w:t>
      </w:r>
      <w:r w:rsidRPr="004503E5">
        <w:rPr>
          <w:rFonts w:ascii="Palatino Linotype" w:hAnsi="Palatino Linotype" w:cs="Arial"/>
        </w:rPr>
        <w:t>86</w:t>
      </w:r>
      <w:r>
        <w:rPr>
          <w:rFonts w:ascii="Palatino Linotype" w:hAnsi="Palatino Linotype" w:cs="Arial"/>
        </w:rPr>
        <w:t xml:space="preserve"> </w:t>
      </w:r>
      <w:r w:rsidRPr="004503E5">
        <w:rPr>
          <w:rFonts w:ascii="Palatino Linotype" w:hAnsi="Palatino Linotype" w:cs="Arial"/>
        </w:rPr>
        <w:t>m</w:t>
      </w:r>
      <w:r>
        <w:rPr>
          <w:rFonts w:ascii="Palatino Linotype" w:hAnsi="Palatino Linotype" w:cs="Arial"/>
        </w:rPr>
        <w:t>.</w:t>
      </w:r>
    </w:p>
    <w:p w:rsidR="00823A2F" w:rsidRPr="004503E5" w:rsidRDefault="00823A2F" w:rsidP="0022557E">
      <w:pPr>
        <w:autoSpaceDE w:val="0"/>
        <w:autoSpaceDN w:val="0"/>
        <w:adjustRightInd w:val="0"/>
        <w:spacing w:before="240" w:after="0"/>
        <w:jc w:val="both"/>
        <w:rPr>
          <w:rFonts w:ascii="Palatino Linotype" w:hAnsi="Palatino Linotype" w:cs="Arial"/>
        </w:rPr>
      </w:pPr>
      <w:r w:rsidRPr="008549C7">
        <w:rPr>
          <w:rFonts w:ascii="Palatino Linotype" w:hAnsi="Palatino Linotype" w:cs="Arial"/>
          <w:b/>
        </w:rPr>
        <w:t>Este:</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sidRPr="004503E5">
        <w:rPr>
          <w:rFonts w:ascii="Palatino Linotype" w:hAnsi="Palatino Linotype" w:cs="Arial"/>
        </w:rPr>
        <w:t xml:space="preserve">Con vía de </w:t>
      </w:r>
      <w:r w:rsidR="0022557E">
        <w:rPr>
          <w:rFonts w:ascii="Palatino Linotype" w:hAnsi="Palatino Linotype" w:cs="Arial"/>
        </w:rPr>
        <w:t>ingreso y lote No. 88 en 63,</w:t>
      </w:r>
      <w:r w:rsidRPr="004503E5">
        <w:rPr>
          <w:rFonts w:ascii="Palatino Linotype" w:hAnsi="Palatino Linotype" w:cs="Arial"/>
        </w:rPr>
        <w:t>14 m</w:t>
      </w:r>
      <w:r w:rsidR="0022557E">
        <w:rPr>
          <w:rFonts w:ascii="Palatino Linotype" w:hAnsi="Palatino Linotype" w:cs="Arial"/>
        </w:rPr>
        <w:t>.</w:t>
      </w:r>
    </w:p>
    <w:p w:rsidR="00823A2F" w:rsidRPr="004503E5" w:rsidRDefault="00823A2F" w:rsidP="0022557E">
      <w:pPr>
        <w:autoSpaceDE w:val="0"/>
        <w:autoSpaceDN w:val="0"/>
        <w:adjustRightInd w:val="0"/>
        <w:spacing w:before="240" w:after="0"/>
        <w:ind w:left="2832" w:hanging="2832"/>
        <w:jc w:val="both"/>
        <w:rPr>
          <w:rFonts w:ascii="Palatino Linotype" w:hAnsi="Palatino Linotype" w:cs="Arial"/>
        </w:rPr>
      </w:pPr>
      <w:r w:rsidRPr="008549C7">
        <w:rPr>
          <w:rFonts w:ascii="Palatino Linotype" w:hAnsi="Palatino Linotype" w:cs="Arial"/>
          <w:b/>
        </w:rPr>
        <w:t>Oeste:</w:t>
      </w:r>
      <w:r w:rsidRPr="004503E5">
        <w:rPr>
          <w:rFonts w:ascii="Palatino Linotype" w:hAnsi="Palatino Linotype" w:cs="Arial"/>
        </w:rPr>
        <w:tab/>
        <w:t>Con faja de protección de acueducto y línea de alta tensión  en 41</w:t>
      </w:r>
      <w:r>
        <w:rPr>
          <w:rFonts w:ascii="Palatino Linotype" w:hAnsi="Palatino Linotype" w:cs="Arial"/>
        </w:rPr>
        <w:t>,</w:t>
      </w:r>
      <w:r w:rsidRPr="004503E5">
        <w:rPr>
          <w:rFonts w:ascii="Palatino Linotype" w:hAnsi="Palatino Linotype" w:cs="Arial"/>
        </w:rPr>
        <w:t>85 m</w:t>
      </w:r>
      <w:r>
        <w:rPr>
          <w:rFonts w:ascii="Palatino Linotype" w:hAnsi="Palatino Linotype" w:cs="Arial"/>
        </w:rPr>
        <w:t>.</w:t>
      </w:r>
    </w:p>
    <w:p w:rsidR="00823A2F" w:rsidRPr="004254F0" w:rsidRDefault="00823A2F" w:rsidP="00823A2F">
      <w:pPr>
        <w:autoSpaceDE w:val="0"/>
        <w:autoSpaceDN w:val="0"/>
        <w:adjustRightInd w:val="0"/>
        <w:spacing w:before="240" w:after="0"/>
        <w:rPr>
          <w:rFonts w:ascii="Palatino Linotype" w:hAnsi="Palatino Linotype" w:cs="Arial"/>
          <w:b/>
        </w:rPr>
      </w:pPr>
      <w:r w:rsidRPr="004254F0">
        <w:rPr>
          <w:rFonts w:ascii="Palatino Linotype" w:hAnsi="Palatino Linotype" w:cs="Arial"/>
          <w:b/>
        </w:rPr>
        <w:t>Área verde comunal 3</w:t>
      </w:r>
    </w:p>
    <w:p w:rsidR="00823A2F" w:rsidRPr="004503E5" w:rsidRDefault="00823A2F" w:rsidP="00823A2F">
      <w:pPr>
        <w:autoSpaceDE w:val="0"/>
        <w:autoSpaceDN w:val="0"/>
        <w:adjustRightInd w:val="0"/>
        <w:spacing w:before="240" w:after="0"/>
        <w:rPr>
          <w:rFonts w:ascii="Palatino Linotype" w:hAnsi="Palatino Linotype" w:cs="Arial"/>
        </w:rPr>
      </w:pPr>
      <w:r w:rsidRPr="004254F0">
        <w:rPr>
          <w:rFonts w:ascii="Palatino Linotype" w:hAnsi="Palatino Linotype" w:cs="Arial"/>
          <w:b/>
        </w:rPr>
        <w:t>Ubicación:</w:t>
      </w:r>
      <w:r w:rsidRPr="004254F0">
        <w:rPr>
          <w:rFonts w:ascii="Palatino Linotype" w:hAnsi="Palatino Linotype" w:cs="Arial"/>
          <w:b/>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Vía proyectada</w:t>
      </w:r>
    </w:p>
    <w:p w:rsidR="00823A2F" w:rsidRPr="004503E5" w:rsidRDefault="00823A2F" w:rsidP="00823A2F">
      <w:pPr>
        <w:autoSpaceDE w:val="0"/>
        <w:autoSpaceDN w:val="0"/>
        <w:adjustRightInd w:val="0"/>
        <w:spacing w:before="240" w:after="0"/>
        <w:rPr>
          <w:rFonts w:ascii="Palatino Linotype" w:hAnsi="Palatino Linotype" w:cs="Arial"/>
        </w:rPr>
      </w:pPr>
      <w:r w:rsidRPr="004254F0">
        <w:rPr>
          <w:rFonts w:ascii="Palatino Linotype" w:hAnsi="Palatino Linotype" w:cs="Arial"/>
          <w:b/>
        </w:rPr>
        <w:t>Superficie: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821,41 m</w:t>
      </w:r>
      <w:r w:rsidRPr="004254F0">
        <w:rPr>
          <w:rFonts w:ascii="Palatino Linotype" w:hAnsi="Palatino Linotype" w:cs="Arial"/>
          <w:vertAlign w:val="superscript"/>
        </w:rPr>
        <w:t>2</w:t>
      </w:r>
    </w:p>
    <w:p w:rsidR="00823A2F" w:rsidRPr="004503E5" w:rsidRDefault="00823A2F" w:rsidP="00823A2F">
      <w:pPr>
        <w:autoSpaceDE w:val="0"/>
        <w:autoSpaceDN w:val="0"/>
        <w:adjustRightInd w:val="0"/>
        <w:spacing w:before="240" w:after="0"/>
        <w:rPr>
          <w:rFonts w:ascii="Palatino Linotype" w:hAnsi="Palatino Linotype" w:cs="Arial"/>
        </w:rPr>
      </w:pPr>
      <w:r w:rsidRPr="004254F0">
        <w:rPr>
          <w:rFonts w:ascii="Palatino Linotype" w:hAnsi="Palatino Linotype" w:cs="Arial"/>
          <w:b/>
        </w:rPr>
        <w:t>Pendiente: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3°</w:t>
      </w:r>
    </w:p>
    <w:p w:rsidR="00823A2F" w:rsidRPr="004254F0" w:rsidRDefault="00823A2F" w:rsidP="00823A2F">
      <w:pPr>
        <w:autoSpaceDE w:val="0"/>
        <w:autoSpaceDN w:val="0"/>
        <w:adjustRightInd w:val="0"/>
        <w:spacing w:before="240" w:after="0"/>
        <w:rPr>
          <w:rFonts w:ascii="Palatino Linotype" w:hAnsi="Palatino Linotype" w:cs="Arial"/>
          <w:b/>
        </w:rPr>
      </w:pPr>
      <w:r w:rsidRPr="004254F0">
        <w:rPr>
          <w:rFonts w:ascii="Palatino Linotype" w:hAnsi="Palatino Linotype" w:cs="Arial"/>
          <w:b/>
        </w:rPr>
        <w:t>Linderos:</w:t>
      </w:r>
    </w:p>
    <w:p w:rsidR="00823A2F" w:rsidRPr="004503E5" w:rsidRDefault="00823A2F" w:rsidP="0022557E">
      <w:pPr>
        <w:autoSpaceDE w:val="0"/>
        <w:autoSpaceDN w:val="0"/>
        <w:adjustRightInd w:val="0"/>
        <w:spacing w:before="240" w:after="0"/>
        <w:jc w:val="both"/>
        <w:rPr>
          <w:rFonts w:ascii="Palatino Linotype" w:hAnsi="Palatino Linotype" w:cs="Arial"/>
        </w:rPr>
      </w:pPr>
      <w:r w:rsidRPr="00EF108A">
        <w:rPr>
          <w:rFonts w:ascii="Palatino Linotype" w:hAnsi="Palatino Linotype" w:cs="Arial"/>
          <w:b/>
        </w:rPr>
        <w:t>Norte: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Con vía proyectada en 14</w:t>
      </w:r>
      <w:r>
        <w:rPr>
          <w:rFonts w:ascii="Palatino Linotype" w:hAnsi="Palatino Linotype" w:cs="Arial"/>
        </w:rPr>
        <w:t>,</w:t>
      </w:r>
      <w:r w:rsidRPr="004503E5">
        <w:rPr>
          <w:rFonts w:ascii="Palatino Linotype" w:hAnsi="Palatino Linotype" w:cs="Arial"/>
        </w:rPr>
        <w:t>31 m</w:t>
      </w:r>
      <w:r>
        <w:rPr>
          <w:rFonts w:ascii="Palatino Linotype" w:hAnsi="Palatino Linotype" w:cs="Arial"/>
        </w:rPr>
        <w:t>.</w:t>
      </w:r>
    </w:p>
    <w:p w:rsidR="00823A2F" w:rsidRPr="004503E5" w:rsidRDefault="00823A2F" w:rsidP="0022557E">
      <w:pPr>
        <w:autoSpaceDE w:val="0"/>
        <w:autoSpaceDN w:val="0"/>
        <w:adjustRightInd w:val="0"/>
        <w:spacing w:before="240" w:after="0"/>
        <w:ind w:left="2832" w:hanging="2832"/>
        <w:jc w:val="both"/>
        <w:rPr>
          <w:rFonts w:ascii="Palatino Linotype" w:hAnsi="Palatino Linotype" w:cs="Arial"/>
        </w:rPr>
      </w:pPr>
      <w:r w:rsidRPr="00EF108A">
        <w:rPr>
          <w:rFonts w:ascii="Palatino Linotype" w:hAnsi="Palatino Linotype" w:cs="Arial"/>
          <w:b/>
        </w:rPr>
        <w:t>Sur:</w:t>
      </w:r>
      <w:r w:rsidRPr="004503E5">
        <w:rPr>
          <w:rFonts w:ascii="Palatino Linotype" w:hAnsi="Palatino Linotype" w:cs="Arial"/>
        </w:rPr>
        <w:tab/>
        <w:t>En vértice Urbanización Meneses Pallares y faja de protección línea de alta tensión.</w:t>
      </w:r>
    </w:p>
    <w:p w:rsidR="00823A2F" w:rsidRPr="004503E5" w:rsidRDefault="00823A2F" w:rsidP="0022557E">
      <w:pPr>
        <w:autoSpaceDE w:val="0"/>
        <w:autoSpaceDN w:val="0"/>
        <w:adjustRightInd w:val="0"/>
        <w:spacing w:before="240" w:after="0"/>
        <w:jc w:val="both"/>
        <w:rPr>
          <w:rFonts w:ascii="Palatino Linotype" w:hAnsi="Palatino Linotype" w:cs="Arial"/>
        </w:rPr>
      </w:pPr>
      <w:r w:rsidRPr="00EF108A">
        <w:rPr>
          <w:rFonts w:ascii="Palatino Linotype" w:hAnsi="Palatino Linotype" w:cs="Arial"/>
          <w:b/>
        </w:rPr>
        <w:t>Este:</w:t>
      </w: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sidRPr="004503E5">
        <w:rPr>
          <w:rFonts w:ascii="Palatino Linotype" w:hAnsi="Palatino Linotype" w:cs="Arial"/>
        </w:rPr>
        <w:t>Con faja de protección, línea de alta tensión en 74</w:t>
      </w:r>
      <w:r>
        <w:rPr>
          <w:rFonts w:ascii="Palatino Linotype" w:hAnsi="Palatino Linotype" w:cs="Arial"/>
        </w:rPr>
        <w:t>,</w:t>
      </w:r>
      <w:r w:rsidRPr="004503E5">
        <w:rPr>
          <w:rFonts w:ascii="Palatino Linotype" w:hAnsi="Palatino Linotype" w:cs="Arial"/>
        </w:rPr>
        <w:t>21</w:t>
      </w:r>
      <w:r>
        <w:rPr>
          <w:rFonts w:ascii="Palatino Linotype" w:hAnsi="Palatino Linotype" w:cs="Arial"/>
        </w:rPr>
        <w:t xml:space="preserve"> </w:t>
      </w:r>
      <w:r w:rsidRPr="004503E5">
        <w:rPr>
          <w:rFonts w:ascii="Palatino Linotype" w:hAnsi="Palatino Linotype" w:cs="Arial"/>
        </w:rPr>
        <w:t>m</w:t>
      </w:r>
      <w:r>
        <w:rPr>
          <w:rFonts w:ascii="Palatino Linotype" w:hAnsi="Palatino Linotype" w:cs="Arial"/>
        </w:rPr>
        <w:t>.</w:t>
      </w:r>
    </w:p>
    <w:p w:rsidR="00823A2F" w:rsidRPr="004503E5" w:rsidRDefault="00823A2F" w:rsidP="0022557E">
      <w:pPr>
        <w:autoSpaceDE w:val="0"/>
        <w:autoSpaceDN w:val="0"/>
        <w:adjustRightInd w:val="0"/>
        <w:spacing w:before="240" w:after="0"/>
        <w:jc w:val="both"/>
        <w:rPr>
          <w:rFonts w:ascii="Palatino Linotype" w:hAnsi="Palatino Linotype" w:cs="Arial"/>
        </w:rPr>
      </w:pPr>
      <w:r w:rsidRPr="00EF108A">
        <w:rPr>
          <w:rFonts w:ascii="Palatino Linotype" w:hAnsi="Palatino Linotype" w:cs="Arial"/>
          <w:b/>
        </w:rPr>
        <w:t>Oeste:</w:t>
      </w:r>
      <w:r w:rsidRPr="004503E5">
        <w:rPr>
          <w:rFonts w:ascii="Palatino Linotype" w:hAnsi="Palatino Linotype" w:cs="Arial"/>
        </w:rPr>
        <w:tab/>
      </w:r>
      <w:r>
        <w:rPr>
          <w:rFonts w:ascii="Palatino Linotype" w:hAnsi="Palatino Linotype" w:cs="Arial"/>
        </w:rPr>
        <w:tab/>
      </w:r>
      <w:r>
        <w:rPr>
          <w:rFonts w:ascii="Palatino Linotype" w:hAnsi="Palatino Linotype" w:cs="Arial"/>
        </w:rPr>
        <w:tab/>
      </w:r>
      <w:r>
        <w:rPr>
          <w:rFonts w:ascii="Palatino Linotype" w:hAnsi="Palatino Linotype" w:cs="Arial"/>
        </w:rPr>
        <w:tab/>
      </w:r>
      <w:r w:rsidRPr="004503E5">
        <w:rPr>
          <w:rFonts w:ascii="Palatino Linotype" w:hAnsi="Palatino Linotype" w:cs="Arial"/>
        </w:rPr>
        <w:t>Con Urbanización Meneses Pallares en 71</w:t>
      </w:r>
      <w:r>
        <w:rPr>
          <w:rFonts w:ascii="Palatino Linotype" w:hAnsi="Palatino Linotype" w:cs="Arial"/>
        </w:rPr>
        <w:t>,</w:t>
      </w:r>
      <w:r w:rsidRPr="004503E5">
        <w:rPr>
          <w:rFonts w:ascii="Palatino Linotype" w:hAnsi="Palatino Linotype" w:cs="Arial"/>
        </w:rPr>
        <w:t>98 m</w:t>
      </w:r>
      <w:r>
        <w:rPr>
          <w:rFonts w:ascii="Palatino Linotype" w:hAnsi="Palatino Linotype" w:cs="Arial"/>
        </w:rPr>
        <w:t>.</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4.-  D</w:t>
      </w:r>
      <w:r>
        <w:rPr>
          <w:rFonts w:ascii="Palatino Linotype" w:hAnsi="Palatino Linotype" w:cs="Arial"/>
          <w:b/>
        </w:rPr>
        <w:t>e las vías</w:t>
      </w:r>
      <w:r w:rsidRPr="004503E5">
        <w:rPr>
          <w:rFonts w:ascii="Palatino Linotype" w:hAnsi="Palatino Linotype" w:cs="Arial"/>
        </w:rPr>
        <w:t xml:space="preserve">.- Las vías planificadas en la urbanización cumplen con las especificaciones determinadas en el cuadro No 1 del Anexo </w:t>
      </w:r>
      <w:r w:rsidR="0022557E" w:rsidRPr="004503E5">
        <w:rPr>
          <w:rFonts w:ascii="Palatino Linotype" w:hAnsi="Palatino Linotype" w:cs="Arial"/>
        </w:rPr>
        <w:t>Único</w:t>
      </w:r>
      <w:r w:rsidRPr="004503E5">
        <w:rPr>
          <w:rFonts w:ascii="Palatino Linotype" w:hAnsi="Palatino Linotype" w:cs="Arial"/>
        </w:rPr>
        <w:t xml:space="preserve">, </w:t>
      </w:r>
      <w:r w:rsidR="0022557E">
        <w:rPr>
          <w:rFonts w:ascii="Palatino Linotype" w:hAnsi="Palatino Linotype" w:cs="Arial"/>
        </w:rPr>
        <w:t>R</w:t>
      </w:r>
      <w:r w:rsidRPr="004503E5">
        <w:rPr>
          <w:rFonts w:ascii="Palatino Linotype" w:hAnsi="Palatino Linotype" w:cs="Arial"/>
        </w:rPr>
        <w:t xml:space="preserve">eglas Técnicas de Arquitectura y Urbanismo de la Ordenanza </w:t>
      </w:r>
      <w:r>
        <w:rPr>
          <w:rFonts w:ascii="Palatino Linotype" w:hAnsi="Palatino Linotype" w:cs="Arial"/>
        </w:rPr>
        <w:t xml:space="preserve">Metropolitana No. </w:t>
      </w:r>
      <w:r w:rsidRPr="004503E5">
        <w:rPr>
          <w:rFonts w:ascii="Palatino Linotype" w:hAnsi="Palatino Linotype" w:cs="Arial"/>
        </w:rPr>
        <w:t>172,</w:t>
      </w:r>
      <w:r>
        <w:rPr>
          <w:rFonts w:ascii="Palatino Linotype" w:hAnsi="Palatino Linotype" w:cs="Arial"/>
        </w:rPr>
        <w:t xml:space="preserve"> que establece el</w:t>
      </w:r>
      <w:r w:rsidRPr="004503E5">
        <w:rPr>
          <w:rFonts w:ascii="Palatino Linotype" w:hAnsi="Palatino Linotype" w:cs="Arial"/>
        </w:rPr>
        <w:t xml:space="preserve"> Régimen Administrativo del Suelo en el Distrito Metropolitano de Quito, siendo estas de 14</w:t>
      </w:r>
      <w:r>
        <w:rPr>
          <w:rFonts w:ascii="Palatino Linotype" w:hAnsi="Palatino Linotype" w:cs="Arial"/>
        </w:rPr>
        <w:t xml:space="preserve"> </w:t>
      </w:r>
      <w:r w:rsidRPr="004503E5">
        <w:rPr>
          <w:rFonts w:ascii="Palatino Linotype" w:hAnsi="Palatino Linotype" w:cs="Arial"/>
        </w:rPr>
        <w:t>m, 12 m, y 21 m de ancho, respectivamente.</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lastRenderedPageBreak/>
        <w:t>Artículo 5.- G</w:t>
      </w:r>
      <w:r>
        <w:rPr>
          <w:rFonts w:ascii="Palatino Linotype" w:hAnsi="Palatino Linotype" w:cs="Arial"/>
          <w:b/>
        </w:rPr>
        <w:t>arantí</w:t>
      </w:r>
      <w:r w:rsidRPr="004503E5">
        <w:rPr>
          <w:rFonts w:ascii="Palatino Linotype" w:hAnsi="Palatino Linotype" w:cs="Arial"/>
          <w:b/>
        </w:rPr>
        <w:t>as para ejecución de obras</w:t>
      </w:r>
      <w:r w:rsidRPr="004503E5">
        <w:rPr>
          <w:rFonts w:ascii="Palatino Linotype" w:hAnsi="Palatino Linotype" w:cs="Arial"/>
        </w:rPr>
        <w:t>.-</w:t>
      </w:r>
      <w:r w:rsidRPr="004503E5">
        <w:rPr>
          <w:rFonts w:ascii="Palatino Linotype" w:hAnsi="Palatino Linotype" w:cs="Arial"/>
          <w:b/>
        </w:rPr>
        <w:t xml:space="preserve"> </w:t>
      </w:r>
      <w:r>
        <w:rPr>
          <w:rFonts w:ascii="Palatino Linotype" w:hAnsi="Palatino Linotype" w:cs="Arial"/>
        </w:rPr>
        <w:t xml:space="preserve">La </w:t>
      </w:r>
      <w:r w:rsidRPr="004503E5">
        <w:rPr>
          <w:rFonts w:ascii="Palatino Linotype" w:hAnsi="Palatino Linotype" w:cs="Arial"/>
        </w:rPr>
        <w:t>Direc</w:t>
      </w:r>
      <w:r>
        <w:rPr>
          <w:rFonts w:ascii="Palatino Linotype" w:hAnsi="Palatino Linotype" w:cs="Arial"/>
        </w:rPr>
        <w:t>ción</w:t>
      </w:r>
      <w:r w:rsidRPr="004503E5">
        <w:rPr>
          <w:rFonts w:ascii="Palatino Linotype" w:hAnsi="Palatino Linotype" w:cs="Arial"/>
        </w:rPr>
        <w:t xml:space="preserve"> Metropolitan</w:t>
      </w:r>
      <w:r>
        <w:rPr>
          <w:rFonts w:ascii="Palatino Linotype" w:hAnsi="Palatino Linotype" w:cs="Arial"/>
        </w:rPr>
        <w:t>a</w:t>
      </w:r>
      <w:r w:rsidRPr="004503E5">
        <w:rPr>
          <w:rFonts w:ascii="Palatino Linotype" w:hAnsi="Palatino Linotype" w:cs="Arial"/>
        </w:rPr>
        <w:t xml:space="preserve"> de Gestión Territorial de la Secretaría de Territorio, Hábitat y Vivienda mediante oficio </w:t>
      </w:r>
      <w:r>
        <w:rPr>
          <w:rFonts w:ascii="Palatino Linotype" w:hAnsi="Palatino Linotype" w:cs="Arial"/>
        </w:rPr>
        <w:t xml:space="preserve">No. </w:t>
      </w:r>
      <w:r w:rsidRPr="004503E5">
        <w:rPr>
          <w:rFonts w:ascii="Palatino Linotype" w:hAnsi="Palatino Linotype" w:cs="Arial"/>
        </w:rPr>
        <w:t>SOT-GT-001528</w:t>
      </w:r>
      <w:r>
        <w:rPr>
          <w:rFonts w:ascii="Palatino Linotype" w:hAnsi="Palatino Linotype" w:cs="Arial"/>
        </w:rPr>
        <w:t>,</w:t>
      </w:r>
      <w:r w:rsidRPr="004503E5">
        <w:rPr>
          <w:rFonts w:ascii="Palatino Linotype" w:hAnsi="Palatino Linotype" w:cs="Arial"/>
        </w:rPr>
        <w:t xml:space="preserve"> de 10 de abril de 2014, determina que el valor de las obras de urbanización es de US</w:t>
      </w:r>
      <w:r>
        <w:rPr>
          <w:rFonts w:ascii="Palatino Linotype" w:hAnsi="Palatino Linotype" w:cs="Arial"/>
        </w:rPr>
        <w:t>D.</w:t>
      </w:r>
      <w:r w:rsidRPr="004503E5">
        <w:rPr>
          <w:rFonts w:ascii="Palatino Linotype" w:hAnsi="Palatino Linotype" w:cs="Arial"/>
        </w:rPr>
        <w:t xml:space="preserve"> 2’451.800,00 (dos millones cuatrocientos cincuenta y un mil ochocientos </w:t>
      </w:r>
      <w:r>
        <w:rPr>
          <w:rFonts w:ascii="Palatino Linotype" w:hAnsi="Palatino Linotype" w:cs="Arial"/>
        </w:rPr>
        <w:t xml:space="preserve">dólares de los Estados Unidos de América, </w:t>
      </w:r>
      <w:r w:rsidRPr="004503E5">
        <w:rPr>
          <w:rFonts w:ascii="Palatino Linotype" w:hAnsi="Palatino Linotype" w:cs="Arial"/>
        </w:rPr>
        <w:t>con 00/100 centavos), por lo que los urbanizadores afianzan a favor del Municipio de Distrito Metropolitano de Quito con el valor equivalente  al cien por ciento del valor de las obras de urbanización, en garantía de la ejecución de las obras de infraestructura, conforme consta de la copia de la Póliza de Seguro de Fianzas Legales C</w:t>
      </w:r>
      <w:r>
        <w:rPr>
          <w:rFonts w:ascii="Palatino Linotype" w:hAnsi="Palatino Linotype" w:cs="Arial"/>
        </w:rPr>
        <w:t>onfianza</w:t>
      </w:r>
      <w:r w:rsidRPr="004503E5">
        <w:rPr>
          <w:rFonts w:ascii="Palatino Linotype" w:hAnsi="Palatino Linotype" w:cs="Arial"/>
        </w:rPr>
        <w:t>, cuyo original se encuentra en custodia de</w:t>
      </w:r>
      <w:r>
        <w:rPr>
          <w:rFonts w:ascii="Palatino Linotype" w:hAnsi="Palatino Linotype" w:cs="Arial"/>
        </w:rPr>
        <w:t xml:space="preserve"> la Tesorería Metropolitana</w:t>
      </w:r>
      <w:r w:rsidRPr="004503E5">
        <w:rPr>
          <w:rFonts w:ascii="Palatino Linotype" w:hAnsi="Palatino Linotype" w:cs="Arial"/>
        </w:rPr>
        <w:t xml:space="preserve">. </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6.- Plazo de ejecución de obras</w:t>
      </w:r>
      <w:r w:rsidRPr="004503E5">
        <w:rPr>
          <w:rFonts w:ascii="Palatino Linotype" w:hAnsi="Palatino Linotype" w:cs="Arial"/>
        </w:rPr>
        <w:t>.- Es obligación de los urbanizadores, en el plazo de 24 meses contados a partir de  la notificación de la presente ordenanza, realizar las obras detalladas en el cronograma valorado de obras conforme plano adjunto que contiene la implantación del proyecto.</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7.- Del control de ejecución de las obras</w:t>
      </w:r>
      <w:r w:rsidRPr="004503E5">
        <w:rPr>
          <w:rFonts w:ascii="Palatino Linotype" w:hAnsi="Palatino Linotype" w:cs="Arial"/>
        </w:rPr>
        <w:t>.- La Administración Municipal Zonal Valle de Tumbaco realizará el control y seguimiento de la ejecución de las obras de urbanización hasta la terminación de las mismas.</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8.-</w:t>
      </w:r>
      <w:r w:rsidRPr="004503E5">
        <w:rPr>
          <w:rFonts w:ascii="Palatino Linotype" w:hAnsi="Palatino Linotype" w:cs="Arial"/>
        </w:rPr>
        <w:t xml:space="preserve"> En caso de retraso en la ejecución de las obras de urbanización, los propietarios pagarán a la Municipalidad</w:t>
      </w:r>
      <w:r>
        <w:rPr>
          <w:rFonts w:ascii="Palatino Linotype" w:hAnsi="Palatino Linotype" w:cs="Arial"/>
        </w:rPr>
        <w:t>,</w:t>
      </w:r>
      <w:r w:rsidRPr="004503E5">
        <w:rPr>
          <w:rFonts w:ascii="Palatino Linotype" w:hAnsi="Palatino Linotype" w:cs="Arial"/>
        </w:rPr>
        <w:t xml:space="preserve"> en calidad de multa</w:t>
      </w:r>
      <w:r>
        <w:rPr>
          <w:rFonts w:ascii="Palatino Linotype" w:hAnsi="Palatino Linotype" w:cs="Arial"/>
        </w:rPr>
        <w:t>,</w:t>
      </w:r>
      <w:r w:rsidRPr="004503E5">
        <w:rPr>
          <w:rFonts w:ascii="Palatino Linotype" w:hAnsi="Palatino Linotype" w:cs="Arial"/>
        </w:rPr>
        <w:t xml:space="preserve"> el uno por mil por cada día de retraso, calculado del costo de las obras no ejecutadas, cuyo monto se establecerá previo los informes técnicos correspondientes, por incumplimiento de las obras de urbanización, y a su vez se notificará a la Dirección Financiera Tributaria para que emita el título de crédito respectivo y proced</w:t>
      </w:r>
      <w:r>
        <w:rPr>
          <w:rFonts w:ascii="Palatino Linotype" w:hAnsi="Palatino Linotype" w:cs="Arial"/>
        </w:rPr>
        <w:t>a</w:t>
      </w:r>
      <w:r w:rsidRPr="004503E5">
        <w:rPr>
          <w:rFonts w:ascii="Palatino Linotype" w:hAnsi="Palatino Linotype" w:cs="Arial"/>
        </w:rPr>
        <w:t xml:space="preserve"> a su cobro, incluso por la vía coactiva.</w:t>
      </w:r>
    </w:p>
    <w:p w:rsidR="00823A2F" w:rsidRPr="004503E5" w:rsidRDefault="00823A2F" w:rsidP="00823A2F">
      <w:pPr>
        <w:autoSpaceDE w:val="0"/>
        <w:autoSpaceDN w:val="0"/>
        <w:adjustRightInd w:val="0"/>
        <w:spacing w:before="240" w:after="0"/>
        <w:rPr>
          <w:rFonts w:ascii="Palatino Linotype" w:hAnsi="Palatino Linotype" w:cs="Arial"/>
        </w:rPr>
      </w:pPr>
      <w:r w:rsidRPr="004503E5">
        <w:rPr>
          <w:rFonts w:ascii="Palatino Linotype" w:hAnsi="Palatino Linotype" w:cs="Arial"/>
          <w:b/>
        </w:rPr>
        <w:t>Artículo 9.-</w:t>
      </w:r>
      <w:r w:rsidRPr="004503E5">
        <w:rPr>
          <w:rFonts w:ascii="Palatino Linotype" w:hAnsi="Palatino Linotype" w:cs="Arial"/>
        </w:rPr>
        <w:t xml:space="preserve"> Pagará las contribuciones y mejoras de Ley.</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10.-</w:t>
      </w:r>
      <w:r w:rsidRPr="004503E5">
        <w:rPr>
          <w:rFonts w:ascii="Palatino Linotype" w:hAnsi="Palatino Linotype" w:cs="Arial"/>
        </w:rPr>
        <w:t xml:space="preserve"> En caso de comprobarse ocultamiento o falsedad en los datos, planos o de existir reclamos de terceros afectados, la presente </w:t>
      </w:r>
      <w:r>
        <w:rPr>
          <w:rFonts w:ascii="Palatino Linotype" w:hAnsi="Palatino Linotype" w:cs="Arial"/>
        </w:rPr>
        <w:t>O</w:t>
      </w:r>
      <w:r w:rsidRPr="004503E5">
        <w:rPr>
          <w:rFonts w:ascii="Palatino Linotype" w:hAnsi="Palatino Linotype" w:cs="Arial"/>
        </w:rPr>
        <w:t xml:space="preserve">rdenanza se anulará automáticamente bajo exclusiva responsabilidad de los propietarios y proyectista de la urbanización, mismos que no podrán alegar a su favor que se encuentran ejecutadas las obras de urbanización o celebradas escrituras de transferencia de dominio a favor de terceros. </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lastRenderedPageBreak/>
        <w:t>Artículo 11.-</w:t>
      </w:r>
      <w:r w:rsidRPr="004503E5">
        <w:rPr>
          <w:rFonts w:ascii="Palatino Linotype" w:hAnsi="Palatino Linotype" w:cs="Arial"/>
        </w:rPr>
        <w:t xml:space="preserve"> Los urbanizadores se comprometen en el plazo de 60 días, contados a partir de la notificación con la presente </w:t>
      </w:r>
      <w:r>
        <w:rPr>
          <w:rFonts w:ascii="Palatino Linotype" w:hAnsi="Palatino Linotype" w:cs="Arial"/>
        </w:rPr>
        <w:t>O</w:t>
      </w:r>
      <w:r w:rsidRPr="004503E5">
        <w:rPr>
          <w:rFonts w:ascii="Palatino Linotype" w:hAnsi="Palatino Linotype" w:cs="Arial"/>
        </w:rPr>
        <w:t xml:space="preserve">rdenanza a suscribir e inscribir la correspondiente escritura pública de transferencia de dominio de áreas verdes  y comunal a favor del Municipio y protocolización de la </w:t>
      </w:r>
      <w:r>
        <w:rPr>
          <w:rFonts w:ascii="Palatino Linotype" w:hAnsi="Palatino Linotype" w:cs="Arial"/>
        </w:rPr>
        <w:t>O</w:t>
      </w:r>
      <w:r w:rsidRPr="004503E5">
        <w:rPr>
          <w:rFonts w:ascii="Palatino Linotype" w:hAnsi="Palatino Linotype" w:cs="Arial"/>
        </w:rPr>
        <w:t>rdenanza, con todos sus documentos habilitantes, que aprueba la urbanización, caso contrario se recomendará dejar sin efecto esta urbanización, notificándose del particular a la Agencia Metropolitana de Control, para que inicie las acciones legales pertinentes.</w:t>
      </w:r>
    </w:p>
    <w:p w:rsidR="00823A2F" w:rsidRPr="004503E5" w:rsidRDefault="00823A2F" w:rsidP="00823A2F">
      <w:pPr>
        <w:autoSpaceDE w:val="0"/>
        <w:autoSpaceDN w:val="0"/>
        <w:adjustRightInd w:val="0"/>
        <w:spacing w:before="240" w:after="0"/>
        <w:jc w:val="both"/>
        <w:rPr>
          <w:rFonts w:ascii="Palatino Linotype" w:hAnsi="Palatino Linotype" w:cs="Arial"/>
        </w:rPr>
      </w:pPr>
      <w:r w:rsidRPr="004503E5">
        <w:rPr>
          <w:rFonts w:ascii="Palatino Linotype" w:hAnsi="Palatino Linotype" w:cs="Arial"/>
          <w:b/>
        </w:rPr>
        <w:t>Artículo 12.-</w:t>
      </w:r>
      <w:r w:rsidRPr="004503E5">
        <w:rPr>
          <w:rFonts w:ascii="Palatino Linotype" w:hAnsi="Palatino Linotype" w:cs="Arial"/>
        </w:rPr>
        <w:t xml:space="preserve"> Los señores Notario y Registrador de la Propiedad, exigirán para los plenos efectos de Ley, que la presente </w:t>
      </w:r>
      <w:r>
        <w:rPr>
          <w:rFonts w:ascii="Palatino Linotype" w:hAnsi="Palatino Linotype" w:cs="Arial"/>
        </w:rPr>
        <w:t>O</w:t>
      </w:r>
      <w:r w:rsidRPr="004503E5">
        <w:rPr>
          <w:rFonts w:ascii="Palatino Linotype" w:hAnsi="Palatino Linotype" w:cs="Arial"/>
        </w:rPr>
        <w:t>rdenanza se encuentre protocolizada e inscrita en el Registro de la Propiedad</w:t>
      </w:r>
      <w:r>
        <w:rPr>
          <w:rFonts w:ascii="Palatino Linotype" w:hAnsi="Palatino Linotype" w:cs="Arial"/>
        </w:rPr>
        <w:t xml:space="preserve"> del Distrito Metropolitano de Quito</w:t>
      </w:r>
      <w:r w:rsidRPr="004503E5">
        <w:rPr>
          <w:rFonts w:ascii="Palatino Linotype" w:hAnsi="Palatino Linotype" w:cs="Arial"/>
        </w:rPr>
        <w:t>.</w:t>
      </w:r>
    </w:p>
    <w:p w:rsidR="00823A2F" w:rsidRDefault="00823A2F" w:rsidP="00823A2F">
      <w:pPr>
        <w:spacing w:before="240"/>
        <w:jc w:val="both"/>
        <w:rPr>
          <w:rFonts w:ascii="Palatino Linotype" w:hAnsi="Palatino Linotype" w:cs="Arial"/>
          <w:bCs/>
        </w:rPr>
      </w:pPr>
      <w:r>
        <w:rPr>
          <w:rFonts w:ascii="Palatino Linotype" w:hAnsi="Palatino Linotype" w:cs="Arial"/>
          <w:b/>
        </w:rPr>
        <w:t xml:space="preserve">Disposición final.-  </w:t>
      </w:r>
      <w:r>
        <w:rPr>
          <w:rFonts w:ascii="Palatino Linotype" w:hAnsi="Palatino Linotype" w:cs="Arial"/>
          <w:bCs/>
        </w:rPr>
        <w:t>Esta ordenanza entrará en vigencia a partir de la fecha de su sanción, sin perjuicio de su publicación en la Gaceta Oficial y página web institucional de la Municipalidad.</w:t>
      </w:r>
    </w:p>
    <w:p w:rsidR="00823A2F" w:rsidRDefault="00823A2F" w:rsidP="00823A2F">
      <w:pPr>
        <w:pStyle w:val="Cuadrculaclara-nfasis31"/>
        <w:tabs>
          <w:tab w:val="left" w:pos="2410"/>
        </w:tabs>
        <w:suppressAutoHyphens w:val="0"/>
        <w:spacing w:before="240" w:line="276" w:lineRule="auto"/>
        <w:ind w:left="0"/>
        <w:jc w:val="both"/>
        <w:rPr>
          <w:rFonts w:ascii="Palatino Linotype" w:hAnsi="Palatino Linotype"/>
          <w:sz w:val="22"/>
          <w:szCs w:val="22"/>
        </w:rPr>
      </w:pPr>
      <w:r>
        <w:rPr>
          <w:rFonts w:ascii="Palatino Linotype" w:hAnsi="Palatino Linotype"/>
          <w:sz w:val="22"/>
          <w:szCs w:val="22"/>
        </w:rPr>
        <w:t xml:space="preserve">Dada, en la Sala de Sesiones del Concejo Metropolitano de Quito, el </w:t>
      </w:r>
      <w:r w:rsidR="0022557E">
        <w:rPr>
          <w:rFonts w:ascii="Palatino Linotype" w:hAnsi="Palatino Linotype"/>
          <w:sz w:val="22"/>
          <w:szCs w:val="22"/>
        </w:rPr>
        <w:t>4</w:t>
      </w:r>
      <w:r>
        <w:rPr>
          <w:rFonts w:ascii="Palatino Linotype" w:hAnsi="Palatino Linotype"/>
          <w:sz w:val="22"/>
          <w:szCs w:val="22"/>
        </w:rPr>
        <w:t xml:space="preserve"> de </w:t>
      </w:r>
      <w:r w:rsidR="0022557E">
        <w:rPr>
          <w:rFonts w:ascii="Palatino Linotype" w:hAnsi="Palatino Linotype"/>
          <w:sz w:val="22"/>
          <w:szCs w:val="22"/>
        </w:rPr>
        <w:t xml:space="preserve">junio </w:t>
      </w:r>
      <w:r>
        <w:rPr>
          <w:rFonts w:ascii="Palatino Linotype" w:hAnsi="Palatino Linotype"/>
          <w:sz w:val="22"/>
          <w:szCs w:val="22"/>
        </w:rPr>
        <w:t>de 2015.</w:t>
      </w:r>
    </w:p>
    <w:p w:rsidR="0022557E" w:rsidRDefault="0022557E" w:rsidP="00823A2F">
      <w:pPr>
        <w:pStyle w:val="Cuadrculaclara-nfasis31"/>
        <w:tabs>
          <w:tab w:val="left" w:pos="2410"/>
        </w:tabs>
        <w:suppressAutoHyphens w:val="0"/>
        <w:spacing w:before="240" w:line="276" w:lineRule="auto"/>
        <w:ind w:left="0"/>
        <w:jc w:val="both"/>
        <w:rPr>
          <w:rFonts w:ascii="Palatino Linotype" w:hAnsi="Palatino Linotype"/>
          <w:sz w:val="22"/>
          <w:szCs w:val="22"/>
        </w:rPr>
      </w:pPr>
    </w:p>
    <w:p w:rsidR="0022557E" w:rsidRDefault="0022557E" w:rsidP="0022557E">
      <w:pPr>
        <w:pStyle w:val="Cuadrculaclara-nfasis31"/>
        <w:tabs>
          <w:tab w:val="left" w:pos="2410"/>
        </w:tabs>
        <w:suppressAutoHyphens w:val="0"/>
        <w:spacing w:line="240" w:lineRule="auto"/>
        <w:ind w:left="0"/>
        <w:jc w:val="center"/>
        <w:rPr>
          <w:rFonts w:ascii="Palatino Linotype" w:hAnsi="Palatino Linotype"/>
          <w:sz w:val="22"/>
          <w:szCs w:val="22"/>
        </w:rPr>
      </w:pPr>
    </w:p>
    <w:p w:rsidR="0022557E" w:rsidRPr="0022557E" w:rsidRDefault="0022557E" w:rsidP="0022557E">
      <w:pPr>
        <w:pStyle w:val="Cuadrculaclara-nfasis31"/>
        <w:tabs>
          <w:tab w:val="left" w:pos="2410"/>
        </w:tabs>
        <w:suppressAutoHyphens w:val="0"/>
        <w:spacing w:line="240" w:lineRule="auto"/>
        <w:ind w:left="0"/>
        <w:jc w:val="center"/>
        <w:rPr>
          <w:rFonts w:ascii="Palatino Linotype" w:hAnsi="Palatino Linotype"/>
          <w:sz w:val="22"/>
          <w:szCs w:val="22"/>
        </w:rPr>
      </w:pPr>
      <w:r>
        <w:rPr>
          <w:rFonts w:ascii="Palatino Linotype" w:hAnsi="Palatino Linotype"/>
          <w:sz w:val="22"/>
          <w:szCs w:val="22"/>
        </w:rPr>
        <w:t>Dr. Mauricio Bustamante Holguín</w:t>
      </w:r>
    </w:p>
    <w:p w:rsidR="00823A2F" w:rsidRPr="0022557E" w:rsidRDefault="0022557E" w:rsidP="0022557E">
      <w:pPr>
        <w:pStyle w:val="Textopredeterminado"/>
        <w:shd w:val="clear" w:color="auto" w:fill="FFFFFF"/>
        <w:jc w:val="center"/>
        <w:rPr>
          <w:rFonts w:ascii="Palatino Linotype" w:hAnsi="Palatino Linotype"/>
          <w:b/>
          <w:sz w:val="22"/>
          <w:szCs w:val="22"/>
        </w:rPr>
      </w:pPr>
      <w:r w:rsidRPr="0022557E">
        <w:rPr>
          <w:rFonts w:ascii="Palatino Linotype" w:hAnsi="Palatino Linotype"/>
          <w:b/>
          <w:sz w:val="22"/>
          <w:szCs w:val="22"/>
        </w:rPr>
        <w:t>Secretario General del Concejo Metropolitano de Quito</w:t>
      </w:r>
    </w:p>
    <w:p w:rsidR="00823A2F" w:rsidRDefault="00823A2F" w:rsidP="00823A2F">
      <w:pPr>
        <w:pStyle w:val="Textopredeterminado"/>
        <w:shd w:val="clear" w:color="auto" w:fill="FFFFFF"/>
        <w:jc w:val="both"/>
        <w:rPr>
          <w:rFonts w:ascii="Palatino Linotype" w:hAnsi="Palatino Linotype"/>
          <w:sz w:val="22"/>
          <w:szCs w:val="22"/>
          <w:lang w:val="es-EC"/>
        </w:rPr>
      </w:pPr>
    </w:p>
    <w:tbl>
      <w:tblPr>
        <w:tblW w:w="5575" w:type="dxa"/>
        <w:jc w:val="center"/>
        <w:tblLook w:val="04A0"/>
      </w:tblPr>
      <w:tblGrid>
        <w:gridCol w:w="5575"/>
      </w:tblGrid>
      <w:tr w:rsidR="0022557E" w:rsidTr="0022557E">
        <w:trPr>
          <w:jc w:val="center"/>
        </w:trPr>
        <w:tc>
          <w:tcPr>
            <w:tcW w:w="5575" w:type="dxa"/>
            <w:hideMark/>
          </w:tcPr>
          <w:p w:rsidR="0022557E" w:rsidRDefault="0022557E" w:rsidP="00CB429B">
            <w:pPr>
              <w:pStyle w:val="Textopredeterminado"/>
              <w:jc w:val="center"/>
              <w:rPr>
                <w:rFonts w:ascii="Palatino Linotype" w:hAnsi="Palatino Linotype"/>
                <w:b/>
                <w:sz w:val="18"/>
                <w:szCs w:val="18"/>
                <w:lang w:val="es-EC"/>
              </w:rPr>
            </w:pPr>
          </w:p>
        </w:tc>
      </w:tr>
    </w:tbl>
    <w:p w:rsidR="00823A2F" w:rsidRDefault="00823A2F" w:rsidP="00823A2F">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sz w:val="22"/>
          <w:szCs w:val="22"/>
          <w:lang w:val="es-EC"/>
        </w:rPr>
      </w:pPr>
      <w:r>
        <w:rPr>
          <w:rFonts w:ascii="Palatino Linotype" w:eastAsia="MS Mincho" w:hAnsi="Palatino Linotype"/>
          <w:b/>
          <w:bCs/>
          <w:sz w:val="22"/>
          <w:szCs w:val="22"/>
          <w:lang w:val="es-EC"/>
        </w:rPr>
        <w:t>CERTIFICADO DE DISCUSIÓN</w:t>
      </w:r>
    </w:p>
    <w:p w:rsidR="00823A2F" w:rsidRDefault="00823A2F" w:rsidP="00823A2F">
      <w:pPr>
        <w:pStyle w:val="Textosinformato"/>
        <w:jc w:val="both"/>
        <w:rPr>
          <w:rFonts w:ascii="Palatino Linotype" w:eastAsia="MS Mincho" w:hAnsi="Palatino Linotype"/>
          <w:sz w:val="22"/>
          <w:szCs w:val="22"/>
          <w:lang w:val="es-EC"/>
        </w:rPr>
      </w:pPr>
    </w:p>
    <w:p w:rsidR="00823A2F" w:rsidRDefault="00823A2F" w:rsidP="00823A2F">
      <w:pPr>
        <w:pStyle w:val="Textosinformato"/>
        <w:jc w:val="both"/>
        <w:rPr>
          <w:rFonts w:ascii="Palatino Linotype" w:eastAsia="MS Mincho" w:hAnsi="Palatino Linotype"/>
          <w:sz w:val="22"/>
          <w:szCs w:val="22"/>
          <w:lang w:val="es-EC"/>
        </w:rPr>
      </w:pPr>
      <w:r>
        <w:rPr>
          <w:rFonts w:ascii="Palatino Linotype" w:eastAsia="MS Mincho" w:hAnsi="Palatino Linotype"/>
          <w:sz w:val="22"/>
          <w:szCs w:val="22"/>
          <w:lang w:val="es-EC"/>
        </w:rPr>
        <w:t xml:space="preserve">El infrascrito Secretario General del Concejo Metropolitano de Quito, certifica que la presente ordenanza fue discutida y aprobada en dos debates, en sesiones de 7 de mayo </w:t>
      </w:r>
      <w:r w:rsidR="0022557E">
        <w:rPr>
          <w:rFonts w:ascii="Palatino Linotype" w:eastAsia="MS Mincho" w:hAnsi="Palatino Linotype"/>
          <w:sz w:val="22"/>
          <w:szCs w:val="22"/>
          <w:lang w:val="es-EC"/>
        </w:rPr>
        <w:t xml:space="preserve">y 4 de junio </w:t>
      </w:r>
      <w:r>
        <w:rPr>
          <w:rFonts w:ascii="Palatino Linotype" w:eastAsia="MS Mincho" w:hAnsi="Palatino Linotype"/>
          <w:sz w:val="22"/>
          <w:szCs w:val="22"/>
          <w:lang w:val="es-EC"/>
        </w:rPr>
        <w:t>de 2015.- Quito,</w:t>
      </w:r>
    </w:p>
    <w:p w:rsidR="00823A2F" w:rsidRDefault="00823A2F" w:rsidP="00823A2F">
      <w:pPr>
        <w:pStyle w:val="Textosinformato"/>
        <w:jc w:val="both"/>
        <w:rPr>
          <w:rFonts w:ascii="Palatino Linotype" w:eastAsia="MS Mincho" w:hAnsi="Palatino Linotype"/>
          <w:sz w:val="22"/>
          <w:szCs w:val="22"/>
          <w:lang w:val="es-EC"/>
        </w:rPr>
      </w:pPr>
    </w:p>
    <w:p w:rsidR="00823A2F" w:rsidRDefault="00823A2F" w:rsidP="00823A2F">
      <w:pPr>
        <w:pStyle w:val="Textosinformato"/>
        <w:jc w:val="both"/>
        <w:rPr>
          <w:rFonts w:ascii="Palatino Linotype" w:eastAsia="MS Mincho" w:hAnsi="Palatino Linotype"/>
          <w:sz w:val="22"/>
          <w:szCs w:val="22"/>
          <w:lang w:val="es-EC"/>
        </w:rPr>
      </w:pPr>
    </w:p>
    <w:p w:rsidR="00823A2F" w:rsidRDefault="00823A2F" w:rsidP="00823A2F">
      <w:pPr>
        <w:pStyle w:val="Textosinformato"/>
        <w:jc w:val="both"/>
        <w:rPr>
          <w:rFonts w:ascii="Palatino Linotype" w:eastAsia="MS Mincho" w:hAnsi="Palatino Linotype"/>
          <w:sz w:val="22"/>
          <w:szCs w:val="22"/>
          <w:lang w:val="es-EC"/>
        </w:rPr>
      </w:pPr>
    </w:p>
    <w:p w:rsidR="00823A2F" w:rsidRDefault="00823A2F" w:rsidP="00823A2F">
      <w:pPr>
        <w:pStyle w:val="Textosinformato"/>
        <w:jc w:val="both"/>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r>
        <w:rPr>
          <w:rFonts w:ascii="Palatino Linotype" w:eastAsia="MS Mincho" w:hAnsi="Palatino Linotype"/>
          <w:sz w:val="22"/>
          <w:szCs w:val="22"/>
          <w:lang w:val="es-EC"/>
        </w:rPr>
        <w:t>Dr. Mauricio Bustamante Holguín</w:t>
      </w:r>
    </w:p>
    <w:p w:rsidR="00823A2F" w:rsidRDefault="00823A2F" w:rsidP="00823A2F">
      <w:pPr>
        <w:pStyle w:val="Textosinformato"/>
        <w:jc w:val="center"/>
        <w:rPr>
          <w:rFonts w:ascii="Palatino Linotype" w:eastAsia="MS Mincho" w:hAnsi="Palatino Linotype"/>
          <w:b/>
          <w:bCs/>
          <w:sz w:val="22"/>
          <w:szCs w:val="22"/>
          <w:lang w:val="es-EC"/>
        </w:rPr>
      </w:pPr>
      <w:r>
        <w:rPr>
          <w:rFonts w:ascii="Palatino Linotype" w:eastAsia="MS Mincho" w:hAnsi="Palatino Linotype"/>
          <w:b/>
          <w:bCs/>
          <w:sz w:val="22"/>
          <w:szCs w:val="22"/>
          <w:lang w:val="es-EC"/>
        </w:rPr>
        <w:t>SECRETARIO GENERAL DEL CONCEJO METROPOLITANO DE QUITO</w:t>
      </w:r>
    </w:p>
    <w:p w:rsidR="00823A2F" w:rsidRDefault="00823A2F" w:rsidP="00823A2F">
      <w:pPr>
        <w:pStyle w:val="Textosinformato"/>
        <w:jc w:val="center"/>
        <w:rPr>
          <w:rFonts w:ascii="Palatino Linotype" w:eastAsia="MS Mincho" w:hAnsi="Palatino Linotype"/>
          <w:b/>
          <w:bCs/>
          <w:sz w:val="22"/>
          <w:szCs w:val="22"/>
          <w:lang w:val="es-EC"/>
        </w:rPr>
      </w:pPr>
    </w:p>
    <w:p w:rsidR="0022557E" w:rsidRDefault="0022557E" w:rsidP="00823A2F">
      <w:pPr>
        <w:pStyle w:val="Textosinformato"/>
        <w:jc w:val="center"/>
        <w:rPr>
          <w:rFonts w:ascii="Palatino Linotype" w:eastAsia="MS Mincho" w:hAnsi="Palatino Linotype"/>
          <w:b/>
          <w:bCs/>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r>
        <w:rPr>
          <w:rFonts w:ascii="Palatino Linotype" w:eastAsia="MS Mincho" w:hAnsi="Palatino Linotype"/>
          <w:b/>
          <w:bCs/>
          <w:sz w:val="22"/>
          <w:szCs w:val="22"/>
          <w:lang w:val="es-EC"/>
        </w:rPr>
        <w:lastRenderedPageBreak/>
        <w:t>ALCALDÍA DEL DISTRITO METROPOLITANO.-</w:t>
      </w:r>
      <w:r>
        <w:rPr>
          <w:rFonts w:ascii="Palatino Linotype" w:eastAsia="MS Mincho" w:hAnsi="Palatino Linotype"/>
          <w:sz w:val="22"/>
          <w:szCs w:val="22"/>
          <w:lang w:val="es-EC"/>
        </w:rPr>
        <w:t xml:space="preserve">  Distrito Metropolitano de Quito,</w:t>
      </w:r>
    </w:p>
    <w:p w:rsidR="00823A2F" w:rsidRDefault="00823A2F" w:rsidP="00823A2F">
      <w:pPr>
        <w:pStyle w:val="Textosinformato"/>
        <w:jc w:val="center"/>
        <w:rPr>
          <w:rFonts w:ascii="Palatino Linotype" w:eastAsia="MS Mincho" w:hAnsi="Palatino Linotype"/>
          <w:b/>
          <w:sz w:val="22"/>
          <w:szCs w:val="22"/>
          <w:lang w:val="es-EC"/>
        </w:rPr>
      </w:pPr>
    </w:p>
    <w:p w:rsidR="00823A2F" w:rsidRDefault="00823A2F" w:rsidP="00823A2F">
      <w:pPr>
        <w:pStyle w:val="Textosinformato"/>
        <w:jc w:val="center"/>
        <w:rPr>
          <w:rFonts w:ascii="Palatino Linotype" w:eastAsia="MS Mincho" w:hAnsi="Palatino Linotype"/>
          <w:b/>
          <w:sz w:val="22"/>
          <w:szCs w:val="22"/>
          <w:lang w:val="es-EC"/>
        </w:rPr>
      </w:pPr>
      <w:r>
        <w:rPr>
          <w:rFonts w:ascii="Palatino Linotype" w:eastAsia="MS Mincho" w:hAnsi="Palatino Linotype"/>
          <w:b/>
          <w:sz w:val="22"/>
          <w:szCs w:val="22"/>
          <w:lang w:val="es-EC"/>
        </w:rPr>
        <w:t>EJECÚTESE:</w:t>
      </w: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r>
        <w:rPr>
          <w:rFonts w:ascii="Palatino Linotype" w:eastAsia="MS Mincho" w:hAnsi="Palatino Linotype"/>
          <w:sz w:val="22"/>
          <w:szCs w:val="22"/>
          <w:lang w:val="es-EC"/>
        </w:rPr>
        <w:t>Dr. Mauricio Rodas Espinel</w:t>
      </w:r>
    </w:p>
    <w:p w:rsidR="00823A2F" w:rsidRDefault="00823A2F" w:rsidP="00823A2F">
      <w:pPr>
        <w:pStyle w:val="Textosinformato"/>
        <w:jc w:val="center"/>
        <w:rPr>
          <w:rFonts w:ascii="Palatino Linotype" w:eastAsia="MS Mincho" w:hAnsi="Palatino Linotype"/>
          <w:b/>
          <w:bCs/>
          <w:sz w:val="22"/>
          <w:szCs w:val="22"/>
          <w:lang w:val="es-EC"/>
        </w:rPr>
      </w:pPr>
      <w:r>
        <w:rPr>
          <w:rFonts w:ascii="Palatino Linotype" w:eastAsia="MS Mincho" w:hAnsi="Palatino Linotype"/>
          <w:b/>
          <w:bCs/>
          <w:sz w:val="22"/>
          <w:szCs w:val="22"/>
          <w:lang w:val="es-EC"/>
        </w:rPr>
        <w:t>ALCALDE DEL DISTRITO METROPOLITANO DE QUITO</w:t>
      </w:r>
    </w:p>
    <w:p w:rsidR="00823A2F" w:rsidRDefault="00823A2F" w:rsidP="00823A2F">
      <w:pPr>
        <w:pStyle w:val="Textosinformato"/>
        <w:jc w:val="both"/>
        <w:rPr>
          <w:rFonts w:ascii="Palatino Linotype" w:eastAsia="MS Mincho" w:hAnsi="Palatino Linotype"/>
          <w:b/>
          <w:bCs/>
          <w:sz w:val="22"/>
          <w:szCs w:val="22"/>
          <w:lang w:val="es-EC"/>
        </w:rPr>
      </w:pPr>
    </w:p>
    <w:p w:rsidR="00823A2F" w:rsidRDefault="00823A2F" w:rsidP="00823A2F">
      <w:pPr>
        <w:pStyle w:val="Textosinformato"/>
        <w:jc w:val="both"/>
        <w:rPr>
          <w:rFonts w:ascii="Palatino Linotype" w:eastAsia="MS Mincho" w:hAnsi="Palatino Linotype"/>
          <w:sz w:val="22"/>
          <w:szCs w:val="22"/>
          <w:lang w:val="es-EC"/>
        </w:rPr>
      </w:pPr>
      <w:r>
        <w:rPr>
          <w:rFonts w:ascii="Palatino Linotype" w:eastAsia="MS Mincho" w:hAnsi="Palatino Linotype"/>
          <w:b/>
          <w:bCs/>
          <w:sz w:val="22"/>
          <w:szCs w:val="22"/>
          <w:lang w:val="es-EC"/>
        </w:rPr>
        <w:t>CERTIFICO,</w:t>
      </w:r>
      <w:r>
        <w:rPr>
          <w:rFonts w:ascii="Palatino Linotype" w:eastAsia="MS Mincho" w:hAnsi="Palatino Linotype"/>
          <w:sz w:val="22"/>
          <w:szCs w:val="22"/>
          <w:lang w:val="es-EC"/>
        </w:rPr>
        <w:t xml:space="preserve"> que la presente ordenanza fue sancionada por el Dr. Mauricio Rodas Espinel, Alcalde  del Distrito Metropolitano de Quito, el</w:t>
      </w:r>
    </w:p>
    <w:p w:rsidR="00823A2F" w:rsidRDefault="00823A2F" w:rsidP="00823A2F">
      <w:pPr>
        <w:pStyle w:val="Textosinformato"/>
        <w:tabs>
          <w:tab w:val="right" w:pos="8504"/>
        </w:tabs>
        <w:jc w:val="both"/>
        <w:rPr>
          <w:rFonts w:ascii="Palatino Linotype" w:eastAsia="MS Mincho" w:hAnsi="Palatino Linotype"/>
          <w:sz w:val="22"/>
          <w:szCs w:val="22"/>
          <w:lang w:val="es-EC"/>
        </w:rPr>
      </w:pPr>
      <w:r>
        <w:rPr>
          <w:rFonts w:ascii="Palatino Linotype" w:eastAsia="MS Mincho" w:hAnsi="Palatino Linotype"/>
          <w:sz w:val="22"/>
          <w:szCs w:val="22"/>
          <w:lang w:val="es-EC"/>
        </w:rPr>
        <w:t>.- Distrito Metropolitano de Quito,</w:t>
      </w: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p>
    <w:p w:rsidR="00823A2F" w:rsidRDefault="00823A2F" w:rsidP="00823A2F">
      <w:pPr>
        <w:pStyle w:val="Textosinformato"/>
        <w:jc w:val="center"/>
        <w:rPr>
          <w:rFonts w:ascii="Palatino Linotype" w:eastAsia="MS Mincho" w:hAnsi="Palatino Linotype"/>
          <w:sz w:val="22"/>
          <w:szCs w:val="22"/>
          <w:lang w:val="es-EC"/>
        </w:rPr>
      </w:pPr>
      <w:r>
        <w:rPr>
          <w:rFonts w:ascii="Palatino Linotype" w:eastAsia="MS Mincho" w:hAnsi="Palatino Linotype"/>
          <w:sz w:val="22"/>
          <w:szCs w:val="22"/>
          <w:lang w:val="es-EC"/>
        </w:rPr>
        <w:t>Dr. Mauricio Bustamante Holguín</w:t>
      </w:r>
    </w:p>
    <w:p w:rsidR="00823A2F" w:rsidRDefault="00823A2F" w:rsidP="00823A2F">
      <w:pPr>
        <w:pStyle w:val="Textosinformato"/>
        <w:jc w:val="center"/>
        <w:rPr>
          <w:rFonts w:ascii="Palatino Linotype" w:eastAsia="MS Mincho" w:hAnsi="Palatino Linotype"/>
          <w:bCs/>
          <w:sz w:val="22"/>
          <w:szCs w:val="22"/>
          <w:lang w:val="es-EC"/>
        </w:rPr>
      </w:pPr>
      <w:r>
        <w:rPr>
          <w:rFonts w:ascii="Palatino Linotype" w:eastAsia="MS Mincho" w:hAnsi="Palatino Linotype"/>
          <w:b/>
          <w:bCs/>
          <w:sz w:val="22"/>
          <w:szCs w:val="22"/>
          <w:lang w:val="es-EC"/>
        </w:rPr>
        <w:t>SECRETARIO GENERAL DEL CONCEJO METROPOLITANO DE QUITO</w:t>
      </w:r>
    </w:p>
    <w:p w:rsidR="00F800C6" w:rsidRDefault="00823A2F" w:rsidP="00823A2F">
      <w:r>
        <w:rPr>
          <w:rFonts w:ascii="Palatino Linotype" w:hAnsi="Palatino Linotype" w:cs="Arial"/>
          <w:sz w:val="14"/>
          <w:szCs w:val="14"/>
        </w:rPr>
        <w:t>DSCS</w:t>
      </w:r>
    </w:p>
    <w:sectPr w:rsidR="00F800C6" w:rsidSect="0022557E">
      <w:headerReference w:type="default" r:id="rId8"/>
      <w:footerReference w:type="default" r:id="rId9"/>
      <w:pgSz w:w="12240" w:h="15840"/>
      <w:pgMar w:top="1417" w:right="1467"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AA8" w:rsidRDefault="002E3AA8" w:rsidP="00823A2F">
      <w:pPr>
        <w:spacing w:after="0" w:line="240" w:lineRule="auto"/>
      </w:pPr>
      <w:r>
        <w:separator/>
      </w:r>
    </w:p>
  </w:endnote>
  <w:endnote w:type="continuationSeparator" w:id="1">
    <w:p w:rsidR="002E3AA8" w:rsidRDefault="002E3AA8" w:rsidP="00823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86" w:rsidRPr="008D1286" w:rsidRDefault="008D1286">
    <w:pPr>
      <w:pStyle w:val="Piedepgina"/>
      <w:jc w:val="right"/>
      <w:rPr>
        <w:rFonts w:ascii="Palatino Linotype" w:hAnsi="Palatino Linotype"/>
      </w:rPr>
    </w:pPr>
  </w:p>
  <w:p w:rsidR="008D1286" w:rsidRDefault="008D128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3658"/>
      <w:docPartObj>
        <w:docPartGallery w:val="Page Numbers (Bottom of Page)"/>
        <w:docPartUnique/>
      </w:docPartObj>
    </w:sdtPr>
    <w:sdtEndPr>
      <w:rPr>
        <w:rFonts w:ascii="Palatino Linotype" w:hAnsi="Palatino Linotype"/>
      </w:rPr>
    </w:sdtEndPr>
    <w:sdtContent>
      <w:sdt>
        <w:sdtPr>
          <w:id w:val="32543659"/>
          <w:docPartObj>
            <w:docPartGallery w:val="Page Numbers (Top of Page)"/>
            <w:docPartUnique/>
          </w:docPartObj>
        </w:sdtPr>
        <w:sdtEndPr>
          <w:rPr>
            <w:rFonts w:ascii="Palatino Linotype" w:hAnsi="Palatino Linotype"/>
          </w:rPr>
        </w:sdtEndPr>
        <w:sdtContent>
          <w:p w:rsidR="008D1286" w:rsidRPr="008D1286" w:rsidRDefault="008D1286">
            <w:pPr>
              <w:pStyle w:val="Piedepgina"/>
              <w:jc w:val="right"/>
              <w:rPr>
                <w:rFonts w:ascii="Palatino Linotype" w:hAnsi="Palatino Linotype"/>
              </w:rPr>
            </w:pPr>
            <w:r w:rsidRPr="008D1286">
              <w:rPr>
                <w:rFonts w:ascii="Palatino Linotype" w:hAnsi="Palatino Linotype"/>
              </w:rPr>
              <w:t xml:space="preserve">Página </w:t>
            </w:r>
            <w:r w:rsidRPr="008D1286">
              <w:rPr>
                <w:rFonts w:ascii="Palatino Linotype" w:hAnsi="Palatino Linotype"/>
                <w:b/>
              </w:rPr>
              <w:fldChar w:fldCharType="begin"/>
            </w:r>
            <w:r w:rsidRPr="008D1286">
              <w:rPr>
                <w:rFonts w:ascii="Palatino Linotype" w:hAnsi="Palatino Linotype"/>
                <w:b/>
              </w:rPr>
              <w:instrText>PAGE</w:instrText>
            </w:r>
            <w:r w:rsidRPr="008D1286">
              <w:rPr>
                <w:rFonts w:ascii="Palatino Linotype" w:hAnsi="Palatino Linotype"/>
                <w:b/>
              </w:rPr>
              <w:fldChar w:fldCharType="separate"/>
            </w:r>
            <w:r w:rsidR="006B5859">
              <w:rPr>
                <w:rFonts w:ascii="Palatino Linotype" w:hAnsi="Palatino Linotype"/>
                <w:b/>
                <w:noProof/>
              </w:rPr>
              <w:t>8</w:t>
            </w:r>
            <w:r w:rsidRPr="008D1286">
              <w:rPr>
                <w:rFonts w:ascii="Palatino Linotype" w:hAnsi="Palatino Linotype"/>
                <w:b/>
              </w:rPr>
              <w:fldChar w:fldCharType="end"/>
            </w:r>
            <w:r w:rsidRPr="008D1286">
              <w:rPr>
                <w:rFonts w:ascii="Palatino Linotype" w:hAnsi="Palatino Linotype"/>
              </w:rPr>
              <w:t xml:space="preserve"> de </w:t>
            </w:r>
            <w:r>
              <w:rPr>
                <w:rFonts w:ascii="Palatino Linotype" w:hAnsi="Palatino Linotype"/>
                <w:b/>
              </w:rPr>
              <w:t>9</w:t>
            </w:r>
          </w:p>
        </w:sdtContent>
      </w:sdt>
    </w:sdtContent>
  </w:sdt>
  <w:p w:rsidR="008D1286" w:rsidRDefault="008D12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AA8" w:rsidRDefault="002E3AA8" w:rsidP="00823A2F">
      <w:pPr>
        <w:spacing w:after="0" w:line="240" w:lineRule="auto"/>
      </w:pPr>
      <w:r>
        <w:separator/>
      </w:r>
    </w:p>
  </w:footnote>
  <w:footnote w:type="continuationSeparator" w:id="1">
    <w:p w:rsidR="002E3AA8" w:rsidRDefault="002E3AA8" w:rsidP="00823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2F" w:rsidRDefault="00823A2F">
    <w:pPr>
      <w:pStyle w:val="Encabezado"/>
    </w:pPr>
  </w:p>
  <w:p w:rsidR="00823A2F" w:rsidRDefault="00823A2F">
    <w:pPr>
      <w:pStyle w:val="Encabezado"/>
    </w:pPr>
  </w:p>
  <w:p w:rsidR="00823A2F" w:rsidRDefault="00823A2F">
    <w:pPr>
      <w:pStyle w:val="Encabezado"/>
    </w:pPr>
  </w:p>
  <w:p w:rsidR="00823A2F" w:rsidRDefault="00823A2F" w:rsidP="00823A2F">
    <w:pPr>
      <w:autoSpaceDE w:val="0"/>
      <w:autoSpaceDN w:val="0"/>
      <w:adjustRightInd w:val="0"/>
      <w:spacing w:after="0" w:line="240" w:lineRule="auto"/>
      <w:jc w:val="center"/>
      <w:rPr>
        <w:rFonts w:ascii="Palatino Linotype" w:hAnsi="Palatino Linotype" w:cs="Arial"/>
        <w:b/>
        <w:bCs/>
      </w:rPr>
    </w:pPr>
  </w:p>
  <w:p w:rsidR="008D1286" w:rsidRDefault="008D1286" w:rsidP="00823A2F">
    <w:pPr>
      <w:autoSpaceDE w:val="0"/>
      <w:autoSpaceDN w:val="0"/>
      <w:adjustRightInd w:val="0"/>
      <w:spacing w:after="0" w:line="240" w:lineRule="auto"/>
      <w:jc w:val="center"/>
      <w:rPr>
        <w:rFonts w:ascii="Palatino Linotype" w:hAnsi="Palatino Linotype" w:cs="Arial"/>
        <w:b/>
        <w:bCs/>
      </w:rPr>
    </w:pPr>
  </w:p>
  <w:p w:rsidR="00823A2F" w:rsidRPr="00904960" w:rsidRDefault="00823A2F" w:rsidP="00823A2F">
    <w:pPr>
      <w:autoSpaceDE w:val="0"/>
      <w:autoSpaceDN w:val="0"/>
      <w:adjustRightInd w:val="0"/>
      <w:spacing w:after="0" w:line="240" w:lineRule="auto"/>
      <w:jc w:val="center"/>
      <w:rPr>
        <w:rFonts w:ascii="Palatino Linotype" w:hAnsi="Palatino Linotype" w:cs="Arial"/>
        <w:b/>
        <w:bCs/>
      </w:rPr>
    </w:pPr>
    <w:r w:rsidRPr="00904960">
      <w:rPr>
        <w:rFonts w:ascii="Palatino Linotype" w:hAnsi="Palatino Linotype" w:cs="Arial"/>
        <w:b/>
        <w:bCs/>
      </w:rPr>
      <w:t>ORDENANZA No</w:t>
    </w:r>
    <w:r>
      <w:rPr>
        <w:rFonts w:ascii="Palatino Linotype" w:hAnsi="Palatino Linotype" w:cs="Arial"/>
        <w:b/>
        <w:bCs/>
      </w:rPr>
      <w:t>.</w:t>
    </w:r>
    <w:r w:rsidRPr="00904960">
      <w:rPr>
        <w:rFonts w:ascii="Palatino Linotype" w:hAnsi="Palatino Linotype" w:cs="Arial"/>
        <w:b/>
        <w:bCs/>
      </w:rPr>
      <w:t xml:space="preserve"> </w:t>
    </w:r>
  </w:p>
  <w:p w:rsidR="00823A2F" w:rsidRDefault="00823A2F">
    <w:pPr>
      <w:pStyle w:val="Encabezado"/>
    </w:pPr>
  </w:p>
  <w:p w:rsidR="00823A2F" w:rsidRDefault="00823A2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86" w:rsidRDefault="008D1286">
    <w:pPr>
      <w:pStyle w:val="Encabezado"/>
    </w:pPr>
  </w:p>
  <w:p w:rsidR="008D1286" w:rsidRDefault="008D1286">
    <w:pPr>
      <w:pStyle w:val="Encabezado"/>
    </w:pPr>
  </w:p>
  <w:p w:rsidR="008D1286" w:rsidRDefault="008D1286">
    <w:pPr>
      <w:pStyle w:val="Encabezado"/>
    </w:pPr>
  </w:p>
  <w:p w:rsidR="008D1286" w:rsidRDefault="008D1286" w:rsidP="00823A2F">
    <w:pPr>
      <w:autoSpaceDE w:val="0"/>
      <w:autoSpaceDN w:val="0"/>
      <w:adjustRightInd w:val="0"/>
      <w:spacing w:after="0" w:line="240" w:lineRule="auto"/>
      <w:jc w:val="center"/>
      <w:rPr>
        <w:rFonts w:ascii="Palatino Linotype" w:hAnsi="Palatino Linotype" w:cs="Arial"/>
        <w:b/>
        <w:bCs/>
      </w:rPr>
    </w:pPr>
  </w:p>
  <w:p w:rsidR="008D1286" w:rsidRDefault="008D1286" w:rsidP="00823A2F">
    <w:pPr>
      <w:autoSpaceDE w:val="0"/>
      <w:autoSpaceDN w:val="0"/>
      <w:adjustRightInd w:val="0"/>
      <w:spacing w:after="0" w:line="240" w:lineRule="auto"/>
      <w:jc w:val="center"/>
      <w:rPr>
        <w:rFonts w:ascii="Palatino Linotype" w:hAnsi="Palatino Linotype" w:cs="Arial"/>
        <w:b/>
        <w:bCs/>
      </w:rPr>
    </w:pPr>
  </w:p>
  <w:p w:rsidR="008D1286" w:rsidRPr="00904960" w:rsidRDefault="008D1286" w:rsidP="00823A2F">
    <w:pPr>
      <w:autoSpaceDE w:val="0"/>
      <w:autoSpaceDN w:val="0"/>
      <w:adjustRightInd w:val="0"/>
      <w:spacing w:after="0" w:line="240" w:lineRule="auto"/>
      <w:jc w:val="center"/>
      <w:rPr>
        <w:rFonts w:ascii="Palatino Linotype" w:hAnsi="Palatino Linotype" w:cs="Arial"/>
        <w:b/>
        <w:bCs/>
      </w:rPr>
    </w:pPr>
    <w:r w:rsidRPr="00904960">
      <w:rPr>
        <w:rFonts w:ascii="Palatino Linotype" w:hAnsi="Palatino Linotype" w:cs="Arial"/>
        <w:b/>
        <w:bCs/>
      </w:rPr>
      <w:t>ORDENANZA No</w:t>
    </w:r>
    <w:r>
      <w:rPr>
        <w:rFonts w:ascii="Palatino Linotype" w:hAnsi="Palatino Linotype" w:cs="Arial"/>
        <w:b/>
        <w:bCs/>
      </w:rPr>
      <w:t>.</w:t>
    </w:r>
    <w:r w:rsidRPr="00904960">
      <w:rPr>
        <w:rFonts w:ascii="Palatino Linotype" w:hAnsi="Palatino Linotype" w:cs="Arial"/>
        <w:b/>
        <w:bCs/>
      </w:rPr>
      <w:t xml:space="preserve"> </w:t>
    </w:r>
  </w:p>
  <w:p w:rsidR="008D1286" w:rsidRDefault="008D1286">
    <w:pPr>
      <w:pStyle w:val="Encabezado"/>
    </w:pPr>
  </w:p>
  <w:p w:rsidR="008D1286" w:rsidRDefault="008D12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23A2F"/>
    <w:rsid w:val="0022557E"/>
    <w:rsid w:val="002E3AA8"/>
    <w:rsid w:val="006B5859"/>
    <w:rsid w:val="00823A2F"/>
    <w:rsid w:val="008D1286"/>
    <w:rsid w:val="00F800C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2F"/>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3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3A2F"/>
    <w:rPr>
      <w:rFonts w:eastAsiaTheme="minorEastAsia"/>
      <w:lang w:eastAsia="es-EC"/>
    </w:rPr>
  </w:style>
  <w:style w:type="paragraph" w:styleId="Piedepgina">
    <w:name w:val="footer"/>
    <w:basedOn w:val="Normal"/>
    <w:link w:val="PiedepginaCar"/>
    <w:uiPriority w:val="99"/>
    <w:unhideWhenUsed/>
    <w:rsid w:val="00823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A2F"/>
    <w:rPr>
      <w:rFonts w:eastAsiaTheme="minorEastAsia"/>
      <w:lang w:eastAsia="es-EC"/>
    </w:rPr>
  </w:style>
  <w:style w:type="paragraph" w:styleId="Textosinformato">
    <w:name w:val="Plain Text"/>
    <w:basedOn w:val="Normal"/>
    <w:link w:val="TextosinformatoCar"/>
    <w:rsid w:val="00823A2F"/>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23A2F"/>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823A2F"/>
    <w:pPr>
      <w:spacing w:after="0" w:line="240" w:lineRule="auto"/>
    </w:pPr>
    <w:rPr>
      <w:rFonts w:ascii="Times New Roman" w:eastAsia="Times New Roman" w:hAnsi="Times New Roman" w:cs="Times New Roman"/>
      <w:sz w:val="24"/>
      <w:szCs w:val="20"/>
      <w:lang w:val="es-ES_tradnl" w:eastAsia="es-ES"/>
    </w:rPr>
  </w:style>
  <w:style w:type="character" w:customStyle="1" w:styleId="Cuadrculaclara-nfasis3Car">
    <w:name w:val="Cuadrícula clara - Énfasis 3 Car"/>
    <w:link w:val="Cuadrculaclara-nfasis31"/>
    <w:uiPriority w:val="34"/>
    <w:locked/>
    <w:rsid w:val="00823A2F"/>
    <w:rPr>
      <w:rFonts w:ascii="Arial Unicode MS" w:eastAsia="Arial Unicode MS" w:hAnsi="Arial Unicode MS" w:cs="Arial Unicode MS"/>
      <w:kern w:val="2"/>
      <w:sz w:val="24"/>
      <w:szCs w:val="24"/>
      <w:lang w:val="es-ES_tradnl" w:eastAsia="ar-SA"/>
    </w:rPr>
  </w:style>
  <w:style w:type="paragraph" w:customStyle="1" w:styleId="Cuadrculaclara-nfasis31">
    <w:name w:val="Cuadrícula clara - Énfasis 31"/>
    <w:basedOn w:val="Normal"/>
    <w:link w:val="Cuadrculaclara-nfasis3Car"/>
    <w:uiPriority w:val="34"/>
    <w:qFormat/>
    <w:rsid w:val="00823A2F"/>
    <w:pPr>
      <w:suppressAutoHyphens/>
      <w:spacing w:after="0" w:line="100" w:lineRule="atLeast"/>
      <w:ind w:left="708"/>
    </w:pPr>
    <w:rPr>
      <w:rFonts w:ascii="Arial Unicode MS" w:eastAsia="Arial Unicode MS" w:hAnsi="Arial Unicode MS" w:cs="Arial Unicode MS"/>
      <w:kern w:val="2"/>
      <w:sz w:val="24"/>
      <w:szCs w:val="24"/>
      <w:lang w:val="es-ES_tradnl"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2183</Words>
  <Characters>12012</Characters>
  <Application>Microsoft Office Word</Application>
  <DocSecurity>0</DocSecurity>
  <Lines>100</Lines>
  <Paragraphs>28</Paragraphs>
  <ScaleCrop>false</ScaleCrop>
  <Company/>
  <LinksUpToDate>false</LinksUpToDate>
  <CharactersWithSpaces>14167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dcevallos</dc:creator>
  <cp:lastModifiedBy>dcevallos</cp:lastModifiedBy>
  <cp:revision>4</cp:revision>
  <dcterms:created xsi:type="dcterms:W3CDTF">2015-06-04T22:00:00Z</dcterms:created>
  <dcterms:modified xsi:type="dcterms:W3CDTF">2015-06-04T22:12:00Z</dcterms:modified>
</cp:coreProperties>
</file>