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BE4F22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Comité Pro-Mejoras del Barrio “San José de </w:t>
      </w:r>
      <w:proofErr w:type="spellStart"/>
      <w:r w:rsidR="00A86186" w:rsidRPr="00A86186">
        <w:rPr>
          <w:rFonts w:ascii="Palatino Linotype" w:hAnsi="Palatino Linotype" w:cs="Arial"/>
          <w:b w:val="0"/>
          <w:sz w:val="22"/>
          <w:szCs w:val="22"/>
        </w:rPr>
        <w:t>Cangahua</w:t>
      </w:r>
      <w:proofErr w:type="spellEnd"/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 Bajo” (Etapa I),</w:t>
      </w:r>
      <w:r w:rsidR="00A86186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A86186">
        <w:rPr>
          <w:rFonts w:ascii="Palatino Linotype" w:hAnsi="Palatino Linotype" w:cs="Arial"/>
          <w:b w:val="0"/>
          <w:sz w:val="22"/>
          <w:szCs w:val="22"/>
        </w:rPr>
        <w:t>40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A86186">
        <w:rPr>
          <w:rFonts w:ascii="Palatino Linotype" w:hAnsi="Palatino Linotype" w:cs="Arial"/>
          <w:b w:val="0"/>
          <w:sz w:val="22"/>
          <w:szCs w:val="22"/>
        </w:rPr>
        <w:t>16</w:t>
      </w:r>
      <w:r w:rsidR="00BE4F22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A86186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A86186">
        <w:rPr>
          <w:rFonts w:ascii="Palatino Linotype" w:hAnsi="Palatino Linotype" w:cs="Arial"/>
          <w:b w:val="0"/>
          <w:sz w:val="22"/>
          <w:szCs w:val="22"/>
        </w:rPr>
        <w:t>6</w:t>
      </w:r>
      <w:r w:rsidR="001A07FE">
        <w:rPr>
          <w:rFonts w:ascii="Palatino Linotype" w:hAnsi="Palatino Linotype" w:cs="Arial"/>
          <w:b w:val="0"/>
          <w:sz w:val="22"/>
          <w:szCs w:val="22"/>
        </w:rPr>
        <w:t>4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BE4F22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Comité Pro-Mejoras del Barrio “San José de </w:t>
      </w:r>
      <w:proofErr w:type="spellStart"/>
      <w:r w:rsidR="00A86186" w:rsidRPr="00A86186">
        <w:rPr>
          <w:rFonts w:ascii="Palatino Linotype" w:hAnsi="Palatino Linotype" w:cs="Arial"/>
          <w:b w:val="0"/>
          <w:sz w:val="22"/>
          <w:szCs w:val="22"/>
        </w:rPr>
        <w:t>Cangahua</w:t>
      </w:r>
      <w:proofErr w:type="spellEnd"/>
      <w:r w:rsidR="00A86186" w:rsidRPr="00A86186">
        <w:rPr>
          <w:rFonts w:ascii="Palatino Linotype" w:hAnsi="Palatino Linotype" w:cs="Arial"/>
          <w:b w:val="0"/>
          <w:sz w:val="22"/>
          <w:szCs w:val="22"/>
        </w:rPr>
        <w:t xml:space="preserve"> Bajo” (Etapa I)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458C4">
        <w:rPr>
          <w:rFonts w:ascii="Palatino Linotype" w:hAnsi="Palatino Linotype" w:cs="Arial"/>
          <w:sz w:val="22"/>
          <w:szCs w:val="22"/>
        </w:rPr>
        <w:t>8</w:t>
      </w:r>
      <w:r w:rsidR="00A86186">
        <w:rPr>
          <w:rFonts w:ascii="Palatino Linotype" w:hAnsi="Palatino Linotype" w:cs="Arial"/>
          <w:sz w:val="22"/>
          <w:szCs w:val="22"/>
        </w:rPr>
        <w:t>2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EE355D">
        <w:rPr>
          <w:rFonts w:ascii="Palatino Linotype" w:hAnsi="Palatino Linotype" w:cs="Arial"/>
          <w:sz w:val="22"/>
          <w:szCs w:val="22"/>
        </w:rPr>
        <w:t>7</w:t>
      </w:r>
      <w:r w:rsidR="00057D41">
        <w:rPr>
          <w:rFonts w:ascii="Palatino Linotype" w:hAnsi="Palatino Linotype" w:cs="Arial"/>
          <w:sz w:val="22"/>
          <w:szCs w:val="22"/>
        </w:rPr>
        <w:t xml:space="preserve">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F458C4">
        <w:rPr>
          <w:rFonts w:ascii="Palatino Linotype" w:hAnsi="Palatino Linotype" w:cs="Arial"/>
          <w:sz w:val="22"/>
          <w:szCs w:val="22"/>
        </w:rPr>
        <w:t>may</w:t>
      </w:r>
      <w:r w:rsidR="00BE4F22">
        <w:rPr>
          <w:rFonts w:ascii="Palatino Linotype" w:hAnsi="Palatino Linotype" w:cs="Arial"/>
          <w:sz w:val="22"/>
          <w:szCs w:val="22"/>
        </w:rPr>
        <w:t xml:space="preserve">o </w:t>
      </w:r>
      <w:r w:rsidR="00057D41">
        <w:rPr>
          <w:rFonts w:ascii="Palatino Linotype" w:hAnsi="Palatino Linotype" w:cs="Arial"/>
          <w:sz w:val="22"/>
          <w:szCs w:val="22"/>
        </w:rPr>
        <w:t>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8259C" w:rsidRDefault="0098259C" w:rsidP="0098259C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artículo 486 del COOTAD establece que: </w:t>
      </w:r>
      <w:r w:rsidR="008079C6" w:rsidRPr="001842A8">
        <w:rPr>
          <w:rFonts w:ascii="Palatino Linotype" w:hAnsi="Palatino Linotype" w:cs="Arial"/>
          <w:bCs/>
        </w:rPr>
        <w:t>“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de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8079C6">
        <w:rPr>
          <w:rFonts w:ascii="Palatino Linotype" w:hAnsi="Palatino Linotype" w:cs="Arial"/>
          <w:bCs/>
          <w:i/>
          <w:lang w:val="es-ES_tradnl"/>
        </w:rPr>
        <w:t>ción y fiscalización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8079C6">
        <w:rPr>
          <w:rFonts w:ascii="Palatino Linotype" w:hAnsi="Palatino Linotype" w:cs="Arial"/>
          <w:bCs/>
          <w:i/>
          <w:lang w:val="es-ES_tradnl"/>
        </w:rPr>
        <w:t>G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8079C6">
        <w:rPr>
          <w:rFonts w:ascii="Palatino Linotype" w:hAnsi="Palatino Linotype" w:cs="Arial"/>
          <w:bCs/>
          <w:i/>
          <w:lang w:val="es-ES_tradnl"/>
        </w:rPr>
        <w:t>Autónomo D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8079C6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="008079C6"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="008079C6" w:rsidRPr="001842A8">
        <w:rPr>
          <w:rFonts w:ascii="Palatino Linotype" w:hAnsi="Palatino Linotype" w:cs="Arial"/>
          <w:bCs/>
          <w:lang w:val="es-ES_tradnl"/>
        </w:rPr>
        <w:t>”</w:t>
      </w:r>
      <w:r w:rsidR="008079C6" w:rsidRPr="001842A8">
        <w:rPr>
          <w:rFonts w:ascii="Palatino Linotype" w:hAnsi="Palatino Linotype" w:cs="Arial"/>
          <w:b/>
          <w:bCs/>
        </w:rPr>
        <w:t>;</w:t>
      </w:r>
    </w:p>
    <w:p w:rsidR="00C15531" w:rsidRPr="00F24D4E" w:rsidRDefault="00C15531" w:rsidP="00C1553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>
        <w:rPr>
          <w:rFonts w:ascii="Palatino Linotype" w:hAnsi="Palatino Linotype" w:cs="Arial"/>
          <w:b/>
          <w:bCs/>
        </w:rPr>
        <w:t>Que,</w:t>
      </w:r>
      <w:r>
        <w:rPr>
          <w:rFonts w:ascii="Palatino Linotype" w:hAnsi="Palatino Linotype" w:cs="Arial"/>
          <w:b/>
          <w:bCs/>
        </w:rPr>
        <w:tab/>
      </w:r>
      <w:r>
        <w:rPr>
          <w:rFonts w:ascii="Palatino Linotype" w:hAnsi="Palatino Linotype" w:cs="Arial"/>
          <w:bCs/>
        </w:rPr>
        <w:t>la Disposición Transitoria Décima Cuarta del COOTAD, señala: “</w:t>
      </w:r>
      <w:r>
        <w:rPr>
          <w:rFonts w:ascii="Palatino Linotype" w:hAnsi="Palatino Linotype" w:cs="Arial"/>
          <w:bCs/>
          <w:i/>
        </w:rPr>
        <w:t xml:space="preserve">(…) </w:t>
      </w:r>
      <w:r w:rsidRPr="00C15531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643B95">
        <w:rPr>
          <w:rFonts w:ascii="Palatino Linotype" w:hAnsi="Palatino Linotype" w:cs="Arial"/>
        </w:rPr>
        <w:t>.”</w:t>
      </w:r>
      <w:r>
        <w:rPr>
          <w:rFonts w:ascii="Palatino Linotype" w:hAnsi="Palatino Linotype" w:cs="Arial"/>
        </w:rPr>
        <w:t>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Default="003843CA" w:rsidP="009179C7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861A7F" w:rsidRPr="002715F9" w:rsidRDefault="00CA4237" w:rsidP="00861A7F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B072AF">
        <w:rPr>
          <w:rFonts w:ascii="Palatino Linotype" w:hAnsi="Palatino Linotype"/>
          <w:b/>
          <w:bCs/>
        </w:rPr>
        <w:t>Que,</w:t>
      </w:r>
      <w:r w:rsidRPr="00B072AF">
        <w:rPr>
          <w:rFonts w:ascii="Palatino Linotype" w:hAnsi="Palatino Linotype"/>
        </w:rPr>
        <w:tab/>
      </w:r>
      <w:r w:rsidR="00861A7F" w:rsidRPr="00D51DEB">
        <w:rPr>
          <w:rFonts w:ascii="Palatino Linotype" w:hAnsi="Palatino Linotype" w:cs="Arial"/>
        </w:rPr>
        <w:t>la Mesa Instit</w:t>
      </w:r>
      <w:r w:rsidR="00861A7F">
        <w:rPr>
          <w:rFonts w:ascii="Palatino Linotype" w:hAnsi="Palatino Linotype" w:cs="Arial"/>
        </w:rPr>
        <w:t>u</w:t>
      </w:r>
      <w:r w:rsidR="001A07FE">
        <w:rPr>
          <w:rFonts w:ascii="Palatino Linotype" w:hAnsi="Palatino Linotype" w:cs="Arial"/>
        </w:rPr>
        <w:t xml:space="preserve">cional de Trabajo, reunida el </w:t>
      </w:r>
      <w:r w:rsidR="00C26E0B">
        <w:rPr>
          <w:rFonts w:ascii="Palatino Linotype" w:hAnsi="Palatino Linotype" w:cs="Arial"/>
        </w:rPr>
        <w:t>21</w:t>
      </w:r>
      <w:r w:rsidR="00861A7F">
        <w:rPr>
          <w:rFonts w:ascii="Palatino Linotype" w:hAnsi="Palatino Linotype" w:cs="Arial"/>
        </w:rPr>
        <w:t xml:space="preserve"> de </w:t>
      </w:r>
      <w:r w:rsidR="00C26E0B">
        <w:rPr>
          <w:rFonts w:ascii="Palatino Linotype" w:hAnsi="Palatino Linotype" w:cs="Arial"/>
        </w:rPr>
        <w:t xml:space="preserve">noviembre </w:t>
      </w:r>
      <w:r w:rsidR="00861A7F" w:rsidRPr="00D51DEB">
        <w:rPr>
          <w:rFonts w:ascii="Palatino Linotype" w:hAnsi="Palatino Linotype" w:cs="Arial"/>
        </w:rPr>
        <w:t>de 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 en la Administración Zonal </w:t>
      </w:r>
      <w:r w:rsidR="00C26E0B">
        <w:rPr>
          <w:rFonts w:ascii="Palatino Linotype" w:hAnsi="Palatino Linotype" w:cs="Arial"/>
        </w:rPr>
        <w:t>La Delicia</w:t>
      </w:r>
      <w:r w:rsidR="00861A7F" w:rsidRPr="00D51DEB">
        <w:rPr>
          <w:rFonts w:ascii="Palatino Linotype" w:hAnsi="Palatino Linotype" w:cs="Arial"/>
        </w:rPr>
        <w:t>, integrad</w:t>
      </w:r>
      <w:r w:rsidR="00861A7F">
        <w:rPr>
          <w:rFonts w:ascii="Palatino Linotype" w:hAnsi="Palatino Linotype" w:cs="Arial"/>
        </w:rPr>
        <w:t>a por: el Administrador Zonal, e</w:t>
      </w:r>
      <w:r w:rsidR="00861A7F" w:rsidRPr="00D51DEB">
        <w:rPr>
          <w:rFonts w:ascii="Palatino Linotype" w:hAnsi="Palatino Linotype" w:cs="Arial"/>
        </w:rPr>
        <w:t xml:space="preserve">l </w:t>
      </w:r>
      <w:r w:rsidR="00861A7F" w:rsidRPr="00D51DEB">
        <w:rPr>
          <w:rFonts w:ascii="Palatino Linotype" w:hAnsi="Palatino Linotype" w:cs="Arial"/>
        </w:rPr>
        <w:lastRenderedPageBreak/>
        <w:t xml:space="preserve">Subprocurador, </w:t>
      </w:r>
      <w:r w:rsidR="00861A7F">
        <w:rPr>
          <w:rFonts w:ascii="Palatino Linotype" w:hAnsi="Palatino Linotype" w:cs="Arial"/>
        </w:rPr>
        <w:t>e</w:t>
      </w:r>
      <w:r w:rsidR="00861A7F" w:rsidRPr="00D51DEB">
        <w:rPr>
          <w:rFonts w:ascii="Palatino Linotype" w:hAnsi="Palatino Linotype" w:cs="Arial"/>
        </w:rPr>
        <w:t>l Coordinador de Control y Gestión</w:t>
      </w:r>
      <w:r w:rsidR="00861A7F">
        <w:rPr>
          <w:rFonts w:ascii="Palatino Linotype" w:hAnsi="Palatino Linotype" w:cs="Arial"/>
        </w:rPr>
        <w:t>,</w:t>
      </w:r>
      <w:r w:rsidR="00861A7F" w:rsidRPr="00D51DEB">
        <w:rPr>
          <w:rFonts w:ascii="Palatino Linotype" w:hAnsi="Palatino Linotype" w:cs="Arial"/>
        </w:rPr>
        <w:t xml:space="preserve"> Delegado de la Dirección Metropolitana de Catastros, Delegado de la Secretaria de Territorio Hábitat y Vivienda,  El Coordinador de la Unidad Especial Regula Tu Barrio </w:t>
      </w:r>
      <w:r w:rsidR="00C26E0B">
        <w:rPr>
          <w:rFonts w:ascii="Palatino Linotype" w:hAnsi="Palatino Linotype" w:cs="Arial"/>
        </w:rPr>
        <w:t>La Delicia</w:t>
      </w:r>
      <w:r w:rsidR="00861A7F" w:rsidRPr="00D51DEB">
        <w:rPr>
          <w:rFonts w:ascii="Palatino Linotype" w:hAnsi="Palatino Linotype" w:cs="Arial"/>
        </w:rPr>
        <w:t xml:space="preserve">, y los Responsables: Socio Organizativo, Legal y Técnico de la Unidad Especial Regula Tu Barrio </w:t>
      </w:r>
      <w:r w:rsidR="00C26E0B">
        <w:rPr>
          <w:rFonts w:ascii="Palatino Linotype" w:hAnsi="Palatino Linotype" w:cs="Arial"/>
        </w:rPr>
        <w:t>La Delicia</w:t>
      </w:r>
      <w:r w:rsidR="00861A7F" w:rsidRPr="00D51DEB">
        <w:rPr>
          <w:rFonts w:ascii="Palatino Linotype" w:hAnsi="Palatino Linotype" w:cs="Arial"/>
        </w:rPr>
        <w:t>, aprobó  el Informe Socio org</w:t>
      </w:r>
      <w:r w:rsidR="00861A7F">
        <w:rPr>
          <w:rFonts w:ascii="Palatino Linotype" w:hAnsi="Palatino Linotype" w:cs="Arial"/>
        </w:rPr>
        <w:t>anizativo legal y técnico N</w:t>
      </w:r>
      <w:r w:rsidR="001A07FE">
        <w:rPr>
          <w:rFonts w:ascii="Palatino Linotype" w:hAnsi="Palatino Linotype" w:cs="Arial"/>
        </w:rPr>
        <w:t>o.</w:t>
      </w:r>
      <w:r w:rsidR="00861A7F">
        <w:rPr>
          <w:rFonts w:ascii="Palatino Linotype" w:hAnsi="Palatino Linotype" w:cs="Arial"/>
        </w:rPr>
        <w:t xml:space="preserve"> 00</w:t>
      </w:r>
      <w:r w:rsidR="00C26E0B">
        <w:rPr>
          <w:rFonts w:ascii="Palatino Linotype" w:hAnsi="Palatino Linotype" w:cs="Arial"/>
        </w:rPr>
        <w:t>1</w:t>
      </w:r>
      <w:r w:rsidR="00861A7F" w:rsidRPr="00D51DEB">
        <w:rPr>
          <w:rFonts w:ascii="Palatino Linotype" w:hAnsi="Palatino Linotype" w:cs="Arial"/>
        </w:rPr>
        <w:t>-UERB-AZCA-SOLT-201</w:t>
      </w:r>
      <w:r w:rsidR="00861A7F">
        <w:rPr>
          <w:rFonts w:ascii="Palatino Linotype" w:hAnsi="Palatino Linotype" w:cs="Arial"/>
        </w:rPr>
        <w:t>4</w:t>
      </w:r>
      <w:r w:rsidR="00861A7F" w:rsidRPr="00D51DEB">
        <w:rPr>
          <w:rFonts w:ascii="Palatino Linotype" w:hAnsi="Palatino Linotype" w:cs="Arial"/>
        </w:rPr>
        <w:t xml:space="preserve">, </w:t>
      </w:r>
      <w:r w:rsidR="00861A7F">
        <w:rPr>
          <w:rFonts w:ascii="Palatino Linotype" w:hAnsi="Palatino Linotype" w:cs="Arial"/>
        </w:rPr>
        <w:t xml:space="preserve">para el </w:t>
      </w:r>
      <w:r w:rsidR="00861A7F" w:rsidRPr="00D51DEB">
        <w:rPr>
          <w:rFonts w:ascii="Palatino Linotype" w:hAnsi="Palatino Linotype" w:cs="Arial"/>
        </w:rPr>
        <w:t>reconocimiento del</w:t>
      </w:r>
      <w:r w:rsidR="00861A7F" w:rsidRPr="00D51DEB">
        <w:rPr>
          <w:rFonts w:ascii="Palatino Linotype" w:hAnsi="Palatino Linotype" w:cs="Arial"/>
          <w:bCs/>
        </w:rPr>
        <w:t xml:space="preserve"> Asentamiento Humano de Hecho y Consolidado, denominado </w:t>
      </w:r>
      <w:r w:rsidR="00C26E0B" w:rsidRPr="00C26E0B">
        <w:rPr>
          <w:rFonts w:ascii="Palatino Linotype" w:hAnsi="Palatino Linotype" w:cs="Arial"/>
        </w:rPr>
        <w:t xml:space="preserve">Comité Pro-Mejoras del Barrio “San José de </w:t>
      </w:r>
      <w:proofErr w:type="spellStart"/>
      <w:r w:rsidR="00C26E0B" w:rsidRPr="00C26E0B">
        <w:rPr>
          <w:rFonts w:ascii="Palatino Linotype" w:hAnsi="Palatino Linotype" w:cs="Arial"/>
        </w:rPr>
        <w:t>Cangahua</w:t>
      </w:r>
      <w:proofErr w:type="spellEnd"/>
      <w:r w:rsidR="00C26E0B" w:rsidRPr="00C26E0B">
        <w:rPr>
          <w:rFonts w:ascii="Palatino Linotype" w:hAnsi="Palatino Linotype" w:cs="Arial"/>
        </w:rPr>
        <w:t xml:space="preserve"> Bajo” (Etapa I)</w:t>
      </w:r>
      <w:r w:rsidR="00861A7F">
        <w:rPr>
          <w:rFonts w:ascii="Palatino Linotype" w:hAnsi="Palatino Linotype" w:cs="Arial"/>
          <w:bCs/>
        </w:rPr>
        <w:t>,</w:t>
      </w:r>
      <w:r w:rsidR="00861A7F" w:rsidRPr="00D51DEB">
        <w:rPr>
          <w:rFonts w:ascii="Palatino Linotype" w:hAnsi="Palatino Linotype" w:cs="Arial"/>
          <w:bCs/>
        </w:rPr>
        <w:t xml:space="preserve"> a favor de sus</w:t>
      </w:r>
      <w:r w:rsidR="00861A7F">
        <w:rPr>
          <w:rFonts w:ascii="Palatino Linotype" w:hAnsi="Palatino Linotype" w:cs="Arial"/>
          <w:bCs/>
        </w:rPr>
        <w:t xml:space="preserve"> </w:t>
      </w:r>
      <w:r w:rsidR="00861A7F" w:rsidRPr="00D51DEB">
        <w:rPr>
          <w:rFonts w:ascii="Palatino Linotype" w:hAnsi="Palatino Linotype" w:cs="Arial"/>
          <w:bCs/>
        </w:rPr>
        <w:t>copropietarios</w:t>
      </w:r>
      <w:r w:rsidR="00861A7F" w:rsidRPr="00D51DEB">
        <w:rPr>
          <w:rFonts w:ascii="Palatino Linotype" w:hAnsi="Palatino Linotype"/>
          <w:bCs/>
        </w:rPr>
        <w:t>.</w:t>
      </w:r>
    </w:p>
    <w:p w:rsidR="008079C6" w:rsidRPr="00A837DE" w:rsidRDefault="008079C6" w:rsidP="008079C6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3A4569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74F7F" w:rsidRDefault="001C370A" w:rsidP="00B74F7F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13584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13584F">
        <w:rPr>
          <w:rFonts w:ascii="Palatino Linotype" w:hAnsi="Palatino Linotype"/>
        </w:rPr>
        <w:t xml:space="preserve"> </w:t>
      </w:r>
      <w:r w:rsidR="004E291C" w:rsidRPr="0013584F">
        <w:rPr>
          <w:rFonts w:ascii="Palatino Linotype" w:hAnsi="Palatino Linotype"/>
          <w:b/>
        </w:rPr>
        <w:t>COMITÉ PRO</w:t>
      </w:r>
      <w:r w:rsidR="00C26E0B">
        <w:rPr>
          <w:rFonts w:ascii="Palatino Linotype" w:hAnsi="Palatino Linotype"/>
          <w:b/>
        </w:rPr>
        <w:t>-</w:t>
      </w:r>
      <w:r w:rsidR="004E291C" w:rsidRPr="0013584F">
        <w:rPr>
          <w:rFonts w:ascii="Palatino Linotype" w:hAnsi="Palatino Linotype"/>
          <w:b/>
        </w:rPr>
        <w:t xml:space="preserve">MEJORAS </w:t>
      </w:r>
      <w:r w:rsidR="001C37DA" w:rsidRPr="0013584F">
        <w:rPr>
          <w:rFonts w:ascii="Palatino Linotype" w:hAnsi="Palatino Linotype"/>
          <w:b/>
        </w:rPr>
        <w:t xml:space="preserve">DEL BARRIO </w:t>
      </w:r>
      <w:r w:rsidR="00C26E0B" w:rsidRPr="00B74F7F">
        <w:rPr>
          <w:rFonts w:ascii="Palatino Linotype" w:hAnsi="Palatino Linotype"/>
          <w:b/>
        </w:rPr>
        <w:t>“SAN JOSÉ DE CANGAHUA BAJO</w:t>
      </w:r>
      <w:r w:rsidR="001A07FE" w:rsidRPr="00B74F7F">
        <w:rPr>
          <w:rFonts w:ascii="Palatino Linotype" w:hAnsi="Palatino Linotype"/>
          <w:b/>
        </w:rPr>
        <w:t>”</w:t>
      </w:r>
      <w:r w:rsidR="00C26E0B" w:rsidRPr="00B74F7F">
        <w:rPr>
          <w:rFonts w:ascii="Palatino Linotype" w:hAnsi="Palatino Linotype"/>
          <w:b/>
        </w:rPr>
        <w:t xml:space="preserve"> (ETAPA I)</w:t>
      </w:r>
      <w:r w:rsidR="004E291C" w:rsidRPr="00B74F7F">
        <w:rPr>
          <w:rFonts w:ascii="Palatino Linotype" w:hAnsi="Palatino Linotype"/>
          <w:b/>
        </w:rPr>
        <w:t>, A FAVOR DE SUS COPROPIETARIOS</w:t>
      </w:r>
    </w:p>
    <w:p w:rsidR="00B74F7F" w:rsidRPr="00B74F7F" w:rsidRDefault="00B74F7F" w:rsidP="00B74F7F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B74F7F">
        <w:rPr>
          <w:rFonts w:ascii="Palatino Linotype" w:hAnsi="Palatino Linotype" w:cs="Arial"/>
          <w:b/>
          <w:sz w:val="22"/>
          <w:szCs w:val="22"/>
        </w:rPr>
        <w:t xml:space="preserve"> 1.- </w:t>
      </w:r>
      <w:r>
        <w:rPr>
          <w:rFonts w:ascii="Palatino Linotype" w:hAnsi="Palatino Linotype" w:cs="Arial"/>
          <w:b/>
          <w:sz w:val="22"/>
          <w:szCs w:val="22"/>
        </w:rPr>
        <w:t>D</w:t>
      </w:r>
      <w:r w:rsidRPr="00B74F7F">
        <w:rPr>
          <w:rFonts w:ascii="Palatino Linotype" w:hAnsi="Palatino Linotype" w:cs="Arial"/>
          <w:b/>
          <w:sz w:val="22"/>
          <w:szCs w:val="22"/>
        </w:rPr>
        <w:t xml:space="preserve">e los planos y documentos presentados.- </w:t>
      </w:r>
      <w:r w:rsidRPr="00B74F7F">
        <w:rPr>
          <w:rFonts w:ascii="Palatino Linotype" w:hAnsi="Palatino Linotype" w:cs="Arial"/>
          <w:sz w:val="22"/>
          <w:szCs w:val="22"/>
        </w:rPr>
        <w:t xml:space="preserve">Los planos y documentos presentados son de exclusiva responsabilidad del proyectista, dirigentes y de los copropietarios de los predios donde se asienta el Comité Pro-Mejoras del Barrio “San José de </w:t>
      </w:r>
      <w:proofErr w:type="spellStart"/>
      <w:r w:rsidRPr="00B74F7F">
        <w:rPr>
          <w:rFonts w:ascii="Palatino Linotype" w:hAnsi="Palatino Linotype" w:cs="Arial"/>
          <w:sz w:val="22"/>
          <w:szCs w:val="22"/>
        </w:rPr>
        <w:t>Cangahua</w:t>
      </w:r>
      <w:proofErr w:type="spellEnd"/>
      <w:r w:rsidRPr="00B74F7F">
        <w:rPr>
          <w:rFonts w:ascii="Palatino Linotype" w:hAnsi="Palatino Linotype" w:cs="Arial"/>
          <w:sz w:val="22"/>
          <w:szCs w:val="22"/>
        </w:rPr>
        <w:t xml:space="preserve"> Bajo” (Etapa I)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>,</w:t>
      </w:r>
      <w:r w:rsidRPr="00B74F7F">
        <w:rPr>
          <w:rFonts w:ascii="Palatino Linotype" w:hAnsi="Palatino Linotype" w:cs="Arial"/>
          <w:sz w:val="22"/>
          <w:szCs w:val="22"/>
        </w:rPr>
        <w:t xml:space="preserve"> ubicado en la parroquia </w:t>
      </w:r>
      <w:r>
        <w:rPr>
          <w:rFonts w:ascii="Palatino Linotype" w:hAnsi="Palatino Linotype" w:cs="Arial"/>
          <w:sz w:val="22"/>
          <w:szCs w:val="22"/>
        </w:rPr>
        <w:t xml:space="preserve">El </w:t>
      </w:r>
      <w:r w:rsidRPr="00B74F7F">
        <w:rPr>
          <w:rFonts w:ascii="Palatino Linotype" w:hAnsi="Palatino Linotype" w:cs="Arial"/>
          <w:sz w:val="22"/>
          <w:szCs w:val="22"/>
        </w:rPr>
        <w:t>Condado, sin perjuicio de la responsabilidad de quienes revisaron los planos y los documentos legales, excepto en caso de que hayan sido inducidos a engaño.</w:t>
      </w:r>
    </w:p>
    <w:p w:rsidR="00B74F7F" w:rsidRPr="00B74F7F" w:rsidRDefault="00B74F7F" w:rsidP="00B74F7F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sz w:val="22"/>
          <w:szCs w:val="22"/>
        </w:rPr>
        <w:t xml:space="preserve">En caso de comprobarse ocultación o falsedad en planos, datos, documentos; o de existir reclamos de terceros afectados, será de exclusiva responsabilidad de los dirigentes y copropietarios del predio. </w:t>
      </w:r>
    </w:p>
    <w:p w:rsidR="00B74F7F" w:rsidRPr="00B74F7F" w:rsidRDefault="00B74F7F" w:rsidP="00B74F7F">
      <w:pPr>
        <w:pStyle w:val="Ttulo7"/>
        <w:spacing w:after="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sz w:val="22"/>
          <w:szCs w:val="22"/>
        </w:rPr>
        <w:t>Las dimensiones y superficies de los lotes son las determinadas en el plano aprobatorio siendo en el futuro indivisibles.</w:t>
      </w:r>
    </w:p>
    <w:p w:rsidR="00B74F7F" w:rsidRPr="00B74F7F" w:rsidRDefault="00B74F7F" w:rsidP="00B74F7F">
      <w:pPr>
        <w:pStyle w:val="Ttulo7"/>
        <w:spacing w:after="0" w:line="276" w:lineRule="auto"/>
        <w:jc w:val="both"/>
        <w:rPr>
          <w:rFonts w:ascii="Palatino Linotype" w:hAnsi="Palatino Linotype"/>
          <w:sz w:val="22"/>
          <w:szCs w:val="22"/>
        </w:rPr>
      </w:pPr>
      <w:r w:rsidRPr="00B74F7F">
        <w:rPr>
          <w:rFonts w:ascii="Palatino Linotype" w:hAnsi="Palatino Linotype" w:cs="Arial"/>
          <w:sz w:val="22"/>
          <w:szCs w:val="22"/>
        </w:rPr>
        <w:t xml:space="preserve">Por las condiciones de asentamiento humano de hecho y consolidado, se lo aprueba considerándolo de interés social. </w:t>
      </w:r>
      <w:r w:rsidRPr="00B74F7F">
        <w:rPr>
          <w:rFonts w:ascii="Palatino Linotype" w:hAnsi="Palatino Linotype"/>
          <w:sz w:val="22"/>
          <w:szCs w:val="22"/>
        </w:rPr>
        <w:t xml:space="preserve">El Asentamiento Humano de Hecho y Consolidado </w:t>
      </w:r>
      <w:r w:rsidRPr="00B74F7F">
        <w:rPr>
          <w:rFonts w:ascii="Palatino Linotype" w:hAnsi="Palatino Linotype" w:cs="Arial"/>
          <w:sz w:val="22"/>
          <w:szCs w:val="22"/>
        </w:rPr>
        <w:t xml:space="preserve">Comité Pro-Mejoras del Barrio “San José de </w:t>
      </w:r>
      <w:proofErr w:type="spellStart"/>
      <w:r w:rsidRPr="00B74F7F">
        <w:rPr>
          <w:rFonts w:ascii="Palatino Linotype" w:hAnsi="Palatino Linotype" w:cs="Arial"/>
          <w:sz w:val="22"/>
          <w:szCs w:val="22"/>
        </w:rPr>
        <w:t>Cangahua</w:t>
      </w:r>
      <w:proofErr w:type="spellEnd"/>
      <w:r w:rsidRPr="00B74F7F">
        <w:rPr>
          <w:rFonts w:ascii="Palatino Linotype" w:hAnsi="Palatino Linotype" w:cs="Arial"/>
          <w:sz w:val="22"/>
          <w:szCs w:val="22"/>
        </w:rPr>
        <w:t xml:space="preserve"> Bajo” (Etapa I)</w:t>
      </w:r>
      <w:r w:rsidRPr="00B74F7F">
        <w:rPr>
          <w:rFonts w:ascii="Palatino Linotype" w:hAnsi="Palatino Linotype"/>
          <w:sz w:val="22"/>
          <w:szCs w:val="22"/>
        </w:rPr>
        <w:t xml:space="preserve"> tiene una consolidación del 75% y 40 años de asentamiento.</w:t>
      </w:r>
    </w:p>
    <w:p w:rsidR="00B74F7F" w:rsidRDefault="00B74F7F" w:rsidP="00B74F7F">
      <w:pPr>
        <w:pStyle w:val="Ttulo7"/>
        <w:spacing w:after="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B74F7F">
        <w:rPr>
          <w:rFonts w:ascii="Palatino Linotype" w:hAnsi="Palatino Linotype" w:cs="Arial"/>
          <w:b/>
          <w:bCs/>
          <w:sz w:val="22"/>
          <w:szCs w:val="22"/>
        </w:rPr>
        <w:lastRenderedPageBreak/>
        <w:t>Artículo 2.</w:t>
      </w:r>
      <w:r>
        <w:rPr>
          <w:rFonts w:ascii="Palatino Linotype" w:hAnsi="Palatino Linotype" w:cs="Arial"/>
          <w:b/>
          <w:bCs/>
          <w:sz w:val="22"/>
          <w:szCs w:val="22"/>
        </w:rPr>
        <w:t>-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>specificaciones técnicas.</w:t>
      </w:r>
      <w:r>
        <w:rPr>
          <w:rFonts w:ascii="Palatino Linotype" w:hAnsi="Palatino Linotype" w:cs="Arial"/>
          <w:b/>
          <w:bCs/>
          <w:sz w:val="22"/>
          <w:szCs w:val="22"/>
        </w:rPr>
        <w:t>-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:rsidR="00B74F7F" w:rsidRDefault="00B74F7F" w:rsidP="00B74F7F">
      <w:pPr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 xml:space="preserve">Zonificación </w:t>
      </w:r>
      <w:r>
        <w:rPr>
          <w:rFonts w:ascii="Palatino Linotype" w:hAnsi="Palatino Linotype" w:cs="Arial"/>
          <w:b/>
          <w:sz w:val="22"/>
          <w:szCs w:val="22"/>
        </w:rPr>
        <w:t>a</w:t>
      </w:r>
      <w:r w:rsidRPr="00B74F7F">
        <w:rPr>
          <w:rFonts w:ascii="Palatino Linotype" w:hAnsi="Palatino Linotype" w:cs="Arial"/>
          <w:b/>
          <w:sz w:val="22"/>
          <w:szCs w:val="22"/>
        </w:rPr>
        <w:t>ctual:</w:t>
      </w:r>
      <w:r w:rsidRPr="00B74F7F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="00CE751E">
        <w:rPr>
          <w:rFonts w:ascii="Palatino Linotype" w:hAnsi="Palatino Linotype" w:cs="Arial"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>D3 (D203-80)</w:t>
      </w:r>
      <w:r>
        <w:rPr>
          <w:rFonts w:ascii="Palatino Linotype" w:hAnsi="Palatino Linotype" w:cs="Arial"/>
          <w:sz w:val="22"/>
          <w:szCs w:val="22"/>
        </w:rPr>
        <w:tab/>
        <w:t xml:space="preserve">/   </w:t>
      </w:r>
      <w:r w:rsidRPr="00B74F7F">
        <w:rPr>
          <w:rFonts w:ascii="Palatino Linotype" w:hAnsi="Palatino Linotype" w:cs="Arial"/>
          <w:sz w:val="22"/>
          <w:szCs w:val="22"/>
          <w:lang w:val="es-EC"/>
        </w:rPr>
        <w:t>A31PQ</w:t>
      </w:r>
      <w:r>
        <w:rPr>
          <w:rFonts w:ascii="Palatino Linotype" w:hAnsi="Palatino Linotype" w:cs="Arial"/>
          <w:sz w:val="22"/>
          <w:szCs w:val="22"/>
        </w:rPr>
        <w:tab/>
      </w:r>
    </w:p>
    <w:p w:rsidR="00B74F7F" w:rsidRDefault="00B74F7F" w:rsidP="00B74F7F">
      <w:pPr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>Lote mínimo: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CE751E">
        <w:rPr>
          <w:rFonts w:ascii="Palatino Linotype" w:hAnsi="Palatino Linotype" w:cs="Arial"/>
          <w:b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>200 m²</w:t>
      </w:r>
    </w:p>
    <w:p w:rsidR="00B74F7F" w:rsidRDefault="00B74F7F" w:rsidP="00B74F7F">
      <w:pPr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>Forma ocupación del suelo:</w:t>
      </w:r>
      <w:r w:rsidRPr="00B74F7F"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CE751E">
        <w:rPr>
          <w:rFonts w:ascii="Palatino Linotype" w:hAnsi="Palatino Linotype" w:cs="Arial"/>
          <w:b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>(D) Sobre línea de fábrica</w:t>
      </w:r>
    </w:p>
    <w:p w:rsidR="00B74F7F" w:rsidRDefault="00B74F7F" w:rsidP="00B74F7F">
      <w:pPr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>Clasificación del suelo: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="00CE751E">
        <w:rPr>
          <w:rFonts w:ascii="Palatino Linotype" w:hAnsi="Palatino Linotype" w:cs="Arial"/>
          <w:b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>(SU) Suelo Urbano</w:t>
      </w:r>
    </w:p>
    <w:p w:rsidR="00B74F7F" w:rsidRDefault="00B74F7F" w:rsidP="00CE751E">
      <w:pPr>
        <w:spacing w:before="240" w:line="276" w:lineRule="auto"/>
        <w:ind w:left="4950" w:hanging="4950"/>
        <w:rPr>
          <w:rFonts w:ascii="Palatino Linotype" w:hAnsi="Palatino Linotype" w:cstheme="minorHAnsi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>Uso principal:</w:t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 xml:space="preserve">(R3) Residencial alta densidad  </w:t>
      </w:r>
      <w:r>
        <w:rPr>
          <w:rFonts w:ascii="Palatino Linotype" w:hAnsi="Palatino Linotype" w:cs="Arial"/>
          <w:sz w:val="22"/>
          <w:szCs w:val="22"/>
        </w:rPr>
        <w:t xml:space="preserve">/ </w:t>
      </w:r>
      <w:r w:rsidR="00CE751E" w:rsidRPr="00B74F7F">
        <w:rPr>
          <w:rFonts w:ascii="Palatino Linotype" w:hAnsi="Palatino Linotype" w:cstheme="minorHAnsi"/>
          <w:sz w:val="22"/>
          <w:szCs w:val="22"/>
        </w:rPr>
        <w:t>Protección Ecológica</w:t>
      </w:r>
      <w:r w:rsidR="00CE751E">
        <w:rPr>
          <w:rFonts w:ascii="Palatino Linotype" w:hAnsi="Palatino Linotype" w:cstheme="minorHAnsi"/>
          <w:sz w:val="22"/>
          <w:szCs w:val="22"/>
        </w:rPr>
        <w:t xml:space="preserve"> </w:t>
      </w:r>
      <w:r w:rsidR="00CE751E" w:rsidRPr="00B74F7F">
        <w:rPr>
          <w:rFonts w:ascii="Palatino Linotype" w:hAnsi="Palatino Linotype" w:cstheme="minorHAnsi"/>
          <w:sz w:val="22"/>
          <w:szCs w:val="22"/>
        </w:rPr>
        <w:t>/</w:t>
      </w:r>
      <w:r w:rsidR="00CE751E">
        <w:rPr>
          <w:rFonts w:ascii="Palatino Linotype" w:hAnsi="Palatino Linotype" w:cstheme="minorHAnsi"/>
          <w:sz w:val="22"/>
          <w:szCs w:val="22"/>
        </w:rPr>
        <w:t xml:space="preserve"> </w:t>
      </w:r>
      <w:r w:rsidR="00CE751E" w:rsidRPr="00B74F7F">
        <w:rPr>
          <w:rFonts w:ascii="Palatino Linotype" w:hAnsi="Palatino Linotype" w:cstheme="minorHAnsi"/>
          <w:sz w:val="22"/>
          <w:szCs w:val="22"/>
        </w:rPr>
        <w:t>Áreas Naturales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="Arial"/>
          <w:sz w:val="22"/>
          <w:szCs w:val="22"/>
        </w:rPr>
      </w:pPr>
      <w:r w:rsidRPr="00CE751E">
        <w:rPr>
          <w:rFonts w:ascii="Palatino Linotype" w:hAnsi="Palatino Linotype" w:cs="Arial"/>
          <w:b/>
          <w:sz w:val="22"/>
          <w:szCs w:val="22"/>
        </w:rPr>
        <w:t xml:space="preserve">Número de </w:t>
      </w:r>
      <w:r>
        <w:rPr>
          <w:rFonts w:ascii="Palatino Linotype" w:hAnsi="Palatino Linotype" w:cs="Arial"/>
          <w:b/>
          <w:sz w:val="22"/>
          <w:szCs w:val="22"/>
        </w:rPr>
        <w:t>l</w:t>
      </w:r>
      <w:r w:rsidRPr="00CE751E">
        <w:rPr>
          <w:rFonts w:ascii="Palatino Linotype" w:hAnsi="Palatino Linotype" w:cs="Arial"/>
          <w:b/>
          <w:sz w:val="22"/>
          <w:szCs w:val="22"/>
        </w:rPr>
        <w:t>otes: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B74F7F">
        <w:rPr>
          <w:rFonts w:ascii="Palatino Linotype" w:hAnsi="Palatino Linotype" w:cs="Arial"/>
          <w:sz w:val="22"/>
          <w:szCs w:val="22"/>
        </w:rPr>
        <w:t>16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ú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til de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3.651,63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de </w:t>
      </w:r>
      <w:r>
        <w:rPr>
          <w:rFonts w:ascii="Palatino Linotype" w:hAnsi="Palatino Linotype" w:cstheme="minorHAnsi"/>
          <w:b/>
          <w:sz w:val="22"/>
          <w:szCs w:val="22"/>
        </w:rPr>
        <w:t>a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fectación </w:t>
      </w:r>
      <w:r>
        <w:rPr>
          <w:rFonts w:ascii="Palatino Linotype" w:hAnsi="Palatino Linotype" w:cstheme="minorHAnsi"/>
          <w:b/>
          <w:sz w:val="22"/>
          <w:szCs w:val="22"/>
        </w:rPr>
        <w:t>v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ial en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483,89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/>
          <w:sz w:val="22"/>
          <w:szCs w:val="22"/>
        </w:rPr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f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aja de </w:t>
      </w:r>
      <w:r>
        <w:rPr>
          <w:rFonts w:ascii="Palatino Linotype" w:hAnsi="Palatino Linotype" w:cstheme="minorHAnsi"/>
          <w:b/>
          <w:sz w:val="22"/>
          <w:szCs w:val="22"/>
        </w:rPr>
        <w:t>p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rotección por BSQ de 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proofErr w:type="gramStart"/>
      <w:r>
        <w:rPr>
          <w:rFonts w:ascii="Palatino Linotype" w:hAnsi="Palatino Linotype" w:cstheme="minorHAnsi"/>
          <w:b/>
          <w:sz w:val="22"/>
          <w:szCs w:val="22"/>
        </w:rPr>
        <w:t>q</w:t>
      </w:r>
      <w:r w:rsidRPr="00B74F7F">
        <w:rPr>
          <w:rFonts w:ascii="Palatino Linotype" w:hAnsi="Palatino Linotype" w:cstheme="minorHAnsi"/>
          <w:b/>
          <w:sz w:val="22"/>
          <w:szCs w:val="22"/>
        </w:rPr>
        <w:t>uebrada</w:t>
      </w:r>
      <w:proofErr w:type="gramEnd"/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ascii="Palatino Linotype" w:hAnsi="Palatino Linotype" w:cstheme="minorHAnsi"/>
          <w:b/>
          <w:sz w:val="22"/>
          <w:szCs w:val="22"/>
        </w:rPr>
        <w:t>r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ellena con </w:t>
      </w:r>
      <w:r>
        <w:rPr>
          <w:rFonts w:ascii="Palatino Linotype" w:hAnsi="Palatino Linotype" w:cstheme="minorHAnsi"/>
          <w:b/>
          <w:sz w:val="22"/>
          <w:szCs w:val="22"/>
        </w:rPr>
        <w:t>a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fectación </w:t>
      </w:r>
      <w:r>
        <w:rPr>
          <w:rFonts w:ascii="Palatino Linotype" w:hAnsi="Palatino Linotype" w:cstheme="minorHAnsi"/>
          <w:b/>
          <w:sz w:val="22"/>
          <w:szCs w:val="22"/>
        </w:rPr>
        <w:t>v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ial en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202,28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/>
          <w:sz w:val="22"/>
          <w:szCs w:val="22"/>
        </w:rPr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de </w:t>
      </w:r>
      <w:r>
        <w:rPr>
          <w:rFonts w:ascii="Palatino Linotype" w:hAnsi="Palatino Linotype" w:cstheme="minorHAnsi"/>
          <w:b/>
          <w:sz w:val="22"/>
          <w:szCs w:val="22"/>
        </w:rPr>
        <w:t>q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uebrada </w:t>
      </w:r>
      <w:r>
        <w:rPr>
          <w:rFonts w:ascii="Palatino Linotype" w:hAnsi="Palatino Linotype" w:cstheme="minorHAnsi"/>
          <w:b/>
          <w:sz w:val="22"/>
          <w:szCs w:val="22"/>
        </w:rPr>
        <w:t>r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ellena con </w:t>
      </w:r>
      <w:r>
        <w:rPr>
          <w:rFonts w:ascii="Palatino Linotype" w:hAnsi="Palatino Linotype" w:cstheme="minorHAnsi"/>
          <w:b/>
          <w:sz w:val="22"/>
          <w:szCs w:val="22"/>
        </w:rPr>
        <w:t>a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fectación </w:t>
      </w:r>
      <w:r>
        <w:rPr>
          <w:rFonts w:ascii="Palatino Linotype" w:hAnsi="Palatino Linotype" w:cstheme="minorHAnsi"/>
          <w:b/>
          <w:sz w:val="22"/>
          <w:szCs w:val="22"/>
        </w:rPr>
        <w:t>v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ial 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proofErr w:type="gramStart"/>
      <w:r w:rsidRPr="00B74F7F">
        <w:rPr>
          <w:rFonts w:ascii="Palatino Linotype" w:hAnsi="Palatino Linotype" w:cstheme="minorHAnsi"/>
          <w:b/>
          <w:sz w:val="22"/>
          <w:szCs w:val="22"/>
        </w:rPr>
        <w:t>en</w:t>
      </w:r>
      <w:proofErr w:type="gramEnd"/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163,24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</w:pPr>
      <w:r>
        <w:rPr>
          <w:rFonts w:ascii="Palatino Linotype" w:hAnsi="Palatino Linotype" w:cstheme="minorHAnsi"/>
          <w:b/>
          <w:sz w:val="22"/>
          <w:szCs w:val="22"/>
        </w:rPr>
        <w:t>Área b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ajo </w:t>
      </w:r>
      <w:r>
        <w:rPr>
          <w:rFonts w:ascii="Palatino Linotype" w:hAnsi="Palatino Linotype" w:cstheme="minorHAnsi"/>
          <w:b/>
          <w:sz w:val="22"/>
          <w:szCs w:val="22"/>
        </w:rPr>
        <w:t>b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orde de </w:t>
      </w:r>
      <w:r>
        <w:rPr>
          <w:rFonts w:ascii="Palatino Linotype" w:hAnsi="Palatino Linotype" w:cstheme="minorHAnsi"/>
          <w:b/>
          <w:sz w:val="22"/>
          <w:szCs w:val="22"/>
        </w:rPr>
        <w:t>t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alud en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51,51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f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aja de </w:t>
      </w:r>
      <w:r>
        <w:rPr>
          <w:rFonts w:ascii="Palatino Linotype" w:hAnsi="Palatino Linotype" w:cstheme="minorHAnsi"/>
          <w:b/>
          <w:sz w:val="22"/>
          <w:szCs w:val="22"/>
        </w:rPr>
        <w:t>p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rotección por </w:t>
      </w:r>
      <w:r>
        <w:rPr>
          <w:rFonts w:ascii="Palatino Linotype" w:hAnsi="Palatino Linotype" w:cstheme="minorHAnsi"/>
          <w:b/>
          <w:sz w:val="22"/>
          <w:szCs w:val="22"/>
        </w:rPr>
        <w:t>t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alud en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389,03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Área </w:t>
      </w:r>
      <w:r>
        <w:rPr>
          <w:rFonts w:ascii="Palatino Linotype" w:hAnsi="Palatino Linotype" w:cstheme="minorHAnsi"/>
          <w:b/>
          <w:sz w:val="22"/>
          <w:szCs w:val="22"/>
        </w:rPr>
        <w:t>f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aja de </w:t>
      </w:r>
      <w:r>
        <w:rPr>
          <w:rFonts w:ascii="Palatino Linotype" w:hAnsi="Palatino Linotype" w:cstheme="minorHAnsi"/>
          <w:b/>
          <w:sz w:val="22"/>
          <w:szCs w:val="22"/>
        </w:rPr>
        <w:t>p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rotección de </w:t>
      </w:r>
      <w:r>
        <w:rPr>
          <w:rFonts w:ascii="Palatino Linotype" w:hAnsi="Palatino Linotype" w:cstheme="minorHAnsi"/>
          <w:b/>
          <w:sz w:val="22"/>
          <w:szCs w:val="22"/>
        </w:rPr>
        <w:t>q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uebrada en </w:t>
      </w:r>
      <w:r>
        <w:rPr>
          <w:rFonts w:ascii="Palatino Linotype" w:hAnsi="Palatino Linotype" w:cstheme="minorHAnsi"/>
          <w:b/>
          <w:sz w:val="22"/>
          <w:szCs w:val="22"/>
        </w:rPr>
        <w:t>l</w:t>
      </w:r>
      <w:r w:rsidRPr="00B74F7F">
        <w:rPr>
          <w:rFonts w:ascii="Palatino Linotype" w:hAnsi="Palatino Linotype" w:cstheme="minorHAnsi"/>
          <w:b/>
          <w:sz w:val="22"/>
          <w:szCs w:val="22"/>
        </w:rPr>
        <w:t>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85,83</w:t>
      </w:r>
      <w:r w:rsidRPr="00CE751E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  <w:rPr>
          <w:rFonts w:ascii="Palatino Linotype" w:hAnsi="Palatino Linotype" w:cstheme="minorHAnsi"/>
          <w:bCs/>
          <w:sz w:val="22"/>
          <w:szCs w:val="22"/>
          <w:vertAlign w:val="superscript"/>
        </w:rPr>
      </w:pPr>
      <w:r>
        <w:rPr>
          <w:rFonts w:ascii="Palatino Linotype" w:hAnsi="Palatino Linotype" w:cstheme="minorHAnsi"/>
          <w:b/>
          <w:sz w:val="22"/>
          <w:szCs w:val="22"/>
        </w:rPr>
        <w:t>Área de q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uebrada </w:t>
      </w:r>
      <w:r>
        <w:rPr>
          <w:rFonts w:ascii="Palatino Linotype" w:hAnsi="Palatino Linotype" w:cstheme="minorHAnsi"/>
          <w:b/>
          <w:sz w:val="22"/>
          <w:szCs w:val="22"/>
        </w:rPr>
        <w:t>r</w:t>
      </w:r>
      <w:r w:rsidRPr="00B74F7F">
        <w:rPr>
          <w:rFonts w:ascii="Palatino Linotype" w:hAnsi="Palatino Linotype" w:cstheme="minorHAnsi"/>
          <w:b/>
          <w:sz w:val="22"/>
          <w:szCs w:val="22"/>
        </w:rPr>
        <w:t>ellena en lotes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B74F7F">
        <w:rPr>
          <w:rFonts w:ascii="Palatino Linotype" w:hAnsi="Palatino Linotype"/>
          <w:color w:val="000000"/>
          <w:sz w:val="22"/>
          <w:szCs w:val="22"/>
        </w:rPr>
        <w:t>26,28</w:t>
      </w:r>
      <w:r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left="4245" w:hanging="4245"/>
      </w:pPr>
      <w:r w:rsidRPr="00B74F7F">
        <w:rPr>
          <w:rFonts w:ascii="Palatino Linotype" w:hAnsi="Palatino Linotype" w:cstheme="minorHAnsi"/>
          <w:b/>
          <w:sz w:val="22"/>
          <w:szCs w:val="22"/>
        </w:rPr>
        <w:t>Área bruta del terreno</w:t>
      </w:r>
      <w:r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/>
          <w:sz w:val="22"/>
          <w:szCs w:val="22"/>
        </w:rPr>
        <w:t>(</w:t>
      </w:r>
      <w:r>
        <w:rPr>
          <w:rFonts w:ascii="Palatino Linotype" w:hAnsi="Palatino Linotype" w:cstheme="minorHAnsi"/>
          <w:b/>
          <w:sz w:val="22"/>
          <w:szCs w:val="22"/>
        </w:rPr>
        <w:t>á</w:t>
      </w:r>
      <w:r w:rsidRPr="00B74F7F">
        <w:rPr>
          <w:rFonts w:ascii="Palatino Linotype" w:hAnsi="Palatino Linotype" w:cstheme="minorHAnsi"/>
          <w:b/>
          <w:sz w:val="22"/>
          <w:szCs w:val="22"/>
        </w:rPr>
        <w:t xml:space="preserve">rea </w:t>
      </w:r>
      <w:r>
        <w:rPr>
          <w:rFonts w:ascii="Palatino Linotype" w:hAnsi="Palatino Linotype" w:cstheme="minorHAnsi"/>
          <w:b/>
          <w:sz w:val="22"/>
          <w:szCs w:val="22"/>
        </w:rPr>
        <w:t>t</w:t>
      </w:r>
      <w:r w:rsidRPr="00B74F7F">
        <w:rPr>
          <w:rFonts w:ascii="Palatino Linotype" w:hAnsi="Palatino Linotype" w:cstheme="minorHAnsi"/>
          <w:b/>
          <w:sz w:val="22"/>
          <w:szCs w:val="22"/>
        </w:rPr>
        <w:t>otal)</w:t>
      </w:r>
      <w:r>
        <w:rPr>
          <w:rFonts w:ascii="Palatino Linotype" w:hAnsi="Palatino Linotype" w:cstheme="minorHAnsi"/>
          <w:b/>
          <w:sz w:val="22"/>
          <w:szCs w:val="22"/>
        </w:rPr>
        <w:t>:</w:t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>
        <w:rPr>
          <w:rFonts w:ascii="Palatino Linotype" w:hAnsi="Palatino Linotype" w:cstheme="minorHAnsi"/>
          <w:b/>
          <w:sz w:val="22"/>
          <w:szCs w:val="22"/>
        </w:rPr>
        <w:tab/>
      </w:r>
      <w:r w:rsidRPr="00CE751E">
        <w:rPr>
          <w:rFonts w:ascii="Palatino Linotype" w:hAnsi="Palatino Linotype"/>
          <w:bCs/>
          <w:color w:val="000000"/>
          <w:sz w:val="22"/>
          <w:szCs w:val="22"/>
        </w:rPr>
        <w:t>5.053,69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Pr="00B74F7F">
        <w:rPr>
          <w:rFonts w:ascii="Palatino Linotype" w:hAnsi="Palatino Linotype" w:cstheme="minorHAnsi"/>
          <w:bCs/>
          <w:sz w:val="22"/>
          <w:szCs w:val="22"/>
        </w:rPr>
        <w:t>m</w:t>
      </w:r>
      <w:r w:rsidRPr="00CE751E">
        <w:rPr>
          <w:rFonts w:ascii="Palatino Linotype" w:hAnsi="Palatino Linotype" w:cstheme="minorHAnsi"/>
          <w:bCs/>
          <w:sz w:val="22"/>
          <w:szCs w:val="22"/>
          <w:vertAlign w:val="superscript"/>
        </w:rPr>
        <w:t>2</w:t>
      </w:r>
    </w:p>
    <w:p w:rsidR="00CE751E" w:rsidRDefault="00CE751E" w:rsidP="00CE751E">
      <w:pPr>
        <w:spacing w:before="240" w:line="276" w:lineRule="auto"/>
        <w:ind w:firstLine="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El n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úmero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total </w:t>
      </w:r>
      <w:r w:rsidRPr="00DD2968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lotes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es de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16, signados del uno (1) al veinte (16), </w:t>
      </w:r>
      <w:r w:rsidRPr="001334B6">
        <w:rPr>
          <w:rFonts w:ascii="Palatino Linotype" w:hAnsi="Palatino Linotype" w:cs="Arial"/>
          <w:sz w:val="22"/>
          <w:szCs w:val="22"/>
        </w:rPr>
        <w:t>cuyo detalle es el que consta en los planos aprobatorios que forman parte</w:t>
      </w:r>
      <w:r>
        <w:rPr>
          <w:rFonts w:ascii="Palatino Linotype" w:hAnsi="Palatino Linotype" w:cs="Arial"/>
          <w:sz w:val="22"/>
          <w:szCs w:val="22"/>
        </w:rPr>
        <w:t xml:space="preserve"> integrante</w:t>
      </w:r>
      <w:r w:rsidRPr="001334B6">
        <w:rPr>
          <w:rFonts w:ascii="Palatino Linotype" w:hAnsi="Palatino Linotype" w:cs="Arial"/>
          <w:sz w:val="22"/>
          <w:szCs w:val="22"/>
        </w:rPr>
        <w:t xml:space="preserve"> de la presente </w:t>
      </w:r>
      <w:r>
        <w:rPr>
          <w:rFonts w:ascii="Palatino Linotype" w:hAnsi="Palatino Linotype" w:cs="Arial"/>
          <w:sz w:val="22"/>
          <w:szCs w:val="22"/>
        </w:rPr>
        <w:t>O</w:t>
      </w:r>
      <w:r w:rsidRPr="001334B6">
        <w:rPr>
          <w:rFonts w:ascii="Palatino Linotype" w:hAnsi="Palatino Linotype" w:cs="Arial"/>
          <w:sz w:val="22"/>
          <w:szCs w:val="22"/>
        </w:rPr>
        <w:t>rdenanza.</w:t>
      </w:r>
    </w:p>
    <w:p w:rsidR="00CE751E" w:rsidRDefault="00CE751E" w:rsidP="00CE751E">
      <w:pPr>
        <w:spacing w:before="240" w:line="276" w:lineRule="auto"/>
        <w:ind w:firstLine="8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El lote No.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1 del macro lote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No.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8 en su totalidad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;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y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el lote N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o.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2 del mismo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lote,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 un 90%, se encuentran afectados por la implantación de la Vía de Intención Perimetral de 36,6 m, de acuerdo a lo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establecido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 el Mapa PUOS V1 de Categorización y Dimensionamiento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lastRenderedPageBreak/>
        <w:t xml:space="preserve">vial,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y conforme se detalla en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Oficio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No.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STHV-GT-001496, emitido por la Secretaria de Territorio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Hábitat y Vivienda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;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en virtud de lo cual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, en estos lotes no se deberá realizar ningún tipo de edificación o aumentar a las ya existentes, mientras esté vigente el mapa PUOS V1 de Categorización y Dimensionamiento Vial o el instrumento de planificación vigente a la fecha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Se aclara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que estos lotes se encuentran parcialmente en área de relleno.</w:t>
      </w:r>
    </w:p>
    <w:p w:rsidR="00B74F7F" w:rsidRPr="00B74F7F" w:rsidRDefault="00B74F7F" w:rsidP="00CE751E">
      <w:pPr>
        <w:spacing w:before="240" w:line="276" w:lineRule="auto"/>
        <w:ind w:firstLine="8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Los  lotes N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os.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3 y 4 del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8, se encuentran parcialmente afectados por la implantación de la Vía de Intención Perimetral de 36,6 m, de acuerdo al Mapa PUOS V1 de Categorización  y Dimensionamiento vial, según Oficio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 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STHV-GT-001496, emitido por la Secretaria de Territorio, Hábitat y Vivienda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;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 tal virtud,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en estos lotes no se deberá realizar ningún tipo de edificación o aumentar a las ya existentes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mientras esté en vigencia el mapa PUOS V1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de Categorización y Dimensionamiento Vial o el instrumento de planificación vigente a la fecha.</w:t>
      </w:r>
    </w:p>
    <w:p w:rsidR="00B74F7F" w:rsidRPr="00B74F7F" w:rsidRDefault="00B74F7F" w:rsidP="00B74F7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El lote N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o.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3 del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8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adicionalmente de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encontrarse afectado por la vía, se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encuentra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parcialmente en área de relleno de quebrada.</w:t>
      </w:r>
    </w:p>
    <w:p w:rsidR="00B74F7F" w:rsidRPr="00B74F7F" w:rsidRDefault="00B74F7F" w:rsidP="00B74F7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Los lotes N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os.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6, 7 y 8 del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8, se encuentran asentados parcialmente sobre la faja de protección por borde superior de quebrada rellena.</w:t>
      </w:r>
    </w:p>
    <w:p w:rsidR="00B74F7F" w:rsidRPr="00B74F7F" w:rsidRDefault="00B74F7F" w:rsidP="00B74F7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Los lotes N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os.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1, 2, 3, 7 y 8 del macro lote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8 se encuentra parcialmente  en área de relleno, los mismos que  se sujetaran  a lo dispuesto en el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 xml:space="preserve">artículo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417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literal d) del </w:t>
      </w:r>
      <w:r w:rsidR="00CE751E">
        <w:rPr>
          <w:rFonts w:ascii="Palatino Linotype" w:hAnsi="Palatino Linotype" w:cs="Arial"/>
          <w:color w:val="000000" w:themeColor="text1"/>
          <w:sz w:val="22"/>
          <w:szCs w:val="22"/>
        </w:rPr>
        <w:t>Código Orgánico de Organización Territorial, Autonomía y Descentralización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</w:p>
    <w:p w:rsidR="00B74F7F" w:rsidRPr="00B74F7F" w:rsidRDefault="00487381" w:rsidP="00B74F7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Sin perjuicio de lo anterior, s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e aprueban por excepción, los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siguientes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lotes que no cumplen con el área mínima de acuerdo a la zonificación actual del sector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, lotes Nos.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4, 5 y 6 del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macro lote No. 8. De igual manera, s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e aprueban por excepción, los lotes que no cumplen con los frentes mínimos de acuerdo a la zonificación actual del sector,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lotes Nos.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10, 11, 12, 14, 15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y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16 del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10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;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y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 lote N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o.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6 del 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="00B74F7F" w:rsidRPr="00B74F7F">
        <w:rPr>
          <w:rFonts w:ascii="Palatino Linotype" w:hAnsi="Palatino Linotype" w:cs="Arial"/>
          <w:color w:val="000000" w:themeColor="text1"/>
          <w:sz w:val="22"/>
          <w:szCs w:val="22"/>
        </w:rPr>
        <w:t>8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</w:p>
    <w:p w:rsidR="00B74F7F" w:rsidRPr="00B74F7F" w:rsidRDefault="00B74F7F" w:rsidP="00B74F7F">
      <w:pPr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Las áreas que se encuentran bajo el borde de talud en los lotes N</w:t>
      </w:r>
      <w:r w:rsidR="00487381">
        <w:rPr>
          <w:rFonts w:ascii="Palatino Linotype" w:hAnsi="Palatino Linotype" w:cs="Arial"/>
          <w:color w:val="000000" w:themeColor="text1"/>
          <w:sz w:val="22"/>
          <w:szCs w:val="22"/>
        </w:rPr>
        <w:t>os.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 xml:space="preserve"> 13, 15 y 16 del </w:t>
      </w:r>
      <w:r w:rsidR="00487381">
        <w:rPr>
          <w:rFonts w:ascii="Palatino Linotype" w:hAnsi="Palatino Linotype" w:cs="Arial"/>
          <w:color w:val="000000" w:themeColor="text1"/>
          <w:sz w:val="22"/>
          <w:szCs w:val="22"/>
        </w:rPr>
        <w:t xml:space="preserve">macro lote No. </w:t>
      </w:r>
      <w:r w:rsidRPr="00B74F7F">
        <w:rPr>
          <w:rFonts w:ascii="Palatino Linotype" w:hAnsi="Palatino Linotype" w:cs="Arial"/>
          <w:color w:val="000000" w:themeColor="text1"/>
          <w:sz w:val="22"/>
          <w:szCs w:val="22"/>
        </w:rPr>
        <w:t>10, también serán consideradas como áreas  de faja de protección por talud.</w:t>
      </w:r>
    </w:p>
    <w:p w:rsidR="00B74F7F" w:rsidRPr="00B74F7F" w:rsidRDefault="00B74F7F" w:rsidP="00B74F7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sz w:val="22"/>
          <w:szCs w:val="22"/>
        </w:rPr>
        <w:t xml:space="preserve">Artículo 3.- </w:t>
      </w:r>
      <w:r w:rsidR="000A124A">
        <w:rPr>
          <w:rFonts w:ascii="Palatino Linotype" w:hAnsi="Palatino Linotype" w:cs="Arial"/>
          <w:b/>
          <w:sz w:val="22"/>
          <w:szCs w:val="22"/>
        </w:rPr>
        <w:t>Z</w:t>
      </w:r>
      <w:r w:rsidR="000A124A" w:rsidRPr="00B74F7F">
        <w:rPr>
          <w:rFonts w:ascii="Palatino Linotype" w:hAnsi="Palatino Linotype" w:cs="Arial"/>
          <w:b/>
          <w:sz w:val="22"/>
          <w:szCs w:val="22"/>
        </w:rPr>
        <w:t>onificación de los nuevos lotes</w:t>
      </w:r>
      <w:r w:rsidRPr="00B74F7F">
        <w:rPr>
          <w:rFonts w:ascii="Palatino Linotype" w:hAnsi="Palatino Linotype" w:cs="Arial"/>
          <w:b/>
          <w:sz w:val="22"/>
          <w:szCs w:val="22"/>
        </w:rPr>
        <w:t>.-</w:t>
      </w:r>
      <w:r w:rsidRPr="00B74F7F">
        <w:rPr>
          <w:rFonts w:ascii="Palatino Linotype" w:hAnsi="Palatino Linotype" w:cs="Arial"/>
          <w:sz w:val="22"/>
          <w:szCs w:val="22"/>
        </w:rPr>
        <w:t xml:space="preserve"> </w:t>
      </w:r>
      <w:r w:rsidR="000A124A">
        <w:rPr>
          <w:rFonts w:ascii="Palatino Linotype" w:hAnsi="Palatino Linotype" w:cs="Arial"/>
          <w:sz w:val="22"/>
          <w:szCs w:val="22"/>
        </w:rPr>
        <w:t>A lo</w:t>
      </w:r>
      <w:r w:rsidR="000A124A" w:rsidRPr="00122083">
        <w:rPr>
          <w:rFonts w:ascii="Palatino Linotype" w:hAnsi="Palatino Linotype" w:cs="Arial"/>
          <w:sz w:val="22"/>
          <w:szCs w:val="22"/>
        </w:rPr>
        <w:t xml:space="preserve">s lotes producto del fraccionamiento </w:t>
      </w:r>
      <w:r w:rsidR="000A124A">
        <w:rPr>
          <w:rFonts w:ascii="Palatino Linotype" w:hAnsi="Palatino Linotype" w:cs="Arial"/>
          <w:sz w:val="22"/>
          <w:szCs w:val="22"/>
        </w:rPr>
        <w:t xml:space="preserve">se les asigna </w:t>
      </w:r>
      <w:r w:rsidR="000A124A" w:rsidRPr="00122083">
        <w:rPr>
          <w:rFonts w:ascii="Palatino Linotype" w:hAnsi="Palatino Linotype" w:cs="Arial"/>
          <w:sz w:val="22"/>
          <w:szCs w:val="22"/>
        </w:rPr>
        <w:t>la siguiente zonificación:</w:t>
      </w:r>
      <w:r w:rsidR="000A124A">
        <w:rPr>
          <w:rFonts w:ascii="Palatino Linotype" w:hAnsi="Palatino Linotype" w:cs="Arial"/>
          <w:sz w:val="22"/>
          <w:szCs w:val="22"/>
        </w:rPr>
        <w:t xml:space="preserve"> </w:t>
      </w:r>
      <w:r w:rsidRPr="00B74F7F">
        <w:rPr>
          <w:rFonts w:ascii="Palatino Linotype" w:hAnsi="Palatino Linotype" w:cs="Arial"/>
          <w:sz w:val="22"/>
          <w:szCs w:val="22"/>
        </w:rPr>
        <w:t>D3 (D203-80); forma de ocupación: (D) sobre línea; lote mínimo</w:t>
      </w:r>
      <w:r w:rsidR="000A124A">
        <w:rPr>
          <w:rFonts w:ascii="Palatino Linotype" w:hAnsi="Palatino Linotype" w:cs="Arial"/>
          <w:sz w:val="22"/>
          <w:szCs w:val="22"/>
        </w:rPr>
        <w:t>:</w:t>
      </w:r>
      <w:r w:rsidRPr="00B74F7F">
        <w:rPr>
          <w:rFonts w:ascii="Palatino Linotype" w:hAnsi="Palatino Linotype" w:cs="Arial"/>
          <w:sz w:val="22"/>
          <w:szCs w:val="22"/>
        </w:rPr>
        <w:t xml:space="preserve"> 200 m²; número de pisos: 3 pisos; COS planta baja</w:t>
      </w:r>
      <w:r w:rsidR="000A124A">
        <w:rPr>
          <w:rFonts w:ascii="Palatino Linotype" w:hAnsi="Palatino Linotype" w:cs="Arial"/>
          <w:sz w:val="22"/>
          <w:szCs w:val="22"/>
        </w:rPr>
        <w:t>:</w:t>
      </w:r>
      <w:r w:rsidRPr="00B74F7F">
        <w:rPr>
          <w:rFonts w:ascii="Palatino Linotype" w:hAnsi="Palatino Linotype" w:cs="Arial"/>
          <w:sz w:val="22"/>
          <w:szCs w:val="22"/>
        </w:rPr>
        <w:t xml:space="preserve"> 80%, COS total</w:t>
      </w:r>
      <w:r w:rsidR="000A124A">
        <w:rPr>
          <w:rFonts w:ascii="Palatino Linotype" w:hAnsi="Palatino Linotype" w:cs="Arial"/>
          <w:sz w:val="22"/>
          <w:szCs w:val="22"/>
        </w:rPr>
        <w:t>:</w:t>
      </w:r>
      <w:r w:rsidRPr="00B74F7F">
        <w:rPr>
          <w:rFonts w:ascii="Palatino Linotype" w:hAnsi="Palatino Linotype" w:cs="Arial"/>
          <w:sz w:val="22"/>
          <w:szCs w:val="22"/>
        </w:rPr>
        <w:t xml:space="preserve"> 240%; clasificación del suelo: (SU) Suelo Urbano; Uso principal: (R3) Residencial alta densidad</w:t>
      </w:r>
      <w:r w:rsidR="000A124A">
        <w:rPr>
          <w:rFonts w:ascii="Palatino Linotype" w:hAnsi="Palatino Linotype" w:cs="Arial"/>
          <w:sz w:val="22"/>
          <w:szCs w:val="22"/>
        </w:rPr>
        <w:t>. Sin perjuicio de lo anterior,</w:t>
      </w:r>
      <w:r w:rsidRPr="00B74F7F">
        <w:rPr>
          <w:rFonts w:ascii="Palatino Linotype" w:hAnsi="Palatino Linotype" w:cs="Arial"/>
          <w:sz w:val="22"/>
          <w:szCs w:val="22"/>
        </w:rPr>
        <w:t xml:space="preserve"> </w:t>
      </w:r>
      <w:r w:rsidR="000A124A">
        <w:rPr>
          <w:rFonts w:ascii="Palatino Linotype" w:hAnsi="Palatino Linotype" w:cs="Arial"/>
          <w:sz w:val="22"/>
          <w:szCs w:val="22"/>
        </w:rPr>
        <w:t xml:space="preserve">a los lotes </w:t>
      </w:r>
      <w:r w:rsidRPr="00B74F7F">
        <w:rPr>
          <w:rFonts w:ascii="Palatino Linotype" w:hAnsi="Palatino Linotype" w:cs="Arial"/>
          <w:sz w:val="22"/>
          <w:szCs w:val="22"/>
        </w:rPr>
        <w:t>N</w:t>
      </w:r>
      <w:r w:rsidR="000A124A">
        <w:rPr>
          <w:rFonts w:ascii="Palatino Linotype" w:hAnsi="Palatino Linotype" w:cs="Arial"/>
          <w:sz w:val="22"/>
          <w:szCs w:val="22"/>
        </w:rPr>
        <w:t>os.</w:t>
      </w:r>
      <w:r w:rsidRPr="00B74F7F">
        <w:rPr>
          <w:rFonts w:ascii="Palatino Linotype" w:hAnsi="Palatino Linotype" w:cs="Arial"/>
          <w:sz w:val="22"/>
          <w:szCs w:val="22"/>
        </w:rPr>
        <w:t xml:space="preserve"> 1, 2, 3, 4, 6, 7 y 8</w:t>
      </w:r>
      <w:r w:rsidR="000A124A">
        <w:rPr>
          <w:rFonts w:ascii="Palatino Linotype" w:hAnsi="Palatino Linotype" w:cs="Arial"/>
          <w:sz w:val="22"/>
          <w:szCs w:val="22"/>
        </w:rPr>
        <w:t xml:space="preserve">, se les asigna </w:t>
      </w:r>
      <w:r w:rsidRPr="00B74F7F">
        <w:rPr>
          <w:rFonts w:ascii="Palatino Linotype" w:hAnsi="Palatino Linotype" w:cs="Arial"/>
          <w:sz w:val="22"/>
          <w:szCs w:val="22"/>
        </w:rPr>
        <w:t xml:space="preserve">el </w:t>
      </w:r>
      <w:r w:rsidR="000A124A">
        <w:rPr>
          <w:rFonts w:ascii="Palatino Linotype" w:hAnsi="Palatino Linotype" w:cs="Arial"/>
          <w:sz w:val="22"/>
          <w:szCs w:val="22"/>
        </w:rPr>
        <w:t>u</w:t>
      </w:r>
      <w:r w:rsidRPr="00B74F7F">
        <w:rPr>
          <w:rFonts w:ascii="Palatino Linotype" w:hAnsi="Palatino Linotype" w:cs="Arial"/>
          <w:sz w:val="22"/>
          <w:szCs w:val="22"/>
        </w:rPr>
        <w:t xml:space="preserve">so principal: (PE) </w:t>
      </w:r>
      <w:r w:rsidR="000A124A">
        <w:rPr>
          <w:rFonts w:ascii="Palatino Linotype" w:hAnsi="Palatino Linotype" w:cs="Arial"/>
          <w:sz w:val="22"/>
          <w:szCs w:val="22"/>
        </w:rPr>
        <w:t>p</w:t>
      </w:r>
      <w:r w:rsidRPr="00B74F7F">
        <w:rPr>
          <w:rFonts w:ascii="Palatino Linotype" w:hAnsi="Palatino Linotype" w:cs="Arial"/>
          <w:sz w:val="22"/>
          <w:szCs w:val="22"/>
        </w:rPr>
        <w:t>rotección ecológica / áreas naturales; y</w:t>
      </w:r>
      <w:r w:rsidR="000A124A">
        <w:rPr>
          <w:rFonts w:ascii="Palatino Linotype" w:hAnsi="Palatino Linotype" w:cs="Arial"/>
          <w:sz w:val="22"/>
          <w:szCs w:val="22"/>
        </w:rPr>
        <w:t>,</w:t>
      </w:r>
      <w:r w:rsidRPr="00B74F7F">
        <w:rPr>
          <w:rFonts w:ascii="Palatino Linotype" w:hAnsi="Palatino Linotype" w:cs="Arial"/>
          <w:sz w:val="22"/>
          <w:szCs w:val="22"/>
        </w:rPr>
        <w:t xml:space="preserve"> A31 (PQ). </w:t>
      </w:r>
    </w:p>
    <w:p w:rsidR="00E46CCC" w:rsidRDefault="00B74F7F" w:rsidP="00B74F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B74F7F">
        <w:rPr>
          <w:rFonts w:ascii="Palatino Linotype" w:hAnsi="Palatino Linotype" w:cs="Arial"/>
          <w:b/>
          <w:bCs/>
          <w:sz w:val="22"/>
          <w:szCs w:val="22"/>
        </w:rPr>
        <w:lastRenderedPageBreak/>
        <w:t>Artículo 4.- D</w:t>
      </w:r>
      <w:r w:rsidR="00E46CCC" w:rsidRPr="00B74F7F">
        <w:rPr>
          <w:rFonts w:ascii="Palatino Linotype" w:hAnsi="Palatino Linotype" w:cs="Arial"/>
          <w:b/>
          <w:bCs/>
          <w:sz w:val="22"/>
          <w:szCs w:val="22"/>
        </w:rPr>
        <w:t>iferencia de áreas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="00E46CCC" w:rsidRPr="0003278B">
        <w:rPr>
          <w:rFonts w:ascii="Palatino Linotype" w:hAnsi="Palatino Linotype" w:cs="Arial"/>
          <w:bCs/>
          <w:sz w:val="22"/>
          <w:szCs w:val="22"/>
        </w:rPr>
        <w:t>Por cuanto dentro del proceso de regularización se detectó la existencia de una variación de área</w:t>
      </w:r>
      <w:r w:rsidR="00E46CCC">
        <w:rPr>
          <w:rFonts w:ascii="Palatino Linotype" w:hAnsi="Palatino Linotype" w:cs="Arial"/>
          <w:bCs/>
          <w:sz w:val="22"/>
          <w:szCs w:val="22"/>
        </w:rPr>
        <w:t xml:space="preserve"> en los macro lotes a intervenirse</w:t>
      </w:r>
      <w:r w:rsidR="00E46CCC" w:rsidRPr="0003278B">
        <w:rPr>
          <w:rFonts w:ascii="Palatino Linotype" w:hAnsi="Palatino Linotype" w:cs="Arial"/>
          <w:bCs/>
          <w:sz w:val="22"/>
          <w:szCs w:val="22"/>
        </w:rPr>
        <w:t>, previo a la protocolización e inscripción de la presente Ordenanza se deberá regularizar el área, de conformidad con lo establecido en la Disposición General Segunda de la Ordenanza Metropolitana No. 269</w:t>
      </w:r>
      <w:r w:rsidR="00E46CCC">
        <w:rPr>
          <w:rFonts w:ascii="Palatino Linotype" w:hAnsi="Palatino Linotype" w:cs="Arial"/>
          <w:bCs/>
          <w:sz w:val="22"/>
          <w:szCs w:val="22"/>
        </w:rPr>
        <w:t>, sancionada el 30 de  julio de 2012, de conformidad al siguiente detalle:</w:t>
      </w:r>
    </w:p>
    <w:p w:rsidR="00B74F7F" w:rsidRPr="00E46CCC" w:rsidRDefault="00B74F7F" w:rsidP="00E46CCC">
      <w:pPr>
        <w:pStyle w:val="Prrafodelista"/>
        <w:numPr>
          <w:ilvl w:val="0"/>
          <w:numId w:val="32"/>
        </w:num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E46CCC">
        <w:rPr>
          <w:rFonts w:ascii="Palatino Linotype" w:hAnsi="Palatino Linotype" w:cs="Arial"/>
          <w:b/>
          <w:bCs/>
          <w:sz w:val="22"/>
          <w:szCs w:val="22"/>
        </w:rPr>
        <w:t>Macro</w:t>
      </w:r>
      <w:r w:rsidR="00E46CC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E46CCC">
        <w:rPr>
          <w:rFonts w:ascii="Palatino Linotype" w:hAnsi="Palatino Linotype" w:cs="Arial"/>
          <w:b/>
          <w:bCs/>
          <w:sz w:val="22"/>
          <w:szCs w:val="22"/>
        </w:rPr>
        <w:t>lote N</w:t>
      </w:r>
      <w:r w:rsidR="00E46CCC" w:rsidRPr="00E46CCC">
        <w:rPr>
          <w:rFonts w:ascii="Palatino Linotype" w:hAnsi="Palatino Linotype" w:cs="Arial"/>
          <w:b/>
          <w:bCs/>
          <w:sz w:val="22"/>
          <w:szCs w:val="22"/>
        </w:rPr>
        <w:t>o.</w:t>
      </w:r>
      <w:r w:rsidRPr="00E46CCC">
        <w:rPr>
          <w:rFonts w:ascii="Palatino Linotype" w:hAnsi="Palatino Linotype" w:cs="Arial"/>
          <w:b/>
          <w:bCs/>
          <w:sz w:val="22"/>
          <w:szCs w:val="22"/>
        </w:rPr>
        <w:t xml:space="preserve"> 8: </w:t>
      </w:r>
      <w:r w:rsidR="00E46CCC" w:rsidRPr="00E46CCC">
        <w:rPr>
          <w:rFonts w:ascii="Palatino Linotype" w:hAnsi="Palatino Linotype" w:cs="Arial"/>
          <w:b/>
          <w:bCs/>
          <w:sz w:val="22"/>
          <w:szCs w:val="22"/>
        </w:rPr>
        <w:t xml:space="preserve">de propiedad de </w:t>
      </w:r>
      <w:r w:rsidRPr="00E46CCC">
        <w:rPr>
          <w:rFonts w:ascii="Palatino Linotype" w:hAnsi="Palatino Linotype" w:cs="Arial"/>
          <w:b/>
          <w:bCs/>
          <w:sz w:val="22"/>
          <w:szCs w:val="22"/>
        </w:rPr>
        <w:t>Angelita Mera</w:t>
      </w:r>
      <w:r w:rsidR="00E46CCC" w:rsidRPr="00E46CCC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B74F7F" w:rsidRPr="00E46CCC" w:rsidRDefault="00B74F7F" w:rsidP="00E46CCC">
      <w:pPr>
        <w:pStyle w:val="Prrafodelista"/>
        <w:spacing w:before="240" w:line="276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46CCC">
        <w:rPr>
          <w:rFonts w:ascii="Palatino Linotype" w:hAnsi="Palatino Linotype" w:cs="Arial"/>
          <w:bCs/>
          <w:sz w:val="22"/>
          <w:szCs w:val="22"/>
        </w:rPr>
        <w:t>Área total del predio (</w:t>
      </w:r>
      <w:proofErr w:type="spellStart"/>
      <w:r w:rsidR="00E46CCC">
        <w:rPr>
          <w:rFonts w:ascii="Palatino Linotype" w:hAnsi="Palatino Linotype" w:cs="Arial"/>
          <w:bCs/>
          <w:sz w:val="22"/>
          <w:szCs w:val="22"/>
        </w:rPr>
        <w:t>l</w:t>
      </w:r>
      <w:r w:rsidRPr="00E46CCC">
        <w:rPr>
          <w:rFonts w:ascii="Palatino Linotype" w:hAnsi="Palatino Linotype" w:cs="Arial"/>
          <w:bCs/>
          <w:sz w:val="22"/>
          <w:szCs w:val="22"/>
        </w:rPr>
        <w:t>ev</w:t>
      </w:r>
      <w:proofErr w:type="spellEnd"/>
      <w:r w:rsidRPr="00E46CCC">
        <w:rPr>
          <w:rFonts w:ascii="Palatino Linotype" w:hAnsi="Palatino Linotype" w:cs="Arial"/>
          <w:bCs/>
          <w:sz w:val="22"/>
          <w:szCs w:val="22"/>
        </w:rPr>
        <w:t xml:space="preserve">. </w:t>
      </w:r>
      <w:r w:rsidR="00E46CCC">
        <w:rPr>
          <w:rFonts w:ascii="Palatino Linotype" w:hAnsi="Palatino Linotype" w:cs="Arial"/>
          <w:bCs/>
          <w:sz w:val="22"/>
          <w:szCs w:val="22"/>
        </w:rPr>
        <w:t>t</w:t>
      </w:r>
      <w:r w:rsidRPr="00E46CCC">
        <w:rPr>
          <w:rFonts w:ascii="Palatino Linotype" w:hAnsi="Palatino Linotype" w:cs="Arial"/>
          <w:bCs/>
          <w:sz w:val="22"/>
          <w:szCs w:val="22"/>
        </w:rPr>
        <w:t xml:space="preserve">op.):    </w:t>
      </w:r>
      <w:r w:rsidR="00E46CCC">
        <w:rPr>
          <w:rFonts w:ascii="Palatino Linotype" w:hAnsi="Palatino Linotype" w:cs="Arial"/>
          <w:bCs/>
          <w:sz w:val="22"/>
          <w:szCs w:val="22"/>
        </w:rPr>
        <w:tab/>
      </w:r>
      <w:r w:rsidRPr="00E46CCC">
        <w:rPr>
          <w:rFonts w:ascii="Palatino Linotype" w:hAnsi="Palatino Linotype" w:cs="Arial"/>
          <w:bCs/>
          <w:sz w:val="22"/>
          <w:szCs w:val="22"/>
        </w:rPr>
        <w:t>2.292,89</w:t>
      </w:r>
      <w:r w:rsidR="00E46CC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E46CCC">
        <w:rPr>
          <w:rFonts w:ascii="Palatino Linotype" w:hAnsi="Palatino Linotype" w:cs="Arial"/>
          <w:sz w:val="22"/>
          <w:szCs w:val="22"/>
        </w:rPr>
        <w:t>m²</w:t>
      </w:r>
    </w:p>
    <w:p w:rsidR="00B74F7F" w:rsidRPr="00E46CCC" w:rsidRDefault="00B74F7F" w:rsidP="00E46CCC">
      <w:pPr>
        <w:pStyle w:val="Prrafodelista"/>
        <w:spacing w:before="240"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46CCC">
        <w:rPr>
          <w:rFonts w:ascii="Palatino Linotype" w:hAnsi="Palatino Linotype" w:cs="Arial"/>
          <w:bCs/>
          <w:sz w:val="22"/>
          <w:szCs w:val="22"/>
        </w:rPr>
        <w:t>Área total del predio (</w:t>
      </w:r>
      <w:r w:rsidR="00E46CCC">
        <w:rPr>
          <w:rFonts w:ascii="Palatino Linotype" w:hAnsi="Palatino Linotype" w:cs="Arial"/>
          <w:bCs/>
          <w:sz w:val="22"/>
          <w:szCs w:val="22"/>
        </w:rPr>
        <w:t>e</w:t>
      </w:r>
      <w:r w:rsidRPr="00E46CCC">
        <w:rPr>
          <w:rFonts w:ascii="Palatino Linotype" w:hAnsi="Palatino Linotype" w:cs="Arial"/>
          <w:bCs/>
          <w:sz w:val="22"/>
          <w:szCs w:val="22"/>
        </w:rPr>
        <w:t xml:space="preserve">sc.):          </w:t>
      </w:r>
      <w:r w:rsidR="00E46CCC">
        <w:rPr>
          <w:rFonts w:ascii="Palatino Linotype" w:hAnsi="Palatino Linotype" w:cs="Arial"/>
          <w:bCs/>
          <w:sz w:val="22"/>
          <w:szCs w:val="22"/>
        </w:rPr>
        <w:tab/>
        <w:t xml:space="preserve">2.605,21 </w:t>
      </w:r>
      <w:r w:rsidRPr="00E46CCC">
        <w:rPr>
          <w:rFonts w:ascii="Palatino Linotype" w:hAnsi="Palatino Linotype" w:cs="Arial"/>
          <w:sz w:val="22"/>
          <w:szCs w:val="22"/>
        </w:rPr>
        <w:t>m²</w:t>
      </w:r>
    </w:p>
    <w:p w:rsidR="00B74F7F" w:rsidRPr="00E46CCC" w:rsidRDefault="00B74F7F" w:rsidP="00E46CCC">
      <w:pPr>
        <w:pStyle w:val="Prrafodelista"/>
        <w:numPr>
          <w:ilvl w:val="0"/>
          <w:numId w:val="32"/>
        </w:numPr>
        <w:spacing w:before="240" w:line="276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E46CCC">
        <w:rPr>
          <w:rFonts w:ascii="Palatino Linotype" w:hAnsi="Palatino Linotype" w:cs="Arial"/>
          <w:b/>
          <w:bCs/>
          <w:sz w:val="22"/>
          <w:szCs w:val="22"/>
        </w:rPr>
        <w:t>Macro</w:t>
      </w:r>
      <w:r w:rsidR="00E46CCC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E46CCC">
        <w:rPr>
          <w:rFonts w:ascii="Palatino Linotype" w:hAnsi="Palatino Linotype" w:cs="Arial"/>
          <w:b/>
          <w:bCs/>
          <w:sz w:val="22"/>
          <w:szCs w:val="22"/>
        </w:rPr>
        <w:t>lote No</w:t>
      </w:r>
      <w:r w:rsidR="00E46CCC">
        <w:rPr>
          <w:rFonts w:ascii="Palatino Linotype" w:hAnsi="Palatino Linotype" w:cs="Arial"/>
          <w:b/>
          <w:bCs/>
          <w:sz w:val="22"/>
          <w:szCs w:val="22"/>
        </w:rPr>
        <w:t>. 10: de propiedad de</w:t>
      </w:r>
      <w:r w:rsidRPr="00E46CCC">
        <w:rPr>
          <w:rFonts w:ascii="Palatino Linotype" w:hAnsi="Palatino Linotype" w:cs="Arial"/>
          <w:b/>
          <w:bCs/>
          <w:sz w:val="22"/>
          <w:szCs w:val="22"/>
        </w:rPr>
        <w:t xml:space="preserve"> María Dolores </w:t>
      </w:r>
      <w:proofErr w:type="spellStart"/>
      <w:r w:rsidRPr="00E46CCC">
        <w:rPr>
          <w:rFonts w:ascii="Palatino Linotype" w:hAnsi="Palatino Linotype" w:cs="Arial"/>
          <w:b/>
          <w:bCs/>
          <w:sz w:val="22"/>
          <w:szCs w:val="22"/>
        </w:rPr>
        <w:t>Matavay</w:t>
      </w:r>
      <w:proofErr w:type="spellEnd"/>
      <w:r w:rsidR="00E46CCC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E46CCC" w:rsidRDefault="00B74F7F" w:rsidP="00E46CCC">
      <w:pPr>
        <w:pStyle w:val="Prrafodelista"/>
        <w:spacing w:before="240" w:line="276" w:lineRule="auto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E46CCC">
        <w:rPr>
          <w:rFonts w:ascii="Palatino Linotype" w:hAnsi="Palatino Linotype" w:cs="Arial"/>
          <w:bCs/>
          <w:sz w:val="22"/>
          <w:szCs w:val="22"/>
        </w:rPr>
        <w:t>Área total del predio (</w:t>
      </w:r>
      <w:proofErr w:type="spellStart"/>
      <w:r w:rsidR="00E46CCC">
        <w:rPr>
          <w:rFonts w:ascii="Palatino Linotype" w:hAnsi="Palatino Linotype" w:cs="Arial"/>
          <w:bCs/>
          <w:sz w:val="22"/>
          <w:szCs w:val="22"/>
        </w:rPr>
        <w:t>l</w:t>
      </w:r>
      <w:r w:rsidRPr="00E46CCC">
        <w:rPr>
          <w:rFonts w:ascii="Palatino Linotype" w:hAnsi="Palatino Linotype" w:cs="Arial"/>
          <w:bCs/>
          <w:sz w:val="22"/>
          <w:szCs w:val="22"/>
        </w:rPr>
        <w:t>ev</w:t>
      </w:r>
      <w:proofErr w:type="spellEnd"/>
      <w:r w:rsidRPr="00E46CCC">
        <w:rPr>
          <w:rFonts w:ascii="Palatino Linotype" w:hAnsi="Palatino Linotype" w:cs="Arial"/>
          <w:bCs/>
          <w:sz w:val="22"/>
          <w:szCs w:val="22"/>
        </w:rPr>
        <w:t xml:space="preserve">. </w:t>
      </w:r>
      <w:r w:rsidR="00E46CCC">
        <w:rPr>
          <w:rFonts w:ascii="Palatino Linotype" w:hAnsi="Palatino Linotype" w:cs="Arial"/>
          <w:bCs/>
          <w:sz w:val="22"/>
          <w:szCs w:val="22"/>
        </w:rPr>
        <w:t>t</w:t>
      </w:r>
      <w:r w:rsidRPr="00E46CCC">
        <w:rPr>
          <w:rFonts w:ascii="Palatino Linotype" w:hAnsi="Palatino Linotype" w:cs="Arial"/>
          <w:bCs/>
          <w:sz w:val="22"/>
          <w:szCs w:val="22"/>
        </w:rPr>
        <w:t>op.)</w:t>
      </w:r>
      <w:r w:rsidR="00E46CCC">
        <w:rPr>
          <w:rFonts w:ascii="Palatino Linotype" w:hAnsi="Palatino Linotype" w:cs="Arial"/>
          <w:bCs/>
          <w:sz w:val="22"/>
          <w:szCs w:val="22"/>
        </w:rPr>
        <w:t>:</w:t>
      </w:r>
      <w:r w:rsidR="00E46CCC">
        <w:rPr>
          <w:rFonts w:ascii="Palatino Linotype" w:hAnsi="Palatino Linotype" w:cs="Arial"/>
          <w:bCs/>
          <w:sz w:val="22"/>
          <w:szCs w:val="22"/>
        </w:rPr>
        <w:tab/>
      </w:r>
      <w:r w:rsidRPr="00E46CCC">
        <w:rPr>
          <w:rFonts w:ascii="Palatino Linotype" w:hAnsi="Palatino Linotype" w:cs="Arial"/>
          <w:bCs/>
          <w:sz w:val="22"/>
          <w:szCs w:val="22"/>
        </w:rPr>
        <w:t>2.760,80</w:t>
      </w:r>
      <w:r w:rsidR="00E46CCC">
        <w:rPr>
          <w:rFonts w:ascii="Palatino Linotype" w:hAnsi="Palatino Linotype"/>
          <w:b/>
          <w:sz w:val="22"/>
          <w:szCs w:val="22"/>
        </w:rPr>
        <w:t xml:space="preserve"> </w:t>
      </w:r>
      <w:r w:rsidRPr="00E46CCC">
        <w:rPr>
          <w:rFonts w:ascii="Palatino Linotype" w:hAnsi="Palatino Linotype" w:cs="Arial"/>
          <w:sz w:val="22"/>
          <w:szCs w:val="22"/>
        </w:rPr>
        <w:t>m²</w:t>
      </w:r>
    </w:p>
    <w:p w:rsidR="00B74F7F" w:rsidRPr="00E46CCC" w:rsidRDefault="00B74F7F" w:rsidP="00E46CCC">
      <w:pPr>
        <w:pStyle w:val="Prrafodelista"/>
        <w:spacing w:before="240" w:line="276" w:lineRule="auto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E46CCC">
        <w:rPr>
          <w:rFonts w:ascii="Palatino Linotype" w:hAnsi="Palatino Linotype" w:cs="Arial"/>
          <w:bCs/>
          <w:sz w:val="22"/>
          <w:szCs w:val="22"/>
        </w:rPr>
        <w:t>Área total del predio (</w:t>
      </w:r>
      <w:r w:rsidR="00E46CCC">
        <w:rPr>
          <w:rFonts w:ascii="Palatino Linotype" w:hAnsi="Palatino Linotype" w:cs="Arial"/>
          <w:bCs/>
          <w:sz w:val="22"/>
          <w:szCs w:val="22"/>
        </w:rPr>
        <w:t>e</w:t>
      </w:r>
      <w:r w:rsidRPr="00E46CCC">
        <w:rPr>
          <w:rFonts w:ascii="Palatino Linotype" w:hAnsi="Palatino Linotype" w:cs="Arial"/>
          <w:bCs/>
          <w:sz w:val="22"/>
          <w:szCs w:val="22"/>
        </w:rPr>
        <w:t>sc.):</w:t>
      </w:r>
      <w:r w:rsidRPr="00B74F7F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E46CCC">
        <w:rPr>
          <w:rFonts w:ascii="Palatino Linotype" w:hAnsi="Palatino Linotype" w:cs="Arial"/>
          <w:b/>
          <w:bCs/>
          <w:sz w:val="22"/>
          <w:szCs w:val="22"/>
        </w:rPr>
        <w:tab/>
      </w:r>
      <w:r w:rsidR="00E46CCC">
        <w:rPr>
          <w:rFonts w:ascii="Palatino Linotype" w:hAnsi="Palatino Linotype" w:cs="Arial"/>
          <w:b/>
          <w:bCs/>
          <w:sz w:val="22"/>
          <w:szCs w:val="22"/>
        </w:rPr>
        <w:tab/>
      </w:r>
      <w:r w:rsidRPr="00E46CCC">
        <w:rPr>
          <w:rFonts w:ascii="Palatino Linotype" w:hAnsi="Palatino Linotype" w:cs="Arial"/>
          <w:bCs/>
          <w:sz w:val="22"/>
          <w:szCs w:val="22"/>
        </w:rPr>
        <w:t>Observación:</w:t>
      </w:r>
      <w:r w:rsidRPr="00B74F7F">
        <w:rPr>
          <w:rFonts w:ascii="Palatino Linotype" w:hAnsi="Palatino Linotype" w:cs="Arial"/>
          <w:bCs/>
          <w:sz w:val="22"/>
          <w:szCs w:val="22"/>
        </w:rPr>
        <w:t xml:space="preserve"> La Dirección Metropolitana de Catastro, en referencia al </w:t>
      </w:r>
      <w:r w:rsidR="00E46CCC">
        <w:rPr>
          <w:rFonts w:ascii="Palatino Linotype" w:hAnsi="Palatino Linotype" w:cs="Arial"/>
          <w:bCs/>
          <w:sz w:val="22"/>
          <w:szCs w:val="22"/>
        </w:rPr>
        <w:t>m</w:t>
      </w:r>
      <w:r w:rsidRPr="00B74F7F">
        <w:rPr>
          <w:rFonts w:ascii="Palatino Linotype" w:hAnsi="Palatino Linotype" w:cs="Arial"/>
          <w:bCs/>
          <w:sz w:val="22"/>
          <w:szCs w:val="22"/>
        </w:rPr>
        <w:t>acro</w:t>
      </w:r>
      <w:r w:rsidR="00E46CC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B74F7F">
        <w:rPr>
          <w:rFonts w:ascii="Palatino Linotype" w:hAnsi="Palatino Linotype" w:cs="Arial"/>
          <w:bCs/>
          <w:sz w:val="22"/>
          <w:szCs w:val="22"/>
        </w:rPr>
        <w:t xml:space="preserve">lote </w:t>
      </w:r>
      <w:r w:rsidR="00E46CCC">
        <w:rPr>
          <w:rFonts w:ascii="Palatino Linotype" w:hAnsi="Palatino Linotype" w:cs="Arial"/>
          <w:bCs/>
          <w:sz w:val="22"/>
          <w:szCs w:val="22"/>
        </w:rPr>
        <w:t xml:space="preserve">No. </w:t>
      </w:r>
      <w:r w:rsidRPr="00B74F7F">
        <w:rPr>
          <w:rFonts w:ascii="Palatino Linotype" w:hAnsi="Palatino Linotype" w:cs="Arial"/>
          <w:bCs/>
          <w:sz w:val="22"/>
          <w:szCs w:val="22"/>
        </w:rPr>
        <w:t xml:space="preserve">10, deberá tomar en cuenta que en la </w:t>
      </w:r>
      <w:r w:rsidR="00E46CCC">
        <w:rPr>
          <w:rFonts w:ascii="Palatino Linotype" w:hAnsi="Palatino Linotype" w:cs="Arial"/>
          <w:bCs/>
          <w:sz w:val="22"/>
          <w:szCs w:val="22"/>
        </w:rPr>
        <w:t>e</w:t>
      </w:r>
      <w:r w:rsidRPr="00B74F7F">
        <w:rPr>
          <w:rFonts w:ascii="Palatino Linotype" w:hAnsi="Palatino Linotype" w:cs="Arial"/>
          <w:bCs/>
          <w:sz w:val="22"/>
          <w:szCs w:val="22"/>
        </w:rPr>
        <w:t xml:space="preserve">scritura madre no consta extensión del lote, por lo que la misma se ha determinado mediante el levantamiento </w:t>
      </w:r>
      <w:proofErr w:type="spellStart"/>
      <w:r w:rsidRPr="00B74F7F">
        <w:rPr>
          <w:rFonts w:ascii="Palatino Linotype" w:hAnsi="Palatino Linotype" w:cs="Arial"/>
          <w:bCs/>
          <w:sz w:val="22"/>
          <w:szCs w:val="22"/>
        </w:rPr>
        <w:t>planialtimétrico</w:t>
      </w:r>
      <w:proofErr w:type="spellEnd"/>
      <w:r w:rsidRPr="00B74F7F">
        <w:rPr>
          <w:rFonts w:ascii="Palatino Linotype" w:hAnsi="Palatino Linotype" w:cs="Arial"/>
          <w:bCs/>
          <w:sz w:val="22"/>
          <w:szCs w:val="22"/>
        </w:rPr>
        <w:t xml:space="preserve"> realizado en el proceso de regularización del asentamiento, razón por la cual en este lote no se genera ni diferencia ni excedente de área</w:t>
      </w:r>
      <w:r w:rsidRPr="00B74F7F">
        <w:rPr>
          <w:rFonts w:ascii="Palatino Linotype" w:hAnsi="Palatino Linotype" w:cs="Arial"/>
          <w:sz w:val="22"/>
          <w:szCs w:val="22"/>
        </w:rPr>
        <w:t>.</w:t>
      </w:r>
    </w:p>
    <w:p w:rsidR="00B74F7F" w:rsidRPr="00B74F7F" w:rsidRDefault="00B74F7F" w:rsidP="00B74F7F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eastAsiaTheme="minorHAnsi" w:hAnsi="Palatino Linotype" w:cs="Arial"/>
          <w:sz w:val="22"/>
          <w:szCs w:val="22"/>
        </w:rPr>
      </w:pPr>
      <w:r w:rsidRPr="00B74F7F"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5.- </w:t>
      </w:r>
      <w:r w:rsidR="00E46CCC">
        <w:rPr>
          <w:rFonts w:ascii="Palatino Linotype" w:hAnsi="Palatino Linotype" w:cs="Arial"/>
          <w:b/>
          <w:bCs/>
          <w:sz w:val="22"/>
          <w:szCs w:val="22"/>
          <w:lang w:val="es-ES_tradnl"/>
        </w:rPr>
        <w:t>D</w:t>
      </w:r>
      <w:r w:rsidR="00E46CCC"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>e la protocolización e inscripción de la ordenanza</w:t>
      </w:r>
      <w:r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.- </w:t>
      </w:r>
      <w:r w:rsidRPr="00B74F7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Los copropietarios del inmueble donde se encuentra el Asentamiento Humano de Hecho y Consolidado denominado </w:t>
      </w:r>
      <w:r w:rsid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>Comité Pro-Mejoras d</w:t>
      </w:r>
      <w:r w:rsidR="00E46CCC"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el Barrio “San José </w:t>
      </w:r>
      <w:r w:rsid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>d</w:t>
      </w:r>
      <w:r w:rsidR="00E46CCC"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e </w:t>
      </w:r>
      <w:proofErr w:type="spellStart"/>
      <w:r w:rsidR="00E46CCC"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>Cangahua</w:t>
      </w:r>
      <w:proofErr w:type="spellEnd"/>
      <w:r w:rsidR="00E46CCC"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 Bajo” (Etapa I)</w:t>
      </w:r>
      <w:r w:rsidRPr="00B74F7F">
        <w:rPr>
          <w:rFonts w:ascii="Palatino Linotype" w:hAnsi="Palatino Linotype" w:cs="Arial"/>
          <w:bCs/>
          <w:color w:val="000000" w:themeColor="text1"/>
          <w:sz w:val="22"/>
          <w:szCs w:val="22"/>
        </w:rPr>
        <w:t>,</w:t>
      </w:r>
      <w:r w:rsidRPr="00B74F7F">
        <w:rPr>
          <w:rFonts w:ascii="Palatino Linotype" w:hAnsi="Palatino Linotype" w:cs="Arial"/>
          <w:sz w:val="22"/>
          <w:szCs w:val="22"/>
          <w:lang w:val="es-ES_tradnl"/>
        </w:rPr>
        <w:t xml:space="preserve"> se comprometen en el término de ciento ochenta (180) días, contados a partir de la fecha de emisión de la Resolución de diferencia de área por parte de la Autoridad Administrativa competente, a protocolizar la presente Ordenanza ante Notario Público e inscribirla en el Registro de la Propiedad del Distrito Metropolitano de Quito, con todos sus documentos habilitantes; caso contrario el Concejo Metropolitano revocará la presente Ordenanza, notificándose del particular a la Comisaría de la Administración Zonal correspondiente, para que inicie las acciones pertinentes.</w:t>
      </w:r>
    </w:p>
    <w:p w:rsidR="00B74F7F" w:rsidRPr="00B74F7F" w:rsidRDefault="00B74F7F" w:rsidP="00B74F7F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B74F7F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>Artículo</w:t>
      </w:r>
      <w:r w:rsidRPr="00B74F7F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 xml:space="preserve"> 6.- </w:t>
      </w:r>
      <w:r w:rsidR="00E46CCC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>D</w:t>
      </w:r>
      <w:r w:rsidR="00E46CCC" w:rsidRPr="00B74F7F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>e la partición y adjudicación</w:t>
      </w:r>
      <w:r w:rsidRPr="00B74F7F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 xml:space="preserve">.- </w:t>
      </w:r>
      <w:r w:rsidRPr="00B74F7F">
        <w:rPr>
          <w:rFonts w:ascii="Palatino Linotype" w:hAnsi="Palatino Linotype" w:cs="Arial"/>
          <w:sz w:val="22"/>
          <w:szCs w:val="22"/>
          <w:lang w:val="es-ES_tradnl"/>
        </w:rPr>
        <w:t>Se faculta al señor Alcalde para que proceda con la partición administrativa correspondiente. Dicha resolución de partición y adjudicación se protocolizará ante un Notario Público y se inscribirá en el Registro de la Propiedad del Distrito Metropolitano de Quito, la misma que sin otra solemnidad constituirá título de dominio del beneficiario.</w:t>
      </w:r>
    </w:p>
    <w:p w:rsidR="00B74F7F" w:rsidRPr="00B74F7F" w:rsidRDefault="00B74F7F" w:rsidP="00B74F7F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</w:p>
    <w:p w:rsidR="00B74F7F" w:rsidRPr="00B74F7F" w:rsidRDefault="00B74F7F" w:rsidP="00B74F7F">
      <w:pPr>
        <w:autoSpaceDE w:val="0"/>
        <w:autoSpaceDN w:val="0"/>
        <w:adjustRightInd w:val="0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B74F7F">
        <w:rPr>
          <w:rFonts w:ascii="Palatino Linotype" w:hAnsi="Palatino Linotype" w:cs="Arial"/>
          <w:sz w:val="22"/>
          <w:szCs w:val="22"/>
          <w:lang w:val="es-ES_tradnl"/>
        </w:rPr>
        <w:t xml:space="preserve">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B74F7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B74F7F" w:rsidRPr="00B74F7F" w:rsidRDefault="00B74F7F" w:rsidP="00B74F7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B74F7F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 xml:space="preserve">Artículo 7.- </w:t>
      </w:r>
      <w:r w:rsidR="00E46CCC">
        <w:rPr>
          <w:rFonts w:ascii="Palatino Linotype" w:hAnsi="Palatino Linotype" w:cs="Arial"/>
          <w:b/>
          <w:bCs/>
          <w:color w:val="000000" w:themeColor="text1"/>
          <w:sz w:val="22"/>
          <w:szCs w:val="22"/>
          <w:lang w:val="es-ES_tradnl"/>
        </w:rPr>
        <w:t>P</w:t>
      </w:r>
      <w:proofErr w:type="spellStart"/>
      <w:r w:rsidR="00E46CCC" w:rsidRPr="00B74F7F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>otestad</w:t>
      </w:r>
      <w:proofErr w:type="spellEnd"/>
      <w:r w:rsidR="00E46CCC" w:rsidRPr="00B74F7F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 xml:space="preserve"> de ejecución</w:t>
      </w:r>
      <w:r w:rsidRPr="00B74F7F">
        <w:rPr>
          <w:rFonts w:ascii="Palatino Linotype" w:hAnsi="Palatino Linotype" w:cs="Arial"/>
          <w:b/>
          <w:color w:val="0D0D0D" w:themeColor="text1" w:themeTint="F2"/>
          <w:sz w:val="22"/>
          <w:szCs w:val="22"/>
        </w:rPr>
        <w:t xml:space="preserve">.- </w:t>
      </w:r>
      <w:r w:rsidRPr="00B74F7F"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</w:t>
      </w:r>
      <w:r w:rsidRPr="00B74F7F">
        <w:rPr>
          <w:rFonts w:ascii="Palatino Linotype" w:hAnsi="Palatino Linotype" w:cs="Arial"/>
          <w:sz w:val="22"/>
          <w:szCs w:val="22"/>
        </w:rPr>
        <w:t>veinte por ciento (20%)</w:t>
      </w:r>
      <w:r w:rsidRPr="00B74F7F">
        <w:rPr>
          <w:rFonts w:ascii="Palatino Linotype" w:hAnsi="Palatino Linotype" w:cs="Arial"/>
          <w:color w:val="0D0D0D" w:themeColor="text1" w:themeTint="F2"/>
          <w:sz w:val="22"/>
          <w:szCs w:val="22"/>
        </w:rPr>
        <w:t xml:space="preserve"> más los intereses correspondientes.</w:t>
      </w:r>
    </w:p>
    <w:p w:rsidR="00B74F7F" w:rsidRDefault="00B74F7F" w:rsidP="00B74F7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8.- </w:t>
      </w:r>
      <w:r w:rsidR="00E46CCC">
        <w:rPr>
          <w:rFonts w:ascii="Palatino Linotype" w:hAnsi="Palatino Linotype" w:cs="Arial"/>
          <w:b/>
          <w:bCs/>
          <w:sz w:val="22"/>
          <w:szCs w:val="22"/>
          <w:lang w:val="es-ES_tradnl"/>
        </w:rPr>
        <w:t>A</w:t>
      </w:r>
      <w:r w:rsidR="00E46CCC"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>mpliaci</w:t>
      </w:r>
      <w:r w:rsidR="00667CBB">
        <w:rPr>
          <w:rFonts w:ascii="Palatino Linotype" w:hAnsi="Palatino Linotype" w:cs="Arial"/>
          <w:b/>
          <w:bCs/>
          <w:sz w:val="22"/>
          <w:szCs w:val="22"/>
          <w:lang w:val="es-ES_tradnl"/>
        </w:rPr>
        <w:t>ones</w:t>
      </w:r>
      <w:r w:rsidR="00E46CCC"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 de plazo</w:t>
      </w:r>
      <w:r w:rsidRPr="00B74F7F"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.- </w:t>
      </w:r>
      <w:r w:rsidRPr="00B74F7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Las solicitudes de ampliación de plazo en temas de protocolización e inscripción de ordenanzas serán resueltas directamente por la Dirección de la Unidad Especial Regula Tu Barrio quien será competente para resolver estas solicitudes. En lo que respecta a las solicitudes de ampliación de plazo por temas de obras estas serán resueltas por la Administración Zonal </w:t>
      </w:r>
      <w:r w:rsidR="00667CBB">
        <w:rPr>
          <w:rFonts w:ascii="Palatino Linotype" w:hAnsi="Palatino Linotype" w:cs="Arial"/>
          <w:bCs/>
          <w:sz w:val="22"/>
          <w:szCs w:val="22"/>
          <w:lang w:val="es-ES_tradnl"/>
        </w:rPr>
        <w:t>c</w:t>
      </w:r>
      <w:r w:rsidRPr="00B74F7F">
        <w:rPr>
          <w:rFonts w:ascii="Palatino Linotype" w:hAnsi="Palatino Linotype" w:cs="Arial"/>
          <w:bCs/>
          <w:sz w:val="22"/>
          <w:szCs w:val="22"/>
          <w:lang w:val="es-ES_tradnl"/>
        </w:rPr>
        <w:t>orrespondiente.</w:t>
      </w:r>
    </w:p>
    <w:p w:rsidR="00667CBB" w:rsidRPr="00667CBB" w:rsidRDefault="00667CBB" w:rsidP="00B74F7F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  <w:lang w:val="es-ES_tradnl"/>
        </w:rPr>
        <w:t xml:space="preserve">Artículo 9.- Informe de riesgos.- </w:t>
      </w:r>
      <w:r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El asentamiento humano de hecho y consolidado denominado </w:t>
      </w:r>
      <w:r>
        <w:rPr>
          <w:rFonts w:ascii="Palatino Linotype" w:hAnsi="Palatino Linotype" w:cs="Arial"/>
          <w:bCs/>
          <w:color w:val="000000" w:themeColor="text1"/>
          <w:sz w:val="22"/>
          <w:szCs w:val="22"/>
        </w:rPr>
        <w:t>Comité Pro-Mejoras d</w:t>
      </w:r>
      <w:r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el Barrio “San José </w:t>
      </w:r>
      <w:r>
        <w:rPr>
          <w:rFonts w:ascii="Palatino Linotype" w:hAnsi="Palatino Linotype" w:cs="Arial"/>
          <w:bCs/>
          <w:color w:val="000000" w:themeColor="text1"/>
          <w:sz w:val="22"/>
          <w:szCs w:val="22"/>
        </w:rPr>
        <w:t>d</w:t>
      </w:r>
      <w:r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e </w:t>
      </w:r>
      <w:proofErr w:type="spellStart"/>
      <w:r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>Cangahua</w:t>
      </w:r>
      <w:proofErr w:type="spellEnd"/>
      <w:r w:rsidRPr="00E46CCC"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 Bajo” (Etapa I)</w:t>
      </w:r>
      <w:r>
        <w:rPr>
          <w:rFonts w:ascii="Palatino Linotype" w:hAnsi="Palatino Linotype" w:cs="Arial"/>
          <w:bCs/>
          <w:color w:val="000000" w:themeColor="text1"/>
          <w:sz w:val="22"/>
          <w:szCs w:val="22"/>
        </w:rPr>
        <w:t xml:space="preserve"> cumplirá obligatoriamente con las recomendaciones establecidas en el informe técnico No. 159-AT-DMGR-2013, emitido el 17 de noviembre de 2014.</w:t>
      </w:r>
    </w:p>
    <w:p w:rsidR="00BA5D17" w:rsidRPr="0013584F" w:rsidRDefault="00BA5D17" w:rsidP="00B74F7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74F7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74F7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</w:t>
      </w:r>
      <w:r w:rsidRPr="0013584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de la fecha de su sanción, sin perjuicio de su publicación en la Gaceta Oficial y página web institucional de la Municipalidad.</w:t>
      </w:r>
    </w:p>
    <w:p w:rsidR="00224968" w:rsidRPr="00B072AF" w:rsidRDefault="00224968" w:rsidP="00224968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3584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>
        <w:rPr>
          <w:rFonts w:ascii="Palatino Linotype" w:hAnsi="Palatino Linotype" w:cs="Arial"/>
          <w:sz w:val="22"/>
          <w:szCs w:val="22"/>
        </w:rPr>
        <w:t>4</w:t>
      </w:r>
      <w:r w:rsidRPr="0013584F">
        <w:rPr>
          <w:rFonts w:ascii="Palatino Linotype" w:hAnsi="Palatino Linotype" w:cs="Arial"/>
          <w:sz w:val="22"/>
          <w:szCs w:val="22"/>
        </w:rPr>
        <w:t xml:space="preserve"> de</w:t>
      </w:r>
      <w:r w:rsidRPr="00B072AF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junio </w:t>
      </w:r>
      <w:r w:rsidRPr="00B072AF">
        <w:rPr>
          <w:rFonts w:ascii="Palatino Linotype" w:hAnsi="Palatino Linotype" w:cs="Arial"/>
          <w:sz w:val="22"/>
          <w:szCs w:val="22"/>
        </w:rPr>
        <w:t>de 2015.</w:t>
      </w:r>
    </w:p>
    <w:p w:rsidR="00224968" w:rsidRDefault="00224968" w:rsidP="00224968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224968" w:rsidRDefault="00224968" w:rsidP="00224968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24968" w:rsidRPr="00B072AF" w:rsidRDefault="00224968" w:rsidP="00224968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224968" w:rsidRDefault="00224968" w:rsidP="00224968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224968" w:rsidRPr="003843CA" w:rsidRDefault="00224968" w:rsidP="00224968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224968" w:rsidRPr="003843CA" w:rsidRDefault="00224968" w:rsidP="00224968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</w:t>
      </w:r>
      <w:r>
        <w:rPr>
          <w:rFonts w:ascii="Palatino Linotype" w:eastAsia="MS Mincho" w:hAnsi="Palatino Linotype" w:cs="Arial"/>
          <w:sz w:val="22"/>
          <w:szCs w:val="22"/>
        </w:rPr>
        <w:t xml:space="preserve"> en dos debates, en sesiones de 21 de mayo y 4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>
        <w:rPr>
          <w:rFonts w:ascii="Palatino Linotype" w:eastAsia="MS Mincho" w:hAnsi="Palatino Linotype" w:cs="Arial"/>
          <w:sz w:val="22"/>
          <w:szCs w:val="22"/>
        </w:rPr>
        <w:t xml:space="preserve">junio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224968" w:rsidRPr="003843CA" w:rsidRDefault="00224968" w:rsidP="00224968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224968" w:rsidRDefault="00224968" w:rsidP="00224968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224968" w:rsidRDefault="00224968" w:rsidP="00224968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224968" w:rsidRPr="003843CA" w:rsidRDefault="00224968" w:rsidP="00224968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24968" w:rsidRPr="003843CA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224968" w:rsidRDefault="00224968" w:rsidP="00224968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224968" w:rsidRPr="00341D27" w:rsidRDefault="00224968" w:rsidP="00224968">
      <w:pPr>
        <w:pStyle w:val="Textosinformato"/>
        <w:rPr>
          <w:rFonts w:ascii="Palatino Linotype" w:eastAsia="MS Mincho" w:hAnsi="Palatino Linotype" w:cs="Arial"/>
          <w:b/>
          <w:bCs/>
          <w:sz w:val="14"/>
          <w:szCs w:val="14"/>
        </w:rPr>
      </w:pPr>
      <w:r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p w:rsidR="00CA554A" w:rsidRDefault="00CA554A" w:rsidP="00224968">
      <w:pPr>
        <w:spacing w:before="240"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sectPr w:rsidR="00CA554A" w:rsidSect="008079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133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DA" w:rsidRDefault="00422BDA" w:rsidP="00B14643">
      <w:r>
        <w:separator/>
      </w:r>
    </w:p>
  </w:endnote>
  <w:endnote w:type="continuationSeparator" w:id="1">
    <w:p w:rsidR="00422BDA" w:rsidRDefault="00422BDA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Pr="00723B61" w:rsidRDefault="00422BDA">
    <w:pPr>
      <w:pStyle w:val="Piedepgina"/>
      <w:jc w:val="right"/>
      <w:rPr>
        <w:rFonts w:ascii="Palatino Linotype" w:hAnsi="Palatino Linotype"/>
      </w:rPr>
    </w:pPr>
  </w:p>
  <w:p w:rsidR="00422BDA" w:rsidRDefault="00422B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Pr="00723B61" w:rsidRDefault="00422BDA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Pr="00723B61">
      <w:rPr>
        <w:rFonts w:ascii="Palatino Linotype" w:hAnsi="Palatino Linotype"/>
        <w:b/>
        <w:sz w:val="24"/>
        <w:szCs w:val="24"/>
      </w:rPr>
      <w:fldChar w:fldCharType="separate"/>
    </w:r>
    <w:r w:rsidR="00224968">
      <w:rPr>
        <w:rFonts w:ascii="Palatino Linotype" w:hAnsi="Palatino Linotype"/>
        <w:b/>
        <w:noProof/>
      </w:rPr>
      <w:t>1</w:t>
    </w:r>
    <w:r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224968">
      <w:rPr>
        <w:rFonts w:ascii="Palatino Linotype" w:hAnsi="Palatino Linotype"/>
        <w:b/>
      </w:rPr>
      <w:t>8</w:t>
    </w:r>
  </w:p>
  <w:p w:rsidR="00422BDA" w:rsidRDefault="00422B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DA" w:rsidRDefault="00422BDA" w:rsidP="00B14643">
      <w:r>
        <w:separator/>
      </w:r>
    </w:p>
  </w:footnote>
  <w:footnote w:type="continuationSeparator" w:id="1">
    <w:p w:rsidR="00422BDA" w:rsidRDefault="00422BDA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Default="00422BDA">
    <w:pPr>
      <w:pStyle w:val="Encabezado"/>
      <w:rPr>
        <w:lang w:val="es-EC"/>
      </w:rPr>
    </w:pPr>
  </w:p>
  <w:p w:rsidR="00422BDA" w:rsidRDefault="00422BDA">
    <w:pPr>
      <w:pStyle w:val="Encabezado"/>
      <w:rPr>
        <w:lang w:val="es-EC"/>
      </w:rPr>
    </w:pPr>
  </w:p>
  <w:p w:rsidR="00422BDA" w:rsidRDefault="00422BDA">
    <w:pPr>
      <w:pStyle w:val="Encabezado"/>
      <w:rPr>
        <w:lang w:val="es-EC"/>
      </w:rPr>
    </w:pPr>
  </w:p>
  <w:p w:rsidR="00422BDA" w:rsidRDefault="00422BDA">
    <w:pPr>
      <w:pStyle w:val="Encabezado"/>
      <w:rPr>
        <w:lang w:val="es-EC"/>
      </w:rPr>
    </w:pPr>
  </w:p>
  <w:p w:rsidR="00422BDA" w:rsidRDefault="00422BDA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422BDA" w:rsidRPr="00476B21" w:rsidRDefault="00422BDA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422BDA" w:rsidRPr="00150606" w:rsidRDefault="00422BDA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Default="00422BD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422BDA" w:rsidRPr="00476B21" w:rsidRDefault="00422BDA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422BDA" w:rsidRDefault="00422BD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DA" w:rsidRDefault="00422B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E7148"/>
    <w:multiLevelType w:val="hybridMultilevel"/>
    <w:tmpl w:val="50BA40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2"/>
  </w:num>
  <w:num w:numId="11">
    <w:abstractNumId w:val="27"/>
  </w:num>
  <w:num w:numId="12">
    <w:abstractNumId w:val="1"/>
  </w:num>
  <w:num w:numId="13">
    <w:abstractNumId w:val="28"/>
  </w:num>
  <w:num w:numId="14">
    <w:abstractNumId w:val="22"/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6"/>
  </w:num>
  <w:num w:numId="20">
    <w:abstractNumId w:val="18"/>
  </w:num>
  <w:num w:numId="21">
    <w:abstractNumId w:val="25"/>
  </w:num>
  <w:num w:numId="22">
    <w:abstractNumId w:val="17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8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75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90566"/>
    <w:rsid w:val="000926DD"/>
    <w:rsid w:val="000950B5"/>
    <w:rsid w:val="00097181"/>
    <w:rsid w:val="000A0F48"/>
    <w:rsid w:val="000A124A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20E90"/>
    <w:rsid w:val="002224A1"/>
    <w:rsid w:val="00224968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34FF"/>
    <w:rsid w:val="00383E00"/>
    <w:rsid w:val="003843CA"/>
    <w:rsid w:val="003843DB"/>
    <w:rsid w:val="003870B9"/>
    <w:rsid w:val="003946FB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2BD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4932"/>
    <w:rsid w:val="0048545E"/>
    <w:rsid w:val="004868B3"/>
    <w:rsid w:val="00487381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724E"/>
    <w:rsid w:val="00510372"/>
    <w:rsid w:val="00511176"/>
    <w:rsid w:val="00516E13"/>
    <w:rsid w:val="00516FFD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64B1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67CBB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E9E"/>
    <w:rsid w:val="00817FE4"/>
    <w:rsid w:val="00833268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463"/>
    <w:rsid w:val="00923B99"/>
    <w:rsid w:val="00923EC9"/>
    <w:rsid w:val="00924A8D"/>
    <w:rsid w:val="00926E41"/>
    <w:rsid w:val="00927C76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9F7CD5"/>
    <w:rsid w:val="00A01024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4F2B"/>
    <w:rsid w:val="00A452E0"/>
    <w:rsid w:val="00A453EC"/>
    <w:rsid w:val="00A462FC"/>
    <w:rsid w:val="00A51A1E"/>
    <w:rsid w:val="00A5219A"/>
    <w:rsid w:val="00A52DF1"/>
    <w:rsid w:val="00A5608D"/>
    <w:rsid w:val="00A571E2"/>
    <w:rsid w:val="00A575B7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6186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69D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EBD"/>
    <w:rsid w:val="00B6630F"/>
    <w:rsid w:val="00B742EF"/>
    <w:rsid w:val="00B74318"/>
    <w:rsid w:val="00B7468B"/>
    <w:rsid w:val="00B747F5"/>
    <w:rsid w:val="00B74F7F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6E0B"/>
    <w:rsid w:val="00C27958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E751E"/>
    <w:rsid w:val="00CF350D"/>
    <w:rsid w:val="00CF3C94"/>
    <w:rsid w:val="00CF6872"/>
    <w:rsid w:val="00D005A3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26767"/>
    <w:rsid w:val="00D3024F"/>
    <w:rsid w:val="00D30AB5"/>
    <w:rsid w:val="00D31D72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46CCC"/>
    <w:rsid w:val="00E506FA"/>
    <w:rsid w:val="00E515DC"/>
    <w:rsid w:val="00E51A77"/>
    <w:rsid w:val="00E552C1"/>
    <w:rsid w:val="00E60674"/>
    <w:rsid w:val="00E64F9D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355D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620E-DFCF-4A5F-8342-5132978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2875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10</cp:revision>
  <cp:lastPrinted>2015-06-01T22:35:00Z</cp:lastPrinted>
  <dcterms:created xsi:type="dcterms:W3CDTF">2015-05-13T15:48:00Z</dcterms:created>
  <dcterms:modified xsi:type="dcterms:W3CDTF">2015-06-04T22:57:00Z</dcterms:modified>
</cp:coreProperties>
</file>