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5E25E" w14:textId="77777777" w:rsidR="00464F06" w:rsidRPr="00535110" w:rsidRDefault="00464F06" w:rsidP="00A74958">
      <w:pPr>
        <w:spacing w:after="120" w:line="276" w:lineRule="auto"/>
        <w:jc w:val="center"/>
        <w:rPr>
          <w:rFonts w:ascii="Palatino Linotype" w:hAnsi="Palatino Linotype"/>
          <w:sz w:val="22"/>
          <w:szCs w:val="22"/>
          <w:lang w:val="es-ES_tradnl"/>
        </w:rPr>
      </w:pPr>
      <w:bookmarkStart w:id="0" w:name="_GoBack"/>
      <w:bookmarkEnd w:id="0"/>
      <w:r w:rsidRPr="00535110">
        <w:rPr>
          <w:rFonts w:ascii="Palatino Linotype" w:eastAsia="Palatino Linotype" w:hAnsi="Palatino Linotype" w:cs="Palatino Linotype"/>
          <w:b/>
          <w:sz w:val="22"/>
          <w:szCs w:val="22"/>
          <w:lang w:val="es-ES_tradnl"/>
        </w:rPr>
        <w:t>EXPOSICIÓN DE MOTIVOS</w:t>
      </w:r>
    </w:p>
    <w:p w14:paraId="22D2CDB8"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La expansión de Quito en la meseta superior y los valles bajos es resultado mayormente de procesos espontáneos de ocupación. Esta falta de contención territorial de la expansión del espacio urbanizado y la falta de coordinación entre sistemas urbanos y sistemas ecológicos, ha causado gran depredación del recurso suelo y deterioro del paisaje natural y presión del suelo agrícola sobre espacios de protección ecológica (PMDOT 2015, p. 116). </w:t>
      </w:r>
    </w:p>
    <w:p w14:paraId="61BD9EA5"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El tejido urbano del Distrito Metropolitano de Quito se caracteriza por ser extremadamente expansivo, disperso y poroso, algo que ha causado la existencia de una gran cantidad de vacíos urbanos poco utilizados. Esta realidad contradice la lógica de compactación que una ciudad asentada en una geografía tan compleja como la de los Andes debería tener (PMDOT 2015, p. 129).</w:t>
      </w:r>
    </w:p>
    <w:p w14:paraId="2C661A15"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Igualmente, la condición dispersa y porosa de la ciudad ha generado una ausencia de un sistema de centralidades </w:t>
      </w:r>
      <w:proofErr w:type="spellStart"/>
      <w:r w:rsidRPr="00535110">
        <w:rPr>
          <w:rFonts w:ascii="Palatino Linotype" w:eastAsia="Palatino Linotype" w:hAnsi="Palatino Linotype" w:cs="Palatino Linotype"/>
          <w:sz w:val="22"/>
          <w:szCs w:val="22"/>
          <w:lang w:val="es-ES_tradnl"/>
        </w:rPr>
        <w:t>multi</w:t>
      </w:r>
      <w:proofErr w:type="spellEnd"/>
      <w:r w:rsidRPr="00535110">
        <w:rPr>
          <w:rFonts w:ascii="Palatino Linotype" w:eastAsia="Palatino Linotype" w:hAnsi="Palatino Linotype" w:cs="Palatino Linotype"/>
          <w:sz w:val="22"/>
          <w:szCs w:val="22"/>
          <w:lang w:val="es-ES_tradnl"/>
        </w:rPr>
        <w:t>-nodal y multifuncional y una ausencia de estructura integrada de espacio público y áreas verdes al igual que desigualdad en distribución territorial de espacios públicos de calidad. Varios de los servicios, equipamientos, y accesos a espacios públicos se han posicionado en los que se llama el Híper Centro, dejando al resto del territorio íngrimo y desabastecido (PMDOT 2015, p. 129).</w:t>
      </w:r>
    </w:p>
    <w:p w14:paraId="49278696" w14:textId="77777777" w:rsidR="00927FD9" w:rsidRPr="00535110" w:rsidRDefault="00464F06" w:rsidP="00927FD9">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El Plan Metropolitano de Desarrollo y Ordenamiento Territorial determina las políticas, objetivos y modelo de ordenamiento territorial para el desarrollo del Distrito Metropolitano de Quito, con una visión de</w:t>
      </w:r>
      <w:r w:rsidR="00927FD9" w:rsidRPr="00535110">
        <w:rPr>
          <w:rFonts w:ascii="Palatino Linotype" w:eastAsia="Palatino Linotype" w:hAnsi="Palatino Linotype" w:cs="Palatino Linotype"/>
          <w:sz w:val="22"/>
          <w:szCs w:val="22"/>
          <w:lang w:val="es-ES_tradnl"/>
        </w:rPr>
        <w:t xml:space="preserve"> corto, mediano y largo plazo. </w:t>
      </w:r>
    </w:p>
    <w:p w14:paraId="768C584A" w14:textId="10348037" w:rsidR="00464F06" w:rsidRPr="00535110" w:rsidRDefault="00464F06" w:rsidP="00927FD9">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Las bases conceptuales del PMDOT para la construcción del modelo territorial son: </w:t>
      </w:r>
    </w:p>
    <w:p w14:paraId="5C1956B4" w14:textId="77777777" w:rsidR="00464F06" w:rsidRPr="00535110" w:rsidRDefault="00464F06" w:rsidP="00A74958">
      <w:pPr>
        <w:numPr>
          <w:ilvl w:val="0"/>
          <w:numId w:val="15"/>
        </w:numPr>
        <w:spacing w:after="120" w:line="276" w:lineRule="auto"/>
        <w:ind w:left="63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 xml:space="preserve">Compactación y re densificación del espacio urbano consolidado, a través de la compactación del tejido urbano y el aumento considerable de la densificación edificatoria y poblacional. </w:t>
      </w:r>
    </w:p>
    <w:p w14:paraId="532030ED" w14:textId="77777777" w:rsidR="00464F06" w:rsidRPr="00535110" w:rsidRDefault="00464F06" w:rsidP="00A74958">
      <w:pPr>
        <w:numPr>
          <w:ilvl w:val="0"/>
          <w:numId w:val="15"/>
        </w:numPr>
        <w:spacing w:after="120" w:line="276" w:lineRule="auto"/>
        <w:ind w:left="63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 xml:space="preserve">Consolidación de una estructura metropolitana de archipiélago y de un sistema de ordenamiento territorial </w:t>
      </w:r>
      <w:proofErr w:type="spellStart"/>
      <w:r w:rsidRPr="00535110">
        <w:rPr>
          <w:rFonts w:ascii="Palatino Linotype" w:eastAsia="Palatino Linotype" w:hAnsi="Palatino Linotype" w:cs="Palatino Linotype"/>
          <w:color w:val="000000"/>
          <w:sz w:val="22"/>
          <w:szCs w:val="22"/>
          <w:lang w:val="es-ES_tradnl"/>
        </w:rPr>
        <w:t>policéntrico</w:t>
      </w:r>
      <w:proofErr w:type="spellEnd"/>
      <w:r w:rsidRPr="00535110">
        <w:rPr>
          <w:rFonts w:ascii="Palatino Linotype" w:eastAsia="Palatino Linotype" w:hAnsi="Palatino Linotype" w:cs="Palatino Linotype"/>
          <w:color w:val="000000"/>
          <w:sz w:val="22"/>
          <w:szCs w:val="22"/>
          <w:lang w:val="es-ES_tradnl"/>
        </w:rPr>
        <w:t xml:space="preserve">. Mediante el establecimiento de límites precisos que contengan el tejido urbano consolidado, constituyendo un sistema de islas urbanas que se despliegan de manera controlada sobre el territorio, garantizando la coexistencia de la mancha urbana con la complejidad y riqueza de la ecología sobre el territorio geográfico del Distrito Metropolitano y erradicando la condición actual de </w:t>
      </w:r>
      <w:proofErr w:type="spellStart"/>
      <w:r w:rsidRPr="00535110">
        <w:rPr>
          <w:rFonts w:ascii="Palatino Linotype" w:eastAsia="Palatino Linotype" w:hAnsi="Palatino Linotype" w:cs="Palatino Linotype"/>
          <w:color w:val="000000"/>
          <w:sz w:val="22"/>
          <w:szCs w:val="22"/>
          <w:lang w:val="es-ES_tradnl"/>
        </w:rPr>
        <w:t>semi</w:t>
      </w:r>
      <w:proofErr w:type="spellEnd"/>
      <w:r w:rsidRPr="00535110">
        <w:rPr>
          <w:rFonts w:ascii="Palatino Linotype" w:eastAsia="Palatino Linotype" w:hAnsi="Palatino Linotype" w:cs="Palatino Linotype"/>
          <w:color w:val="000000"/>
          <w:sz w:val="22"/>
          <w:szCs w:val="22"/>
          <w:lang w:val="es-ES_tradnl"/>
        </w:rPr>
        <w:t xml:space="preserve">-urbanización. </w:t>
      </w:r>
    </w:p>
    <w:p w14:paraId="1501CADE" w14:textId="77777777" w:rsidR="00464F06" w:rsidRPr="00535110" w:rsidRDefault="00464F06" w:rsidP="00A74958">
      <w:pPr>
        <w:numPr>
          <w:ilvl w:val="0"/>
          <w:numId w:val="15"/>
        </w:numPr>
        <w:spacing w:after="120" w:line="276" w:lineRule="auto"/>
        <w:ind w:left="63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lastRenderedPageBreak/>
        <w:t xml:space="preserve">Construcción de una infraestructura verde transversal y </w:t>
      </w:r>
      <w:proofErr w:type="spellStart"/>
      <w:r w:rsidRPr="00535110">
        <w:rPr>
          <w:rFonts w:ascii="Palatino Linotype" w:eastAsia="Palatino Linotype" w:hAnsi="Palatino Linotype" w:cs="Palatino Linotype"/>
          <w:color w:val="000000"/>
          <w:sz w:val="22"/>
          <w:szCs w:val="22"/>
          <w:lang w:val="es-ES_tradnl"/>
        </w:rPr>
        <w:t>multiescalar</w:t>
      </w:r>
      <w:proofErr w:type="spellEnd"/>
      <w:r w:rsidRPr="00535110">
        <w:rPr>
          <w:rFonts w:ascii="Palatino Linotype" w:eastAsia="Palatino Linotype" w:hAnsi="Palatino Linotype" w:cs="Palatino Linotype"/>
          <w:color w:val="000000"/>
          <w:sz w:val="22"/>
          <w:szCs w:val="22"/>
          <w:lang w:val="es-ES_tradnl"/>
        </w:rPr>
        <w:t>, que permita reconectar los sistemas ecológicos que han quedado interrumpidos por el desarrollo de un espacio urbano consolidado extremadamente largo y estrecho. Existe una gradiente ecológica de alto valor que se desarrolla fundamentalmente, a grandes rasgos, en la dirección este – oeste, por lo que se pretende adecuar el tejido urbano, a través de corredores ecológicos transversales.</w:t>
      </w:r>
    </w:p>
    <w:p w14:paraId="00D0672A" w14:textId="77777777" w:rsidR="00464F06" w:rsidRPr="00535110" w:rsidRDefault="00464F06" w:rsidP="00A74958">
      <w:pPr>
        <w:numPr>
          <w:ilvl w:val="0"/>
          <w:numId w:val="15"/>
        </w:numPr>
        <w:spacing w:after="120" w:line="276" w:lineRule="auto"/>
        <w:ind w:left="63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 xml:space="preserve">Entendimiento de las condiciones fisiográficas del territorio metropolitano como una condición fundamental del ordenamiento territorial y urbano. El modelo territorial propuesto considera la geografía como un elemento articulador del ordenamiento territorial que trascenderá a escala regional para impactar sobre todas las escalas, incluida la local. </w:t>
      </w:r>
    </w:p>
    <w:p w14:paraId="1DB0E8FA" w14:textId="77777777" w:rsidR="00464F06" w:rsidRPr="00535110" w:rsidRDefault="00464F06" w:rsidP="00A74958">
      <w:pPr>
        <w:spacing w:after="120" w:line="276" w:lineRule="auto"/>
        <w:ind w:firstLine="630"/>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Con estos lineamientos, se busca densificar el espacio urbano ya consolidado, y crear centralidades dinámicas, con identidad metropolitana; que la ciudad crezca de forma interna generando un urbanismo dinámico, peatonal y atractivo y que esto dé un paro al continuo abandono urbano en busca de nuevas tierras rurales, condición crónica en la ciudad (PMDOT 2015, p. 116).</w:t>
      </w:r>
    </w:p>
    <w:p w14:paraId="75BAF13D"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El PMDOT 2015-2025 define, delimita y caracteriza un sistema jerarquizado de centralidades y sub-centralidades que compone el modelo de ordenamiento territorial del Distrito Metropolitano de Quito. Esta configuración territorial, basada en la conformación de centros y sub-centros adecuadamente interconectados entre ellos, requiere de una alta correspondencia e integración entre las políticas de uso y ocupación del suelo y de movilidad, con la finalidad de que los beneficios vinculados a un modelo territorial que se fundamenta en los principios de una ciudad compacta, mixta, densa se materialicen en zonas adecuadamente servidas por los sistemas masivos de transporte público evitando así los altos costos de congestión y contaminación que caracterizan los actuales patrones de movilidad urbana. </w:t>
      </w:r>
    </w:p>
    <w:p w14:paraId="7CBC5F57"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Tal es así que el Plan Metropolitano de Desarrollo y Ordenamiento Territorial determina que la forma de organización del territorio, para lograr un desarrollo sostenible, debe incorporar a la movilidad como elemento articulador entre el desarrollo y territorio. </w:t>
      </w:r>
    </w:p>
    <w:p w14:paraId="34C709F3"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Con esta base, se debe tener en cuenta que la ciudad de Quito está cercana a una de las transformaciones más importantes de su historia: el inicio de la operación del Metro de Quito. Este proyecto de transporte público masivo, que se encuentra en un avanzado estado de ejecución, modificará la matriz de la movilidad y transformará las dinámicas urbanas de la ciudad capital. </w:t>
      </w:r>
    </w:p>
    <w:p w14:paraId="628A51A2" w14:textId="643CB3F5"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 xml:space="preserve">Entre los retos más importantes en relación a la operación del Metro de Quito y su incorporación al sistema de transporte público de la ciudad como su eje vertebral, se encuentra la necesidad de que este sistema se articule con el desarrollo urbano de la ciudad, a través de una estrategia de desarrollo orientada al transporte (DOT). El principio rector del DOT es aprovechar la disposición de los nodos de transporte (estaciones del metro y de los corredores exclusivos) para consolidar zonas de mayor </w:t>
      </w:r>
      <w:r w:rsidR="00A74958" w:rsidRPr="00535110">
        <w:rPr>
          <w:rFonts w:ascii="Palatino Linotype" w:eastAsia="Palatino Linotype" w:hAnsi="Palatino Linotype" w:cs="Palatino Linotype"/>
          <w:sz w:val="22"/>
          <w:szCs w:val="22"/>
          <w:lang w:val="es-ES_tradnl"/>
        </w:rPr>
        <w:t>aprovechamiento y</w:t>
      </w:r>
      <w:r w:rsidRPr="00535110">
        <w:rPr>
          <w:rFonts w:ascii="Palatino Linotype" w:eastAsia="Palatino Linotype" w:hAnsi="Palatino Linotype" w:cs="Palatino Linotype"/>
          <w:sz w:val="22"/>
          <w:szCs w:val="22"/>
          <w:lang w:val="es-ES_tradnl"/>
        </w:rPr>
        <w:t xml:space="preserve"> densidad en las cuales se localicen fuentes de trabajo, comercio, residencia, ocio, equipamientos y servicios. </w:t>
      </w:r>
    </w:p>
    <w:p w14:paraId="67825D2F"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En términos generales la estrategia de DOT busca generar una mezcla de usos que incremente el nivel de atracción del nodo y del lugar en conjunto, con la existencia de espacio público de calidad (Instituto de la Ciudad, 2017). Las estrategias de DOT generan beneficios tanto para el sistema de transporte (ej. concentración de la demanda, atracción de pasajeros, equilibrio de flujos), como para el desarrollo urbano (ej. compactación, densificación, disminución de la polución) y consideran al espacio público como un componente esencial de la intervención en el áreas de influencia de los nodos de transporte, pues en el confluyen múltiples dimensiones que viabilizan una mayor eficiencia urbana en términos de densidad, conectividad, accesibilidad, ambiente, seguridad, convivencia, dinamismo económico, activación cultural e imagen urbana, por citar algunos de los más importantes. </w:t>
      </w:r>
    </w:p>
    <w:p w14:paraId="4F7616F3"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De esta forma, el espacio público adquiere un rol primario como elemento estructurador de la ciudad, vector de la conexión peatón-transporte masivo y ámbito físico de estancia para el disfrute y ejercicio del derecho a la ciudad. Sin embargo, para que estos beneficios se puedan concretar, se debe lograr la coordinación de las inversiones en transporte y desarrollo urbano (Lincoln </w:t>
      </w:r>
      <w:proofErr w:type="spellStart"/>
      <w:r w:rsidRPr="00535110">
        <w:rPr>
          <w:rFonts w:ascii="Palatino Linotype" w:eastAsia="Palatino Linotype" w:hAnsi="Palatino Linotype" w:cs="Palatino Linotype"/>
          <w:sz w:val="22"/>
          <w:szCs w:val="22"/>
          <w:lang w:val="es-ES_tradnl"/>
        </w:rPr>
        <w:t>Institute</w:t>
      </w:r>
      <w:proofErr w:type="spellEnd"/>
      <w:r w:rsidRPr="00535110">
        <w:rPr>
          <w:rFonts w:ascii="Palatino Linotype" w:eastAsia="Palatino Linotype" w:hAnsi="Palatino Linotype" w:cs="Palatino Linotype"/>
          <w:sz w:val="22"/>
          <w:szCs w:val="22"/>
          <w:lang w:val="es-ES_tradnl"/>
        </w:rPr>
        <w:t xml:space="preserve"> of </w:t>
      </w:r>
      <w:proofErr w:type="spellStart"/>
      <w:r w:rsidRPr="00535110">
        <w:rPr>
          <w:rFonts w:ascii="Palatino Linotype" w:eastAsia="Palatino Linotype" w:hAnsi="Palatino Linotype" w:cs="Palatino Linotype"/>
          <w:sz w:val="22"/>
          <w:szCs w:val="22"/>
          <w:lang w:val="es-ES_tradnl"/>
        </w:rPr>
        <w:t>Land</w:t>
      </w:r>
      <w:proofErr w:type="spellEnd"/>
      <w:r w:rsidRPr="00535110">
        <w:rPr>
          <w:rFonts w:ascii="Palatino Linotype" w:eastAsia="Palatino Linotype" w:hAnsi="Palatino Linotype" w:cs="Palatino Linotype"/>
          <w:sz w:val="22"/>
          <w:szCs w:val="22"/>
          <w:lang w:val="es-ES_tradnl"/>
        </w:rPr>
        <w:t xml:space="preserve"> </w:t>
      </w:r>
      <w:proofErr w:type="spellStart"/>
      <w:r w:rsidRPr="00535110">
        <w:rPr>
          <w:rFonts w:ascii="Palatino Linotype" w:eastAsia="Palatino Linotype" w:hAnsi="Palatino Linotype" w:cs="Palatino Linotype"/>
          <w:sz w:val="22"/>
          <w:szCs w:val="22"/>
          <w:lang w:val="es-ES_tradnl"/>
        </w:rPr>
        <w:t>Policy</w:t>
      </w:r>
      <w:proofErr w:type="spellEnd"/>
      <w:r w:rsidRPr="00535110">
        <w:rPr>
          <w:rFonts w:ascii="Palatino Linotype" w:eastAsia="Palatino Linotype" w:hAnsi="Palatino Linotype" w:cs="Palatino Linotype"/>
          <w:sz w:val="22"/>
          <w:szCs w:val="22"/>
          <w:lang w:val="es-ES_tradnl"/>
        </w:rPr>
        <w:t xml:space="preserve">, 2016). </w:t>
      </w:r>
    </w:p>
    <w:p w14:paraId="4AC76AC1" w14:textId="73D8A1F8" w:rsidR="00464F06" w:rsidRPr="00535110" w:rsidRDefault="00464F06" w:rsidP="00A74958">
      <w:pPr>
        <w:spacing w:after="120" w:line="276" w:lineRule="auto"/>
        <w:ind w:firstLine="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 xml:space="preserve">La figura de incremento de edificabilidad que hace referencia a estrategias ambientalmente responsables, estipulada en el literal d) del </w:t>
      </w:r>
      <w:r w:rsidR="00A74958" w:rsidRPr="00535110">
        <w:rPr>
          <w:rFonts w:ascii="Palatino Linotype" w:eastAsia="Palatino Linotype" w:hAnsi="Palatino Linotype" w:cs="Palatino Linotype"/>
          <w:color w:val="000000"/>
          <w:sz w:val="22"/>
          <w:szCs w:val="22"/>
          <w:lang w:val="es-ES_tradnl"/>
        </w:rPr>
        <w:t>a</w:t>
      </w:r>
      <w:r w:rsidRPr="00535110">
        <w:rPr>
          <w:rFonts w:ascii="Palatino Linotype" w:eastAsia="Palatino Linotype" w:hAnsi="Palatino Linotype" w:cs="Palatino Linotype"/>
          <w:color w:val="000000"/>
          <w:sz w:val="22"/>
          <w:szCs w:val="22"/>
          <w:lang w:val="es-ES_tradnl"/>
        </w:rPr>
        <w:t xml:space="preserve">rtículo… (96) de la Ordenanza Metropolitana No. 172, reformada por la Ordenanza Metropolitana </w:t>
      </w:r>
      <w:r w:rsidR="00A74958" w:rsidRPr="00535110">
        <w:rPr>
          <w:rFonts w:ascii="Palatino Linotype" w:eastAsia="Palatino Linotype" w:hAnsi="Palatino Linotype" w:cs="Palatino Linotype"/>
          <w:color w:val="000000"/>
          <w:sz w:val="22"/>
          <w:szCs w:val="22"/>
          <w:lang w:val="es-ES_tradnl"/>
        </w:rPr>
        <w:t xml:space="preserve">No. </w:t>
      </w:r>
      <w:r w:rsidRPr="00535110">
        <w:rPr>
          <w:rFonts w:ascii="Palatino Linotype" w:eastAsia="Palatino Linotype" w:hAnsi="Palatino Linotype" w:cs="Palatino Linotype"/>
          <w:color w:val="000000"/>
          <w:sz w:val="22"/>
          <w:szCs w:val="22"/>
          <w:lang w:val="es-ES_tradnl"/>
        </w:rPr>
        <w:t>0432, es limitada en comparación con la amplia variedad de estrategias relacionadas al consumo eficiente del agua, energía, aportes tecnológicos, etc. que existen actualmente o que se pueden desarrollar en un futuro. El inciso citado menciona lo siguiente: “</w:t>
      </w:r>
      <w:r w:rsidRPr="00535110">
        <w:rPr>
          <w:rFonts w:ascii="Palatino Linotype" w:eastAsia="Palatino Linotype" w:hAnsi="Palatino Linotype" w:cs="Palatino Linotype"/>
          <w:i/>
          <w:color w:val="000000"/>
          <w:sz w:val="22"/>
          <w:szCs w:val="22"/>
          <w:lang w:val="es-ES_tradnl"/>
        </w:rPr>
        <w:t>d) Construcciones que privilegien la reutilización de aguas servidas, garanticen limitaciones de consumo de energía y agua, y en general las que sean un aporte paisajístico, ambiental y tecnológico a la ciudad</w:t>
      </w:r>
      <w:r w:rsidRPr="00535110">
        <w:rPr>
          <w:rFonts w:ascii="Palatino Linotype" w:eastAsia="Palatino Linotype" w:hAnsi="Palatino Linotype" w:cs="Palatino Linotype"/>
          <w:color w:val="000000"/>
          <w:sz w:val="22"/>
          <w:szCs w:val="22"/>
          <w:lang w:val="es-ES_tradnl"/>
        </w:rPr>
        <w:t xml:space="preserve">”. Dicha definición, por ejemplo, no contempla estrategias relacionadas al manejo de la escorrentía urbana, movilidad sostenible, manejo y gestión de residuos sólidos, aportes a la biodiversidad, mitigación y adaptación al cambio </w:t>
      </w:r>
      <w:r w:rsidRPr="00535110">
        <w:rPr>
          <w:rFonts w:ascii="Palatino Linotype" w:eastAsia="Palatino Linotype" w:hAnsi="Palatino Linotype" w:cs="Palatino Linotype"/>
          <w:color w:val="000000"/>
          <w:sz w:val="22"/>
          <w:szCs w:val="22"/>
          <w:lang w:val="es-ES_tradnl"/>
        </w:rPr>
        <w:lastRenderedPageBreak/>
        <w:t xml:space="preserve">climático, agricultura urbana, y muchas otras estrategias innovadoras, que pueden aportar al desempeño eco-eficiente de la ciudad y sus edificios. </w:t>
      </w:r>
    </w:p>
    <w:p w14:paraId="35AC1674" w14:textId="5A29D079" w:rsidR="00464F06" w:rsidRPr="00535110" w:rsidRDefault="00A74958" w:rsidP="00A74958">
      <w:pPr>
        <w:spacing w:after="120" w:line="276" w:lineRule="auto"/>
        <w:ind w:hanging="720"/>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color w:val="000000"/>
          <w:sz w:val="22"/>
          <w:szCs w:val="22"/>
          <w:lang w:val="es-ES_tradnl"/>
        </w:rPr>
        <w:tab/>
      </w:r>
      <w:r w:rsidRPr="00535110">
        <w:rPr>
          <w:rFonts w:ascii="Palatino Linotype" w:eastAsia="Palatino Linotype" w:hAnsi="Palatino Linotype" w:cs="Palatino Linotype"/>
          <w:color w:val="000000"/>
          <w:sz w:val="22"/>
          <w:szCs w:val="22"/>
          <w:lang w:val="es-ES_tradnl"/>
        </w:rPr>
        <w:tab/>
      </w:r>
      <w:r w:rsidR="00464F06" w:rsidRPr="00535110">
        <w:rPr>
          <w:rFonts w:ascii="Palatino Linotype" w:eastAsia="Palatino Linotype" w:hAnsi="Palatino Linotype" w:cs="Palatino Linotype"/>
          <w:sz w:val="22"/>
          <w:szCs w:val="22"/>
          <w:lang w:val="es-ES_tradnl"/>
        </w:rPr>
        <w:t xml:space="preserve">Por lo que se propone cambiar el nombre de la figura de incremento de edificabilidad estipulado en el literal d) del </w:t>
      </w:r>
      <w:r w:rsidRPr="00535110">
        <w:rPr>
          <w:rFonts w:ascii="Palatino Linotype" w:eastAsia="Palatino Linotype" w:hAnsi="Palatino Linotype" w:cs="Palatino Linotype"/>
          <w:sz w:val="22"/>
          <w:szCs w:val="22"/>
          <w:lang w:val="es-ES_tradnl"/>
        </w:rPr>
        <w:t>a</w:t>
      </w:r>
      <w:r w:rsidR="00464F06" w:rsidRPr="00535110">
        <w:rPr>
          <w:rFonts w:ascii="Palatino Linotype" w:eastAsia="Palatino Linotype" w:hAnsi="Palatino Linotype" w:cs="Palatino Linotype"/>
          <w:sz w:val="22"/>
          <w:szCs w:val="22"/>
          <w:lang w:val="es-ES_tradnl"/>
        </w:rPr>
        <w:t xml:space="preserve">rtículo… (96) de la Ordenanza Metropolitana No. 172, reformada por la Ordenanza Metropolitana </w:t>
      </w:r>
      <w:r w:rsidRPr="00535110">
        <w:rPr>
          <w:rFonts w:ascii="Palatino Linotype" w:eastAsia="Palatino Linotype" w:hAnsi="Palatino Linotype" w:cs="Palatino Linotype"/>
          <w:sz w:val="22"/>
          <w:szCs w:val="22"/>
          <w:lang w:val="es-ES_tradnl"/>
        </w:rPr>
        <w:t xml:space="preserve">No. </w:t>
      </w:r>
      <w:r w:rsidR="00464F06" w:rsidRPr="00535110">
        <w:rPr>
          <w:rFonts w:ascii="Palatino Linotype" w:eastAsia="Palatino Linotype" w:hAnsi="Palatino Linotype" w:cs="Palatino Linotype"/>
          <w:sz w:val="22"/>
          <w:szCs w:val="22"/>
          <w:lang w:val="es-ES_tradnl"/>
        </w:rPr>
        <w:t>0432, por el nombre de “</w:t>
      </w:r>
      <w:r w:rsidR="00464F06" w:rsidRPr="00535110">
        <w:rPr>
          <w:rFonts w:ascii="Palatino Linotype" w:eastAsia="Palatino Linotype" w:hAnsi="Palatino Linotype" w:cs="Palatino Linotype"/>
          <w:i/>
          <w:sz w:val="22"/>
          <w:szCs w:val="22"/>
          <w:lang w:val="es-ES_tradnl"/>
        </w:rPr>
        <w:t xml:space="preserve">En proyectos eco-eficientes ubicados en las </w:t>
      </w:r>
      <w:r w:rsidR="00464F06" w:rsidRPr="00535110">
        <w:rPr>
          <w:rFonts w:ascii="Palatino Linotype" w:eastAsia="Palatino Linotype" w:hAnsi="Palatino Linotype" w:cs="Palatino Linotype"/>
          <w:i/>
          <w:color w:val="000000"/>
          <w:sz w:val="22"/>
          <w:szCs w:val="22"/>
          <w:lang w:val="es-ES_tradnl"/>
        </w:rPr>
        <w:t>áreas de influencia del sistema metropolitano de transporte.</w:t>
      </w:r>
      <w:r w:rsidR="00464F06" w:rsidRPr="00535110">
        <w:rPr>
          <w:rFonts w:ascii="Palatino Linotype" w:eastAsia="Palatino Linotype" w:hAnsi="Palatino Linotype" w:cs="Palatino Linotype"/>
          <w:color w:val="000000"/>
          <w:sz w:val="22"/>
          <w:szCs w:val="22"/>
          <w:lang w:val="es-ES_tradnl"/>
        </w:rPr>
        <w:t>”</w:t>
      </w:r>
    </w:p>
    <w:p w14:paraId="0BDDE8C6" w14:textId="6D2B5246"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Para efectos de la presente Ordenanza, la eco-eficiencia es el conjunto de conceptos y estrategias que promueven el desarrollo urbano sosteni</w:t>
      </w:r>
      <w:r w:rsidR="00A74958" w:rsidRPr="00535110">
        <w:rPr>
          <w:rFonts w:ascii="Palatino Linotype" w:eastAsia="Palatino Linotype" w:hAnsi="Palatino Linotype" w:cs="Palatino Linotype"/>
          <w:sz w:val="22"/>
          <w:szCs w:val="22"/>
          <w:lang w:val="es-ES_tradnl"/>
        </w:rPr>
        <w:t xml:space="preserve">ble mediante edificaciones que </w:t>
      </w:r>
      <w:r w:rsidRPr="00535110">
        <w:rPr>
          <w:rFonts w:ascii="Palatino Linotype" w:eastAsia="Palatino Linotype" w:hAnsi="Palatino Linotype" w:cs="Palatino Linotype"/>
          <w:sz w:val="22"/>
          <w:szCs w:val="22"/>
          <w:lang w:val="es-ES_tradnl"/>
        </w:rPr>
        <w:t>reduzcan el consumo de agua potable, traten y reutilicen aguas residuales, aprovechen el agua lluvia, gestionen la escorrentía urbana, optimicen el consumo de energía eléctrica, adopten medidas que reduzcan la emisión de gases de efecto invernadero, clasifiquen y gestionen residuos sólidos, construyan con materiales con bajo impacto ambiental, implementen cobertura vegetal y arbolado urbano e incluyan criterios de diseño bioclimático. Por tanto, las construcciones Eco-Eficientes son aquellas que incorporan en su diseño, construcción y funcionamiento las estrategias aquí señaladas, debidamente calificadas por la Matriz de Eco-Eficiencia</w:t>
      </w:r>
      <w:r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sz w:val="22"/>
          <w:szCs w:val="22"/>
          <w:lang w:val="es-ES_tradnl"/>
        </w:rPr>
        <w:t xml:space="preserve"> </w:t>
      </w:r>
    </w:p>
    <w:p w14:paraId="01858DCD" w14:textId="7B95C4AE"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Con este ánimo, la Secretaría de Territorio, Hábitat y Vivienda expidió en los años 2016 y 2017 resoluciones administrativas en las cuales se determina que los proyectos inmobiliarios ubicados en las áreas de influencia de las estaciones del Metro y de los corredores exclusivos, es decir, de los nodos principales del Sistema Integrado de Transporte Metropolitano, siempre que cumplan con parámetros de eficiencia ambiental en materia de agua, energía, aportes tecnológicos, espacio público, entre otros, objetivamente calificados mediante un sistema de puntuación vinculado a una Matriz de Eco-eficiencia, podrán incrementar el número de pisos por sobre lo establecido en el Plan de Uso y Ocupación de Suelo bajo la figura de suelo creado prevista en el literal d) del </w:t>
      </w:r>
      <w:r w:rsidR="00A74958" w:rsidRPr="00535110">
        <w:rPr>
          <w:rFonts w:ascii="Palatino Linotype" w:eastAsia="Palatino Linotype" w:hAnsi="Palatino Linotype" w:cs="Palatino Linotype"/>
          <w:sz w:val="22"/>
          <w:szCs w:val="22"/>
          <w:lang w:val="es-ES_tradnl"/>
        </w:rPr>
        <w:t>a</w:t>
      </w:r>
      <w:r w:rsidRPr="00535110">
        <w:rPr>
          <w:rFonts w:ascii="Palatino Linotype" w:eastAsia="Palatino Linotype" w:hAnsi="Palatino Linotype" w:cs="Palatino Linotype"/>
          <w:sz w:val="22"/>
          <w:szCs w:val="22"/>
          <w:lang w:val="es-ES_tradnl"/>
        </w:rPr>
        <w:t xml:space="preserve">rtículo… (96) de la Ordenanza Metropolitana No. 172, reformada por la Ordenanza Metropolitana </w:t>
      </w:r>
      <w:r w:rsidR="00A74958" w:rsidRPr="00535110">
        <w:rPr>
          <w:rFonts w:ascii="Palatino Linotype" w:eastAsia="Palatino Linotype" w:hAnsi="Palatino Linotype" w:cs="Palatino Linotype"/>
          <w:sz w:val="22"/>
          <w:szCs w:val="22"/>
          <w:lang w:val="es-ES_tradnl"/>
        </w:rPr>
        <w:t xml:space="preserve">No. </w:t>
      </w:r>
      <w:r w:rsidRPr="00535110">
        <w:rPr>
          <w:rFonts w:ascii="Palatino Linotype" w:eastAsia="Palatino Linotype" w:hAnsi="Palatino Linotype" w:cs="Palatino Linotype"/>
          <w:sz w:val="22"/>
          <w:szCs w:val="22"/>
          <w:lang w:val="es-ES_tradnl"/>
        </w:rPr>
        <w:t>0432.</w:t>
      </w:r>
    </w:p>
    <w:p w14:paraId="6A8007EE"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Los parámetros que constituyen dicho sistema de calificación están alineados a los objetivos de reducción de las huellas ambientales establecidos por la Secretaría de Ambiente y por lo tanto promueven soluciones inmobiliarias que contribuyen al cumplimento de la política pública ambiental. Según datos publicados por la Secretaría de Ambiente de Quito, la contaminación de los ríos que atraviesan la meseta y valles de Quito excede los límites permisibles para consumo humano y preservación de flora y fauna. En cuanto a agua potable, en el Distrito Metropolitano de Quito se</w:t>
      </w:r>
      <w:r w:rsidR="00A45774" w:rsidRPr="00535110">
        <w:rPr>
          <w:rFonts w:ascii="Palatino Linotype" w:eastAsia="Palatino Linotype" w:hAnsi="Palatino Linotype" w:cs="Palatino Linotype"/>
          <w:sz w:val="22"/>
          <w:szCs w:val="22"/>
          <w:lang w:val="es-ES_tradnl"/>
        </w:rPr>
        <w:t xml:space="preserve"> consume</w:t>
      </w:r>
      <w:r w:rsidRPr="00535110">
        <w:rPr>
          <w:rFonts w:ascii="Palatino Linotype" w:eastAsia="Palatino Linotype" w:hAnsi="Palatino Linotype" w:cs="Palatino Linotype"/>
          <w:sz w:val="22"/>
          <w:szCs w:val="22"/>
          <w:lang w:val="es-ES_tradnl"/>
        </w:rPr>
        <w:t xml:space="preserve"> aproximadamente entre 180 y 200 litros por persona por día, cuando la Organización </w:t>
      </w:r>
      <w:r w:rsidRPr="00535110">
        <w:rPr>
          <w:rFonts w:ascii="Palatino Linotype" w:eastAsia="Palatino Linotype" w:hAnsi="Palatino Linotype" w:cs="Palatino Linotype"/>
          <w:sz w:val="22"/>
          <w:szCs w:val="22"/>
          <w:lang w:val="es-ES_tradnl"/>
        </w:rPr>
        <w:lastRenderedPageBreak/>
        <w:t xml:space="preserve">Mundial de la Salud recomienda que para suplir la demanda de agua potable y asegurar las condiciones de salubridad se requiere 100 litros por persona por día. </w:t>
      </w:r>
    </w:p>
    <w:p w14:paraId="0F9E6501"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En cuanto a la huella de carbono de Quito, se estima que las emisiones de gases de efecto invernadero alcanzan los 5’.164.946 ton CO2eq, de los cuales el 56% corresponde al sector de transporte, 20% al sector residencial, comercial e institucional, 13% al sector de residuos sólidos y 11% al sector industrial. </w:t>
      </w:r>
    </w:p>
    <w:p w14:paraId="68469165" w14:textId="4DAF5BB5" w:rsidR="00464F06" w:rsidRPr="00535110" w:rsidRDefault="00A74958"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ab/>
      </w:r>
      <w:r w:rsidR="00464F06" w:rsidRPr="00535110">
        <w:rPr>
          <w:rFonts w:ascii="Palatino Linotype" w:eastAsia="Palatino Linotype" w:hAnsi="Palatino Linotype" w:cs="Palatino Linotype"/>
          <w:sz w:val="22"/>
          <w:szCs w:val="22"/>
          <w:lang w:val="es-ES_tradnl"/>
        </w:rPr>
        <w:t>Es así que la herramienta fomenta la construcción de edificios que consumen menos recursos de la ciudad, conllevan un techo en el número de estacionamientos y posibilitan un mejor aprovechamiento del suelo, sin por tanto sobrecargar a los sistemas e infraestructura de soporte público de la ciudad consolidada.</w:t>
      </w:r>
    </w:p>
    <w:p w14:paraId="4395D32A"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 localización cercana a las estaciones de transporte público y el desempeño eficiente de los proyectos que compran edificabilidad adicional, constituye una estrategia de DOT y se enmarca a la vez en las estrategias de resiliencia y de cambio climático del Distrito Metropolitano de Quito. Por la integración de diversos objetivos de política pública y por su aplicabilidad, esta herramienta ha sido reconocida por varios estamentos internacionales como una práctica innovadora para impulsar un modelo de ciudad compacta y sostenible.</w:t>
      </w:r>
    </w:p>
    <w:p w14:paraId="6262B2F6"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En consideración de la próxima entrada en funcionamiento del Metro de Quito, los instrumentos de planificación y gestión del suelo en las zonas de influencia del Sistema Metropolitano de Transporte, deben alinearse con la reconfiguración del modelo de movilidad y, en conjunto, promover una dinámica de redesarrollo y renovación urbana en las áreas centrales de la ciudad, como un mecanismo para revertir el proceso de expansión urbana hacia la periferia e incrementar la eficiencia del suelo subutilizado en la ciudad consolidada.</w:t>
      </w:r>
    </w:p>
    <w:p w14:paraId="490AB65B"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Adicionalmente, es necesario adecuar la figura tributaria de la contribución especial para la captación del incremento del valor del inmueble por suelo creado, que hasta la fecha se encuentra vigente en el ordenamiento jurídico metropolitano, al concepto de la concesión onerosa de derechos introducida por la Ley Orgánica de Ordenamiento Territorial, Uso y Gestión de Suelo en el año 2016. </w:t>
      </w:r>
    </w:p>
    <w:p w14:paraId="6E36B8A3"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 Ley Orgánica de Ordenamiento Territorial, Uso y Gestión de Suelo (LOOTUGS), introduce en la legislación municipal diversos instrumentos de planificación urbanística y de financiamiento del desarrollo urbano entre los cuales consta la Concesión Onerosa de Derechos respecto a la cual señala que “</w:t>
      </w:r>
      <w:r w:rsidRPr="00535110">
        <w:rPr>
          <w:rFonts w:ascii="Palatino Linotype" w:eastAsia="Palatino Linotype" w:hAnsi="Palatino Linotype" w:cs="Palatino Linotype"/>
          <w:i/>
          <w:sz w:val="22"/>
          <w:szCs w:val="22"/>
          <w:lang w:val="es-ES_tradnl"/>
        </w:rPr>
        <w:t xml:space="preserve">los Gobiernos Autónomos Descentralizados municipales o metropolitanos para garantizar la participación de la sociedad en los beneficios económicos producidos por la planificación urbanística y el desarrollo </w:t>
      </w:r>
      <w:r w:rsidRPr="00535110">
        <w:rPr>
          <w:rFonts w:ascii="Palatino Linotype" w:eastAsia="Palatino Linotype" w:hAnsi="Palatino Linotype" w:cs="Palatino Linotype"/>
          <w:i/>
          <w:sz w:val="22"/>
          <w:szCs w:val="22"/>
          <w:lang w:val="es-ES_tradnl"/>
        </w:rPr>
        <w:lastRenderedPageBreak/>
        <w:t>urbano en general, utilizarán la concesión onerosa de derechos por la transformación de suelo rural a suelo rural de expansión urbana o suelo urbano; la modificación de usos del suelo; o, la autorización de un mayor aprovechamiento del suelo</w:t>
      </w:r>
      <w:r w:rsidRPr="00535110">
        <w:rPr>
          <w:rFonts w:ascii="Palatino Linotype" w:eastAsia="Palatino Linotype" w:hAnsi="Palatino Linotype" w:cs="Palatino Linotype"/>
          <w:sz w:val="22"/>
          <w:szCs w:val="22"/>
          <w:lang w:val="es-ES_tradnl"/>
        </w:rPr>
        <w:t>”.</w:t>
      </w:r>
    </w:p>
    <w:p w14:paraId="3BC63639"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La Ordenanza Metropolitana No. 183 promulgada en el año 2017, incorporó la figura de la concesión onerosa de derechos exclusivamente para los proyectos urbanísticos arquitectónicos especiales. Sin embargo, la venta de edificabilidad en los proyectos ubicados en las zonas urbanísticas de asignación especial (ZUAE) y en los proyectos que privilegian la reutilización de aguas servidas, garantizan limitaciones al consumo de energía y agua, y en general las que sean un aporte paisajístico, ambiental y tecnológico a la ciudad, sigue sujeta a la figura tributaria previa a la expedición de la LOOTUGS, por lo que la presente ordenanza incorpora este tipo de proyectos a la concesión onerosa de derechos. </w:t>
      </w:r>
    </w:p>
    <w:p w14:paraId="2D1DE7F5"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Por lo expuesto, resulta procedente que el Municipio de Quito cuente con un cuerpo normativo como el propuesto en la presente ordenanza, la cual busca regular el incremento de pisos en los proyectos ubicados en las zonas urbanísticas de asignación especial (ZUAE) y en proyectos eco-eficientes ubicados en las </w:t>
      </w:r>
      <w:r w:rsidRPr="00535110">
        <w:rPr>
          <w:rFonts w:ascii="Palatino Linotype" w:eastAsia="Palatino Linotype" w:hAnsi="Palatino Linotype" w:cs="Palatino Linotype"/>
          <w:color w:val="000000"/>
          <w:sz w:val="22"/>
          <w:szCs w:val="22"/>
          <w:lang w:val="es-ES_tradnl"/>
        </w:rPr>
        <w:t>áreas de influencia del sistema metropolitano de transporte</w:t>
      </w:r>
      <w:r w:rsidRPr="00535110">
        <w:rPr>
          <w:rFonts w:ascii="Palatino Linotype" w:eastAsia="Palatino Linotype" w:hAnsi="Palatino Linotype" w:cs="Palatino Linotype"/>
          <w:sz w:val="22"/>
          <w:szCs w:val="22"/>
          <w:lang w:val="es-ES_tradnl"/>
        </w:rPr>
        <w:t>.</w:t>
      </w:r>
    </w:p>
    <w:p w14:paraId="2BCE361B" w14:textId="77777777" w:rsidR="00464F06" w:rsidRPr="00535110" w:rsidRDefault="00464F06" w:rsidP="00A74958">
      <w:pPr>
        <w:spacing w:after="120" w:line="276" w:lineRule="auto"/>
        <w:ind w:firstLine="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Se espera con la promulgación de esta ordenanza complementar y robustecer el cuerpo normativo municipal en materia de desarrollo urbanístico, cumpliendo con el marco jurídico nacional en materia de ordenamiento territorial y gestión de suelo, dando forma a nuevos mecanismos de financiamiento del desarrollo urbano, fortalecer las estrategias de desarrollo orientado al transporte y alcanzar los objetivos determinados en el Plan Metropolitano de Desarrollo y Ordenamiento Territorial.</w:t>
      </w:r>
    </w:p>
    <w:p w14:paraId="5402F33B" w14:textId="77777777" w:rsidR="00C37693" w:rsidRPr="00535110" w:rsidRDefault="00C37693" w:rsidP="00A74958">
      <w:pPr>
        <w:spacing w:after="120" w:line="276" w:lineRule="auto"/>
        <w:jc w:val="both"/>
        <w:rPr>
          <w:rFonts w:ascii="Palatino Linotype" w:eastAsia="Palatino Linotype" w:hAnsi="Palatino Linotype" w:cs="Palatino Linotype"/>
          <w:sz w:val="22"/>
          <w:szCs w:val="22"/>
          <w:lang w:val="es-ES_tradnl"/>
        </w:rPr>
        <w:sectPr w:rsidR="00C37693" w:rsidRPr="00535110" w:rsidSect="00C37693">
          <w:headerReference w:type="default" r:id="rId8"/>
          <w:footerReference w:type="default" r:id="rId9"/>
          <w:pgSz w:w="11906" w:h="16838"/>
          <w:pgMar w:top="1417" w:right="1701" w:bottom="1417" w:left="1701" w:header="720" w:footer="720" w:gutter="0"/>
          <w:pgNumType w:start="1"/>
          <w:cols w:space="720"/>
          <w:formProt w:val="0"/>
          <w:docGrid w:linePitch="100"/>
        </w:sectPr>
      </w:pPr>
    </w:p>
    <w:p w14:paraId="5D022083" w14:textId="77777777" w:rsidR="00464F06" w:rsidRPr="00535110" w:rsidRDefault="00464F06"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lastRenderedPageBreak/>
        <w:t>EL CONCEJO METROPOLITANO DE QUITO</w:t>
      </w:r>
    </w:p>
    <w:p w14:paraId="439078F0" w14:textId="52B7F38D" w:rsidR="00464F06" w:rsidRPr="00535110" w:rsidRDefault="00464F06"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Vistos los informes </w:t>
      </w:r>
      <w:r w:rsidR="00A74958" w:rsidRPr="00535110">
        <w:rPr>
          <w:rFonts w:ascii="Palatino Linotype" w:eastAsia="Palatino Linotype" w:hAnsi="Palatino Linotype" w:cs="Palatino Linotype"/>
          <w:sz w:val="22"/>
          <w:szCs w:val="22"/>
          <w:lang w:val="es-ES_tradnl"/>
        </w:rPr>
        <w:t>Nos. IC-O-2019-084 e IC-O-2019-142, de</w:t>
      </w:r>
      <w:r w:rsidR="00C37693" w:rsidRPr="00535110">
        <w:rPr>
          <w:rFonts w:ascii="Palatino Linotype" w:eastAsia="Palatino Linotype" w:hAnsi="Palatino Linotype" w:cs="Palatino Linotype"/>
          <w:sz w:val="22"/>
          <w:szCs w:val="22"/>
          <w:lang w:val="es-ES_tradnl"/>
        </w:rPr>
        <w:t xml:space="preserve"> 18 de marzo y 17 de abril de 2019, respectivamente,</w:t>
      </w:r>
      <w:r w:rsidR="00A74958"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emitidos por la Comisión de Uso de Suelo.</w:t>
      </w:r>
    </w:p>
    <w:p w14:paraId="7AEF9652" w14:textId="77777777" w:rsidR="009943B3" w:rsidRPr="00535110" w:rsidRDefault="009943B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 xml:space="preserve">CONSIDERANDO: </w:t>
      </w:r>
    </w:p>
    <w:p w14:paraId="07499F0F"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ab/>
        <w:t>el artículo 225 de la Constitución de la República del Ecuador señala los organismos y dependencias que conforman el sector público, en las que constan las entidades que integran el régimen autónomo descentralizado;</w:t>
      </w:r>
    </w:p>
    <w:p w14:paraId="2E67A55E"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los numerales 1 y 2 del artículo 264 de la Constitución de la República del Ecuador señalan como competencias exclusivas de los gobiernos municipales las siguientes:</w:t>
      </w:r>
      <w:r w:rsidRPr="00535110">
        <w:rPr>
          <w:rFonts w:ascii="Palatino Linotype" w:eastAsia="Palatino Linotype" w:hAnsi="Palatino Linotype" w:cs="Palatino Linotype"/>
          <w:i/>
          <w:sz w:val="22"/>
          <w:szCs w:val="22"/>
          <w:lang w:val="es-ES_tradnl"/>
        </w:rPr>
        <w:t xml:space="preserve">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535110">
        <w:rPr>
          <w:rFonts w:ascii="Palatino Linotype" w:eastAsia="Palatino Linotype" w:hAnsi="Palatino Linotype" w:cs="Palatino Linotype"/>
          <w:sz w:val="22"/>
          <w:szCs w:val="22"/>
          <w:lang w:val="es-ES_tradnl"/>
        </w:rPr>
        <w:t>”;</w:t>
      </w:r>
    </w:p>
    <w:p w14:paraId="593FD359"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la Ley Orgánica de Ordenamiento Territorial, Uso y Gestión de Suelo - LOOTUGS, establece en su artículo 8 inciso primero, que “</w:t>
      </w:r>
      <w:r w:rsidRPr="00535110">
        <w:rPr>
          <w:rFonts w:ascii="Palatino Linotype" w:eastAsia="Palatino Linotype" w:hAnsi="Palatino Linotype" w:cs="Palatino Linotype"/>
          <w:i/>
          <w:sz w:val="22"/>
          <w:szCs w:val="22"/>
          <w:lang w:val="es-ES_tradnl"/>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Pr="00535110">
        <w:rPr>
          <w:rFonts w:ascii="Palatino Linotype" w:eastAsia="Palatino Linotype" w:hAnsi="Palatino Linotype" w:cs="Palatino Linotype"/>
          <w:sz w:val="22"/>
          <w:szCs w:val="22"/>
          <w:lang w:val="es-ES_tradnl"/>
        </w:rPr>
        <w:t>”;</w:t>
      </w:r>
    </w:p>
    <w:p w14:paraId="009BF320"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el artículo 71 de la LOOTUGS establece que los instrumentos de financiamiento del desarrollo urbano son mecanismos que permiten la participación de la sociedad en los beneficios económicos producidos por la planificación urbanística y el desarrollo urbano en general, particularmente cuando: 1.- Se transforma el suelo rural en urbano. 2.- Se transforma el suelo rural en suelo rural de expansión urbana. 3.- Se modifican los usos del suelo. 4.- Se autoriza un mayor aprovechamiento del suelo;</w:t>
      </w:r>
    </w:p>
    <w:p w14:paraId="79CAB46A"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 xml:space="preserve">el artículo 72 de la LOOTUGS establece que 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y exigirán a los solicitantes de los permisos respectivos una participación justa del Estado en el beneficio económico que estos derechos adicionales significan. Y señala que, con la finalidad de incentivar la construcción de vivienda de interés social o de renovación urbana, el Gobierno </w:t>
      </w:r>
      <w:r w:rsidRPr="00535110">
        <w:rPr>
          <w:rFonts w:ascii="Palatino Linotype" w:eastAsia="Palatino Linotype" w:hAnsi="Palatino Linotype" w:cs="Palatino Linotype"/>
          <w:sz w:val="22"/>
          <w:szCs w:val="22"/>
          <w:lang w:val="es-ES_tradnl"/>
        </w:rPr>
        <w:lastRenderedPageBreak/>
        <w:t>Autónomo Descentralizado municipal o metropolitano podrá exonerar o rebajar el pago por la concesión onerosa de los derechos;</w:t>
      </w:r>
    </w:p>
    <w:p w14:paraId="707843A3" w14:textId="77777777" w:rsidR="009943B3" w:rsidRPr="00535110" w:rsidRDefault="009943B3" w:rsidP="00A74958">
      <w:pPr>
        <w:shd w:val="clear" w:color="auto" w:fill="FFFFFF"/>
        <w:spacing w:after="120" w:line="276" w:lineRule="auto"/>
        <w:ind w:left="705" w:hanging="705"/>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 xml:space="preserve">el artículo 73 de la LOOTUGS, establece que los pagos por concepto de concesión onerosa de derechos al Gobierno Autónomo Descentralizado municipal o metropolitano se realizarán en dinero o en especie como: suelo urbanizado, vivienda de interés social, equipamientos comunitarios o infraestructuras;  </w:t>
      </w:r>
    </w:p>
    <w:p w14:paraId="50C7B6A1"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el literal b) del artículo 55 del Código Orgánico de Organización Territorial, Autonomía y Descentralización - COOTAD establece como competencia exclusiva del gobierno autónomo descentralizado municipal la de ejercer el control sobre el uso y ocupación del suelo en el cantón;</w:t>
      </w:r>
    </w:p>
    <w:p w14:paraId="1EEC87E0" w14:textId="1D1F0365" w:rsidR="009943B3" w:rsidRPr="00535110" w:rsidRDefault="009943B3" w:rsidP="00A74958">
      <w:pPr>
        <w:shd w:val="clear" w:color="auto" w:fill="FFFFFF"/>
        <w:spacing w:after="120" w:line="276" w:lineRule="auto"/>
        <w:ind w:left="705" w:hanging="705"/>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 xml:space="preserve">los literales a) y x) del artículo 57 en concordancia con el artículo 87, literales a) y </w:t>
      </w:r>
      <w:r w:rsidR="00A74958" w:rsidRPr="00535110">
        <w:rPr>
          <w:rFonts w:ascii="Palatino Linotype" w:eastAsia="Palatino Linotype" w:hAnsi="Palatino Linotype" w:cs="Palatino Linotype"/>
          <w:sz w:val="22"/>
          <w:szCs w:val="22"/>
          <w:lang w:val="es-ES_tradnl"/>
        </w:rPr>
        <w:t>v</w:t>
      </w:r>
      <w:r w:rsidRPr="00535110">
        <w:rPr>
          <w:rFonts w:ascii="Palatino Linotype" w:eastAsia="Palatino Linotype" w:hAnsi="Palatino Linotype" w:cs="Palatino Linotype"/>
          <w:sz w:val="22"/>
          <w:szCs w:val="22"/>
          <w:lang w:val="es-ES_tradnl"/>
        </w:rPr>
        <w:t>) ibídem, establece que son competencias del Concejo Metropolitano, entre otras, las siguientes:</w:t>
      </w:r>
      <w:r w:rsidR="00A74958"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i/>
          <w:sz w:val="22"/>
          <w:szCs w:val="22"/>
          <w:lang w:val="es-ES_tradnl"/>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535110">
        <w:rPr>
          <w:rFonts w:ascii="Palatino Linotype" w:eastAsia="Palatino Linotype" w:hAnsi="Palatino Linotype" w:cs="Palatino Linotype"/>
          <w:sz w:val="22"/>
          <w:szCs w:val="22"/>
          <w:lang w:val="es-ES_tradnl"/>
        </w:rPr>
        <w:t>”;</w:t>
      </w:r>
    </w:p>
    <w:p w14:paraId="73256E45"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el artículo 84 del COOTAD establece como funciones del gobierno del distrito autónomo metropolitano: “</w:t>
      </w:r>
      <w:r w:rsidRPr="00535110">
        <w:rPr>
          <w:rFonts w:ascii="Palatino Linotype" w:eastAsia="Palatino Linotype" w:hAnsi="Palatino Linotype" w:cs="Palatino Linotype"/>
          <w:i/>
          <w:sz w:val="22"/>
          <w:szCs w:val="22"/>
          <w:lang w:val="es-ES_tradnl"/>
        </w:rPr>
        <w:t>a) Promover el desarrollo sustentable de su circunscripción distrital metropolitana, para garantizar la realización del buen vivir a través de la implementación de políticas públicas metropolitanas, en el marco de sus competencias constitucionales y legales</w:t>
      </w:r>
      <w:r w:rsidRPr="00535110">
        <w:rPr>
          <w:rFonts w:ascii="Palatino Linotype" w:eastAsia="Palatino Linotype" w:hAnsi="Palatino Linotype" w:cs="Palatino Linotype"/>
          <w:sz w:val="22"/>
          <w:szCs w:val="22"/>
          <w:lang w:val="es-ES_tradnl"/>
        </w:rPr>
        <w:t>”;</w:t>
      </w:r>
    </w:p>
    <w:p w14:paraId="7E043B5B"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el artículo 85 del COOTAD, establece que los gobiernos autónomos descentralizados de los distritos metropolitanos ejercerán las competencias que corresponden a los gobiernos cantonales y todas las asumidas de los gobiernos provinciales y regionales, sin perjuicio de las adicionales que se les asigne;</w:t>
      </w:r>
    </w:p>
    <w:p w14:paraId="036620A7"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el artículo 87, letra a) del COOTAD establece como atribuciones del Concejo Metropolitano: “</w:t>
      </w:r>
      <w:r w:rsidRPr="00535110">
        <w:rPr>
          <w:rFonts w:ascii="Palatino Linotype" w:eastAsia="Palatino Linotype" w:hAnsi="Palatino Linotype" w:cs="Palatino Linotype"/>
          <w:i/>
          <w:sz w:val="22"/>
          <w:szCs w:val="22"/>
          <w:lang w:val="es-ES_tradnl"/>
        </w:rPr>
        <w:t>Ejercer la facultad normativa en las materias de competencia del gobierno autónomo descentralizado metropolitano, mediante la expedición de ordenanzas metropolitanas, acuerdos y resoluciones</w:t>
      </w:r>
      <w:r w:rsidRPr="00535110">
        <w:rPr>
          <w:rFonts w:ascii="Palatino Linotype" w:eastAsia="Palatino Linotype" w:hAnsi="Palatino Linotype" w:cs="Palatino Linotype"/>
          <w:sz w:val="22"/>
          <w:szCs w:val="22"/>
          <w:lang w:val="es-ES_tradnl"/>
        </w:rPr>
        <w:t>”;</w:t>
      </w:r>
    </w:p>
    <w:p w14:paraId="7FFF4D41" w14:textId="1EBD7D3B" w:rsidR="009943B3" w:rsidRPr="00535110" w:rsidRDefault="009943B3" w:rsidP="00A74958">
      <w:pPr>
        <w:shd w:val="clear" w:color="auto" w:fill="FFFFFF"/>
        <w:spacing w:after="120" w:line="276" w:lineRule="auto"/>
        <w:ind w:left="705" w:hanging="705"/>
        <w:jc w:val="both"/>
        <w:rPr>
          <w:rFonts w:ascii="Palatino Linotype" w:hAnsi="Palatino Linotype" w:cs="Times New Roman"/>
          <w:sz w:val="22"/>
          <w:szCs w:val="22"/>
          <w:lang w:val="es-ES_tradnl"/>
        </w:rPr>
      </w:pPr>
      <w:r w:rsidRPr="00535110">
        <w:rPr>
          <w:rFonts w:ascii="Palatino Linotype" w:eastAsia="Palatino Linotype" w:hAnsi="Palatino Linotype" w:cs="Palatino Linotype"/>
          <w:b/>
          <w:sz w:val="22"/>
          <w:szCs w:val="22"/>
          <w:lang w:val="es-ES_tradnl"/>
        </w:rPr>
        <w:t>Que,</w:t>
      </w:r>
      <w:r w:rsidR="00A74958" w:rsidRPr="00535110">
        <w:rPr>
          <w:rFonts w:ascii="Palatino Linotype" w:eastAsia="Palatino Linotype" w:hAnsi="Palatino Linotype" w:cs="Palatino Linotype"/>
          <w:sz w:val="22"/>
          <w:szCs w:val="22"/>
          <w:lang w:val="es-ES_tradnl"/>
        </w:rPr>
        <w:t xml:space="preserve"> </w:t>
      </w:r>
      <w:r w:rsidR="00A74958" w:rsidRPr="00535110">
        <w:rPr>
          <w:rFonts w:ascii="Palatino Linotype" w:eastAsia="Palatino Linotype" w:hAnsi="Palatino Linotype" w:cs="Palatino Linotype"/>
          <w:sz w:val="22"/>
          <w:szCs w:val="22"/>
          <w:lang w:val="es-ES_tradnl"/>
        </w:rPr>
        <w:tab/>
      </w:r>
      <w:r w:rsidRPr="00535110">
        <w:rPr>
          <w:rFonts w:ascii="Palatino Linotype" w:eastAsia="Palatino Linotype" w:hAnsi="Palatino Linotype" w:cs="Palatino Linotype"/>
          <w:sz w:val="22"/>
          <w:szCs w:val="22"/>
          <w:lang w:val="es-ES_tradnl"/>
        </w:rPr>
        <w:t xml:space="preserve">el Título I Procedimiento sancionador, del Libro III Procedimientos </w:t>
      </w:r>
      <w:r w:rsidR="00A74958" w:rsidRPr="00535110">
        <w:rPr>
          <w:rFonts w:ascii="Palatino Linotype" w:eastAsia="Palatino Linotype" w:hAnsi="Palatino Linotype" w:cs="Palatino Linotype"/>
          <w:sz w:val="22"/>
          <w:szCs w:val="22"/>
          <w:lang w:val="es-ES_tradnl"/>
        </w:rPr>
        <w:t>E</w:t>
      </w:r>
      <w:r w:rsidRPr="00535110">
        <w:rPr>
          <w:rFonts w:ascii="Palatino Linotype" w:eastAsia="Palatino Linotype" w:hAnsi="Palatino Linotype" w:cs="Palatino Linotype"/>
          <w:sz w:val="22"/>
          <w:szCs w:val="22"/>
          <w:lang w:val="es-ES_tradnl"/>
        </w:rPr>
        <w:t xml:space="preserve">speciales, del Código Orgánico Administrativo, dispone los procedimientos que la administración pública deberá observar en el ejercicio de su potestad </w:t>
      </w:r>
      <w:r w:rsidRPr="00535110">
        <w:rPr>
          <w:rFonts w:ascii="Palatino Linotype" w:eastAsia="Palatino Linotype" w:hAnsi="Palatino Linotype" w:cs="Palatino Linotype"/>
          <w:sz w:val="22"/>
          <w:szCs w:val="22"/>
          <w:lang w:val="es-ES_tradnl"/>
        </w:rPr>
        <w:lastRenderedPageBreak/>
        <w:t>sancionadora, incluyendo la caducidad y prescripción de la potestad sancionadora, según lo previsto en los artículos 244 y 245 de dicho Código;</w:t>
      </w:r>
    </w:p>
    <w:p w14:paraId="0043A55D" w14:textId="73B0D3B9"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00A74958" w:rsidRPr="00535110">
        <w:rPr>
          <w:rFonts w:ascii="Palatino Linotype" w:eastAsia="Palatino Linotype" w:hAnsi="Palatino Linotype" w:cs="Palatino Linotype"/>
          <w:sz w:val="22"/>
          <w:szCs w:val="22"/>
          <w:lang w:val="es-ES_tradnl"/>
        </w:rPr>
        <w:t xml:space="preserve"> </w:t>
      </w:r>
      <w:r w:rsidR="00A74958" w:rsidRPr="00535110">
        <w:rPr>
          <w:rFonts w:ascii="Palatino Linotype" w:eastAsia="Palatino Linotype" w:hAnsi="Palatino Linotype" w:cs="Palatino Linotype"/>
          <w:sz w:val="22"/>
          <w:szCs w:val="22"/>
          <w:lang w:val="es-ES_tradnl"/>
        </w:rPr>
        <w:tab/>
      </w:r>
      <w:r w:rsidRPr="00535110">
        <w:rPr>
          <w:rFonts w:ascii="Palatino Linotype" w:eastAsia="Palatino Linotype" w:hAnsi="Palatino Linotype" w:cs="Palatino Linotype"/>
          <w:sz w:val="22"/>
          <w:szCs w:val="22"/>
          <w:lang w:val="es-ES_tradnl"/>
        </w:rPr>
        <w:t>el artículo 275 del Código Orgánico Administrativo, dispone los requisitos que deberán cumplir las solicitudes de facilidades de pago y particularmente señala que cuando se soliciten estas facilidades, la oferta de pago inmediato no será menor a un 20% de la obligación</w:t>
      </w:r>
      <w:r w:rsidR="00A74958" w:rsidRPr="00535110">
        <w:rPr>
          <w:rFonts w:ascii="Palatino Linotype" w:eastAsia="Palatino Linotype" w:hAnsi="Palatino Linotype" w:cs="Palatino Linotype"/>
          <w:sz w:val="22"/>
          <w:szCs w:val="22"/>
          <w:lang w:val="es-ES_tradnl"/>
        </w:rPr>
        <w:t>;</w:t>
      </w:r>
    </w:p>
    <w:p w14:paraId="3E2B7FE1" w14:textId="258E681B"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00A74958" w:rsidRPr="00535110">
        <w:rPr>
          <w:rFonts w:ascii="Palatino Linotype" w:eastAsia="Palatino Linotype" w:hAnsi="Palatino Linotype" w:cs="Palatino Linotype"/>
          <w:sz w:val="22"/>
          <w:szCs w:val="22"/>
          <w:lang w:val="es-ES_tradnl"/>
        </w:rPr>
        <w:tab/>
      </w:r>
      <w:r w:rsidRPr="00535110">
        <w:rPr>
          <w:rFonts w:ascii="Palatino Linotype" w:eastAsia="Palatino Linotype" w:hAnsi="Palatino Linotype" w:cs="Palatino Linotype"/>
          <w:sz w:val="22"/>
          <w:szCs w:val="22"/>
          <w:lang w:val="es-ES_tradnl"/>
        </w:rPr>
        <w:t>el artículo 172 inciso primero “De los Ingresos propios de la gestión” del COOTAD, señala que: “</w:t>
      </w:r>
      <w:r w:rsidR="00C37693" w:rsidRPr="00535110">
        <w:rPr>
          <w:rFonts w:ascii="Palatino Linotype" w:eastAsia="Palatino Linotype" w:hAnsi="Palatino Linotype" w:cs="Palatino Linotype"/>
          <w:i/>
          <w:sz w:val="22"/>
          <w:szCs w:val="22"/>
          <w:lang w:val="es-ES_tradnl"/>
        </w:rPr>
        <w:t xml:space="preserve">Los gobiernos autónomos </w:t>
      </w:r>
      <w:r w:rsidRPr="00535110">
        <w:rPr>
          <w:rFonts w:ascii="Palatino Linotype" w:eastAsia="Palatino Linotype" w:hAnsi="Palatino Linotype" w:cs="Palatino Linotype"/>
          <w:i/>
          <w:sz w:val="22"/>
          <w:szCs w:val="22"/>
          <w:lang w:val="es-ES_tradnl"/>
        </w:rPr>
        <w:t xml:space="preserve">descentralizados regional, provincial, metropolitano </w:t>
      </w:r>
      <w:r w:rsidR="00C37693" w:rsidRPr="00535110">
        <w:rPr>
          <w:rFonts w:ascii="Palatino Linotype" w:eastAsia="Palatino Linotype" w:hAnsi="Palatino Linotype" w:cs="Palatino Linotype"/>
          <w:i/>
          <w:sz w:val="22"/>
          <w:szCs w:val="22"/>
          <w:lang w:val="es-ES_tradnl"/>
        </w:rPr>
        <w:t xml:space="preserve">y municipal son beneficiarios de </w:t>
      </w:r>
      <w:r w:rsidRPr="00535110">
        <w:rPr>
          <w:rFonts w:ascii="Palatino Linotype" w:eastAsia="Palatino Linotype" w:hAnsi="Palatino Linotype" w:cs="Palatino Linotype"/>
          <w:i/>
          <w:sz w:val="22"/>
          <w:szCs w:val="22"/>
          <w:lang w:val="es-ES_tradnl"/>
        </w:rPr>
        <w:t xml:space="preserve">ingresos generados por la gestión propia, </w:t>
      </w:r>
      <w:r w:rsidR="00C37693" w:rsidRPr="00535110">
        <w:rPr>
          <w:rFonts w:ascii="Palatino Linotype" w:eastAsia="Palatino Linotype" w:hAnsi="Palatino Linotype" w:cs="Palatino Linotype"/>
          <w:i/>
          <w:sz w:val="22"/>
          <w:szCs w:val="22"/>
          <w:lang w:val="es-ES_tradnl"/>
        </w:rPr>
        <w:t xml:space="preserve">y su clasificación estará sujeta </w:t>
      </w:r>
      <w:r w:rsidRPr="00535110">
        <w:rPr>
          <w:rFonts w:ascii="Palatino Linotype" w:eastAsia="Palatino Linotype" w:hAnsi="Palatino Linotype" w:cs="Palatino Linotype"/>
          <w:i/>
          <w:sz w:val="22"/>
          <w:szCs w:val="22"/>
          <w:lang w:val="es-ES_tradnl"/>
        </w:rPr>
        <w:t>a</w:t>
      </w:r>
      <w:r w:rsidR="00C37693" w:rsidRPr="00535110">
        <w:rPr>
          <w:rFonts w:ascii="Palatino Linotype" w:eastAsia="Palatino Linotype" w:hAnsi="Palatino Linotype" w:cs="Palatino Linotype"/>
          <w:i/>
          <w:sz w:val="22"/>
          <w:szCs w:val="22"/>
          <w:lang w:val="es-ES_tradnl"/>
        </w:rPr>
        <w:t xml:space="preserve"> la definición de la ley que regule las finanzas </w:t>
      </w:r>
      <w:r w:rsidRPr="00535110">
        <w:rPr>
          <w:rFonts w:ascii="Palatino Linotype" w:eastAsia="Palatino Linotype" w:hAnsi="Palatino Linotype" w:cs="Palatino Linotype"/>
          <w:i/>
          <w:sz w:val="22"/>
          <w:szCs w:val="22"/>
          <w:lang w:val="es-ES_tradnl"/>
        </w:rPr>
        <w:t>públicas</w:t>
      </w:r>
      <w:r w:rsidRPr="00535110">
        <w:rPr>
          <w:rFonts w:ascii="Palatino Linotype" w:eastAsia="Palatino Linotype" w:hAnsi="Palatino Linotype" w:cs="Palatino Linotype"/>
          <w:sz w:val="22"/>
          <w:szCs w:val="22"/>
          <w:lang w:val="es-ES_tradnl"/>
        </w:rPr>
        <w:t>”;</w:t>
      </w:r>
    </w:p>
    <w:p w14:paraId="712728EC" w14:textId="1916B30C"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la Ley Orgánica de Régimen para el Distrito Metropolitano de Quito, en su artículo 2 establece como finalidades del Distrito Metropolitano de Quito:</w:t>
      </w:r>
      <w:r w:rsidR="00A74958"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i/>
          <w:sz w:val="22"/>
          <w:szCs w:val="22"/>
          <w:lang w:val="es-ES_tradnl"/>
        </w:rPr>
        <w:t>1. Regular el uso y la adecuada ocupación del suelo y ejercer control sobre el mismo con competencia exclusiva y privativa. De igual manera, regulará y controlará, con competencia exclusiva y privativa las construcciones o edificaciones, su estado, utilización y condiciones</w:t>
      </w:r>
      <w:r w:rsidRPr="00535110">
        <w:rPr>
          <w:rFonts w:ascii="Palatino Linotype" w:eastAsia="Palatino Linotype" w:hAnsi="Palatino Linotype" w:cs="Palatino Linotype"/>
          <w:sz w:val="22"/>
          <w:szCs w:val="22"/>
          <w:lang w:val="es-ES_tradnl"/>
        </w:rPr>
        <w:t>”</w:t>
      </w:r>
      <w:r w:rsidR="00A74958"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w:t>
      </w:r>
    </w:p>
    <w:p w14:paraId="0659E50B" w14:textId="4F435C1D"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Que,</w:t>
      </w:r>
      <w:r w:rsidR="00C8650A" w:rsidRPr="00535110">
        <w:rPr>
          <w:rFonts w:ascii="Palatino Linotype" w:eastAsia="Palatino Linotype" w:hAnsi="Palatino Linotype" w:cs="Palatino Linotype"/>
          <w:sz w:val="22"/>
          <w:szCs w:val="22"/>
          <w:lang w:val="es-ES_tradnl"/>
        </w:rPr>
        <w:t xml:space="preserve"> </w:t>
      </w:r>
      <w:r w:rsidR="00A74958" w:rsidRPr="00535110">
        <w:rPr>
          <w:rFonts w:ascii="Palatino Linotype" w:eastAsia="Palatino Linotype" w:hAnsi="Palatino Linotype" w:cs="Palatino Linotype"/>
          <w:sz w:val="22"/>
          <w:szCs w:val="22"/>
          <w:lang w:val="es-ES_tradnl"/>
        </w:rPr>
        <w:tab/>
      </w:r>
      <w:r w:rsidR="00C8650A" w:rsidRPr="00535110">
        <w:rPr>
          <w:rFonts w:ascii="Palatino Linotype" w:eastAsia="Palatino Linotype" w:hAnsi="Palatino Linotype" w:cs="Palatino Linotype"/>
          <w:sz w:val="22"/>
          <w:szCs w:val="22"/>
          <w:lang w:val="es-ES_tradnl"/>
        </w:rPr>
        <w:t xml:space="preserve">el </w:t>
      </w:r>
      <w:r w:rsidR="00A74958" w:rsidRPr="00535110">
        <w:rPr>
          <w:rFonts w:ascii="Palatino Linotype" w:eastAsia="Palatino Linotype" w:hAnsi="Palatino Linotype" w:cs="Palatino Linotype"/>
          <w:sz w:val="22"/>
          <w:szCs w:val="22"/>
          <w:lang w:val="es-ES_tradnl"/>
        </w:rPr>
        <w:t>a</w:t>
      </w:r>
      <w:r w:rsidRPr="00535110">
        <w:rPr>
          <w:rFonts w:ascii="Palatino Linotype" w:eastAsia="Palatino Linotype" w:hAnsi="Palatino Linotype" w:cs="Palatino Linotype"/>
          <w:sz w:val="22"/>
          <w:szCs w:val="22"/>
          <w:lang w:val="es-ES_tradnl"/>
        </w:rPr>
        <w:t>rtícu</w:t>
      </w:r>
      <w:r w:rsidR="00A74958" w:rsidRPr="00535110">
        <w:rPr>
          <w:rFonts w:ascii="Palatino Linotype" w:eastAsia="Palatino Linotype" w:hAnsi="Palatino Linotype" w:cs="Palatino Linotype"/>
          <w:sz w:val="22"/>
          <w:szCs w:val="22"/>
          <w:lang w:val="es-ES_tradnl"/>
        </w:rPr>
        <w:t xml:space="preserve">lo 26, inciso primero, ibídem, </w:t>
      </w:r>
      <w:r w:rsidRPr="00535110">
        <w:rPr>
          <w:rFonts w:ascii="Palatino Linotype" w:eastAsia="Palatino Linotype" w:hAnsi="Palatino Linotype" w:cs="Palatino Linotype"/>
          <w:sz w:val="22"/>
          <w:szCs w:val="22"/>
          <w:lang w:val="es-ES_tradnl"/>
        </w:rPr>
        <w:t>dispone que “</w:t>
      </w:r>
      <w:r w:rsidRPr="00535110">
        <w:rPr>
          <w:rFonts w:ascii="Palatino Linotype" w:eastAsia="Palatino Linotype" w:hAnsi="Palatino Linotype" w:cs="Palatino Linotype"/>
          <w:i/>
          <w:sz w:val="22"/>
          <w:szCs w:val="22"/>
          <w:lang w:val="es-ES_tradnl"/>
        </w:rPr>
        <w:t>la decisión sobre el destino del suelo y su forma de aprovechamiento dentro del territorio distrital, compete, exclusivamente, a las autoridades del Distrito Metropolitano</w:t>
      </w:r>
      <w:r w:rsidRPr="00535110">
        <w:rPr>
          <w:rFonts w:ascii="Palatino Linotype" w:eastAsia="Palatino Linotype" w:hAnsi="Palatino Linotype" w:cs="Palatino Linotype"/>
          <w:sz w:val="22"/>
          <w:szCs w:val="22"/>
          <w:lang w:val="es-ES_tradnl"/>
        </w:rPr>
        <w:t>”</w:t>
      </w:r>
      <w:r w:rsidR="00A74958" w:rsidRPr="00535110">
        <w:rPr>
          <w:rFonts w:ascii="Palatino Linotype" w:eastAsia="Palatino Linotype" w:hAnsi="Palatino Linotype" w:cs="Palatino Linotype"/>
          <w:sz w:val="22"/>
          <w:szCs w:val="22"/>
          <w:lang w:val="es-ES_tradnl"/>
        </w:rPr>
        <w:t>;</w:t>
      </w:r>
    </w:p>
    <w:p w14:paraId="64FECF69" w14:textId="59D43BBB"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Que, </w:t>
      </w:r>
      <w:r w:rsidR="00C37693" w:rsidRPr="00535110">
        <w:rPr>
          <w:rFonts w:ascii="Palatino Linotype" w:eastAsia="Palatino Linotype" w:hAnsi="Palatino Linotype" w:cs="Palatino Linotype"/>
          <w:sz w:val="22"/>
          <w:szCs w:val="22"/>
          <w:lang w:val="es-ES_tradnl"/>
        </w:rPr>
        <w:tab/>
      </w:r>
      <w:r w:rsidR="00C8650A" w:rsidRPr="00535110">
        <w:rPr>
          <w:rFonts w:ascii="Palatino Linotype" w:eastAsia="Palatino Linotype" w:hAnsi="Palatino Linotype" w:cs="Palatino Linotype"/>
          <w:sz w:val="22"/>
          <w:szCs w:val="22"/>
          <w:lang w:val="es-ES_tradnl"/>
        </w:rPr>
        <w:t xml:space="preserve">el </w:t>
      </w:r>
      <w:r w:rsidR="00927FD9" w:rsidRPr="00535110">
        <w:rPr>
          <w:rFonts w:ascii="Palatino Linotype" w:eastAsia="Palatino Linotype" w:hAnsi="Palatino Linotype" w:cs="Palatino Linotype"/>
          <w:sz w:val="22"/>
          <w:szCs w:val="22"/>
          <w:lang w:val="es-ES_tradnl"/>
        </w:rPr>
        <w:t>artículo</w:t>
      </w:r>
      <w:r w:rsidR="00C8650A" w:rsidRPr="00535110">
        <w:rPr>
          <w:rFonts w:ascii="Palatino Linotype" w:eastAsia="Palatino Linotype" w:hAnsi="Palatino Linotype" w:cs="Palatino Linotype"/>
          <w:sz w:val="22"/>
          <w:szCs w:val="22"/>
          <w:lang w:val="es-ES_tradnl"/>
        </w:rPr>
        <w:t xml:space="preserve"> IV.1.5</w:t>
      </w:r>
      <w:r w:rsidRPr="00535110">
        <w:rPr>
          <w:rFonts w:ascii="Palatino Linotype" w:eastAsia="Palatino Linotype" w:hAnsi="Palatino Linotype" w:cs="Palatino Linotype"/>
          <w:sz w:val="22"/>
          <w:szCs w:val="22"/>
          <w:lang w:val="es-ES_tradnl"/>
        </w:rPr>
        <w:t xml:space="preserve">, relacionado con la protección a las autorizaciones de edificación, </w:t>
      </w:r>
      <w:r w:rsidR="00A74958" w:rsidRPr="00535110">
        <w:rPr>
          <w:rFonts w:ascii="Palatino Linotype" w:eastAsia="Palatino Linotype" w:hAnsi="Palatino Linotype" w:cs="Palatino Linotype"/>
          <w:sz w:val="22"/>
          <w:szCs w:val="22"/>
          <w:lang w:val="es-ES_tradnl"/>
        </w:rPr>
        <w:t xml:space="preserve">del </w:t>
      </w:r>
      <w:r w:rsidRPr="00535110">
        <w:rPr>
          <w:rFonts w:ascii="Palatino Linotype" w:eastAsia="Palatino Linotype" w:hAnsi="Palatino Linotype" w:cs="Palatino Linotype"/>
          <w:sz w:val="22"/>
          <w:szCs w:val="22"/>
          <w:lang w:val="es-ES_tradnl"/>
        </w:rPr>
        <w:t xml:space="preserve">Código </w:t>
      </w:r>
      <w:r w:rsidR="00A74958" w:rsidRPr="00535110">
        <w:rPr>
          <w:rFonts w:ascii="Palatino Linotype" w:eastAsia="Palatino Linotype" w:hAnsi="Palatino Linotype" w:cs="Palatino Linotype"/>
          <w:sz w:val="22"/>
          <w:szCs w:val="22"/>
          <w:lang w:val="es-ES_tradnl"/>
        </w:rPr>
        <w:t xml:space="preserve">Municipal </w:t>
      </w:r>
      <w:r w:rsidR="00C8650A" w:rsidRPr="00535110">
        <w:rPr>
          <w:rFonts w:ascii="Palatino Linotype" w:eastAsia="Palatino Linotype" w:hAnsi="Palatino Linotype" w:cs="Palatino Linotype"/>
          <w:sz w:val="22"/>
          <w:szCs w:val="22"/>
          <w:lang w:val="es-ES_tradnl"/>
        </w:rPr>
        <w:t>para el Distrito Metropolitano de Quito, aprobado mediante Ordena</w:t>
      </w:r>
      <w:r w:rsidR="00A74958" w:rsidRPr="00535110">
        <w:rPr>
          <w:rFonts w:ascii="Palatino Linotype" w:eastAsia="Palatino Linotype" w:hAnsi="Palatino Linotype" w:cs="Palatino Linotype"/>
          <w:sz w:val="22"/>
          <w:szCs w:val="22"/>
          <w:lang w:val="es-ES_tradnl"/>
        </w:rPr>
        <w:t>n</w:t>
      </w:r>
      <w:r w:rsidR="00C8650A" w:rsidRPr="00535110">
        <w:rPr>
          <w:rFonts w:ascii="Palatino Linotype" w:eastAsia="Palatino Linotype" w:hAnsi="Palatino Linotype" w:cs="Palatino Linotype"/>
          <w:sz w:val="22"/>
          <w:szCs w:val="22"/>
          <w:lang w:val="es-ES_tradnl"/>
        </w:rPr>
        <w:t xml:space="preserve">za Metropolitana </w:t>
      </w:r>
      <w:r w:rsidR="00A74958" w:rsidRPr="00535110">
        <w:rPr>
          <w:rFonts w:ascii="Palatino Linotype" w:eastAsia="Palatino Linotype" w:hAnsi="Palatino Linotype" w:cs="Palatino Linotype"/>
          <w:sz w:val="22"/>
          <w:szCs w:val="22"/>
          <w:lang w:val="es-ES_tradnl"/>
        </w:rPr>
        <w:t xml:space="preserve">No. </w:t>
      </w:r>
      <w:r w:rsidR="00C8650A" w:rsidRPr="00535110">
        <w:rPr>
          <w:rFonts w:ascii="Palatino Linotype" w:eastAsia="Palatino Linotype" w:hAnsi="Palatino Linotype" w:cs="Palatino Linotype"/>
          <w:sz w:val="22"/>
          <w:szCs w:val="22"/>
          <w:lang w:val="es-ES_tradnl"/>
        </w:rPr>
        <w:t xml:space="preserve">001, de 29 de marzo de 2019, en adelante </w:t>
      </w:r>
      <w:r w:rsidR="00A74958" w:rsidRPr="00535110">
        <w:rPr>
          <w:rFonts w:ascii="Palatino Linotype" w:eastAsia="Palatino Linotype" w:hAnsi="Palatino Linotype" w:cs="Palatino Linotype"/>
          <w:sz w:val="22"/>
          <w:szCs w:val="22"/>
          <w:lang w:val="es-ES_tradnl"/>
        </w:rPr>
        <w:t>“</w:t>
      </w:r>
      <w:r w:rsidR="00C8650A" w:rsidRPr="00535110">
        <w:rPr>
          <w:rFonts w:ascii="Palatino Linotype" w:eastAsia="Palatino Linotype" w:hAnsi="Palatino Linotype" w:cs="Palatino Linotype"/>
          <w:sz w:val="22"/>
          <w:szCs w:val="22"/>
          <w:lang w:val="es-ES_tradnl"/>
        </w:rPr>
        <w:t>Código Municipal</w:t>
      </w:r>
      <w:r w:rsidR="00A74958"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señala que: </w:t>
      </w:r>
      <w:r w:rsidRPr="00535110">
        <w:rPr>
          <w:rFonts w:ascii="Palatino Linotype" w:eastAsia="Palatino Linotype" w:hAnsi="Palatino Linotype" w:cs="Palatino Linotype"/>
          <w:i/>
          <w:sz w:val="22"/>
          <w:szCs w:val="22"/>
          <w:lang w:val="es-ES_tradnl"/>
        </w:rPr>
        <w:t xml:space="preserve">"1. Los derechos de los propietarios de los inmuebles que cuenten con las autorizaciones respectivas de planos de </w:t>
      </w:r>
      <w:proofErr w:type="spellStart"/>
      <w:r w:rsidRPr="00535110">
        <w:rPr>
          <w:rFonts w:ascii="Palatino Linotype" w:eastAsia="Palatino Linotype" w:hAnsi="Palatino Linotype" w:cs="Palatino Linotype"/>
          <w:i/>
          <w:sz w:val="22"/>
          <w:szCs w:val="22"/>
          <w:lang w:val="es-ES_tradnl"/>
        </w:rPr>
        <w:t>edificación</w:t>
      </w:r>
      <w:proofErr w:type="spellEnd"/>
      <w:r w:rsidRPr="00535110">
        <w:rPr>
          <w:rFonts w:ascii="Palatino Linotype" w:eastAsia="Palatino Linotype" w:hAnsi="Palatino Linotype" w:cs="Palatino Linotype"/>
          <w:i/>
          <w:sz w:val="22"/>
          <w:szCs w:val="22"/>
          <w:lang w:val="es-ES_tradnl"/>
        </w:rPr>
        <w:t xml:space="preserve"> o de propiedad horizontal inscrita en el Registro de la Propiedad, vigentes y obtenidas bajo el imperio de una norma anterior, no los </w:t>
      </w:r>
      <w:proofErr w:type="spellStart"/>
      <w:r w:rsidRPr="00535110">
        <w:rPr>
          <w:rFonts w:ascii="Palatino Linotype" w:eastAsia="Palatino Linotype" w:hAnsi="Palatino Linotype" w:cs="Palatino Linotype"/>
          <w:i/>
          <w:sz w:val="22"/>
          <w:szCs w:val="22"/>
          <w:lang w:val="es-ES_tradnl"/>
        </w:rPr>
        <w:t>perderán</w:t>
      </w:r>
      <w:proofErr w:type="spellEnd"/>
      <w:r w:rsidRPr="00535110">
        <w:rPr>
          <w:rFonts w:ascii="Palatino Linotype" w:eastAsia="Palatino Linotype" w:hAnsi="Palatino Linotype" w:cs="Palatino Linotype"/>
          <w:i/>
          <w:sz w:val="22"/>
          <w:szCs w:val="22"/>
          <w:lang w:val="es-ES_tradnl"/>
        </w:rPr>
        <w:t xml:space="preserve"> por la </w:t>
      </w:r>
      <w:proofErr w:type="spellStart"/>
      <w:r w:rsidRPr="00535110">
        <w:rPr>
          <w:rFonts w:ascii="Palatino Linotype" w:eastAsia="Palatino Linotype" w:hAnsi="Palatino Linotype" w:cs="Palatino Linotype"/>
          <w:i/>
          <w:sz w:val="22"/>
          <w:szCs w:val="22"/>
          <w:lang w:val="es-ES_tradnl"/>
        </w:rPr>
        <w:t>expedición</w:t>
      </w:r>
      <w:proofErr w:type="spellEnd"/>
      <w:r w:rsidRPr="00535110">
        <w:rPr>
          <w:rFonts w:ascii="Palatino Linotype" w:eastAsia="Palatino Linotype" w:hAnsi="Palatino Linotype" w:cs="Palatino Linotype"/>
          <w:i/>
          <w:sz w:val="22"/>
          <w:szCs w:val="22"/>
          <w:lang w:val="es-ES_tradnl"/>
        </w:rPr>
        <w:t xml:space="preserve"> de una norma posterior, cuando esta disminuya los </w:t>
      </w:r>
      <w:proofErr w:type="spellStart"/>
      <w:r w:rsidRPr="00535110">
        <w:rPr>
          <w:rFonts w:ascii="Palatino Linotype" w:eastAsia="Palatino Linotype" w:hAnsi="Palatino Linotype" w:cs="Palatino Linotype"/>
          <w:i/>
          <w:sz w:val="22"/>
          <w:szCs w:val="22"/>
          <w:lang w:val="es-ES_tradnl"/>
        </w:rPr>
        <w:t>parámetros</w:t>
      </w:r>
      <w:proofErr w:type="spellEnd"/>
      <w:r w:rsidRPr="00535110">
        <w:rPr>
          <w:rFonts w:ascii="Palatino Linotype" w:eastAsia="Palatino Linotype" w:hAnsi="Palatino Linotype" w:cs="Palatino Linotype"/>
          <w:i/>
          <w:sz w:val="22"/>
          <w:szCs w:val="22"/>
          <w:lang w:val="es-ES_tradnl"/>
        </w:rPr>
        <w:t xml:space="preserve"> de edificabilidad autorizados. En consecuencia, el o los inmuebles </w:t>
      </w:r>
      <w:proofErr w:type="spellStart"/>
      <w:r w:rsidRPr="00535110">
        <w:rPr>
          <w:rFonts w:ascii="Palatino Linotype" w:eastAsia="Palatino Linotype" w:hAnsi="Palatino Linotype" w:cs="Palatino Linotype"/>
          <w:i/>
          <w:sz w:val="22"/>
          <w:szCs w:val="22"/>
          <w:lang w:val="es-ES_tradnl"/>
        </w:rPr>
        <w:t>mantendrán</w:t>
      </w:r>
      <w:proofErr w:type="spellEnd"/>
      <w:r w:rsidRPr="00535110">
        <w:rPr>
          <w:rFonts w:ascii="Palatino Linotype" w:eastAsia="Palatino Linotype" w:hAnsi="Palatino Linotype" w:cs="Palatino Linotype"/>
          <w:i/>
          <w:sz w:val="22"/>
          <w:szCs w:val="22"/>
          <w:lang w:val="es-ES_tradnl"/>
        </w:rPr>
        <w:t xml:space="preserve"> su </w:t>
      </w:r>
      <w:proofErr w:type="spellStart"/>
      <w:r w:rsidRPr="00535110">
        <w:rPr>
          <w:rFonts w:ascii="Palatino Linotype" w:eastAsia="Palatino Linotype" w:hAnsi="Palatino Linotype" w:cs="Palatino Linotype"/>
          <w:i/>
          <w:sz w:val="22"/>
          <w:szCs w:val="22"/>
          <w:lang w:val="es-ES_tradnl"/>
        </w:rPr>
        <w:t>zonificación</w:t>
      </w:r>
      <w:proofErr w:type="spellEnd"/>
      <w:r w:rsidRPr="00535110">
        <w:rPr>
          <w:rFonts w:ascii="Palatino Linotype" w:eastAsia="Palatino Linotype" w:hAnsi="Palatino Linotype" w:cs="Palatino Linotype"/>
          <w:i/>
          <w:sz w:val="22"/>
          <w:szCs w:val="22"/>
          <w:lang w:val="es-ES_tradnl"/>
        </w:rPr>
        <w:t xml:space="preserve"> y uso principal del suelo con los cuales fue autorizado el proyecto de la </w:t>
      </w:r>
      <w:proofErr w:type="spellStart"/>
      <w:r w:rsidRPr="00535110">
        <w:rPr>
          <w:rFonts w:ascii="Palatino Linotype" w:eastAsia="Palatino Linotype" w:hAnsi="Palatino Linotype" w:cs="Palatino Linotype"/>
          <w:i/>
          <w:sz w:val="22"/>
          <w:szCs w:val="22"/>
          <w:lang w:val="es-ES_tradnl"/>
        </w:rPr>
        <w:t>edificación</w:t>
      </w:r>
      <w:proofErr w:type="spellEnd"/>
      <w:r w:rsidRPr="00535110">
        <w:rPr>
          <w:rFonts w:ascii="Palatino Linotype" w:eastAsia="Palatino Linotype" w:hAnsi="Palatino Linotype" w:cs="Palatino Linotype"/>
          <w:i/>
          <w:sz w:val="22"/>
          <w:szCs w:val="22"/>
          <w:lang w:val="es-ES_tradnl"/>
        </w:rPr>
        <w:t>, sin perjuicio que se trate de un solo proyecto o por etapas.</w:t>
      </w:r>
      <w:r w:rsidR="00A74958" w:rsidRPr="00535110">
        <w:rPr>
          <w:rFonts w:ascii="Palatino Linotype" w:eastAsia="Palatino Linotype" w:hAnsi="Palatino Linotype" w:cs="Palatino Linotype"/>
          <w:i/>
          <w:sz w:val="22"/>
          <w:szCs w:val="22"/>
          <w:lang w:val="es-ES_tradnl"/>
        </w:rPr>
        <w:t xml:space="preserve"> (…) </w:t>
      </w:r>
      <w:r w:rsidRPr="00535110">
        <w:rPr>
          <w:rFonts w:ascii="Palatino Linotype" w:eastAsia="Palatino Linotype" w:hAnsi="Palatino Linotype" w:cs="Palatino Linotype"/>
          <w:i/>
          <w:sz w:val="22"/>
          <w:szCs w:val="22"/>
          <w:lang w:val="es-ES_tradnl"/>
        </w:rPr>
        <w:t xml:space="preserve">2. Se </w:t>
      </w:r>
      <w:proofErr w:type="spellStart"/>
      <w:r w:rsidRPr="00535110">
        <w:rPr>
          <w:rFonts w:ascii="Palatino Linotype" w:eastAsia="Palatino Linotype" w:hAnsi="Palatino Linotype" w:cs="Palatino Linotype"/>
          <w:i/>
          <w:sz w:val="22"/>
          <w:szCs w:val="22"/>
          <w:lang w:val="es-ES_tradnl"/>
        </w:rPr>
        <w:t>exceptúa</w:t>
      </w:r>
      <w:proofErr w:type="spellEnd"/>
      <w:r w:rsidRPr="00535110">
        <w:rPr>
          <w:rFonts w:ascii="Palatino Linotype" w:eastAsia="Palatino Linotype" w:hAnsi="Palatino Linotype" w:cs="Palatino Linotype"/>
          <w:i/>
          <w:sz w:val="22"/>
          <w:szCs w:val="22"/>
          <w:lang w:val="es-ES_tradnl"/>
        </w:rPr>
        <w:t xml:space="preserve"> de esta </w:t>
      </w:r>
      <w:proofErr w:type="spellStart"/>
      <w:r w:rsidRPr="00535110">
        <w:rPr>
          <w:rFonts w:ascii="Palatino Linotype" w:eastAsia="Palatino Linotype" w:hAnsi="Palatino Linotype" w:cs="Palatino Linotype"/>
          <w:i/>
          <w:sz w:val="22"/>
          <w:szCs w:val="22"/>
          <w:lang w:val="es-ES_tradnl"/>
        </w:rPr>
        <w:t>protección</w:t>
      </w:r>
      <w:proofErr w:type="spellEnd"/>
      <w:r w:rsidRPr="00535110">
        <w:rPr>
          <w:rFonts w:ascii="Palatino Linotype" w:eastAsia="Palatino Linotype" w:hAnsi="Palatino Linotype" w:cs="Palatino Linotype"/>
          <w:i/>
          <w:sz w:val="22"/>
          <w:szCs w:val="22"/>
          <w:lang w:val="es-ES_tradnl"/>
        </w:rPr>
        <w:t xml:space="preserve"> a los inmuebles que se encuentren en zona de riesgo o afecten la seguridad de los habitantes, siempre que estas amenazas no pudieren ser subsanadas por cuenta de su propietario o promotor.</w:t>
      </w:r>
      <w:r w:rsidR="00A74958" w:rsidRPr="00535110">
        <w:rPr>
          <w:rFonts w:ascii="Palatino Linotype" w:eastAsia="Palatino Linotype" w:hAnsi="Palatino Linotype" w:cs="Palatino Linotype"/>
          <w:i/>
          <w:sz w:val="22"/>
          <w:szCs w:val="22"/>
          <w:lang w:val="es-ES_tradnl"/>
        </w:rPr>
        <w:t xml:space="preserve"> (…) </w:t>
      </w:r>
      <w:r w:rsidRPr="00535110">
        <w:rPr>
          <w:rFonts w:ascii="Palatino Linotype" w:eastAsia="Palatino Linotype" w:hAnsi="Palatino Linotype" w:cs="Palatino Linotype"/>
          <w:i/>
          <w:sz w:val="22"/>
          <w:szCs w:val="22"/>
          <w:lang w:val="es-ES_tradnl"/>
        </w:rPr>
        <w:t xml:space="preserve">3. Esta </w:t>
      </w:r>
      <w:proofErr w:type="spellStart"/>
      <w:r w:rsidRPr="00535110">
        <w:rPr>
          <w:rFonts w:ascii="Palatino Linotype" w:eastAsia="Palatino Linotype" w:hAnsi="Palatino Linotype" w:cs="Palatino Linotype"/>
          <w:i/>
          <w:sz w:val="22"/>
          <w:szCs w:val="22"/>
          <w:lang w:val="es-ES_tradnl"/>
        </w:rPr>
        <w:t>protección</w:t>
      </w:r>
      <w:proofErr w:type="spellEnd"/>
      <w:r w:rsidRPr="00535110">
        <w:rPr>
          <w:rFonts w:ascii="Palatino Linotype" w:eastAsia="Palatino Linotype" w:hAnsi="Palatino Linotype" w:cs="Palatino Linotype"/>
          <w:i/>
          <w:sz w:val="22"/>
          <w:szCs w:val="22"/>
          <w:lang w:val="es-ES_tradnl"/>
        </w:rPr>
        <w:t xml:space="preserve"> no </w:t>
      </w:r>
      <w:proofErr w:type="spellStart"/>
      <w:r w:rsidRPr="00535110">
        <w:rPr>
          <w:rFonts w:ascii="Palatino Linotype" w:eastAsia="Palatino Linotype" w:hAnsi="Palatino Linotype" w:cs="Palatino Linotype"/>
          <w:i/>
          <w:sz w:val="22"/>
          <w:szCs w:val="22"/>
          <w:lang w:val="es-ES_tradnl"/>
        </w:rPr>
        <w:t>sera</w:t>
      </w:r>
      <w:proofErr w:type="spellEnd"/>
      <w:r w:rsidRPr="00535110">
        <w:rPr>
          <w:rFonts w:ascii="Palatino Linotype" w:eastAsia="Palatino Linotype" w:hAnsi="Palatino Linotype" w:cs="Palatino Linotype"/>
          <w:i/>
          <w:sz w:val="22"/>
          <w:szCs w:val="22"/>
          <w:lang w:val="es-ES_tradnl"/>
        </w:rPr>
        <w:t xml:space="preserve">́ aplicable si </w:t>
      </w:r>
      <w:proofErr w:type="spellStart"/>
      <w:r w:rsidRPr="00535110">
        <w:rPr>
          <w:rFonts w:ascii="Palatino Linotype" w:eastAsia="Palatino Linotype" w:hAnsi="Palatino Linotype" w:cs="Palatino Linotype"/>
          <w:i/>
          <w:sz w:val="22"/>
          <w:szCs w:val="22"/>
          <w:lang w:val="es-ES_tradnl"/>
        </w:rPr>
        <w:t>contándose</w:t>
      </w:r>
      <w:proofErr w:type="spellEnd"/>
      <w:r w:rsidRPr="00535110">
        <w:rPr>
          <w:rFonts w:ascii="Palatino Linotype" w:eastAsia="Palatino Linotype" w:hAnsi="Palatino Linotype" w:cs="Palatino Linotype"/>
          <w:i/>
          <w:sz w:val="22"/>
          <w:szCs w:val="22"/>
          <w:lang w:val="es-ES_tradnl"/>
        </w:rPr>
        <w:t xml:space="preserve"> con la licencia metropolitana </w:t>
      </w:r>
      <w:proofErr w:type="spellStart"/>
      <w:r w:rsidRPr="00535110">
        <w:rPr>
          <w:rFonts w:ascii="Palatino Linotype" w:eastAsia="Palatino Linotype" w:hAnsi="Palatino Linotype" w:cs="Palatino Linotype"/>
          <w:i/>
          <w:sz w:val="22"/>
          <w:szCs w:val="22"/>
          <w:lang w:val="es-ES_tradnl"/>
        </w:rPr>
        <w:t>urbanística</w:t>
      </w:r>
      <w:proofErr w:type="spellEnd"/>
      <w:r w:rsidRPr="00535110">
        <w:rPr>
          <w:rFonts w:ascii="Palatino Linotype" w:eastAsia="Palatino Linotype" w:hAnsi="Palatino Linotype" w:cs="Palatino Linotype"/>
          <w:i/>
          <w:sz w:val="22"/>
          <w:szCs w:val="22"/>
          <w:lang w:val="es-ES_tradnl"/>
        </w:rPr>
        <w:t xml:space="preserve"> correspondiente, no se ha iniciado la obra principal en su plazo de vigencia o si la </w:t>
      </w:r>
      <w:proofErr w:type="spellStart"/>
      <w:r w:rsidRPr="00535110">
        <w:rPr>
          <w:rFonts w:ascii="Palatino Linotype" w:eastAsia="Palatino Linotype" w:hAnsi="Palatino Linotype" w:cs="Palatino Linotype"/>
          <w:i/>
          <w:sz w:val="22"/>
          <w:szCs w:val="22"/>
          <w:lang w:val="es-ES_tradnl"/>
        </w:rPr>
        <w:t>garantía</w:t>
      </w:r>
      <w:proofErr w:type="spellEnd"/>
      <w:r w:rsidRPr="00535110">
        <w:rPr>
          <w:rFonts w:ascii="Palatino Linotype" w:eastAsia="Palatino Linotype" w:hAnsi="Palatino Linotype" w:cs="Palatino Linotype"/>
          <w:i/>
          <w:sz w:val="22"/>
          <w:szCs w:val="22"/>
          <w:lang w:val="es-ES_tradnl"/>
        </w:rPr>
        <w:t xml:space="preserve"> ha caduca</w:t>
      </w:r>
      <w:r w:rsidR="00A74958" w:rsidRPr="00535110">
        <w:rPr>
          <w:rFonts w:ascii="Palatino Linotype" w:eastAsia="Palatino Linotype" w:hAnsi="Palatino Linotype" w:cs="Palatino Linotype"/>
          <w:i/>
          <w:sz w:val="22"/>
          <w:szCs w:val="22"/>
          <w:lang w:val="es-ES_tradnl"/>
        </w:rPr>
        <w:t>do”</w:t>
      </w:r>
      <w:r w:rsidR="00A74958" w:rsidRPr="00535110">
        <w:rPr>
          <w:rFonts w:ascii="Palatino Linotype" w:eastAsia="Palatino Linotype" w:hAnsi="Palatino Linotype" w:cs="Palatino Linotype"/>
          <w:sz w:val="22"/>
          <w:szCs w:val="22"/>
          <w:lang w:val="es-ES_tradnl"/>
        </w:rPr>
        <w:t>;</w:t>
      </w:r>
    </w:p>
    <w:p w14:paraId="1E67C8B0" w14:textId="6F145A02"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lastRenderedPageBreak/>
        <w:t>Que,</w:t>
      </w:r>
      <w:r w:rsidR="00C8650A" w:rsidRPr="00535110">
        <w:rPr>
          <w:rFonts w:ascii="Palatino Linotype" w:eastAsia="Palatino Linotype" w:hAnsi="Palatino Linotype" w:cs="Palatino Linotype"/>
          <w:sz w:val="22"/>
          <w:szCs w:val="22"/>
          <w:lang w:val="es-ES_tradnl"/>
        </w:rPr>
        <w:t xml:space="preserve"> </w:t>
      </w:r>
      <w:r w:rsidR="00C8650A" w:rsidRPr="00535110">
        <w:rPr>
          <w:rFonts w:ascii="Palatino Linotype" w:eastAsia="Palatino Linotype" w:hAnsi="Palatino Linotype" w:cs="Palatino Linotype"/>
          <w:sz w:val="22"/>
          <w:szCs w:val="22"/>
          <w:lang w:val="es-ES_tradnl"/>
        </w:rPr>
        <w:tab/>
        <w:t xml:space="preserve">el </w:t>
      </w:r>
      <w:r w:rsidR="00A74958" w:rsidRPr="00535110">
        <w:rPr>
          <w:rFonts w:ascii="Palatino Linotype" w:eastAsia="Palatino Linotype" w:hAnsi="Palatino Linotype" w:cs="Palatino Linotype"/>
          <w:sz w:val="22"/>
          <w:szCs w:val="22"/>
          <w:lang w:val="es-ES_tradnl"/>
        </w:rPr>
        <w:t>a</w:t>
      </w:r>
      <w:r w:rsidRPr="00535110">
        <w:rPr>
          <w:rFonts w:ascii="Palatino Linotype" w:eastAsia="Palatino Linotype" w:hAnsi="Palatino Linotype" w:cs="Palatino Linotype"/>
          <w:sz w:val="22"/>
          <w:szCs w:val="22"/>
          <w:lang w:val="es-ES_tradnl"/>
        </w:rPr>
        <w:t xml:space="preserve">rtículo </w:t>
      </w:r>
      <w:r w:rsidRPr="00535110">
        <w:rPr>
          <w:rFonts w:ascii="Palatino Linotype" w:eastAsia="Palatino Linotype" w:hAnsi="Palatino Linotype" w:cs="Palatino Linotype"/>
          <w:color w:val="000000"/>
          <w:sz w:val="22"/>
          <w:szCs w:val="22"/>
          <w:lang w:val="es-ES_tradnl"/>
        </w:rPr>
        <w:t>IV.1.94 del Código Municipal</w:t>
      </w:r>
      <w:r w:rsidRPr="00535110">
        <w:rPr>
          <w:rFonts w:ascii="Palatino Linotype" w:eastAsia="Palatino Linotype" w:hAnsi="Palatino Linotype" w:cs="Palatino Linotype"/>
          <w:sz w:val="22"/>
          <w:szCs w:val="22"/>
          <w:lang w:val="es-ES_tradnl"/>
        </w:rPr>
        <w:t>, determina que los propietarios de predios podrán solicitar el incremento de número de pisos, por sobre lo establecido en el PUOS y demás instrumentos de planificación, dentro de los límites y sujetándose a las Reglas Técnicas de Arquitectura y Urbanismo;</w:t>
      </w:r>
    </w:p>
    <w:p w14:paraId="0E8ABDBD" w14:textId="24F2F34E"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00A74958" w:rsidRPr="00535110">
        <w:rPr>
          <w:rFonts w:ascii="Palatino Linotype" w:eastAsia="Palatino Linotype" w:hAnsi="Palatino Linotype" w:cs="Palatino Linotype"/>
          <w:sz w:val="22"/>
          <w:szCs w:val="22"/>
          <w:lang w:val="es-ES_tradnl"/>
        </w:rPr>
        <w:t xml:space="preserve">, </w:t>
      </w:r>
      <w:r w:rsidR="00A74958" w:rsidRPr="00535110">
        <w:rPr>
          <w:rFonts w:ascii="Palatino Linotype" w:eastAsia="Palatino Linotype" w:hAnsi="Palatino Linotype" w:cs="Palatino Linotype"/>
          <w:sz w:val="22"/>
          <w:szCs w:val="22"/>
          <w:lang w:val="es-ES_tradnl"/>
        </w:rPr>
        <w:tab/>
        <w:t>el a</w:t>
      </w:r>
      <w:r w:rsidRPr="00535110">
        <w:rPr>
          <w:rFonts w:ascii="Palatino Linotype" w:eastAsia="Palatino Linotype" w:hAnsi="Palatino Linotype" w:cs="Palatino Linotype"/>
          <w:sz w:val="22"/>
          <w:szCs w:val="22"/>
          <w:lang w:val="es-ES_tradnl"/>
        </w:rPr>
        <w:t xml:space="preserve">rtículo </w:t>
      </w:r>
      <w:r w:rsidRPr="00535110">
        <w:rPr>
          <w:rFonts w:ascii="Palatino Linotype" w:eastAsia="Palatino Linotype" w:hAnsi="Palatino Linotype" w:cs="Palatino Linotype"/>
          <w:color w:val="000000"/>
          <w:sz w:val="22"/>
          <w:szCs w:val="22"/>
          <w:lang w:val="es-ES_tradnl"/>
        </w:rPr>
        <w:t>IV.1.95 del Código Municipal</w:t>
      </w:r>
      <w:r w:rsidRPr="00535110">
        <w:rPr>
          <w:rFonts w:ascii="Palatino Linotype" w:eastAsia="Palatino Linotype" w:hAnsi="Palatino Linotype" w:cs="Palatino Linotype"/>
          <w:sz w:val="22"/>
          <w:szCs w:val="22"/>
          <w:lang w:val="es-ES_tradnl"/>
        </w:rPr>
        <w:t>, define como “suelo creado” al área a ser construida por sobre lo establecido en el PUOS, previa autorización del Municipio del Distrito Metropolitano de Quito;</w:t>
      </w:r>
    </w:p>
    <w:p w14:paraId="7B9DBF2B" w14:textId="39150F64"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00C8650A" w:rsidRPr="00535110">
        <w:rPr>
          <w:rFonts w:ascii="Palatino Linotype" w:eastAsia="Palatino Linotype" w:hAnsi="Palatino Linotype" w:cs="Palatino Linotype"/>
          <w:sz w:val="22"/>
          <w:szCs w:val="22"/>
          <w:lang w:val="es-ES_tradnl"/>
        </w:rPr>
        <w:t xml:space="preserve">, </w:t>
      </w:r>
      <w:r w:rsidR="00C8650A" w:rsidRPr="00535110">
        <w:rPr>
          <w:rFonts w:ascii="Palatino Linotype" w:eastAsia="Palatino Linotype" w:hAnsi="Palatino Linotype" w:cs="Palatino Linotype"/>
          <w:sz w:val="22"/>
          <w:szCs w:val="22"/>
          <w:lang w:val="es-ES_tradnl"/>
        </w:rPr>
        <w:tab/>
        <w:t xml:space="preserve">el </w:t>
      </w:r>
      <w:r w:rsidR="00A74958" w:rsidRPr="00535110">
        <w:rPr>
          <w:rFonts w:ascii="Palatino Linotype" w:eastAsia="Palatino Linotype" w:hAnsi="Palatino Linotype" w:cs="Palatino Linotype"/>
          <w:sz w:val="22"/>
          <w:szCs w:val="22"/>
          <w:lang w:val="es-ES_tradnl"/>
        </w:rPr>
        <w:t>a</w:t>
      </w:r>
      <w:r w:rsidRPr="00535110">
        <w:rPr>
          <w:rFonts w:ascii="Palatino Linotype" w:eastAsia="Palatino Linotype" w:hAnsi="Palatino Linotype" w:cs="Palatino Linotype"/>
          <w:sz w:val="22"/>
          <w:szCs w:val="22"/>
          <w:lang w:val="es-ES_tradnl"/>
        </w:rPr>
        <w:t xml:space="preserve">rtículo </w:t>
      </w:r>
      <w:r w:rsidRPr="00535110">
        <w:rPr>
          <w:rFonts w:ascii="Palatino Linotype" w:eastAsia="Palatino Linotype" w:hAnsi="Palatino Linotype" w:cs="Palatino Linotype"/>
          <w:color w:val="000000"/>
          <w:sz w:val="22"/>
          <w:szCs w:val="22"/>
          <w:lang w:val="es-ES_tradnl"/>
        </w:rPr>
        <w:t>IV.1.96 del Código Municipal</w:t>
      </w:r>
      <w:r w:rsidRPr="00535110">
        <w:rPr>
          <w:rFonts w:ascii="Palatino Linotype" w:eastAsia="Palatino Linotype" w:hAnsi="Palatino Linotype" w:cs="Palatino Linotype"/>
          <w:sz w:val="22"/>
          <w:szCs w:val="22"/>
          <w:lang w:val="es-ES_tradnl"/>
        </w:rPr>
        <w:t xml:space="preserve">, establece que la autorización del incremento de número de pisos podrá otorgarse en los siguientes casos y de conformidad con las Reglas Técnicas de Arquitectura y Urbanismo: </w:t>
      </w:r>
      <w:r w:rsidR="00A74958"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i/>
          <w:sz w:val="22"/>
          <w:szCs w:val="22"/>
          <w:lang w:val="es-ES_tradnl"/>
        </w:rPr>
        <w:t xml:space="preserve">a) En la Zonas Urbanísticas de Asignación Especial (ZUAE); </w:t>
      </w:r>
      <w:r w:rsidR="00A74958"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i/>
          <w:sz w:val="22"/>
          <w:szCs w:val="22"/>
          <w:lang w:val="es-ES_tradnl"/>
        </w:rPr>
        <w:t>…</w:t>
      </w:r>
      <w:r w:rsidR="00A74958" w:rsidRPr="00535110">
        <w:rPr>
          <w:rFonts w:ascii="Palatino Linotype" w:eastAsia="Palatino Linotype" w:hAnsi="Palatino Linotype" w:cs="Palatino Linotype"/>
          <w:i/>
          <w:sz w:val="22"/>
          <w:szCs w:val="22"/>
          <w:lang w:val="es-ES_tradnl"/>
        </w:rPr>
        <w:t xml:space="preserve">) </w:t>
      </w:r>
      <w:r w:rsidRPr="00535110">
        <w:rPr>
          <w:rFonts w:ascii="Palatino Linotype" w:eastAsia="Palatino Linotype" w:hAnsi="Palatino Linotype" w:cs="Palatino Linotype"/>
          <w:i/>
          <w:sz w:val="22"/>
          <w:szCs w:val="22"/>
          <w:lang w:val="es-ES_tradnl"/>
        </w:rPr>
        <w:t>d) En las construcciones que privilegien la reutilización de aguas servidas, garanticen limitaciones de consumo de energía y agua, y en general las que sean un aporte paisajístico, ambiental y tecnológico a la ciudad</w:t>
      </w:r>
      <w:r w:rsidR="00A74958" w:rsidRPr="00535110">
        <w:rPr>
          <w:rFonts w:ascii="Palatino Linotype" w:eastAsia="Palatino Linotype" w:hAnsi="Palatino Linotype" w:cs="Palatino Linotype"/>
          <w:i/>
          <w:sz w:val="22"/>
          <w:szCs w:val="22"/>
          <w:lang w:val="es-ES_tradnl"/>
        </w:rPr>
        <w:t>.</w:t>
      </w:r>
      <w:r w:rsidR="00A74958"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w:t>
      </w:r>
    </w:p>
    <w:p w14:paraId="6DBBC7B5" w14:textId="488FD5A4"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Que, </w:t>
      </w:r>
      <w:r w:rsidRPr="00535110">
        <w:rPr>
          <w:rFonts w:ascii="Palatino Linotype" w:eastAsia="Palatino Linotype" w:hAnsi="Palatino Linotype" w:cs="Palatino Linotype"/>
          <w:b/>
          <w:sz w:val="22"/>
          <w:szCs w:val="22"/>
          <w:lang w:val="es-ES_tradnl"/>
        </w:rPr>
        <w:tab/>
      </w:r>
      <w:r w:rsidR="000F567D" w:rsidRPr="00535110">
        <w:rPr>
          <w:rFonts w:ascii="Palatino Linotype" w:eastAsia="Palatino Linotype" w:hAnsi="Palatino Linotype" w:cs="Palatino Linotype"/>
          <w:sz w:val="22"/>
          <w:szCs w:val="22"/>
          <w:lang w:val="es-ES_tradnl"/>
        </w:rPr>
        <w:t>el Capítulo VI, del Título V, del Libro III.5, del Presupuesto, Finanzas y Tributación del Código Municipal</w:t>
      </w:r>
      <w:r w:rsidRPr="00535110">
        <w:rPr>
          <w:rFonts w:ascii="Palatino Linotype" w:eastAsia="Palatino Linotype" w:hAnsi="Palatino Linotype" w:cs="Palatino Linotype"/>
          <w:color w:val="000000"/>
          <w:sz w:val="22"/>
          <w:szCs w:val="22"/>
          <w:lang w:val="es-ES_tradnl"/>
        </w:rPr>
        <w:t>,</w:t>
      </w:r>
      <w:r w:rsidRPr="00535110">
        <w:rPr>
          <w:rFonts w:ascii="Palatino Linotype" w:eastAsia="Palatino Linotype" w:hAnsi="Palatino Linotype" w:cs="Palatino Linotype"/>
          <w:sz w:val="22"/>
          <w:szCs w:val="22"/>
          <w:lang w:val="es-ES_tradnl"/>
        </w:rPr>
        <w:t xml:space="preserve"> que </w:t>
      </w:r>
      <w:r w:rsidR="000F567D" w:rsidRPr="00535110">
        <w:rPr>
          <w:rFonts w:ascii="Palatino Linotype" w:eastAsia="Palatino Linotype" w:hAnsi="Palatino Linotype" w:cs="Palatino Linotype"/>
          <w:sz w:val="22"/>
          <w:szCs w:val="22"/>
          <w:lang w:val="es-ES_tradnl"/>
        </w:rPr>
        <w:t xml:space="preserve">regula las contribuciones especiales para la captación del </w:t>
      </w:r>
      <w:r w:rsidRPr="00535110">
        <w:rPr>
          <w:rFonts w:ascii="Palatino Linotype" w:eastAsia="Palatino Linotype" w:hAnsi="Palatino Linotype" w:cs="Palatino Linotype"/>
          <w:sz w:val="22"/>
          <w:szCs w:val="22"/>
          <w:lang w:val="es-ES_tradnl"/>
        </w:rPr>
        <w:t xml:space="preserve">incremento </w:t>
      </w:r>
      <w:r w:rsidR="000F567D" w:rsidRPr="00535110">
        <w:rPr>
          <w:rFonts w:ascii="Palatino Linotype" w:eastAsia="Palatino Linotype" w:hAnsi="Palatino Linotype" w:cs="Palatino Linotype"/>
          <w:sz w:val="22"/>
          <w:szCs w:val="22"/>
          <w:lang w:val="es-ES_tradnl"/>
        </w:rPr>
        <w:t xml:space="preserve">del valor del inmueble </w:t>
      </w:r>
      <w:r w:rsidRPr="00535110">
        <w:rPr>
          <w:rFonts w:ascii="Palatino Linotype" w:eastAsia="Palatino Linotype" w:hAnsi="Palatino Linotype" w:cs="Palatino Linotype"/>
          <w:sz w:val="22"/>
          <w:szCs w:val="22"/>
          <w:lang w:val="es-ES_tradnl"/>
        </w:rPr>
        <w:t>por suelo creado en el Distrito Metropolitano de Quito, establece el hecho generador de la contribución especial, los sujetos activo y pasivos, la fórmula de la cuota, el devengo, la gestión y la potestad coactiva vinculad</w:t>
      </w:r>
      <w:r w:rsidR="000F567D" w:rsidRPr="00535110">
        <w:rPr>
          <w:rFonts w:ascii="Palatino Linotype" w:eastAsia="Palatino Linotype" w:hAnsi="Palatino Linotype" w:cs="Palatino Linotype"/>
          <w:sz w:val="22"/>
          <w:szCs w:val="22"/>
          <w:lang w:val="es-ES_tradnl"/>
        </w:rPr>
        <w:t>as a esta contribución especial;</w:t>
      </w:r>
    </w:p>
    <w:p w14:paraId="30B90AC0"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 xml:space="preserve">Que, </w:t>
      </w:r>
      <w:r w:rsidRPr="00535110">
        <w:rPr>
          <w:rFonts w:ascii="Palatino Linotype" w:eastAsia="Palatino Linotype" w:hAnsi="Palatino Linotype" w:cs="Palatino Linotype"/>
          <w:b/>
          <w:sz w:val="22"/>
          <w:szCs w:val="22"/>
          <w:lang w:val="es-ES_tradnl"/>
        </w:rPr>
        <w:tab/>
      </w:r>
      <w:r w:rsidRPr="00535110">
        <w:rPr>
          <w:rFonts w:ascii="Palatino Linotype" w:eastAsia="Palatino Linotype" w:hAnsi="Palatino Linotype" w:cs="Palatino Linotype"/>
          <w:sz w:val="22"/>
          <w:szCs w:val="22"/>
          <w:lang w:val="es-ES_tradnl"/>
        </w:rPr>
        <w:t>es necesario regular las condiciones en las que se permitirá el incremento de pisos por sobre lo establecido en el PUOS vigente, con el objetivo de consolidar el suelo urbano, aprovechar la inversión en infraestructura de movilidad e introducir el concepto de eco-eficiencia en la ciudad;</w:t>
      </w:r>
    </w:p>
    <w:p w14:paraId="45DE481C"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Que, </w:t>
      </w:r>
      <w:r w:rsidRPr="00535110">
        <w:rPr>
          <w:rFonts w:ascii="Palatino Linotype" w:eastAsia="Palatino Linotype" w:hAnsi="Palatino Linotype" w:cs="Palatino Linotype"/>
          <w:b/>
          <w:sz w:val="22"/>
          <w:szCs w:val="22"/>
          <w:lang w:val="es-ES_tradnl"/>
        </w:rPr>
        <w:tab/>
      </w:r>
      <w:r w:rsidRPr="00535110">
        <w:rPr>
          <w:rFonts w:ascii="Palatino Linotype" w:eastAsia="Palatino Linotype" w:hAnsi="Palatino Linotype" w:cs="Palatino Linotype"/>
          <w:sz w:val="22"/>
          <w:szCs w:val="22"/>
          <w:lang w:val="es-ES_tradnl"/>
        </w:rPr>
        <w:t xml:space="preserve">el Municipio del Distrito Metropolitano de Quito requiere contar con normativa que le permita regular la concesión onerosa de derechos de tal suerte que pueda contribuir al financiamiento del desarrollo urbano mediante el otorgamiento oneroso de derechos adicionales de edificabilidad bajo la figura de suelo creado en proyectos eco-eficientes ubicados en las </w:t>
      </w:r>
      <w:r w:rsidRPr="00535110">
        <w:rPr>
          <w:rFonts w:ascii="Palatino Linotype" w:eastAsia="Palatino Linotype" w:hAnsi="Palatino Linotype" w:cs="Palatino Linotype"/>
          <w:color w:val="000000"/>
          <w:sz w:val="22"/>
          <w:szCs w:val="22"/>
          <w:lang w:val="es-ES_tradnl"/>
        </w:rPr>
        <w:t>áreas de influencia del sistema metropolitano de transporte</w:t>
      </w:r>
      <w:r w:rsidRPr="00535110">
        <w:rPr>
          <w:rFonts w:ascii="Palatino Linotype" w:eastAsia="Palatino Linotype" w:hAnsi="Palatino Linotype" w:cs="Palatino Linotype"/>
          <w:sz w:val="22"/>
          <w:szCs w:val="22"/>
          <w:lang w:val="es-ES_tradnl"/>
        </w:rPr>
        <w:t xml:space="preserve"> y proyectos ubicados en ZUAE, y;</w:t>
      </w:r>
    </w:p>
    <w:p w14:paraId="7B812446"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 xml:space="preserve">los cambios en la ocupación que el Municipio otorga a los proyectos eco-eficientes ubicados en las </w:t>
      </w:r>
      <w:r w:rsidRPr="00535110">
        <w:rPr>
          <w:rFonts w:ascii="Palatino Linotype" w:eastAsia="Palatino Linotype" w:hAnsi="Palatino Linotype" w:cs="Palatino Linotype"/>
          <w:color w:val="000000"/>
          <w:sz w:val="22"/>
          <w:szCs w:val="22"/>
          <w:lang w:val="es-ES_tradnl"/>
        </w:rPr>
        <w:t>áreas de influencia del sistema metropolitano de transporte</w:t>
      </w:r>
      <w:r w:rsidRPr="00535110">
        <w:rPr>
          <w:rFonts w:ascii="Palatino Linotype" w:eastAsia="Palatino Linotype" w:hAnsi="Palatino Linotype" w:cs="Palatino Linotype"/>
          <w:sz w:val="22"/>
          <w:szCs w:val="22"/>
          <w:lang w:val="es-ES_tradnl"/>
        </w:rPr>
        <w:t xml:space="preserve"> y proyectos ubicados en ZUAE, generan un mayor y mejor aprovechamiento del predio, lo cual incide favorablemente en la valoración del suelo objeto de tales beneficios;</w:t>
      </w:r>
    </w:p>
    <w:p w14:paraId="245983EC"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lastRenderedPageBreak/>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 xml:space="preserve">en materia de planeamiento y urbanismo, a la administración municipal le compete expedir las ordenanzas y normativa específica con el objeto de cumplir las funciones prescritas en el COOTAD; </w:t>
      </w:r>
    </w:p>
    <w:p w14:paraId="1926BD31" w14:textId="77777777"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en referencia al trámite No. PRO-No. 2018-04254 de 14 de enero de 2018, el Procurador Metropolitano, emite criterio legal y en su parte pertinente manifiesta: “</w:t>
      </w:r>
      <w:r w:rsidRPr="00535110">
        <w:rPr>
          <w:rFonts w:ascii="Palatino Linotype" w:eastAsia="Palatino Linotype" w:hAnsi="Palatino Linotype" w:cs="Palatino Linotype"/>
          <w:i/>
          <w:sz w:val="22"/>
          <w:szCs w:val="22"/>
          <w:lang w:val="es-ES_tradnl"/>
        </w:rPr>
        <w:t>(…) Procuraduría Metropolitana emite criterio legal favorable (…)”</w:t>
      </w:r>
      <w:r w:rsidRPr="00535110">
        <w:rPr>
          <w:rFonts w:ascii="Palatino Linotype" w:eastAsia="Palatino Linotype" w:hAnsi="Palatino Linotype" w:cs="Palatino Linotype"/>
          <w:sz w:val="22"/>
          <w:szCs w:val="22"/>
          <w:lang w:val="es-ES_tradnl"/>
        </w:rPr>
        <w:t>.</w:t>
      </w:r>
    </w:p>
    <w:p w14:paraId="4AAC4EA8" w14:textId="23DE0B55"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con oficio No. DMT-2019-</w:t>
      </w:r>
      <w:r w:rsidR="000F567D" w:rsidRPr="00535110">
        <w:rPr>
          <w:rFonts w:ascii="Palatino Linotype" w:eastAsia="Palatino Linotype" w:hAnsi="Palatino Linotype" w:cs="Palatino Linotype"/>
          <w:sz w:val="22"/>
          <w:szCs w:val="22"/>
          <w:lang w:val="es-ES_tradnl"/>
        </w:rPr>
        <w:t xml:space="preserve">070 de 28 de enero de 2019, el </w:t>
      </w:r>
      <w:r w:rsidRPr="00535110">
        <w:rPr>
          <w:rFonts w:ascii="Palatino Linotype" w:eastAsia="Palatino Linotype" w:hAnsi="Palatino Linotype" w:cs="Palatino Linotype"/>
          <w:sz w:val="22"/>
          <w:szCs w:val="22"/>
          <w:lang w:val="es-ES_tradnl"/>
        </w:rPr>
        <w:t xml:space="preserve">Director Metropolitano Tributario emite informe técnico sobre </w:t>
      </w:r>
      <w:r w:rsidR="000F567D" w:rsidRPr="00535110">
        <w:rPr>
          <w:rFonts w:ascii="Palatino Linotype" w:eastAsia="Palatino Linotype" w:hAnsi="Palatino Linotype" w:cs="Palatino Linotype"/>
          <w:sz w:val="22"/>
          <w:szCs w:val="22"/>
          <w:lang w:val="es-ES_tradnl"/>
        </w:rPr>
        <w:t xml:space="preserve">el presente </w:t>
      </w:r>
      <w:r w:rsidRPr="00535110">
        <w:rPr>
          <w:rFonts w:ascii="Palatino Linotype" w:eastAsia="Palatino Linotype" w:hAnsi="Palatino Linotype" w:cs="Palatino Linotype"/>
          <w:sz w:val="22"/>
          <w:szCs w:val="22"/>
          <w:lang w:val="es-ES_tradnl"/>
        </w:rPr>
        <w:t>proyecto de Ordenanza Metropolitana;</w:t>
      </w:r>
    </w:p>
    <w:p w14:paraId="4F526D81" w14:textId="032202DA" w:rsidR="009943B3" w:rsidRPr="00535110" w:rsidRDefault="009943B3" w:rsidP="00A74958">
      <w:pPr>
        <w:shd w:val="clear" w:color="auto" w:fill="FFFFFF"/>
        <w:spacing w:after="120" w:line="276" w:lineRule="auto"/>
        <w:ind w:left="705" w:hanging="705"/>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Que,</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b/>
        <w:t xml:space="preserve">mediante oficio No. STHV-DMDU-0601-2019 del 4 de febrero de 2019, la Secretaría de Territorio, Hábitat y Vivienda, emite informe técnico del Proyecto de Ordenanza Metropolitana </w:t>
      </w:r>
      <w:r w:rsidR="000F567D" w:rsidRPr="00535110">
        <w:rPr>
          <w:rFonts w:ascii="Palatino Linotype" w:eastAsia="Palatino Linotype" w:hAnsi="Palatino Linotype" w:cs="Palatino Linotype"/>
          <w:sz w:val="22"/>
          <w:szCs w:val="22"/>
          <w:lang w:val="es-ES_tradnl"/>
        </w:rPr>
        <w:t xml:space="preserve">que regula el incremento de pisos, por suelo creado, de acuerdo al </w:t>
      </w:r>
      <w:r w:rsidRPr="00535110">
        <w:rPr>
          <w:rFonts w:ascii="Palatino Linotype" w:eastAsia="Palatino Linotype" w:hAnsi="Palatino Linotype" w:cs="Palatino Linotype"/>
          <w:sz w:val="22"/>
          <w:szCs w:val="22"/>
          <w:lang w:val="es-ES_tradnl"/>
        </w:rPr>
        <w:t xml:space="preserve">Plan Metropolitano </w:t>
      </w:r>
      <w:r w:rsidR="000F567D" w:rsidRPr="00535110">
        <w:rPr>
          <w:rFonts w:ascii="Palatino Linotype" w:eastAsia="Palatino Linotype" w:hAnsi="Palatino Linotype" w:cs="Palatino Linotype"/>
          <w:sz w:val="22"/>
          <w:szCs w:val="22"/>
          <w:lang w:val="es-ES_tradnl"/>
        </w:rPr>
        <w:t>d</w:t>
      </w:r>
      <w:r w:rsidRPr="00535110">
        <w:rPr>
          <w:rFonts w:ascii="Palatino Linotype" w:eastAsia="Palatino Linotype" w:hAnsi="Palatino Linotype" w:cs="Palatino Linotype"/>
          <w:sz w:val="22"/>
          <w:szCs w:val="22"/>
          <w:lang w:val="es-ES_tradnl"/>
        </w:rPr>
        <w:t xml:space="preserve">e Desarrollo </w:t>
      </w:r>
      <w:r w:rsidR="000F567D" w:rsidRPr="00535110">
        <w:rPr>
          <w:rFonts w:ascii="Palatino Linotype" w:eastAsia="Palatino Linotype" w:hAnsi="Palatino Linotype" w:cs="Palatino Linotype"/>
          <w:sz w:val="22"/>
          <w:szCs w:val="22"/>
          <w:lang w:val="es-ES_tradnl"/>
        </w:rPr>
        <w:t>y</w:t>
      </w:r>
      <w:r w:rsidRPr="00535110">
        <w:rPr>
          <w:rFonts w:ascii="Palatino Linotype" w:eastAsia="Palatino Linotype" w:hAnsi="Palatino Linotype" w:cs="Palatino Linotype"/>
          <w:sz w:val="22"/>
          <w:szCs w:val="22"/>
          <w:lang w:val="es-ES_tradnl"/>
        </w:rPr>
        <w:t xml:space="preserve"> Ordenamiento Territorial, </w:t>
      </w:r>
      <w:r w:rsidR="000F567D" w:rsidRPr="00535110">
        <w:rPr>
          <w:rFonts w:ascii="Palatino Linotype" w:eastAsia="Palatino Linotype" w:hAnsi="Palatino Linotype" w:cs="Palatino Linotype"/>
          <w:sz w:val="22"/>
          <w:szCs w:val="22"/>
          <w:lang w:val="es-ES_tradnl"/>
        </w:rPr>
        <w:t>e</w:t>
      </w:r>
      <w:r w:rsidRPr="00535110">
        <w:rPr>
          <w:rFonts w:ascii="Palatino Linotype" w:eastAsia="Palatino Linotype" w:hAnsi="Palatino Linotype" w:cs="Palatino Linotype"/>
          <w:sz w:val="22"/>
          <w:szCs w:val="22"/>
          <w:lang w:val="es-ES_tradnl"/>
        </w:rPr>
        <w:t xml:space="preserve">n Proyectos Eco-Eficientes </w:t>
      </w:r>
      <w:r w:rsidR="000F567D" w:rsidRPr="00535110">
        <w:rPr>
          <w:rFonts w:ascii="Palatino Linotype" w:eastAsia="Palatino Linotype" w:hAnsi="Palatino Linotype" w:cs="Palatino Linotype"/>
          <w:sz w:val="22"/>
          <w:szCs w:val="22"/>
          <w:lang w:val="es-ES_tradnl"/>
        </w:rPr>
        <w:t>u</w:t>
      </w:r>
      <w:r w:rsidRPr="00535110">
        <w:rPr>
          <w:rFonts w:ascii="Palatino Linotype" w:eastAsia="Palatino Linotype" w:hAnsi="Palatino Linotype" w:cs="Palatino Linotype"/>
          <w:sz w:val="22"/>
          <w:szCs w:val="22"/>
          <w:lang w:val="es-ES_tradnl"/>
        </w:rPr>
        <w:t xml:space="preserve">bicados </w:t>
      </w:r>
      <w:r w:rsidR="000F567D" w:rsidRPr="00535110">
        <w:rPr>
          <w:rFonts w:ascii="Palatino Linotype" w:eastAsia="Palatino Linotype" w:hAnsi="Palatino Linotype" w:cs="Palatino Linotype"/>
          <w:sz w:val="22"/>
          <w:szCs w:val="22"/>
          <w:lang w:val="es-ES_tradnl"/>
        </w:rPr>
        <w:t xml:space="preserve">en las áreas de influencia del </w:t>
      </w:r>
      <w:r w:rsidRPr="00535110">
        <w:rPr>
          <w:rFonts w:ascii="Palatino Linotype" w:eastAsia="Palatino Linotype" w:hAnsi="Palatino Linotype" w:cs="Palatino Linotype"/>
          <w:sz w:val="22"/>
          <w:szCs w:val="22"/>
          <w:lang w:val="es-ES_tradnl"/>
        </w:rPr>
        <w:t xml:space="preserve">Sistema Metropolitano </w:t>
      </w:r>
      <w:r w:rsidR="00927FD9" w:rsidRPr="00535110">
        <w:rPr>
          <w:rFonts w:ascii="Palatino Linotype" w:eastAsia="Palatino Linotype" w:hAnsi="Palatino Linotype" w:cs="Palatino Linotype"/>
          <w:sz w:val="22"/>
          <w:szCs w:val="22"/>
          <w:lang w:val="es-ES_tradnl"/>
        </w:rPr>
        <w:t>d</w:t>
      </w:r>
      <w:r w:rsidRPr="00535110">
        <w:rPr>
          <w:rFonts w:ascii="Palatino Linotype" w:eastAsia="Palatino Linotype" w:hAnsi="Palatino Linotype" w:cs="Palatino Linotype"/>
          <w:sz w:val="22"/>
          <w:szCs w:val="22"/>
          <w:lang w:val="es-ES_tradnl"/>
        </w:rPr>
        <w:t>e T</w:t>
      </w:r>
      <w:r w:rsidR="000F567D" w:rsidRPr="00535110">
        <w:rPr>
          <w:rFonts w:ascii="Palatino Linotype" w:eastAsia="Palatino Linotype" w:hAnsi="Palatino Linotype" w:cs="Palatino Linotype"/>
          <w:sz w:val="22"/>
          <w:szCs w:val="22"/>
          <w:lang w:val="es-ES_tradnl"/>
        </w:rPr>
        <w:t xml:space="preserve">ransporte </w:t>
      </w:r>
      <w:r w:rsidR="00927FD9" w:rsidRPr="00535110">
        <w:rPr>
          <w:rFonts w:ascii="Palatino Linotype" w:eastAsia="Palatino Linotype" w:hAnsi="Palatino Linotype" w:cs="Palatino Linotype"/>
          <w:sz w:val="22"/>
          <w:szCs w:val="22"/>
          <w:lang w:val="es-ES_tradnl"/>
        </w:rPr>
        <w:t>y</w:t>
      </w:r>
      <w:r w:rsidR="000F567D" w:rsidRPr="00535110">
        <w:rPr>
          <w:rFonts w:ascii="Palatino Linotype" w:eastAsia="Palatino Linotype" w:hAnsi="Palatino Linotype" w:cs="Palatino Linotype"/>
          <w:sz w:val="22"/>
          <w:szCs w:val="22"/>
          <w:lang w:val="es-ES_tradnl"/>
        </w:rPr>
        <w:t xml:space="preserve"> Proyectos Ubicados e</w:t>
      </w:r>
      <w:r w:rsidRPr="00535110">
        <w:rPr>
          <w:rFonts w:ascii="Palatino Linotype" w:eastAsia="Palatino Linotype" w:hAnsi="Palatino Linotype" w:cs="Palatino Linotype"/>
          <w:sz w:val="22"/>
          <w:szCs w:val="22"/>
          <w:lang w:val="es-ES_tradnl"/>
        </w:rPr>
        <w:t xml:space="preserve">n </w:t>
      </w:r>
      <w:r w:rsidR="000F567D" w:rsidRPr="00535110">
        <w:rPr>
          <w:rFonts w:ascii="Palatino Linotype" w:eastAsia="Palatino Linotype" w:hAnsi="Palatino Linotype" w:cs="Palatino Linotype"/>
          <w:sz w:val="22"/>
          <w:szCs w:val="22"/>
          <w:lang w:val="es-ES_tradnl"/>
        </w:rPr>
        <w:t>l</w:t>
      </w:r>
      <w:r w:rsidRPr="00535110">
        <w:rPr>
          <w:rFonts w:ascii="Palatino Linotype" w:eastAsia="Palatino Linotype" w:hAnsi="Palatino Linotype" w:cs="Palatino Linotype"/>
          <w:sz w:val="22"/>
          <w:szCs w:val="22"/>
          <w:lang w:val="es-ES_tradnl"/>
        </w:rPr>
        <w:t xml:space="preserve">as Zonas Urbanísticas </w:t>
      </w:r>
      <w:r w:rsidR="00927FD9" w:rsidRPr="00535110">
        <w:rPr>
          <w:rFonts w:ascii="Palatino Linotype" w:eastAsia="Palatino Linotype" w:hAnsi="Palatino Linotype" w:cs="Palatino Linotype"/>
          <w:sz w:val="22"/>
          <w:szCs w:val="22"/>
          <w:lang w:val="es-ES_tradnl"/>
        </w:rPr>
        <w:t>d</w:t>
      </w:r>
      <w:r w:rsidRPr="00535110">
        <w:rPr>
          <w:rFonts w:ascii="Palatino Linotype" w:eastAsia="Palatino Linotype" w:hAnsi="Palatino Linotype" w:cs="Palatino Linotype"/>
          <w:sz w:val="22"/>
          <w:szCs w:val="22"/>
          <w:lang w:val="es-ES_tradnl"/>
        </w:rPr>
        <w:t>e Asignación Especial (ZUAE).</w:t>
      </w:r>
    </w:p>
    <w:p w14:paraId="22D9008D" w14:textId="77777777" w:rsidR="00464F06" w:rsidRPr="00535110" w:rsidRDefault="00464F06" w:rsidP="00A74958">
      <w:pPr>
        <w:spacing w:after="120" w:line="276" w:lineRule="auto"/>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En ejercicio de la atribución que le confiere el Artículo 57, literal a) y Artículo 87, literal a) del Código Orgánico de Organización Territorial, Autonomía y Descentralización; y, el Artículo 8, numeral 1 de la Ley de Régimen para el Distrito Metropolitano de Quito:</w:t>
      </w:r>
    </w:p>
    <w:p w14:paraId="10C5C09D"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EXPIDE LA SIGUIENTE:</w:t>
      </w:r>
    </w:p>
    <w:p w14:paraId="401D59F4" w14:textId="71755822" w:rsidR="00486007" w:rsidRPr="00535110" w:rsidRDefault="00F42F53" w:rsidP="00A74958">
      <w:pPr>
        <w:spacing w:after="120" w:line="276" w:lineRule="auto"/>
        <w:jc w:val="center"/>
        <w:rPr>
          <w:rFonts w:ascii="Palatino Linotype" w:eastAsia="Palatino Linotype" w:hAnsi="Palatino Linotype" w:cs="Palatino Linotype"/>
          <w:b/>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ORDENANZA </w:t>
      </w:r>
      <w:r w:rsidR="00C54CE2" w:rsidRPr="00535110">
        <w:rPr>
          <w:rFonts w:ascii="Palatino Linotype" w:eastAsia="Palatino Linotype" w:hAnsi="Palatino Linotype" w:cs="Palatino Linotype"/>
          <w:b/>
          <w:color w:val="000000"/>
          <w:sz w:val="22"/>
          <w:szCs w:val="22"/>
          <w:lang w:val="es-ES_tradnl"/>
        </w:rPr>
        <w:t xml:space="preserve">REFORMATORIA </w:t>
      </w:r>
      <w:r w:rsidR="000F567D" w:rsidRPr="00535110">
        <w:rPr>
          <w:rFonts w:ascii="Palatino Linotype" w:eastAsia="Palatino Linotype" w:hAnsi="Palatino Linotype" w:cs="Palatino Linotype"/>
          <w:b/>
          <w:color w:val="000000"/>
          <w:sz w:val="22"/>
          <w:szCs w:val="22"/>
          <w:lang w:val="es-ES_tradnl"/>
        </w:rPr>
        <w:t>D</w:t>
      </w:r>
      <w:r w:rsidR="00C54CE2" w:rsidRPr="00535110">
        <w:rPr>
          <w:rFonts w:ascii="Palatino Linotype" w:eastAsia="Palatino Linotype" w:hAnsi="Palatino Linotype" w:cs="Palatino Linotype"/>
          <w:b/>
          <w:color w:val="000000"/>
          <w:sz w:val="22"/>
          <w:szCs w:val="22"/>
          <w:lang w:val="es-ES_tradnl"/>
        </w:rPr>
        <w:t>EL</w:t>
      </w:r>
      <w:bookmarkStart w:id="1" w:name="_Toc4759208"/>
      <w:r w:rsidR="00C54CE2" w:rsidRPr="00535110">
        <w:rPr>
          <w:rFonts w:ascii="Palatino Linotype" w:eastAsia="Palatino Linotype" w:hAnsi="Palatino Linotype" w:cs="Palatino Linotype"/>
          <w:b/>
          <w:color w:val="000000"/>
          <w:sz w:val="22"/>
          <w:szCs w:val="22"/>
          <w:lang w:val="es-ES_tradnl"/>
        </w:rPr>
        <w:t xml:space="preserve"> CÓDIGO MUNICIPAL PARA EL DISTRITO METROPOLITANO DE QUITO</w:t>
      </w:r>
      <w:bookmarkEnd w:id="1"/>
      <w:r w:rsidR="00C54CE2" w:rsidRPr="00535110">
        <w:rPr>
          <w:rFonts w:ascii="Palatino Linotype" w:eastAsia="Palatino Linotype" w:hAnsi="Palatino Linotype" w:cs="Palatino Linotype"/>
          <w:b/>
          <w:color w:val="000000"/>
          <w:sz w:val="22"/>
          <w:szCs w:val="22"/>
          <w:lang w:val="es-ES_tradnl"/>
        </w:rPr>
        <w:t xml:space="preserve">, </w:t>
      </w:r>
      <w:r w:rsidR="000F567D" w:rsidRPr="00535110">
        <w:rPr>
          <w:rFonts w:ascii="Palatino Linotype" w:eastAsia="Palatino Linotype" w:hAnsi="Palatino Linotype" w:cs="Palatino Linotype"/>
          <w:b/>
          <w:color w:val="000000"/>
          <w:sz w:val="22"/>
          <w:szCs w:val="22"/>
          <w:lang w:val="es-ES_tradnl"/>
        </w:rPr>
        <w:t xml:space="preserve">POR LA CUAL SE </w:t>
      </w:r>
      <w:r w:rsidR="00C54CE2" w:rsidRPr="00535110">
        <w:rPr>
          <w:rFonts w:ascii="Palatino Linotype" w:eastAsia="Palatino Linotype" w:hAnsi="Palatino Linotype" w:cs="Palatino Linotype"/>
          <w:b/>
          <w:color w:val="000000"/>
          <w:sz w:val="22"/>
          <w:szCs w:val="22"/>
          <w:lang w:val="es-ES_tradnl"/>
        </w:rPr>
        <w:t xml:space="preserve">INCORPORA </w:t>
      </w:r>
      <w:r w:rsidR="000F567D" w:rsidRPr="00535110">
        <w:rPr>
          <w:rFonts w:ascii="Palatino Linotype" w:eastAsia="Palatino Linotype" w:hAnsi="Palatino Linotype" w:cs="Palatino Linotype"/>
          <w:b/>
          <w:color w:val="000000"/>
          <w:sz w:val="22"/>
          <w:szCs w:val="22"/>
          <w:lang w:val="es-ES_tradnl"/>
        </w:rPr>
        <w:t xml:space="preserve">EN </w:t>
      </w:r>
      <w:r w:rsidR="00C54CE2" w:rsidRPr="00535110">
        <w:rPr>
          <w:rFonts w:ascii="Palatino Linotype" w:eastAsia="Palatino Linotype" w:hAnsi="Palatino Linotype" w:cs="Palatino Linotype"/>
          <w:b/>
          <w:color w:val="000000"/>
          <w:sz w:val="22"/>
          <w:szCs w:val="22"/>
          <w:lang w:val="es-ES_tradnl"/>
        </w:rPr>
        <w:t>EL</w:t>
      </w:r>
      <w:r w:rsidR="000F567D" w:rsidRPr="00535110">
        <w:rPr>
          <w:rFonts w:ascii="Palatino Linotype" w:eastAsia="Palatino Linotype" w:hAnsi="Palatino Linotype" w:cs="Palatino Linotype"/>
          <w:b/>
          <w:color w:val="000000"/>
          <w:sz w:val="22"/>
          <w:szCs w:val="22"/>
          <w:lang w:val="es-ES_tradnl"/>
        </w:rPr>
        <w:t xml:space="preserve"> LIBRO VI.1, DEL USO DE SUELO, EL</w:t>
      </w:r>
      <w:r w:rsidR="00C54CE2" w:rsidRPr="00535110">
        <w:rPr>
          <w:rFonts w:ascii="Palatino Linotype" w:eastAsia="Palatino Linotype" w:hAnsi="Palatino Linotype" w:cs="Palatino Linotype"/>
          <w:b/>
          <w:color w:val="000000"/>
          <w:sz w:val="22"/>
          <w:szCs w:val="22"/>
          <w:lang w:val="es-ES_tradnl"/>
        </w:rPr>
        <w:t xml:space="preserve"> TITULO VIII, </w:t>
      </w:r>
      <w:r w:rsidR="00927FD9" w:rsidRPr="00535110">
        <w:rPr>
          <w:rFonts w:ascii="Palatino Linotype" w:eastAsia="Palatino Linotype" w:hAnsi="Palatino Linotype" w:cs="Palatino Linotype"/>
          <w:b/>
          <w:color w:val="000000"/>
          <w:sz w:val="22"/>
          <w:szCs w:val="22"/>
          <w:lang w:val="es-ES_tradnl"/>
        </w:rPr>
        <w:t xml:space="preserve">QUE REGULA </w:t>
      </w:r>
      <w:r w:rsidRPr="00535110">
        <w:rPr>
          <w:rFonts w:ascii="Palatino Linotype" w:eastAsia="Palatino Linotype" w:hAnsi="Palatino Linotype" w:cs="Palatino Linotype"/>
          <w:b/>
          <w:color w:val="000000"/>
          <w:sz w:val="22"/>
          <w:szCs w:val="22"/>
          <w:lang w:val="es-ES_tradnl"/>
        </w:rPr>
        <w:t>EL INCREMENTO DE PISOS, POR SUELO CREADO, DE ACUERDO AL PLAN METROPOLITANO DE DESARROLLO Y ORDENAMIENTO TERRITORIAL, EN PROYECTOS ECO-EFICIENTES UBICADOS EN LAS ÁREAS DE INFLUENCIA DEL SISTEMA METROPOLITANO DE TRANSPORTE Y PROYECTOS UBICADOS EN LAS ZONAS URBANÍSTICA</w:t>
      </w:r>
      <w:r w:rsidR="00761020" w:rsidRPr="00535110">
        <w:rPr>
          <w:rFonts w:ascii="Palatino Linotype" w:eastAsia="Palatino Linotype" w:hAnsi="Palatino Linotype" w:cs="Palatino Linotype"/>
          <w:b/>
          <w:color w:val="000000"/>
          <w:sz w:val="22"/>
          <w:szCs w:val="22"/>
          <w:lang w:val="es-ES_tradnl"/>
        </w:rPr>
        <w:t>S DE ASIGNACIÓN ESPECIAL (ZUAE)</w:t>
      </w:r>
    </w:p>
    <w:p w14:paraId="41A512E3" w14:textId="2F1679C3" w:rsidR="00AD4505" w:rsidRPr="00535110" w:rsidRDefault="00A01583" w:rsidP="00A74958">
      <w:pPr>
        <w:spacing w:after="120" w:line="276" w:lineRule="auto"/>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1.- </w:t>
      </w:r>
      <w:r w:rsidRPr="00535110">
        <w:rPr>
          <w:rFonts w:ascii="Palatino Linotype" w:eastAsia="Palatino Linotype" w:hAnsi="Palatino Linotype" w:cs="Palatino Linotype"/>
          <w:sz w:val="22"/>
          <w:szCs w:val="22"/>
          <w:lang w:val="es-ES_tradnl"/>
        </w:rPr>
        <w:t xml:space="preserve">Incorpórese </w:t>
      </w:r>
      <w:r w:rsidR="000F567D" w:rsidRPr="00535110">
        <w:rPr>
          <w:rFonts w:ascii="Palatino Linotype" w:eastAsia="Palatino Linotype" w:hAnsi="Palatino Linotype" w:cs="Palatino Linotype"/>
          <w:sz w:val="22"/>
          <w:szCs w:val="22"/>
          <w:lang w:val="es-ES_tradnl"/>
        </w:rPr>
        <w:t xml:space="preserve">a continuación del </w:t>
      </w:r>
      <w:r w:rsidR="00AD4505" w:rsidRPr="00535110">
        <w:rPr>
          <w:rFonts w:ascii="Palatino Linotype" w:eastAsia="Palatino Linotype" w:hAnsi="Palatino Linotype" w:cs="Palatino Linotype"/>
          <w:sz w:val="22"/>
          <w:szCs w:val="22"/>
          <w:lang w:val="es-ES_tradnl"/>
        </w:rPr>
        <w:t>Título VII, del</w:t>
      </w:r>
      <w:r w:rsidRPr="00535110">
        <w:rPr>
          <w:rFonts w:ascii="Palatino Linotype" w:eastAsia="Palatino Linotype" w:hAnsi="Palatino Linotype" w:cs="Palatino Linotype"/>
          <w:sz w:val="22"/>
          <w:szCs w:val="22"/>
          <w:lang w:val="es-ES_tradnl"/>
        </w:rPr>
        <w:t xml:space="preserve"> Libro IV.1</w:t>
      </w:r>
      <w:r w:rsidR="000F567D" w:rsidRPr="00535110">
        <w:rPr>
          <w:rFonts w:ascii="Palatino Linotype" w:eastAsia="Palatino Linotype" w:hAnsi="Palatino Linotype" w:cs="Palatino Linotype"/>
          <w:sz w:val="22"/>
          <w:szCs w:val="22"/>
          <w:lang w:val="es-ES_tradnl"/>
        </w:rPr>
        <w:t>, “Del Uso de Suelo”</w:t>
      </w:r>
      <w:r w:rsidRPr="00535110">
        <w:rPr>
          <w:rFonts w:ascii="Palatino Linotype" w:eastAsia="Palatino Linotype" w:hAnsi="Palatino Linotype" w:cs="Palatino Linotype"/>
          <w:sz w:val="22"/>
          <w:szCs w:val="22"/>
          <w:lang w:val="es-ES_tradnl"/>
        </w:rPr>
        <w:t>, del Código</w:t>
      </w:r>
      <w:r w:rsidR="00AD4505" w:rsidRPr="00535110">
        <w:rPr>
          <w:rFonts w:ascii="Palatino Linotype" w:eastAsia="Palatino Linotype" w:hAnsi="Palatino Linotype" w:cs="Palatino Linotype"/>
          <w:sz w:val="22"/>
          <w:szCs w:val="22"/>
          <w:lang w:val="es-ES_tradnl"/>
        </w:rPr>
        <w:t xml:space="preserve"> Municipal, el Título VIII</w:t>
      </w:r>
      <w:r w:rsidR="000F567D" w:rsidRPr="00535110">
        <w:rPr>
          <w:rFonts w:ascii="Palatino Linotype" w:eastAsia="Palatino Linotype" w:hAnsi="Palatino Linotype" w:cs="Palatino Linotype"/>
          <w:sz w:val="22"/>
          <w:szCs w:val="22"/>
          <w:lang w:val="es-ES_tradnl"/>
        </w:rPr>
        <w:t>,</w:t>
      </w:r>
      <w:r w:rsidR="00AD4505" w:rsidRPr="00535110">
        <w:rPr>
          <w:rFonts w:ascii="Palatino Linotype" w:eastAsia="Palatino Linotype" w:hAnsi="Palatino Linotype" w:cs="Palatino Linotype"/>
          <w:sz w:val="22"/>
          <w:szCs w:val="22"/>
          <w:lang w:val="es-ES_tradnl"/>
        </w:rPr>
        <w:t xml:space="preserve"> </w:t>
      </w:r>
      <w:r w:rsidR="000F567D" w:rsidRPr="00535110">
        <w:rPr>
          <w:rFonts w:ascii="Palatino Linotype" w:eastAsia="Palatino Linotype" w:hAnsi="Palatino Linotype" w:cs="Palatino Linotype"/>
          <w:sz w:val="22"/>
          <w:szCs w:val="22"/>
          <w:lang w:val="es-ES_tradnl"/>
        </w:rPr>
        <w:t>al tenor d</w:t>
      </w:r>
      <w:r w:rsidR="00AD4505" w:rsidRPr="00535110">
        <w:rPr>
          <w:rFonts w:ascii="Palatino Linotype" w:eastAsia="Palatino Linotype" w:hAnsi="Palatino Linotype" w:cs="Palatino Linotype"/>
          <w:sz w:val="22"/>
          <w:szCs w:val="22"/>
          <w:lang w:val="es-ES_tradnl"/>
        </w:rPr>
        <w:t>el siguiente texto:</w:t>
      </w:r>
    </w:p>
    <w:p w14:paraId="35783D81" w14:textId="77777777" w:rsidR="004707DC" w:rsidRDefault="004707DC" w:rsidP="00A74958">
      <w:pPr>
        <w:spacing w:after="120" w:line="276" w:lineRule="auto"/>
        <w:jc w:val="center"/>
        <w:rPr>
          <w:rFonts w:ascii="Palatino Linotype" w:eastAsia="Palatino Linotype" w:hAnsi="Palatino Linotype" w:cs="Palatino Linotype"/>
          <w:b/>
          <w:sz w:val="22"/>
          <w:szCs w:val="22"/>
          <w:lang w:val="es-ES_tradnl"/>
        </w:rPr>
      </w:pPr>
    </w:p>
    <w:p w14:paraId="6B40D042" w14:textId="77777777" w:rsidR="004707DC" w:rsidRDefault="004707DC" w:rsidP="00A74958">
      <w:pPr>
        <w:spacing w:after="120" w:line="276" w:lineRule="auto"/>
        <w:jc w:val="center"/>
        <w:rPr>
          <w:rFonts w:ascii="Palatino Linotype" w:eastAsia="Palatino Linotype" w:hAnsi="Palatino Linotype" w:cs="Palatino Linotype"/>
          <w:b/>
          <w:sz w:val="22"/>
          <w:szCs w:val="22"/>
          <w:lang w:val="es-ES_tradnl"/>
        </w:rPr>
      </w:pPr>
    </w:p>
    <w:p w14:paraId="5229F136" w14:textId="0C13B62F" w:rsidR="00A01583" w:rsidRPr="00535110" w:rsidRDefault="000F567D"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lastRenderedPageBreak/>
        <w:t>“</w:t>
      </w:r>
      <w:r w:rsidR="00A01583" w:rsidRPr="00535110">
        <w:rPr>
          <w:rFonts w:ascii="Palatino Linotype" w:eastAsia="Palatino Linotype" w:hAnsi="Palatino Linotype" w:cs="Palatino Linotype"/>
          <w:b/>
          <w:sz w:val="22"/>
          <w:szCs w:val="22"/>
          <w:lang w:val="es-ES_tradnl"/>
        </w:rPr>
        <w:t>TITULO VIII</w:t>
      </w:r>
    </w:p>
    <w:p w14:paraId="5AF13C97" w14:textId="2E6DBBE9" w:rsidR="00A01583" w:rsidRPr="00535110" w:rsidRDefault="000F567D"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DEL</w:t>
      </w:r>
      <w:r w:rsidR="00AD4505" w:rsidRPr="00535110">
        <w:rPr>
          <w:rFonts w:ascii="Palatino Linotype" w:eastAsia="Palatino Linotype" w:hAnsi="Palatino Linotype" w:cs="Palatino Linotype"/>
          <w:b/>
          <w:sz w:val="22"/>
          <w:szCs w:val="22"/>
          <w:lang w:val="es-ES_tradnl"/>
        </w:rPr>
        <w:t xml:space="preserve"> </w:t>
      </w:r>
      <w:r w:rsidR="00A01583" w:rsidRPr="00535110">
        <w:rPr>
          <w:rFonts w:ascii="Palatino Linotype" w:eastAsia="Palatino Linotype" w:hAnsi="Palatino Linotype" w:cs="Palatino Linotype"/>
          <w:b/>
          <w:sz w:val="22"/>
          <w:szCs w:val="22"/>
          <w:lang w:val="es-ES_tradnl"/>
        </w:rPr>
        <w:t xml:space="preserve">INCREMENTO DE PISOS, POR SUELO CREADO, DE ACUERDO AL PLAN METROPOLITANO DE DESARROLLO Y ORDENAMIENTO TERRITORIAL, EN PROYECTOS ECO-EFICIENTES UBICADOS EN LAS </w:t>
      </w:r>
      <w:r w:rsidR="00A01583" w:rsidRPr="00535110">
        <w:rPr>
          <w:rFonts w:ascii="Palatino Linotype" w:eastAsia="Palatino Linotype" w:hAnsi="Palatino Linotype" w:cs="Palatino Linotype"/>
          <w:b/>
          <w:color w:val="000000"/>
          <w:sz w:val="22"/>
          <w:szCs w:val="22"/>
          <w:lang w:val="es-ES_tradnl"/>
        </w:rPr>
        <w:t xml:space="preserve">ÁREAS DE INFLUENCIA DEL SISTEMA METROPOLITANO DE TRANSPORTE Y PROYECTOS </w:t>
      </w:r>
      <w:r w:rsidR="00A01583" w:rsidRPr="00535110">
        <w:rPr>
          <w:rFonts w:ascii="Palatino Linotype" w:eastAsia="Palatino Linotype" w:hAnsi="Palatino Linotype" w:cs="Palatino Linotype"/>
          <w:b/>
          <w:sz w:val="22"/>
          <w:szCs w:val="22"/>
          <w:lang w:val="es-ES_tradnl"/>
        </w:rPr>
        <w:t>UBICADOS EN LAS ZONAS URBANÍSTICAS DE ASIGNACIÓN ESPECIAL (ZUAE)</w:t>
      </w:r>
    </w:p>
    <w:p w14:paraId="51DEED9B" w14:textId="4532FD78" w:rsidR="00486007" w:rsidRPr="00535110" w:rsidRDefault="00A0158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CAPÍTULO I</w:t>
      </w:r>
    </w:p>
    <w:p w14:paraId="704E4340"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NORMAS GENERALES</w:t>
      </w:r>
    </w:p>
    <w:p w14:paraId="3B091388" w14:textId="52C614D7" w:rsidR="00486007" w:rsidRPr="00535110" w:rsidRDefault="00F42F53" w:rsidP="00A74958">
      <w:pPr>
        <w:spacing w:after="120" w:line="276" w:lineRule="auto"/>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A01583" w:rsidRPr="00535110">
        <w:rPr>
          <w:rFonts w:ascii="Palatino Linotype" w:eastAsia="Palatino Linotype" w:hAnsi="Palatino Linotype" w:cs="Palatino Linotype"/>
          <w:b/>
          <w:sz w:val="22"/>
          <w:szCs w:val="22"/>
          <w:lang w:val="es-ES_tradnl"/>
        </w:rPr>
        <w:t>IV.1.395</w:t>
      </w:r>
      <w:r w:rsidRPr="00535110">
        <w:rPr>
          <w:rFonts w:ascii="Palatino Linotype" w:eastAsia="Palatino Linotype" w:hAnsi="Palatino Linotype" w:cs="Palatino Linotype"/>
          <w:b/>
          <w:sz w:val="22"/>
          <w:szCs w:val="22"/>
          <w:lang w:val="es-ES_tradnl"/>
        </w:rPr>
        <w:t xml:space="preserve">.- </w:t>
      </w:r>
      <w:proofErr w:type="gramStart"/>
      <w:r w:rsidRPr="00535110">
        <w:rPr>
          <w:rFonts w:ascii="Palatino Linotype" w:eastAsia="Palatino Linotype" w:hAnsi="Palatino Linotype" w:cs="Palatino Linotype"/>
          <w:b/>
          <w:sz w:val="22"/>
          <w:szCs w:val="22"/>
          <w:lang w:val="es-ES_tradnl"/>
        </w:rPr>
        <w:t>Objeto.-</w:t>
      </w:r>
      <w:proofErr w:type="gramEnd"/>
      <w:r w:rsidRPr="00535110">
        <w:rPr>
          <w:rFonts w:ascii="Palatino Linotype" w:eastAsia="Palatino Linotype" w:hAnsi="Palatino Linotype" w:cs="Palatino Linotype"/>
          <w:b/>
          <w:sz w:val="22"/>
          <w:szCs w:val="22"/>
          <w:lang w:val="es-ES_tradnl"/>
        </w:rPr>
        <w:t xml:space="preserve"> </w:t>
      </w:r>
      <w:r w:rsidRPr="00535110">
        <w:rPr>
          <w:rFonts w:ascii="Palatino Linotype" w:eastAsia="Palatino Linotype" w:hAnsi="Palatino Linotype" w:cs="Palatino Linotype"/>
          <w:sz w:val="22"/>
          <w:szCs w:val="22"/>
          <w:lang w:val="es-ES_tradnl"/>
        </w:rPr>
        <w:t>Est</w:t>
      </w:r>
      <w:r w:rsidR="00140621" w:rsidRPr="00535110">
        <w:rPr>
          <w:rFonts w:ascii="Palatino Linotype" w:eastAsia="Palatino Linotype" w:hAnsi="Palatino Linotype" w:cs="Palatino Linotype"/>
          <w:sz w:val="22"/>
          <w:szCs w:val="22"/>
          <w:lang w:val="es-ES_tradnl"/>
        </w:rPr>
        <w:t>e</w:t>
      </w:r>
      <w:r w:rsidRPr="00535110">
        <w:rPr>
          <w:rFonts w:ascii="Palatino Linotype" w:eastAsia="Palatino Linotype" w:hAnsi="Palatino Linotype" w:cs="Palatino Linotype"/>
          <w:sz w:val="22"/>
          <w:szCs w:val="22"/>
          <w:lang w:val="es-ES_tradnl"/>
        </w:rPr>
        <w:t xml:space="preserve"> </w:t>
      </w:r>
      <w:r w:rsidR="00140621" w:rsidRPr="00535110">
        <w:rPr>
          <w:rFonts w:ascii="Palatino Linotype" w:eastAsia="Palatino Linotype" w:hAnsi="Palatino Linotype" w:cs="Palatino Linotype"/>
          <w:sz w:val="22"/>
          <w:szCs w:val="22"/>
          <w:lang w:val="es-ES_tradnl"/>
        </w:rPr>
        <w:t xml:space="preserve">Título </w:t>
      </w:r>
      <w:r w:rsidRPr="00535110">
        <w:rPr>
          <w:rFonts w:ascii="Palatino Linotype" w:eastAsia="Palatino Linotype" w:hAnsi="Palatino Linotype" w:cs="Palatino Linotype"/>
          <w:sz w:val="22"/>
          <w:szCs w:val="22"/>
          <w:lang w:val="es-ES_tradnl"/>
        </w:rPr>
        <w:t xml:space="preserve">tiene por objeto la regulación del incremento de pisos (suelo creado) en proyectos eco-eficientes ubicados en las </w:t>
      </w:r>
      <w:r w:rsidRPr="00535110">
        <w:rPr>
          <w:rFonts w:ascii="Palatino Linotype" w:eastAsia="Palatino Linotype" w:hAnsi="Palatino Linotype" w:cs="Palatino Linotype"/>
          <w:color w:val="000000"/>
          <w:sz w:val="22"/>
          <w:szCs w:val="22"/>
          <w:lang w:val="es-ES_tradnl"/>
        </w:rPr>
        <w:t>áreas de influencia del sistema metropolitano de transporte</w:t>
      </w:r>
      <w:r w:rsidRPr="00535110">
        <w:rPr>
          <w:rFonts w:ascii="Palatino Linotype" w:eastAsia="Palatino Linotype" w:hAnsi="Palatino Linotype" w:cs="Palatino Linotype"/>
          <w:sz w:val="22"/>
          <w:szCs w:val="22"/>
          <w:lang w:val="es-ES_tradnl"/>
        </w:rPr>
        <w:t xml:space="preserve"> y en proyectos ubicados en las Zonas Urbanísticas de Asignación Especial (ZUAE).</w:t>
      </w:r>
    </w:p>
    <w:p w14:paraId="05DB12CA" w14:textId="5A6AAF4F" w:rsidR="00486007" w:rsidRPr="00535110" w:rsidRDefault="00A0158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IV.1.396</w:t>
      </w:r>
      <w:r w:rsidR="00F42F53" w:rsidRPr="00535110">
        <w:rPr>
          <w:rFonts w:ascii="Palatino Linotype" w:eastAsia="Palatino Linotype" w:hAnsi="Palatino Linotype" w:cs="Palatino Linotype"/>
          <w:b/>
          <w:sz w:val="22"/>
          <w:szCs w:val="22"/>
          <w:lang w:val="es-ES_tradnl"/>
        </w:rPr>
        <w:t xml:space="preserve">.- Ámbito de </w:t>
      </w:r>
      <w:r w:rsidR="00140621" w:rsidRPr="00535110">
        <w:rPr>
          <w:rFonts w:ascii="Palatino Linotype" w:eastAsia="Palatino Linotype" w:hAnsi="Palatino Linotype" w:cs="Palatino Linotype"/>
          <w:b/>
          <w:sz w:val="22"/>
          <w:szCs w:val="22"/>
          <w:lang w:val="es-ES_tradnl"/>
        </w:rPr>
        <w:t>a</w:t>
      </w:r>
      <w:r w:rsidR="00F42F53" w:rsidRPr="00535110">
        <w:rPr>
          <w:rFonts w:ascii="Palatino Linotype" w:eastAsia="Palatino Linotype" w:hAnsi="Palatino Linotype" w:cs="Palatino Linotype"/>
          <w:b/>
          <w:sz w:val="22"/>
          <w:szCs w:val="22"/>
          <w:lang w:val="es-ES_tradnl"/>
        </w:rPr>
        <w:t xml:space="preserve">plicación.- </w:t>
      </w:r>
      <w:r w:rsidR="00140621" w:rsidRPr="00535110">
        <w:rPr>
          <w:rFonts w:ascii="Palatino Linotype" w:eastAsia="Palatino Linotype" w:hAnsi="Palatino Linotype" w:cs="Palatino Linotype"/>
          <w:sz w:val="22"/>
          <w:szCs w:val="22"/>
          <w:lang w:val="es-ES_tradnl"/>
        </w:rPr>
        <w:t>El presente Título</w:t>
      </w:r>
      <w:r w:rsidR="00F42F53" w:rsidRPr="00535110">
        <w:rPr>
          <w:rFonts w:ascii="Palatino Linotype" w:eastAsia="Palatino Linotype" w:hAnsi="Palatino Linotype" w:cs="Palatino Linotype"/>
          <w:sz w:val="22"/>
          <w:szCs w:val="22"/>
          <w:lang w:val="es-ES_tradnl"/>
        </w:rPr>
        <w:t xml:space="preserve"> y sus figuras de suelo creado tienen una aplicación territorial vinculada al sistema de centralidades y </w:t>
      </w:r>
      <w:proofErr w:type="spellStart"/>
      <w:r w:rsidR="00F42F53" w:rsidRPr="00535110">
        <w:rPr>
          <w:rFonts w:ascii="Palatino Linotype" w:eastAsia="Palatino Linotype" w:hAnsi="Palatino Linotype" w:cs="Palatino Linotype"/>
          <w:sz w:val="22"/>
          <w:szCs w:val="22"/>
          <w:lang w:val="es-ES_tradnl"/>
        </w:rPr>
        <w:t>subcentralidades</w:t>
      </w:r>
      <w:proofErr w:type="spellEnd"/>
      <w:r w:rsidR="00F42F53" w:rsidRPr="00535110">
        <w:rPr>
          <w:rFonts w:ascii="Palatino Linotype" w:eastAsia="Palatino Linotype" w:hAnsi="Palatino Linotype" w:cs="Palatino Linotype"/>
          <w:sz w:val="22"/>
          <w:szCs w:val="22"/>
          <w:lang w:val="es-ES_tradnl"/>
        </w:rPr>
        <w:t xml:space="preserve"> urbanas previstas en el Plan de Desarrollo y Ordenamiento Territorial (PMDOT); a las zonas urbanísticas comprendidas por el despliegue del Sistema Metropolitano de Transporte y a sectores de la ciudad que cuentan con infraestructura pública de soporte consolidada, capaz de acoger un mayor aprovechamiento del suelo.</w:t>
      </w:r>
    </w:p>
    <w:p w14:paraId="20BF22BF" w14:textId="08D703D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Los polígonos de aplicación territorial para las figuras de suelo creado en proyectos eco-eficientes ubicados en las </w:t>
      </w:r>
      <w:r w:rsidRPr="00535110">
        <w:rPr>
          <w:rFonts w:ascii="Palatino Linotype" w:eastAsia="Palatino Linotype" w:hAnsi="Palatino Linotype" w:cs="Palatino Linotype"/>
          <w:color w:val="000000"/>
          <w:sz w:val="22"/>
          <w:szCs w:val="22"/>
          <w:lang w:val="es-ES_tradnl"/>
        </w:rPr>
        <w:t xml:space="preserve">áreas de influencia del Sistema Metropolitano de Transporte y proyectos ubicados en las </w:t>
      </w:r>
      <w:r w:rsidRPr="00535110">
        <w:rPr>
          <w:rFonts w:ascii="Palatino Linotype" w:eastAsia="Palatino Linotype" w:hAnsi="Palatino Linotype" w:cs="Palatino Linotype"/>
          <w:sz w:val="22"/>
          <w:szCs w:val="22"/>
          <w:lang w:val="es-ES_tradnl"/>
        </w:rPr>
        <w:t>Zonas Urbanísticas de Asignación Especial (ZUAE) constan definidos en los mapas 1 y 2 que se anexan a</w:t>
      </w:r>
      <w:r w:rsidR="00C37693" w:rsidRPr="00535110">
        <w:rPr>
          <w:rFonts w:ascii="Palatino Linotype" w:eastAsia="Palatino Linotype" w:hAnsi="Palatino Linotype" w:cs="Palatino Linotype"/>
          <w:sz w:val="22"/>
          <w:szCs w:val="22"/>
          <w:lang w:val="es-ES_tradnl"/>
        </w:rPr>
        <w:t>l presente Título</w:t>
      </w:r>
      <w:r w:rsidRPr="00535110">
        <w:rPr>
          <w:rFonts w:ascii="Palatino Linotype" w:eastAsia="Palatino Linotype" w:hAnsi="Palatino Linotype" w:cs="Palatino Linotype"/>
          <w:sz w:val="22"/>
          <w:szCs w:val="22"/>
          <w:lang w:val="es-ES_tradnl"/>
        </w:rPr>
        <w:t xml:space="preserve"> y se incorporan al Plan de Uso y Ocupación de Suelo vigente.</w:t>
      </w:r>
    </w:p>
    <w:p w14:paraId="4F933D66" w14:textId="019E9422"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Se excluyen de la aplicación de las formas de suelo creado establecidas en </w:t>
      </w:r>
      <w:r w:rsidR="00C37693" w:rsidRPr="00535110">
        <w:rPr>
          <w:rFonts w:ascii="Palatino Linotype" w:eastAsia="Palatino Linotype" w:hAnsi="Palatino Linotype" w:cs="Palatino Linotype"/>
          <w:sz w:val="22"/>
          <w:szCs w:val="22"/>
          <w:lang w:val="es-ES_tradnl"/>
        </w:rPr>
        <w:t>el presente Título</w:t>
      </w:r>
      <w:r w:rsidRPr="00535110">
        <w:rPr>
          <w:rFonts w:ascii="Palatino Linotype" w:eastAsia="Palatino Linotype" w:hAnsi="Palatino Linotype" w:cs="Palatino Linotype"/>
          <w:sz w:val="22"/>
          <w:szCs w:val="22"/>
          <w:lang w:val="es-ES_tradnl"/>
        </w:rPr>
        <w:t>, los planes especiales, parciales e instrumentos complementarios de planificación, debida</w:t>
      </w:r>
      <w:r w:rsidR="00A45774" w:rsidRPr="00535110">
        <w:rPr>
          <w:rFonts w:ascii="Palatino Linotype" w:eastAsia="Palatino Linotype" w:hAnsi="Palatino Linotype" w:cs="Palatino Linotype"/>
          <w:sz w:val="22"/>
          <w:szCs w:val="22"/>
          <w:lang w:val="es-ES_tradnl"/>
        </w:rPr>
        <w:t>mente sancionados por ordenanza,</w:t>
      </w:r>
      <w:r w:rsidRPr="00535110">
        <w:rPr>
          <w:rFonts w:ascii="Palatino Linotype" w:eastAsia="Palatino Linotype" w:hAnsi="Palatino Linotype" w:cs="Palatino Linotype"/>
          <w:sz w:val="22"/>
          <w:szCs w:val="22"/>
          <w:lang w:val="es-ES_tradnl"/>
        </w:rPr>
        <w:t xml:space="preserve"> exceptuando aquellos que expresamente las incorporen dentro de sus herramientas de planificación.</w:t>
      </w:r>
    </w:p>
    <w:p w14:paraId="54E90CE9" w14:textId="5C1CC857" w:rsidR="00486007" w:rsidRPr="00535110" w:rsidRDefault="00A0158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IV.1.397</w:t>
      </w:r>
      <w:r w:rsidR="00F42F53" w:rsidRPr="00535110">
        <w:rPr>
          <w:rFonts w:ascii="Palatino Linotype" w:eastAsia="Palatino Linotype" w:hAnsi="Palatino Linotype" w:cs="Palatino Linotype"/>
          <w:b/>
          <w:sz w:val="22"/>
          <w:szCs w:val="22"/>
          <w:lang w:val="es-ES_tradnl"/>
        </w:rPr>
        <w:t xml:space="preserve">.- Autorización de </w:t>
      </w:r>
      <w:r w:rsidR="00750380" w:rsidRPr="00535110">
        <w:rPr>
          <w:rFonts w:ascii="Palatino Linotype" w:eastAsia="Palatino Linotype" w:hAnsi="Palatino Linotype" w:cs="Palatino Linotype"/>
          <w:b/>
          <w:sz w:val="22"/>
          <w:szCs w:val="22"/>
          <w:lang w:val="es-ES_tradnl"/>
        </w:rPr>
        <w:t>i</w:t>
      </w:r>
      <w:r w:rsidR="00F42F53" w:rsidRPr="00535110">
        <w:rPr>
          <w:rFonts w:ascii="Palatino Linotype" w:eastAsia="Palatino Linotype" w:hAnsi="Palatino Linotype" w:cs="Palatino Linotype"/>
          <w:b/>
          <w:sz w:val="22"/>
          <w:szCs w:val="22"/>
          <w:lang w:val="es-ES_tradnl"/>
        </w:rPr>
        <w:t xml:space="preserve">ncremento de </w:t>
      </w:r>
      <w:r w:rsidR="00750380" w:rsidRPr="00535110">
        <w:rPr>
          <w:rFonts w:ascii="Palatino Linotype" w:eastAsia="Palatino Linotype" w:hAnsi="Palatino Linotype" w:cs="Palatino Linotype"/>
          <w:b/>
          <w:sz w:val="22"/>
          <w:szCs w:val="22"/>
          <w:lang w:val="es-ES_tradnl"/>
        </w:rPr>
        <w:t>p</w:t>
      </w:r>
      <w:r w:rsidR="00F42F53" w:rsidRPr="00535110">
        <w:rPr>
          <w:rFonts w:ascii="Palatino Linotype" w:eastAsia="Palatino Linotype" w:hAnsi="Palatino Linotype" w:cs="Palatino Linotype"/>
          <w:b/>
          <w:sz w:val="22"/>
          <w:szCs w:val="22"/>
          <w:lang w:val="es-ES_tradnl"/>
        </w:rPr>
        <w:t>isos en las Zonas Urbanísticas de Asignación Especial (ZUAE</w:t>
      </w:r>
      <w:proofErr w:type="gramStart"/>
      <w:r w:rsidR="00F42F53" w:rsidRPr="00535110">
        <w:rPr>
          <w:rFonts w:ascii="Palatino Linotype" w:eastAsia="Palatino Linotype" w:hAnsi="Palatino Linotype" w:cs="Palatino Linotype"/>
          <w:b/>
          <w:sz w:val="22"/>
          <w:szCs w:val="22"/>
          <w:lang w:val="es-ES_tradnl"/>
        </w:rPr>
        <w:t>).-</w:t>
      </w:r>
      <w:proofErr w:type="gramEnd"/>
      <w:r w:rsidR="00F42F53" w:rsidRPr="00535110">
        <w:rPr>
          <w:rFonts w:ascii="Palatino Linotype" w:eastAsia="Palatino Linotype" w:hAnsi="Palatino Linotype" w:cs="Palatino Linotype"/>
          <w:sz w:val="22"/>
          <w:szCs w:val="22"/>
          <w:lang w:val="es-ES_tradnl"/>
        </w:rPr>
        <w:t xml:space="preserve"> El incremento de pisos en proyectos que se implanten en lotes ubicados en las Zonas Urbanísticas de Asignación Especial (ZUAE), de acuerdo al Mapa No. 1 anexo a</w:t>
      </w:r>
      <w:r w:rsidR="00140621" w:rsidRPr="00535110">
        <w:rPr>
          <w:rFonts w:ascii="Palatino Linotype" w:eastAsia="Palatino Linotype" w:hAnsi="Palatino Linotype" w:cs="Palatino Linotype"/>
          <w:sz w:val="22"/>
          <w:szCs w:val="22"/>
          <w:lang w:val="es-ES_tradnl"/>
        </w:rPr>
        <w:t>l presente Título</w:t>
      </w:r>
      <w:r w:rsidR="00F42F53" w:rsidRPr="00535110">
        <w:rPr>
          <w:rFonts w:ascii="Palatino Linotype" w:eastAsia="Palatino Linotype" w:hAnsi="Palatino Linotype" w:cs="Palatino Linotype"/>
          <w:sz w:val="22"/>
          <w:szCs w:val="22"/>
          <w:lang w:val="es-ES_tradnl"/>
        </w:rPr>
        <w:t xml:space="preserve">, podrá ser de hasta dos (2) pisos adicionales a los establecidos en el PUOS vigente y se sujetará al procedimiento administrativo ordinario. </w:t>
      </w:r>
    </w:p>
    <w:p w14:paraId="42C65FEC" w14:textId="19CF2F8A"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 xml:space="preserve">El valor resultante de la aplicación de la fórmula de cálculo de la Concesión Onerosa de Derechos deberá ser cancelado de contado o con cronograma de pagos, siguiendo el procedimiento previsto en </w:t>
      </w:r>
      <w:r w:rsidR="00C37693" w:rsidRPr="00535110">
        <w:rPr>
          <w:rFonts w:ascii="Palatino Linotype" w:eastAsia="Palatino Linotype" w:hAnsi="Palatino Linotype" w:cs="Palatino Linotype"/>
          <w:sz w:val="22"/>
          <w:szCs w:val="22"/>
          <w:lang w:val="es-ES_tradnl"/>
        </w:rPr>
        <w:t>el presente Título</w:t>
      </w:r>
      <w:r w:rsidRPr="00535110">
        <w:rPr>
          <w:rFonts w:ascii="Palatino Linotype" w:eastAsia="Palatino Linotype" w:hAnsi="Palatino Linotype" w:cs="Palatino Linotype"/>
          <w:sz w:val="22"/>
          <w:szCs w:val="22"/>
          <w:lang w:val="es-ES_tradnl"/>
        </w:rPr>
        <w:t>, previo a la obtención de la Licencia Metropolitana Urbanística de Edificación LMU</w:t>
      </w:r>
      <w:r w:rsidR="008D56B9"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w:t>
      </w:r>
      <w:r w:rsidR="00A45774" w:rsidRPr="00535110">
        <w:rPr>
          <w:rFonts w:ascii="Palatino Linotype" w:eastAsia="Palatino Linotype" w:hAnsi="Palatino Linotype" w:cs="Palatino Linotype"/>
          <w:sz w:val="22"/>
          <w:szCs w:val="22"/>
          <w:lang w:val="es-ES_tradnl"/>
        </w:rPr>
        <w:t>conforme</w:t>
      </w:r>
      <w:r w:rsidRPr="00535110">
        <w:rPr>
          <w:rFonts w:ascii="Palatino Linotype" w:eastAsia="Palatino Linotype" w:hAnsi="Palatino Linotype" w:cs="Palatino Linotype"/>
          <w:sz w:val="22"/>
          <w:szCs w:val="22"/>
          <w:lang w:val="es-ES_tradnl"/>
        </w:rPr>
        <w:t xml:space="preserve"> el procedimiento de licenciamiento vigente.</w:t>
      </w:r>
    </w:p>
    <w:p w14:paraId="6555BADA"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Las condiciones urbanísticas que los lotes deberán reunir para solicitar la aplicación de esta figura, deberán regularse mediante resolución administrativa de la Secretaría encargada del territorio, hábitat y vivienda, considerando al menos los siguientes parámetros: tamaño o superficie mínima del lote, ancho o secciones de las vías, usos de suelo</w:t>
      </w:r>
      <w:r w:rsidR="00464F06" w:rsidRPr="00535110">
        <w:rPr>
          <w:rFonts w:ascii="Palatino Linotype" w:eastAsia="Palatino Linotype" w:hAnsi="Palatino Linotype" w:cs="Palatino Linotype"/>
          <w:sz w:val="22"/>
          <w:szCs w:val="22"/>
          <w:lang w:val="es-ES_tradnl"/>
        </w:rPr>
        <w:t xml:space="preserve"> y zonificación,</w:t>
      </w:r>
      <w:r w:rsidRPr="00535110">
        <w:rPr>
          <w:rFonts w:ascii="Palatino Linotype" w:eastAsia="Palatino Linotype" w:hAnsi="Palatino Linotype" w:cs="Palatino Linotype"/>
          <w:sz w:val="22"/>
          <w:szCs w:val="22"/>
          <w:lang w:val="es-ES_tradnl"/>
        </w:rPr>
        <w:t xml:space="preserve"> zonas de riesgo, cobertura de servicios básicos y densidad habitacional, parámetros relevantes que sustentan la aplicabilidad de un mayor aprovechamiento.</w:t>
      </w:r>
    </w:p>
    <w:p w14:paraId="5D807FBB" w14:textId="03B8A426" w:rsidR="00486007" w:rsidRPr="00535110" w:rsidRDefault="00AD4505" w:rsidP="00A74958">
      <w:pPr>
        <w:spacing w:after="120" w:line="276" w:lineRule="auto"/>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IV.1.398.- </w:t>
      </w:r>
      <w:r w:rsidR="00F42F53" w:rsidRPr="00535110">
        <w:rPr>
          <w:rFonts w:ascii="Palatino Linotype" w:eastAsia="Palatino Linotype" w:hAnsi="Palatino Linotype" w:cs="Palatino Linotype"/>
          <w:b/>
          <w:sz w:val="22"/>
          <w:szCs w:val="22"/>
          <w:lang w:val="es-ES_tradnl"/>
        </w:rPr>
        <w:t xml:space="preserve">Autorización de </w:t>
      </w:r>
      <w:r w:rsidR="00140621" w:rsidRPr="00535110">
        <w:rPr>
          <w:rFonts w:ascii="Palatino Linotype" w:eastAsia="Palatino Linotype" w:hAnsi="Palatino Linotype" w:cs="Palatino Linotype"/>
          <w:b/>
          <w:sz w:val="22"/>
          <w:szCs w:val="22"/>
          <w:lang w:val="es-ES_tradnl"/>
        </w:rPr>
        <w:t>i</w:t>
      </w:r>
      <w:r w:rsidR="00F42F53" w:rsidRPr="00535110">
        <w:rPr>
          <w:rFonts w:ascii="Palatino Linotype" w:eastAsia="Palatino Linotype" w:hAnsi="Palatino Linotype" w:cs="Palatino Linotype"/>
          <w:b/>
          <w:sz w:val="22"/>
          <w:szCs w:val="22"/>
          <w:lang w:val="es-ES_tradnl"/>
        </w:rPr>
        <w:t xml:space="preserve">ncremento de </w:t>
      </w:r>
      <w:r w:rsidR="00140621" w:rsidRPr="00535110">
        <w:rPr>
          <w:rFonts w:ascii="Palatino Linotype" w:eastAsia="Palatino Linotype" w:hAnsi="Palatino Linotype" w:cs="Palatino Linotype"/>
          <w:b/>
          <w:sz w:val="22"/>
          <w:szCs w:val="22"/>
          <w:lang w:val="es-ES_tradnl"/>
        </w:rPr>
        <w:t>p</w:t>
      </w:r>
      <w:r w:rsidR="00F42F53" w:rsidRPr="00535110">
        <w:rPr>
          <w:rFonts w:ascii="Palatino Linotype" w:eastAsia="Palatino Linotype" w:hAnsi="Palatino Linotype" w:cs="Palatino Linotype"/>
          <w:b/>
          <w:sz w:val="22"/>
          <w:szCs w:val="22"/>
          <w:lang w:val="es-ES_tradnl"/>
        </w:rPr>
        <w:t xml:space="preserve">isos en proyectos eco-eficientes ubicados en las </w:t>
      </w:r>
      <w:r w:rsidR="00F42F53" w:rsidRPr="00535110">
        <w:rPr>
          <w:rFonts w:ascii="Palatino Linotype" w:eastAsia="Palatino Linotype" w:hAnsi="Palatino Linotype" w:cs="Palatino Linotype"/>
          <w:b/>
          <w:color w:val="000000"/>
          <w:sz w:val="22"/>
          <w:szCs w:val="22"/>
          <w:lang w:val="es-ES_tradnl"/>
        </w:rPr>
        <w:t>áreas de influencia del sistema metropolitano de transporte</w:t>
      </w:r>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 xml:space="preserve">El incremento de pisos en proyectos eco-eficientes ubicados en las </w:t>
      </w:r>
      <w:r w:rsidR="00F42F53" w:rsidRPr="00535110">
        <w:rPr>
          <w:rFonts w:ascii="Palatino Linotype" w:eastAsia="Palatino Linotype" w:hAnsi="Palatino Linotype" w:cs="Palatino Linotype"/>
          <w:color w:val="000000"/>
          <w:sz w:val="22"/>
          <w:szCs w:val="22"/>
          <w:lang w:val="es-ES_tradnl"/>
        </w:rPr>
        <w:t>áreas de influencia del Sistema Metropolitano de Transporte</w:t>
      </w:r>
      <w:r w:rsidR="00F42F53" w:rsidRPr="00535110">
        <w:rPr>
          <w:rFonts w:ascii="Palatino Linotype" w:eastAsia="Palatino Linotype" w:hAnsi="Palatino Linotype" w:cs="Palatino Linotype"/>
          <w:sz w:val="22"/>
          <w:szCs w:val="22"/>
          <w:lang w:val="es-ES_tradnl"/>
        </w:rPr>
        <w:t xml:space="preserve">, de acuerdo al Mapa No. 2 anexo al presente </w:t>
      </w:r>
      <w:r w:rsidR="00140621" w:rsidRPr="00535110">
        <w:rPr>
          <w:rFonts w:ascii="Palatino Linotype" w:eastAsia="Palatino Linotype" w:hAnsi="Palatino Linotype" w:cs="Palatino Linotype"/>
          <w:sz w:val="22"/>
          <w:szCs w:val="22"/>
          <w:lang w:val="es-ES_tradnl"/>
        </w:rPr>
        <w:t>Título</w:t>
      </w:r>
      <w:r w:rsidR="00F42F53" w:rsidRPr="00535110">
        <w:rPr>
          <w:rFonts w:ascii="Palatino Linotype" w:eastAsia="Palatino Linotype" w:hAnsi="Palatino Linotype" w:cs="Palatino Linotype"/>
          <w:sz w:val="22"/>
          <w:szCs w:val="22"/>
          <w:lang w:val="es-ES_tradnl"/>
        </w:rPr>
        <w:t xml:space="preserve">, se sujetará al procedimiento administrativo ordinario y se determinará en virtud del puntaje obtenido por el proyecto edificatorio, en cumplimiento a los parámetros establecidos en la Matriz de Eco-eficiencia que la Secretaría encargada del territorio, hábitat y vivienda establecerá mediante resolución administrativa, observando los componentes previstos en el artículo </w:t>
      </w:r>
      <w:r w:rsidR="008D56B9" w:rsidRPr="00535110">
        <w:rPr>
          <w:rFonts w:ascii="Palatino Linotype" w:eastAsia="Palatino Linotype" w:hAnsi="Palatino Linotype" w:cs="Palatino Linotype"/>
          <w:sz w:val="22"/>
          <w:szCs w:val="22"/>
          <w:lang w:val="es-ES_tradnl"/>
        </w:rPr>
        <w:t>IV.1.401</w:t>
      </w:r>
      <w:r w:rsidR="00F42F53" w:rsidRPr="00535110">
        <w:rPr>
          <w:rFonts w:ascii="Palatino Linotype" w:eastAsia="Palatino Linotype" w:hAnsi="Palatino Linotype" w:cs="Palatino Linotype"/>
          <w:sz w:val="22"/>
          <w:szCs w:val="22"/>
          <w:lang w:val="es-ES_tradnl"/>
        </w:rPr>
        <w:t xml:space="preserve"> de</w:t>
      </w:r>
      <w:r w:rsidR="00C37693" w:rsidRPr="00535110">
        <w:rPr>
          <w:rFonts w:ascii="Palatino Linotype" w:eastAsia="Palatino Linotype" w:hAnsi="Palatino Linotype" w:cs="Palatino Linotype"/>
          <w:sz w:val="22"/>
          <w:szCs w:val="22"/>
          <w:lang w:val="es-ES_tradnl"/>
        </w:rPr>
        <w:t xml:space="preserve">l presente Título </w:t>
      </w:r>
      <w:r w:rsidR="00F42F53" w:rsidRPr="00535110">
        <w:rPr>
          <w:rFonts w:ascii="Palatino Linotype" w:eastAsia="Palatino Linotype" w:hAnsi="Palatino Linotype" w:cs="Palatino Linotype"/>
          <w:sz w:val="22"/>
          <w:szCs w:val="22"/>
          <w:lang w:val="es-ES_tradnl"/>
        </w:rPr>
        <w:t xml:space="preserve">y de acuerdo con los rangos establecidos en el siguiente cuadro: </w:t>
      </w:r>
    </w:p>
    <w:p w14:paraId="178CC083"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 xml:space="preserve">Cuadro 1.- Rangos de calificación para alcanzar los porcentajes de incremento de pisos por sobre lo establecido en el PUOS </w:t>
      </w:r>
    </w:p>
    <w:tbl>
      <w:tblPr>
        <w:tblW w:w="8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87"/>
        <w:gridCol w:w="2993"/>
        <w:gridCol w:w="2994"/>
      </w:tblGrid>
      <w:tr w:rsidR="00486007" w:rsidRPr="00535110" w14:paraId="35C5CF54" w14:textId="77777777">
        <w:trPr>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C6FD8"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Rango de Calificación</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9F89"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Área de Influencia de las Paradas de Corredores Exclusivos de Transporte (BRT)</w:t>
            </w:r>
          </w:p>
        </w:tc>
        <w:tc>
          <w:tcPr>
            <w:tcW w:w="2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44487"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Área de Influencia de las Estaciones del Metro de Quito</w:t>
            </w:r>
          </w:p>
        </w:tc>
      </w:tr>
      <w:tr w:rsidR="00486007" w:rsidRPr="00535110" w14:paraId="11E8A268" w14:textId="77777777">
        <w:trPr>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8CA8"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60% - 69%</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B2EA"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25% de pisos adicionales*</w:t>
            </w:r>
          </w:p>
        </w:tc>
        <w:tc>
          <w:tcPr>
            <w:tcW w:w="2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A974"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25% de pisos adicionales*</w:t>
            </w:r>
          </w:p>
        </w:tc>
      </w:tr>
      <w:tr w:rsidR="00486007" w:rsidRPr="00535110" w14:paraId="7AD4B4A0" w14:textId="77777777">
        <w:trPr>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2C66"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70% - 79%</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1CDF"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50% de pisos adicionales*</w:t>
            </w:r>
          </w:p>
        </w:tc>
        <w:tc>
          <w:tcPr>
            <w:tcW w:w="2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6C5B"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50% de pisos adicionales*</w:t>
            </w:r>
          </w:p>
        </w:tc>
      </w:tr>
      <w:tr w:rsidR="00486007" w:rsidRPr="00535110" w14:paraId="129A4255" w14:textId="77777777">
        <w:trPr>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4899"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80% - 89%</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F3C5"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N/A</w:t>
            </w:r>
          </w:p>
        </w:tc>
        <w:tc>
          <w:tcPr>
            <w:tcW w:w="2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8C67"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75% de pisos adicionales*</w:t>
            </w:r>
          </w:p>
        </w:tc>
      </w:tr>
      <w:tr w:rsidR="00486007" w:rsidRPr="00535110" w14:paraId="5A30B2C0" w14:textId="77777777">
        <w:trPr>
          <w:jc w:val="center"/>
        </w:trPr>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7478"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90% - 100%</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40545"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N/A</w:t>
            </w:r>
          </w:p>
        </w:tc>
        <w:tc>
          <w:tcPr>
            <w:tcW w:w="2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B148F"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100% de pisos adicionales*</w:t>
            </w:r>
          </w:p>
        </w:tc>
      </w:tr>
    </w:tbl>
    <w:p w14:paraId="194652E2" w14:textId="77777777" w:rsidR="00486007" w:rsidRPr="00535110" w:rsidRDefault="00F42F53" w:rsidP="00A74958">
      <w:pPr>
        <w:spacing w:after="120" w:line="276" w:lineRule="auto"/>
        <w:ind w:left="708"/>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Por sobre lo establecido en el PUOS vigente</w:t>
      </w:r>
    </w:p>
    <w:p w14:paraId="571D19E0" w14:textId="5362805D"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 xml:space="preserve">Las condiciones urbanísticas que los lotes deberán reunir para solicitar la aplicación de esta figura, deberán regularse mediante resolución administrativa de la Secretaría encargada del territorio, hábitat y vivienda, considerando los parámetros previstos en el inciso tercero del artículo </w:t>
      </w:r>
      <w:r w:rsidR="008D56B9" w:rsidRPr="00535110">
        <w:rPr>
          <w:rFonts w:ascii="Palatino Linotype" w:eastAsia="Palatino Linotype" w:hAnsi="Palatino Linotype" w:cs="Palatino Linotype"/>
          <w:sz w:val="22"/>
          <w:szCs w:val="22"/>
          <w:lang w:val="es-ES_tradnl"/>
        </w:rPr>
        <w:t>IV.1.397</w:t>
      </w:r>
      <w:r w:rsidRPr="00535110">
        <w:rPr>
          <w:rFonts w:ascii="Palatino Linotype" w:eastAsia="Palatino Linotype" w:hAnsi="Palatino Linotype" w:cs="Palatino Linotype"/>
          <w:sz w:val="22"/>
          <w:szCs w:val="22"/>
          <w:lang w:val="es-ES_tradnl"/>
        </w:rPr>
        <w:t xml:space="preserve"> de</w:t>
      </w:r>
      <w:r w:rsidR="00C37693" w:rsidRPr="00535110">
        <w:rPr>
          <w:rFonts w:ascii="Palatino Linotype" w:eastAsia="Palatino Linotype" w:hAnsi="Palatino Linotype" w:cs="Palatino Linotype"/>
          <w:sz w:val="22"/>
          <w:szCs w:val="22"/>
          <w:lang w:val="es-ES_tradnl"/>
        </w:rPr>
        <w:t>l presente Título</w:t>
      </w:r>
      <w:r w:rsidRPr="00535110">
        <w:rPr>
          <w:rFonts w:ascii="Palatino Linotype" w:eastAsia="Palatino Linotype" w:hAnsi="Palatino Linotype" w:cs="Palatino Linotype"/>
          <w:sz w:val="22"/>
          <w:szCs w:val="22"/>
          <w:lang w:val="es-ES_tradnl"/>
        </w:rPr>
        <w:t>.</w:t>
      </w:r>
    </w:p>
    <w:p w14:paraId="669A75BB" w14:textId="77777777" w:rsidR="00486007" w:rsidRPr="00535110" w:rsidRDefault="00F42F53" w:rsidP="00A74958">
      <w:p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 xml:space="preserve">Para los edificios que superen la altura máxima, medida en número de pisos, definida en las áreas de influencia del Sistema Metropolitano de Transporte por el Plan de Uso y Ocupación de Suelo del Distrito Metropolitano de Quito, la evaluación del proyecto estará condicionada a la aprobación de una propuesta de intervención en el espacio público del entorno al proyecto, que contemple aportes tendientes a mejorar su calidad urbanística y ambiental, su capacidad de acogida y su conectividad peatonal y ciclística con los nodos del transporte. Las mencionadas obras podrán ser imputadas al pago en especie de la Concesión Onerosa de Derechos (COD) por suelo creado, en hasta un 20% del valor a cancelar por este concepto. </w:t>
      </w:r>
    </w:p>
    <w:p w14:paraId="6CFAFB24" w14:textId="4A5EEB58"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En estos casos la Secretaría </w:t>
      </w:r>
      <w:r w:rsidR="00140621" w:rsidRPr="00535110">
        <w:rPr>
          <w:rFonts w:ascii="Palatino Linotype" w:eastAsia="Palatino Linotype" w:hAnsi="Palatino Linotype" w:cs="Palatino Linotype"/>
          <w:sz w:val="22"/>
          <w:szCs w:val="22"/>
          <w:lang w:val="es-ES_tradnl"/>
        </w:rPr>
        <w:t>responsable del t</w:t>
      </w:r>
      <w:r w:rsidRPr="00535110">
        <w:rPr>
          <w:rFonts w:ascii="Palatino Linotype" w:eastAsia="Palatino Linotype" w:hAnsi="Palatino Linotype" w:cs="Palatino Linotype"/>
          <w:sz w:val="22"/>
          <w:szCs w:val="22"/>
          <w:lang w:val="es-ES_tradnl"/>
        </w:rPr>
        <w:t xml:space="preserve">erritorio, </w:t>
      </w:r>
      <w:r w:rsidR="00140621" w:rsidRPr="00535110">
        <w:rPr>
          <w:rFonts w:ascii="Palatino Linotype" w:eastAsia="Palatino Linotype" w:hAnsi="Palatino Linotype" w:cs="Palatino Linotype"/>
          <w:sz w:val="22"/>
          <w:szCs w:val="22"/>
          <w:lang w:val="es-ES_tradnl"/>
        </w:rPr>
        <w:t>h</w:t>
      </w:r>
      <w:r w:rsidRPr="00535110">
        <w:rPr>
          <w:rFonts w:ascii="Palatino Linotype" w:eastAsia="Palatino Linotype" w:hAnsi="Palatino Linotype" w:cs="Palatino Linotype"/>
          <w:sz w:val="22"/>
          <w:szCs w:val="22"/>
          <w:lang w:val="es-ES_tradnl"/>
        </w:rPr>
        <w:t xml:space="preserve">ábitat y </w:t>
      </w:r>
      <w:r w:rsidR="00140621" w:rsidRPr="00535110">
        <w:rPr>
          <w:rFonts w:ascii="Palatino Linotype" w:eastAsia="Palatino Linotype" w:hAnsi="Palatino Linotype" w:cs="Palatino Linotype"/>
          <w:sz w:val="22"/>
          <w:szCs w:val="22"/>
          <w:lang w:val="es-ES_tradnl"/>
        </w:rPr>
        <w:t>v</w:t>
      </w:r>
      <w:r w:rsidRPr="00535110">
        <w:rPr>
          <w:rFonts w:ascii="Palatino Linotype" w:eastAsia="Palatino Linotype" w:hAnsi="Palatino Linotype" w:cs="Palatino Linotype"/>
          <w:sz w:val="22"/>
          <w:szCs w:val="22"/>
          <w:lang w:val="es-ES_tradnl"/>
        </w:rPr>
        <w:t>ivienda emitirá un informe técnico respecto a la propuesta, donde se definirá el ámbito y el alcance territorial de la intervención urbanística en el espacio público presentada por el promotor. Para la emisión del mencionado informe</w:t>
      </w:r>
      <w:r w:rsidR="00140621"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así como para obtener las autorizaciones necesarias para viabilizar la int</w:t>
      </w:r>
      <w:r w:rsidR="00464F06" w:rsidRPr="00535110">
        <w:rPr>
          <w:rFonts w:ascii="Palatino Linotype" w:eastAsia="Palatino Linotype" w:hAnsi="Palatino Linotype" w:cs="Palatino Linotype"/>
          <w:sz w:val="22"/>
          <w:szCs w:val="22"/>
          <w:lang w:val="es-ES_tradnl"/>
        </w:rPr>
        <w:t>ervención en el espacio público</w:t>
      </w:r>
      <w:r w:rsidRPr="00535110">
        <w:rPr>
          <w:rFonts w:ascii="Palatino Linotype" w:eastAsia="Palatino Linotype" w:hAnsi="Palatino Linotype" w:cs="Palatino Linotype"/>
          <w:sz w:val="22"/>
          <w:szCs w:val="22"/>
          <w:lang w:val="es-ES_tradnl"/>
        </w:rPr>
        <w:t xml:space="preserve">, la </w:t>
      </w:r>
      <w:r w:rsidR="00140621" w:rsidRPr="00535110">
        <w:rPr>
          <w:rFonts w:ascii="Palatino Linotype" w:eastAsia="Palatino Linotype" w:hAnsi="Palatino Linotype" w:cs="Palatino Linotype"/>
          <w:sz w:val="22"/>
          <w:szCs w:val="22"/>
          <w:lang w:val="es-ES_tradnl"/>
        </w:rPr>
        <w:t>Secretaría responsable del territorio, hábitat y vivienda</w:t>
      </w:r>
      <w:r w:rsidRPr="00535110">
        <w:rPr>
          <w:rFonts w:ascii="Palatino Linotype" w:eastAsia="Palatino Linotype" w:hAnsi="Palatino Linotype" w:cs="Palatino Linotype"/>
          <w:sz w:val="22"/>
          <w:szCs w:val="22"/>
          <w:lang w:val="es-ES_tradnl"/>
        </w:rPr>
        <w:t xml:space="preserve"> realizará las coordinaciones con las entidades municipales competentes. </w:t>
      </w:r>
    </w:p>
    <w:p w14:paraId="4CD4C352"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Para estos casos, las intervenciones en espacio público de los mencionados proyectos deberán haber finalizado previa a la obtención del certificado de finalización del proceso constructivo del edificio licenciado.</w:t>
      </w:r>
    </w:p>
    <w:p w14:paraId="11DBCB68" w14:textId="46F3F1D9"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IV.1.399.- </w:t>
      </w:r>
      <w:r w:rsidR="00F42F53" w:rsidRPr="00535110">
        <w:rPr>
          <w:rFonts w:ascii="Palatino Linotype" w:eastAsia="Palatino Linotype" w:hAnsi="Palatino Linotype" w:cs="Palatino Linotype"/>
          <w:b/>
          <w:sz w:val="22"/>
          <w:szCs w:val="22"/>
          <w:lang w:val="es-ES_tradnl"/>
        </w:rPr>
        <w:t>Del proces</w:t>
      </w:r>
      <w:r w:rsidR="00750380" w:rsidRPr="00535110">
        <w:rPr>
          <w:rFonts w:ascii="Palatino Linotype" w:eastAsia="Palatino Linotype" w:hAnsi="Palatino Linotype" w:cs="Palatino Linotype"/>
          <w:b/>
          <w:sz w:val="22"/>
          <w:szCs w:val="22"/>
          <w:lang w:val="es-ES_tradnl"/>
        </w:rPr>
        <w:t xml:space="preserve">o de calificación del </w:t>
      </w:r>
      <w:proofErr w:type="gramStart"/>
      <w:r w:rsidR="00750380" w:rsidRPr="00535110">
        <w:rPr>
          <w:rFonts w:ascii="Palatino Linotype" w:eastAsia="Palatino Linotype" w:hAnsi="Palatino Linotype" w:cs="Palatino Linotype"/>
          <w:b/>
          <w:sz w:val="22"/>
          <w:szCs w:val="22"/>
          <w:lang w:val="es-ES_tradnl"/>
        </w:rPr>
        <w:t>proyecto.</w:t>
      </w:r>
      <w:r w:rsidR="00F42F53" w:rsidRPr="00535110">
        <w:rPr>
          <w:rFonts w:ascii="Palatino Linotype" w:eastAsia="Palatino Linotype" w:hAnsi="Palatino Linotype" w:cs="Palatino Linotype"/>
          <w:b/>
          <w:sz w:val="22"/>
          <w:szCs w:val="22"/>
          <w:lang w:val="es-ES_tradnl"/>
        </w:rPr>
        <w:t>-</w:t>
      </w:r>
      <w:proofErr w:type="gramEnd"/>
      <w:r w:rsidR="00F42F53" w:rsidRPr="00535110">
        <w:rPr>
          <w:rFonts w:ascii="Palatino Linotype" w:eastAsia="Palatino Linotype" w:hAnsi="Palatino Linotype" w:cs="Palatino Linotype"/>
          <w:sz w:val="22"/>
          <w:szCs w:val="22"/>
          <w:lang w:val="es-ES_tradnl"/>
        </w:rPr>
        <w:t xml:space="preserve"> La calificación del proyecto a la que se hace referencia en el artículo precedente, será realizada por entidades colaboradoras de certificación de planos habilitadas bajo la normativa metropolitana, quienes evaluarán y puntuarán el proyecto en función de la Matriz de Eco-eficiencia.</w:t>
      </w:r>
    </w:p>
    <w:p w14:paraId="66AA5D63"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Para tales efectos, el promotor y los profesionales a cargo del diseño de las estrategias, ingenierías o instalaciones eco-eficientes, sustentarán el cumplimiento de los parámetros contenidos en la referida matriz, a los que aplique el proyecto, con la presentación de las respectivas memorias técnicas de diseño y cálculo, que permitan evaluar y calificar objetivamente al proyecto y consecutivamente determinar el porcentaje de incremento de pisos por sobre lo establecido en el PUOS al cual accederá el proyecto. </w:t>
      </w:r>
    </w:p>
    <w:p w14:paraId="5A12954B" w14:textId="7727BE66"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Las entidades colaboradoras emitirán un informe de calificación en el cual conste los puntajes parciales, correspondientes a cada parámetro, y el puntaje total del proyecto</w:t>
      </w:r>
      <w:r w:rsidR="00A45774"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así como el número de pisos adicionales a los cuales podrá optar el edificio, en correspondencia al cuadro No. 1 del artículo precedente. Este informe sustentará la emisión de un Acta de Suelo Creado por Eco-eficiencia, a cargo de la Administración Zonal correspondiente al emplazamiento del proyecto, documento en el cual se determinará el área útil correspondiente al número de pisos adicionales por sobre lo establecido en el </w:t>
      </w:r>
      <w:proofErr w:type="gramStart"/>
      <w:r w:rsidRPr="00535110">
        <w:rPr>
          <w:rFonts w:ascii="Palatino Linotype" w:eastAsia="Palatino Linotype" w:hAnsi="Palatino Linotype" w:cs="Palatino Linotype"/>
          <w:sz w:val="22"/>
          <w:szCs w:val="22"/>
          <w:lang w:val="es-ES_tradnl"/>
        </w:rPr>
        <w:t>PUOS</w:t>
      </w:r>
      <w:proofErr w:type="gramEnd"/>
      <w:r w:rsidRPr="00535110">
        <w:rPr>
          <w:rFonts w:ascii="Palatino Linotype" w:eastAsia="Palatino Linotype" w:hAnsi="Palatino Linotype" w:cs="Palatino Linotype"/>
          <w:sz w:val="22"/>
          <w:szCs w:val="22"/>
          <w:lang w:val="es-ES_tradnl"/>
        </w:rPr>
        <w:t xml:space="preserve"> así como el valor de la Concesión Onerosa de Derechos por Suelo Creado derivado de la aplicación de la f</w:t>
      </w:r>
      <w:r w:rsidR="00A45774" w:rsidRPr="00535110">
        <w:rPr>
          <w:rFonts w:ascii="Palatino Linotype" w:eastAsia="Palatino Linotype" w:hAnsi="Palatino Linotype" w:cs="Palatino Linotype"/>
          <w:sz w:val="22"/>
          <w:szCs w:val="22"/>
          <w:lang w:val="es-ES_tradnl"/>
        </w:rPr>
        <w:t xml:space="preserve">órmula prevista en el artículo </w:t>
      </w:r>
      <w:r w:rsidR="008D56B9" w:rsidRPr="00535110">
        <w:rPr>
          <w:rFonts w:ascii="Palatino Linotype" w:eastAsia="Palatino Linotype" w:hAnsi="Palatino Linotype" w:cs="Palatino Linotype"/>
          <w:sz w:val="22"/>
          <w:szCs w:val="22"/>
          <w:lang w:val="es-ES_tradnl"/>
        </w:rPr>
        <w:t>IV.1.404</w:t>
      </w:r>
      <w:r w:rsidRPr="00535110">
        <w:rPr>
          <w:rFonts w:ascii="Palatino Linotype" w:eastAsia="Palatino Linotype" w:hAnsi="Palatino Linotype" w:cs="Palatino Linotype"/>
          <w:sz w:val="22"/>
          <w:szCs w:val="22"/>
          <w:lang w:val="es-ES_tradnl"/>
        </w:rPr>
        <w:t xml:space="preserve"> de </w:t>
      </w:r>
      <w:r w:rsidR="00140621" w:rsidRPr="00535110">
        <w:rPr>
          <w:rFonts w:ascii="Palatino Linotype" w:eastAsia="Palatino Linotype" w:hAnsi="Palatino Linotype" w:cs="Palatino Linotype"/>
          <w:sz w:val="22"/>
          <w:szCs w:val="22"/>
          <w:lang w:val="es-ES_tradnl"/>
        </w:rPr>
        <w:t xml:space="preserve">del </w:t>
      </w:r>
      <w:r w:rsidRPr="00535110">
        <w:rPr>
          <w:rFonts w:ascii="Palatino Linotype" w:eastAsia="Palatino Linotype" w:hAnsi="Palatino Linotype" w:cs="Palatino Linotype"/>
          <w:sz w:val="22"/>
          <w:szCs w:val="22"/>
          <w:lang w:val="es-ES_tradnl"/>
        </w:rPr>
        <w:t xml:space="preserve">presente </w:t>
      </w:r>
      <w:r w:rsidR="00140621" w:rsidRPr="00535110">
        <w:rPr>
          <w:rFonts w:ascii="Palatino Linotype" w:eastAsia="Palatino Linotype" w:hAnsi="Palatino Linotype" w:cs="Palatino Linotype"/>
          <w:sz w:val="22"/>
          <w:szCs w:val="22"/>
          <w:lang w:val="es-ES_tradnl"/>
        </w:rPr>
        <w:t>Título</w:t>
      </w:r>
      <w:r w:rsidRPr="00535110">
        <w:rPr>
          <w:rFonts w:ascii="Palatino Linotype" w:eastAsia="Palatino Linotype" w:hAnsi="Palatino Linotype" w:cs="Palatino Linotype"/>
          <w:sz w:val="22"/>
          <w:szCs w:val="22"/>
          <w:lang w:val="es-ES_tradnl"/>
        </w:rPr>
        <w:t xml:space="preserve">. </w:t>
      </w:r>
    </w:p>
    <w:p w14:paraId="246797EC" w14:textId="15C04FAC"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El valor resultante de la aplicación de la fórmula de cálculo de la Concesión Onerosa de Derechos deberá ser cancelado o contar con el convenio de pago respectivo, siguiendo las modalidades y el procedimiento previstos en la normativa vigente, previo a la obtención de la Licencia Metropolitana Urbanística de Edificación LMU</w:t>
      </w:r>
      <w:r w:rsidR="00750380"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w:t>
      </w:r>
    </w:p>
    <w:p w14:paraId="587F92AA" w14:textId="494730B5" w:rsidR="006960E5" w:rsidRPr="00535110" w:rsidRDefault="006960E5" w:rsidP="00A74958">
      <w:pPr>
        <w:spacing w:after="120" w:line="276" w:lineRule="auto"/>
        <w:jc w:val="both"/>
        <w:rPr>
          <w:rFonts w:ascii="Palatino Linotype" w:hAnsi="Palatino Linotype"/>
          <w:sz w:val="22"/>
          <w:szCs w:val="22"/>
          <w:lang w:val="es-ES_tradnl"/>
        </w:rPr>
      </w:pPr>
      <w:r w:rsidRPr="00535110">
        <w:rPr>
          <w:rFonts w:ascii="Palatino Linotype" w:eastAsia="Palatino Linotype" w:hAnsi="Palatino Linotype" w:cs="Palatino Linotype"/>
          <w:sz w:val="22"/>
          <w:szCs w:val="22"/>
          <w:lang w:val="es-ES_tradnl"/>
        </w:rPr>
        <w:t>Los proyectos que apliquen al incremento de pisos bajo las figuras previstas en est</w:t>
      </w:r>
      <w:r w:rsidR="00C37693" w:rsidRPr="00535110">
        <w:rPr>
          <w:rFonts w:ascii="Palatino Linotype" w:eastAsia="Palatino Linotype" w:hAnsi="Palatino Linotype" w:cs="Palatino Linotype"/>
          <w:sz w:val="22"/>
          <w:szCs w:val="22"/>
          <w:lang w:val="es-ES_tradnl"/>
        </w:rPr>
        <w:t>e</w:t>
      </w:r>
      <w:r w:rsidRPr="00535110">
        <w:rPr>
          <w:rFonts w:ascii="Palatino Linotype" w:eastAsia="Palatino Linotype" w:hAnsi="Palatino Linotype" w:cs="Palatino Linotype"/>
          <w:sz w:val="22"/>
          <w:szCs w:val="22"/>
          <w:lang w:val="es-ES_tradnl"/>
        </w:rPr>
        <w:t xml:space="preserve"> </w:t>
      </w:r>
      <w:r w:rsidR="00C37693" w:rsidRPr="00535110">
        <w:rPr>
          <w:rFonts w:ascii="Palatino Linotype" w:eastAsia="Palatino Linotype" w:hAnsi="Palatino Linotype" w:cs="Palatino Linotype"/>
          <w:sz w:val="22"/>
          <w:szCs w:val="22"/>
          <w:lang w:val="es-ES_tradnl"/>
        </w:rPr>
        <w:t>Título</w:t>
      </w:r>
      <w:r w:rsidRPr="00535110">
        <w:rPr>
          <w:rFonts w:ascii="Palatino Linotype" w:eastAsia="Palatino Linotype" w:hAnsi="Palatino Linotype" w:cs="Palatino Linotype"/>
          <w:sz w:val="22"/>
          <w:szCs w:val="22"/>
          <w:lang w:val="es-ES_tradnl"/>
        </w:rPr>
        <w:t>, deberán obtener de las empresas públicas metropolitanas competentes, las factibilidades de servicios previo al proceso de licenciamiento.</w:t>
      </w:r>
    </w:p>
    <w:p w14:paraId="445225DA" w14:textId="46476599"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IV.1.400.- </w:t>
      </w:r>
      <w:r w:rsidR="00F42F53" w:rsidRPr="00535110">
        <w:rPr>
          <w:rFonts w:ascii="Palatino Linotype" w:eastAsia="Palatino Linotype" w:hAnsi="Palatino Linotype" w:cs="Palatino Linotype"/>
          <w:b/>
          <w:sz w:val="22"/>
          <w:szCs w:val="22"/>
          <w:lang w:val="es-ES_tradnl"/>
        </w:rPr>
        <w:t>Del Certificado de Conformidad de Diseño de Instalaciones Eco-eficientes.-</w:t>
      </w:r>
      <w:r w:rsidR="00F42F53" w:rsidRPr="00535110">
        <w:rPr>
          <w:rFonts w:ascii="Palatino Linotype" w:eastAsia="Palatino Linotype" w:hAnsi="Palatino Linotype" w:cs="Palatino Linotype"/>
          <w:sz w:val="22"/>
          <w:szCs w:val="22"/>
          <w:lang w:val="es-ES_tradnl"/>
        </w:rPr>
        <w:t xml:space="preserve"> Para las instalaciones eco-eficientes que pudieren no estar contenidas en los certificados de conformidad de planos arquitectónicos, de ingeniería estructural o de instalaciones eléctricas y sanitarias previstos en los procedimientos de licenciamiento metropolitano urbanístico, las entidades colaboradoras </w:t>
      </w:r>
      <w:r w:rsidR="00A45774" w:rsidRPr="00535110">
        <w:rPr>
          <w:rFonts w:ascii="Palatino Linotype" w:eastAsia="Palatino Linotype" w:hAnsi="Palatino Linotype" w:cs="Palatino Linotype"/>
          <w:sz w:val="22"/>
          <w:szCs w:val="22"/>
          <w:lang w:val="es-ES_tradnl"/>
        </w:rPr>
        <w:t>deberán</w:t>
      </w:r>
      <w:r w:rsidR="00F42F53" w:rsidRPr="00535110">
        <w:rPr>
          <w:rFonts w:ascii="Palatino Linotype" w:eastAsia="Palatino Linotype" w:hAnsi="Palatino Linotype" w:cs="Palatino Linotype"/>
          <w:sz w:val="22"/>
          <w:szCs w:val="22"/>
          <w:lang w:val="es-ES_tradnl"/>
        </w:rPr>
        <w:t xml:space="preserve"> emitir un certificado de conformidad de diseño de instalaciones eco-eficientes en concordancia con los parámetros evaluados en la Matriz de Eco-eficiencia. La emisión de este certificado seguirá los procedimientos administrativos previstos en la normativa metropolitana y será exigible previo a la obtención de la Licencia Metropolitana Urbanística de Edificación LMU</w:t>
      </w:r>
      <w:r w:rsidR="00750380" w:rsidRPr="00535110">
        <w:rPr>
          <w:rFonts w:ascii="Palatino Linotype" w:eastAsia="Palatino Linotype" w:hAnsi="Palatino Linotype" w:cs="Palatino Linotype"/>
          <w:sz w:val="22"/>
          <w:szCs w:val="22"/>
          <w:lang w:val="es-ES_tradnl"/>
        </w:rPr>
        <w:t xml:space="preserve"> </w:t>
      </w:r>
      <w:r w:rsidR="00F42F53" w:rsidRPr="00535110">
        <w:rPr>
          <w:rFonts w:ascii="Palatino Linotype" w:eastAsia="Palatino Linotype" w:hAnsi="Palatino Linotype" w:cs="Palatino Linotype"/>
          <w:sz w:val="22"/>
          <w:szCs w:val="22"/>
          <w:lang w:val="es-ES_tradnl"/>
        </w:rPr>
        <w:t>(20).</w:t>
      </w:r>
    </w:p>
    <w:p w14:paraId="2386ED87" w14:textId="650A1519"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IV.1.401.- </w:t>
      </w:r>
      <w:r w:rsidR="00F42F53" w:rsidRPr="00535110">
        <w:rPr>
          <w:rFonts w:ascii="Palatino Linotype" w:eastAsia="Palatino Linotype" w:hAnsi="Palatino Linotype" w:cs="Palatino Linotype"/>
          <w:b/>
          <w:sz w:val="22"/>
          <w:szCs w:val="22"/>
          <w:lang w:val="es-ES_tradnl"/>
        </w:rPr>
        <w:t>Eco-eficiencia.-</w:t>
      </w:r>
      <w:r w:rsidR="00F42F53" w:rsidRPr="00535110">
        <w:rPr>
          <w:rFonts w:ascii="Palatino Linotype" w:eastAsia="Palatino Linotype" w:hAnsi="Palatino Linotype" w:cs="Palatino Linotype"/>
          <w:sz w:val="22"/>
          <w:szCs w:val="22"/>
          <w:lang w:val="es-ES_tradnl"/>
        </w:rPr>
        <w:t xml:space="preserve"> Para efectos </w:t>
      </w:r>
      <w:r w:rsidR="00140621" w:rsidRPr="00535110">
        <w:rPr>
          <w:rFonts w:ascii="Palatino Linotype" w:eastAsia="Palatino Linotype" w:hAnsi="Palatino Linotype" w:cs="Palatino Linotype"/>
          <w:sz w:val="22"/>
          <w:szCs w:val="22"/>
          <w:lang w:val="es-ES_tradnl"/>
        </w:rPr>
        <w:t>del presente Título</w:t>
      </w:r>
      <w:r w:rsidR="00F42F53" w:rsidRPr="00535110">
        <w:rPr>
          <w:rFonts w:ascii="Palatino Linotype" w:eastAsia="Palatino Linotype" w:hAnsi="Palatino Linotype" w:cs="Palatino Linotype"/>
          <w:sz w:val="22"/>
          <w:szCs w:val="22"/>
          <w:lang w:val="es-ES_tradnl"/>
        </w:rPr>
        <w:t>, la eco-eficiencia es el conjunto de conceptos y estrategias que promueven el desarrollo urbano sostenible mediante edificaciones que reduzcan el consumo de agua potable, traten y reutilicen aguas residuales, aprovechen el agua lluvia, gestionen la escorrentía urbana, optimicen el consumo de energía eléctrica, adopten medidas que reduzcan la emisión de gases de efecto invernadero, clasifiquen y gestionen residuos sólidos, construyan con materiales con bajo impacto ambiental, implementen cobertura vegetal y arbolado urbano e incluyan criterios de diseño bioclimático.</w:t>
      </w:r>
    </w:p>
    <w:p w14:paraId="2F907CC4"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 xml:space="preserve">De manera complementaria a los parámetros de eco-eficiencia aquí mencionados, se considerará e integrará en la calificación del edificio, aportes urbanísticos tales como la integración parcelaria, la integración de la acera y del espacio público con los retiros y áreas privadas de uso público en planta baja, la mixtura de usos compatibles con el uso de suelo, así como estrategias innovadoras de seguridad sísmica, vinculadas al </w:t>
      </w:r>
      <w:proofErr w:type="spellStart"/>
      <w:r w:rsidRPr="00535110">
        <w:rPr>
          <w:rFonts w:ascii="Palatino Linotype" w:eastAsia="Palatino Linotype" w:hAnsi="Palatino Linotype" w:cs="Palatino Linotype"/>
          <w:sz w:val="22"/>
          <w:szCs w:val="22"/>
          <w:lang w:val="es-ES_tradnl"/>
        </w:rPr>
        <w:t>alivianamiento</w:t>
      </w:r>
      <w:proofErr w:type="spellEnd"/>
      <w:r w:rsidRPr="00535110">
        <w:rPr>
          <w:rFonts w:ascii="Palatino Linotype" w:eastAsia="Palatino Linotype" w:hAnsi="Palatino Linotype" w:cs="Palatino Linotype"/>
          <w:sz w:val="22"/>
          <w:szCs w:val="22"/>
          <w:lang w:val="es-ES_tradnl"/>
        </w:rPr>
        <w:t xml:space="preserve"> de las cargas, entre otras, que mejoren las condiciones urbanas y de habitabilidad en los lugares donde se implementen los proyectos.</w:t>
      </w:r>
    </w:p>
    <w:p w14:paraId="4115BF81" w14:textId="096A400E"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Con la finalidad de evaluar el diseño y cumplimiento de la implementación de estos parámetros, la Secretaría a cargo del territorio, hábitat y vivienda será la encargada de desarrollar y actualizar la Matriz de Eco-Eficiencia, herramienta que contendrá el sistema de calificación de un edificio eco-eficiente, compuesta por una serie de parámetros técnicos, debidamente definidos y ponderados, relacionados a los conceptos y estrategias previstas en este artículo y </w:t>
      </w:r>
      <w:r w:rsidR="00C37693" w:rsidRPr="00535110">
        <w:rPr>
          <w:rFonts w:ascii="Palatino Linotype" w:eastAsia="Palatino Linotype" w:hAnsi="Palatino Linotype" w:cs="Palatino Linotype"/>
          <w:sz w:val="22"/>
          <w:szCs w:val="22"/>
          <w:lang w:val="es-ES_tradnl"/>
        </w:rPr>
        <w:t>Título</w:t>
      </w:r>
      <w:r w:rsidRPr="00535110">
        <w:rPr>
          <w:rFonts w:ascii="Palatino Linotype" w:eastAsia="Palatino Linotype" w:hAnsi="Palatino Linotype" w:cs="Palatino Linotype"/>
          <w:sz w:val="22"/>
          <w:szCs w:val="22"/>
          <w:lang w:val="es-ES_tradnl"/>
        </w:rPr>
        <w:t xml:space="preserve">, que permita una evaluación objetiva de los proyectos que aplican a la compra de edificabilidad bajo esta figura. Esta herramienta podrá, de ser el caso, estar compuesta de una o varias matrices de calificación. </w:t>
      </w:r>
    </w:p>
    <w:p w14:paraId="631656D7"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La selección y ponderación de los parámetros que componen la Matriz de Eco-Eficiencia guardará concordancia con los objetivos estratégicos de la política pública distrital en materia </w:t>
      </w:r>
      <w:proofErr w:type="gramStart"/>
      <w:r w:rsidRPr="00535110">
        <w:rPr>
          <w:rFonts w:ascii="Palatino Linotype" w:eastAsia="Palatino Linotype" w:hAnsi="Palatino Linotype" w:cs="Palatino Linotype"/>
          <w:sz w:val="22"/>
          <w:szCs w:val="22"/>
          <w:lang w:val="es-ES_tradnl"/>
        </w:rPr>
        <w:t>ambiental</w:t>
      </w:r>
      <w:proofErr w:type="gramEnd"/>
      <w:r w:rsidRPr="00535110">
        <w:rPr>
          <w:rFonts w:ascii="Palatino Linotype" w:eastAsia="Palatino Linotype" w:hAnsi="Palatino Linotype" w:cs="Palatino Linotype"/>
          <w:sz w:val="22"/>
          <w:szCs w:val="22"/>
          <w:lang w:val="es-ES_tradnl"/>
        </w:rPr>
        <w:t xml:space="preserve"> así como con aquellos de las políticas de movilidad, desarrollo urbanístico, espacio público y desarrollo e inclusión social, observando los siguientes principios:</w:t>
      </w:r>
    </w:p>
    <w:p w14:paraId="224E23DC" w14:textId="1EAF7553" w:rsidR="00486007" w:rsidRPr="00535110" w:rsidRDefault="00F42F53" w:rsidP="00140621">
      <w:pPr>
        <w:spacing w:after="120" w:line="276" w:lineRule="auto"/>
        <w:ind w:left="708"/>
        <w:jc w:val="both"/>
        <w:rPr>
          <w:rFonts w:ascii="Palatino Linotype" w:hAnsi="Palatino Linotype"/>
          <w:sz w:val="22"/>
          <w:szCs w:val="22"/>
        </w:rPr>
      </w:pPr>
      <w:r w:rsidRPr="00535110">
        <w:rPr>
          <w:rFonts w:ascii="Palatino Linotype" w:eastAsia="Palatino Linotype" w:hAnsi="Palatino Linotype" w:cs="Palatino Linotype"/>
          <w:b/>
          <w:sz w:val="22"/>
          <w:szCs w:val="22"/>
          <w:lang w:val="es-ES_tradnl"/>
        </w:rPr>
        <w:t>a</w:t>
      </w:r>
      <w:r w:rsidR="00140621" w:rsidRPr="00535110">
        <w:rPr>
          <w:rFonts w:ascii="Palatino Linotype" w:eastAsia="Palatino Linotype" w:hAnsi="Palatino Linotype" w:cs="Palatino Linotype"/>
          <w:b/>
          <w:sz w:val="22"/>
          <w:szCs w:val="22"/>
          <w:lang w:val="es-ES_tradnl"/>
        </w:rPr>
        <w:t>.</w:t>
      </w:r>
      <w:r w:rsidRPr="00535110">
        <w:rPr>
          <w:rFonts w:ascii="Palatino Linotype" w:eastAsia="Palatino Linotype" w:hAnsi="Palatino Linotype" w:cs="Palatino Linotype"/>
          <w:b/>
          <w:sz w:val="22"/>
          <w:szCs w:val="22"/>
          <w:lang w:val="es-ES_tradnl"/>
        </w:rPr>
        <w:t xml:space="preserve"> Parámetros de obligatorio cumplimiento:</w:t>
      </w:r>
      <w:r w:rsidRPr="00535110">
        <w:rPr>
          <w:rFonts w:ascii="Palatino Linotype" w:eastAsia="Palatino Linotype" w:hAnsi="Palatino Linotype" w:cs="Palatino Linotype"/>
          <w:sz w:val="22"/>
          <w:szCs w:val="22"/>
          <w:lang w:val="es-ES_tradnl"/>
        </w:rPr>
        <w:t xml:space="preserve"> son parámetros</w:t>
      </w:r>
      <w:r w:rsidR="00645BE7" w:rsidRPr="00535110">
        <w:rPr>
          <w:rFonts w:ascii="Palatino Linotype" w:eastAsia="Palatino Linotype" w:hAnsi="Palatino Linotype" w:cs="Palatino Linotype"/>
          <w:sz w:val="22"/>
          <w:szCs w:val="22"/>
          <w:lang w:val="es-ES_tradnl"/>
        </w:rPr>
        <w:t xml:space="preserve"> sujetos a puntuación, que deberán</w:t>
      </w:r>
      <w:r w:rsidRPr="00535110">
        <w:rPr>
          <w:rFonts w:ascii="Palatino Linotype" w:eastAsia="Palatino Linotype" w:hAnsi="Palatino Linotype" w:cs="Palatino Linotype"/>
          <w:sz w:val="22"/>
          <w:szCs w:val="22"/>
          <w:lang w:val="es-ES_tradnl"/>
        </w:rPr>
        <w:t xml:space="preserve"> ser obligatoriamente desarrollados en los proyectos eco-eficientes y que están relacionados a factores cuya incidencia tiene alcances de transformación urbanística concordantes con los objetivos de</w:t>
      </w:r>
      <w:r w:rsidR="00C37693" w:rsidRPr="00535110">
        <w:rPr>
          <w:rFonts w:ascii="Palatino Linotype" w:eastAsia="Palatino Linotype" w:hAnsi="Palatino Linotype" w:cs="Palatino Linotype"/>
          <w:sz w:val="22"/>
          <w:szCs w:val="22"/>
          <w:lang w:val="es-ES_tradnl"/>
        </w:rPr>
        <w:t>l presente Título</w:t>
      </w:r>
      <w:r w:rsidRPr="00535110">
        <w:rPr>
          <w:rFonts w:ascii="Palatino Linotype" w:eastAsia="Palatino Linotype" w:hAnsi="Palatino Linotype" w:cs="Palatino Linotype"/>
          <w:sz w:val="22"/>
          <w:szCs w:val="22"/>
          <w:lang w:val="es-ES_tradnl"/>
        </w:rPr>
        <w:t xml:space="preserve">. </w:t>
      </w:r>
    </w:p>
    <w:p w14:paraId="010E94A8" w14:textId="77777777" w:rsidR="00486007" w:rsidRPr="00535110" w:rsidRDefault="00F42F53" w:rsidP="00140621">
      <w:pPr>
        <w:spacing w:after="120" w:line="276" w:lineRule="auto"/>
        <w:ind w:left="708"/>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La participación o peso de estos factores en la matriz, no podrá ser menor al 30% del puntaje total e incluirá</w:t>
      </w:r>
      <w:r w:rsidR="00645BE7"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al menos los siguientes parámetros:</w:t>
      </w:r>
    </w:p>
    <w:p w14:paraId="2769B1D9" w14:textId="77777777" w:rsidR="00486007" w:rsidRPr="00535110" w:rsidRDefault="00F42F53"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Reducción del consumo de agua potable;</w:t>
      </w:r>
    </w:p>
    <w:p w14:paraId="1CD889E2" w14:textId="77777777" w:rsidR="00486007" w:rsidRPr="00535110" w:rsidRDefault="00990A96"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Medidas</w:t>
      </w:r>
      <w:r w:rsidR="00F42F53" w:rsidRPr="00535110">
        <w:rPr>
          <w:rFonts w:ascii="Palatino Linotype" w:eastAsia="Palatino Linotype" w:hAnsi="Palatino Linotype" w:cs="Palatino Linotype"/>
          <w:sz w:val="22"/>
          <w:szCs w:val="22"/>
          <w:lang w:val="es-ES_tradnl"/>
        </w:rPr>
        <w:t xml:space="preserve"> de escorrentía urbana</w:t>
      </w:r>
      <w:r w:rsidR="00996AA6" w:rsidRPr="00535110">
        <w:rPr>
          <w:rFonts w:ascii="Palatino Linotype" w:eastAsia="Palatino Linotype" w:hAnsi="Palatino Linotype" w:cs="Palatino Linotype"/>
          <w:sz w:val="22"/>
          <w:szCs w:val="22"/>
          <w:lang w:val="es-ES_tradnl"/>
        </w:rPr>
        <w:t xml:space="preserve"> que incluya infraestructura verde e infraestructura gris</w:t>
      </w:r>
      <w:r w:rsidR="004F2A66" w:rsidRPr="00535110">
        <w:rPr>
          <w:rFonts w:ascii="Palatino Linotype" w:eastAsia="Palatino Linotype" w:hAnsi="Palatino Linotype" w:cs="Palatino Linotype"/>
          <w:sz w:val="22"/>
          <w:szCs w:val="22"/>
          <w:lang w:val="es-ES_tradnl"/>
        </w:rPr>
        <w:t>,</w:t>
      </w:r>
      <w:r w:rsidR="00996AA6" w:rsidRPr="00535110">
        <w:rPr>
          <w:rFonts w:ascii="Palatino Linotype" w:eastAsia="Palatino Linotype" w:hAnsi="Palatino Linotype" w:cs="Palatino Linotype"/>
          <w:sz w:val="22"/>
          <w:szCs w:val="22"/>
          <w:lang w:val="es-ES_tradnl"/>
        </w:rPr>
        <w:t xml:space="preserve"> orientada</w:t>
      </w:r>
      <w:r w:rsidR="004F2A66" w:rsidRPr="00535110">
        <w:rPr>
          <w:rFonts w:ascii="Palatino Linotype" w:eastAsia="Palatino Linotype" w:hAnsi="Palatino Linotype" w:cs="Palatino Linotype"/>
          <w:sz w:val="22"/>
          <w:szCs w:val="22"/>
          <w:lang w:val="es-ES_tradnl"/>
        </w:rPr>
        <w:t>s</w:t>
      </w:r>
      <w:r w:rsidR="00996AA6" w:rsidRPr="00535110">
        <w:rPr>
          <w:rFonts w:ascii="Palatino Linotype" w:eastAsia="Palatino Linotype" w:hAnsi="Palatino Linotype" w:cs="Palatino Linotype"/>
          <w:sz w:val="22"/>
          <w:szCs w:val="22"/>
          <w:lang w:val="es-ES_tradnl"/>
        </w:rPr>
        <w:t xml:space="preserve"> a disminuir la carga sobre el sistema de drenaje urbano</w:t>
      </w:r>
      <w:r w:rsidR="00F42F53" w:rsidRPr="00535110">
        <w:rPr>
          <w:rFonts w:ascii="Palatino Linotype" w:eastAsia="Palatino Linotype" w:hAnsi="Palatino Linotype" w:cs="Palatino Linotype"/>
          <w:sz w:val="22"/>
          <w:szCs w:val="22"/>
          <w:lang w:val="es-ES_tradnl"/>
        </w:rPr>
        <w:t>;</w:t>
      </w:r>
    </w:p>
    <w:p w14:paraId="3A2E5CFC" w14:textId="77777777" w:rsidR="00486007" w:rsidRPr="00535110" w:rsidRDefault="00F42F53"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Diseño pasivo</w:t>
      </w:r>
      <w:r w:rsidR="004F2A66"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que considerará como mínimo condiciones de confort térmico y lumínico;</w:t>
      </w:r>
    </w:p>
    <w:p w14:paraId="1FB20262" w14:textId="77777777" w:rsidR="00486007" w:rsidRPr="00535110" w:rsidRDefault="00F42F53"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Cobertura vegetal y arbolado urbano;</w:t>
      </w:r>
    </w:p>
    <w:p w14:paraId="0B1228B2" w14:textId="77777777" w:rsidR="00486007" w:rsidRPr="00535110" w:rsidRDefault="00F42F53"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lastRenderedPageBreak/>
        <w:t xml:space="preserve">Integración de la acera y del espacio público con los retiros y áreas privadas de uso público en planta baja </w:t>
      </w:r>
      <w:r w:rsidR="001A1CB4" w:rsidRPr="00535110">
        <w:rPr>
          <w:rFonts w:ascii="Palatino Linotype" w:eastAsia="Palatino Linotype" w:hAnsi="Palatino Linotype" w:cs="Palatino Linotype"/>
          <w:sz w:val="22"/>
          <w:szCs w:val="22"/>
          <w:lang w:val="es-ES_tradnl"/>
        </w:rPr>
        <w:t>y</w:t>
      </w:r>
      <w:r w:rsidRPr="00535110">
        <w:rPr>
          <w:rFonts w:ascii="Palatino Linotype" w:eastAsia="Palatino Linotype" w:hAnsi="Palatino Linotype" w:cs="Palatino Linotype"/>
          <w:sz w:val="22"/>
          <w:szCs w:val="22"/>
          <w:lang w:val="es-ES_tradnl"/>
        </w:rPr>
        <w:t xml:space="preserve"> aportes al espacio público;</w:t>
      </w:r>
    </w:p>
    <w:p w14:paraId="52AFE5E4" w14:textId="344770C8" w:rsidR="00486007" w:rsidRPr="00535110" w:rsidRDefault="00F42F53"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Mixtura de usos compatibles con el uso de suelo</w:t>
      </w:r>
      <w:r w:rsidR="004F2A66" w:rsidRPr="00535110">
        <w:rPr>
          <w:rFonts w:ascii="Palatino Linotype" w:eastAsia="Palatino Linotype" w:hAnsi="Palatino Linotype" w:cs="Palatino Linotype"/>
          <w:sz w:val="22"/>
          <w:szCs w:val="22"/>
          <w:lang w:val="es-ES_tradnl"/>
        </w:rPr>
        <w:t xml:space="preserve"> y,</w:t>
      </w:r>
    </w:p>
    <w:p w14:paraId="411342A1" w14:textId="1C460596" w:rsidR="00486007" w:rsidRPr="00535110" w:rsidRDefault="00F42F53" w:rsidP="00140621">
      <w:pPr>
        <w:pStyle w:val="Prrafodelista"/>
        <w:numPr>
          <w:ilvl w:val="0"/>
          <w:numId w:val="18"/>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Aportes a la movilidad sostenible</w:t>
      </w:r>
      <w:r w:rsidR="00871B44" w:rsidRPr="00535110">
        <w:rPr>
          <w:rFonts w:ascii="Palatino Linotype" w:eastAsia="Palatino Linotype" w:hAnsi="Palatino Linotype" w:cs="Palatino Linotype"/>
          <w:sz w:val="22"/>
          <w:szCs w:val="22"/>
          <w:lang w:val="es-ES_tradnl"/>
        </w:rPr>
        <w:t>, específicamente referidos a la reducción del número de estacionamientos.</w:t>
      </w:r>
    </w:p>
    <w:p w14:paraId="1AEFFC6C" w14:textId="7CA03E72" w:rsidR="00486007" w:rsidRPr="00535110" w:rsidRDefault="00F42F53" w:rsidP="00140621">
      <w:pPr>
        <w:spacing w:after="120" w:line="276" w:lineRule="auto"/>
        <w:ind w:left="624"/>
        <w:jc w:val="both"/>
        <w:rPr>
          <w:rFonts w:ascii="Palatino Linotype" w:hAnsi="Palatino Linotype"/>
          <w:sz w:val="22"/>
          <w:szCs w:val="22"/>
        </w:rPr>
      </w:pPr>
      <w:r w:rsidRPr="00535110">
        <w:rPr>
          <w:rFonts w:ascii="Palatino Linotype" w:eastAsia="Palatino Linotype" w:hAnsi="Palatino Linotype" w:cs="Palatino Linotype"/>
          <w:b/>
          <w:sz w:val="22"/>
          <w:szCs w:val="22"/>
          <w:lang w:val="es-ES_tradnl"/>
        </w:rPr>
        <w:t>b</w:t>
      </w:r>
      <w:r w:rsidR="00140621" w:rsidRPr="00535110">
        <w:rPr>
          <w:rFonts w:ascii="Palatino Linotype" w:eastAsia="Palatino Linotype" w:hAnsi="Palatino Linotype" w:cs="Palatino Linotype"/>
          <w:b/>
          <w:sz w:val="22"/>
          <w:szCs w:val="22"/>
          <w:lang w:val="es-ES_tradnl"/>
        </w:rPr>
        <w:t>.</w:t>
      </w:r>
      <w:r w:rsidRPr="00535110">
        <w:rPr>
          <w:rFonts w:ascii="Palatino Linotype" w:eastAsia="Palatino Linotype" w:hAnsi="Palatino Linotype" w:cs="Palatino Linotype"/>
          <w:b/>
          <w:sz w:val="22"/>
          <w:szCs w:val="22"/>
          <w:lang w:val="es-ES_tradnl"/>
        </w:rPr>
        <w:t xml:space="preserve"> Parámetros optativos:</w:t>
      </w:r>
      <w:r w:rsidRPr="00535110">
        <w:rPr>
          <w:rFonts w:ascii="Palatino Linotype" w:eastAsia="Palatino Linotype" w:hAnsi="Palatino Linotype" w:cs="Palatino Linotype"/>
          <w:sz w:val="22"/>
          <w:szCs w:val="22"/>
          <w:lang w:val="es-ES_tradnl"/>
        </w:rPr>
        <w:t xml:space="preserve"> son parámetros sujetos a puntuación, que constarán en la matriz de eco-eficiencia, seleccionados y desarrollados a criterio del promotor o diseñador del proyecto eco-eficiente y cuya incidencia incrementa la sostenibilidad ambiental del edificio y de la ciudad, en concordancia con los objetivos de reducción de las huellas ambientales del Distrito Met</w:t>
      </w:r>
      <w:r w:rsidR="004F2A66" w:rsidRPr="00535110">
        <w:rPr>
          <w:rFonts w:ascii="Palatino Linotype" w:eastAsia="Palatino Linotype" w:hAnsi="Palatino Linotype" w:cs="Palatino Linotype"/>
          <w:sz w:val="22"/>
          <w:szCs w:val="22"/>
          <w:lang w:val="es-ES_tradnl"/>
        </w:rPr>
        <w:t>ropolitano de Quito, e incluirá</w:t>
      </w:r>
      <w:r w:rsidRPr="00535110">
        <w:rPr>
          <w:rFonts w:ascii="Palatino Linotype" w:eastAsia="Palatino Linotype" w:hAnsi="Palatino Linotype" w:cs="Palatino Linotype"/>
          <w:sz w:val="22"/>
          <w:szCs w:val="22"/>
          <w:lang w:val="es-ES_tradnl"/>
        </w:rPr>
        <w:t xml:space="preserve"> al menos los siguientes parámetros:</w:t>
      </w:r>
    </w:p>
    <w:p w14:paraId="03B37E39" w14:textId="77777777" w:rsidR="00486007" w:rsidRPr="00535110" w:rsidRDefault="00F42F53" w:rsidP="00140621">
      <w:pPr>
        <w:pStyle w:val="Prrafodelista"/>
        <w:numPr>
          <w:ilvl w:val="0"/>
          <w:numId w:val="19"/>
        </w:num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Tratamiento y reutilización de aguas residuales;</w:t>
      </w:r>
    </w:p>
    <w:p w14:paraId="17FE1305" w14:textId="77777777" w:rsidR="00486007" w:rsidRPr="00535110" w:rsidRDefault="00F42F53" w:rsidP="00140621">
      <w:pPr>
        <w:pStyle w:val="Prrafodelista"/>
        <w:numPr>
          <w:ilvl w:val="0"/>
          <w:numId w:val="19"/>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Aprovechamiento del agua lluvia;</w:t>
      </w:r>
    </w:p>
    <w:p w14:paraId="092C7725" w14:textId="77777777" w:rsidR="00486007" w:rsidRPr="00535110" w:rsidRDefault="00F42F53" w:rsidP="00140621">
      <w:pPr>
        <w:pStyle w:val="Prrafodelista"/>
        <w:numPr>
          <w:ilvl w:val="0"/>
          <w:numId w:val="19"/>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Reducción de la emisión de gases de efecto invernadero;</w:t>
      </w:r>
    </w:p>
    <w:p w14:paraId="09E36F22" w14:textId="77777777" w:rsidR="00486007" w:rsidRPr="00535110" w:rsidRDefault="00F42F53" w:rsidP="00140621">
      <w:pPr>
        <w:pStyle w:val="Prrafodelista"/>
        <w:numPr>
          <w:ilvl w:val="0"/>
          <w:numId w:val="19"/>
        </w:num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Optimización del consumo de energía eléctrica;</w:t>
      </w:r>
    </w:p>
    <w:p w14:paraId="752B10AA" w14:textId="77777777" w:rsidR="00486007" w:rsidRPr="00535110" w:rsidRDefault="00F42F53" w:rsidP="00140621">
      <w:pPr>
        <w:pStyle w:val="Prrafodelista"/>
        <w:numPr>
          <w:ilvl w:val="0"/>
          <w:numId w:val="19"/>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Clasificación y gestión de residuos sólidos;</w:t>
      </w:r>
    </w:p>
    <w:p w14:paraId="102B3522" w14:textId="008B31D1" w:rsidR="00486007" w:rsidRDefault="004F2A66" w:rsidP="00140621">
      <w:pPr>
        <w:pStyle w:val="Prrafodelista"/>
        <w:numPr>
          <w:ilvl w:val="0"/>
          <w:numId w:val="19"/>
        </w:num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Construcción con materiales de</w:t>
      </w:r>
      <w:r w:rsidR="00F42F53" w:rsidRPr="00535110">
        <w:rPr>
          <w:rFonts w:ascii="Palatino Linotype" w:eastAsia="Palatino Linotype" w:hAnsi="Palatino Linotype" w:cs="Palatino Linotype"/>
          <w:sz w:val="22"/>
          <w:szCs w:val="22"/>
          <w:lang w:val="es-ES_tradnl"/>
        </w:rPr>
        <w:t xml:space="preserve"> bajo impacto ambiental; </w:t>
      </w:r>
    </w:p>
    <w:p w14:paraId="34116E2F" w14:textId="0549D379" w:rsidR="00EE7FBD" w:rsidRPr="00535110" w:rsidRDefault="00EE7FBD" w:rsidP="00EE7FBD">
      <w:pPr>
        <w:pStyle w:val="Prrafodelista"/>
        <w:numPr>
          <w:ilvl w:val="0"/>
          <w:numId w:val="19"/>
        </w:num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Integración parcelaria</w:t>
      </w:r>
      <w:r w:rsidR="004707DC">
        <w:rPr>
          <w:rFonts w:ascii="Palatino Linotype" w:eastAsia="Palatino Linotype" w:hAnsi="Palatino Linotype" w:cs="Palatino Linotype"/>
          <w:sz w:val="22"/>
          <w:szCs w:val="22"/>
          <w:lang w:val="es-ES_tradnl"/>
        </w:rPr>
        <w:t>, mismo que tendrá un puntaje preponderante en la Matriz de Eco-Eficiencia respecto de los otros parámetros optativos</w:t>
      </w:r>
      <w:r w:rsidRPr="00535110">
        <w:rPr>
          <w:rFonts w:ascii="Palatino Linotype" w:eastAsia="Palatino Linotype" w:hAnsi="Palatino Linotype" w:cs="Palatino Linotype"/>
          <w:sz w:val="22"/>
          <w:szCs w:val="22"/>
          <w:lang w:val="es-ES_tradnl"/>
        </w:rPr>
        <w:t xml:space="preserve">; </w:t>
      </w:r>
    </w:p>
    <w:p w14:paraId="39821F4A" w14:textId="77777777" w:rsidR="00486007" w:rsidRPr="00535110" w:rsidRDefault="00F42F53" w:rsidP="00140621">
      <w:pPr>
        <w:pStyle w:val="Prrafodelista"/>
        <w:numPr>
          <w:ilvl w:val="0"/>
          <w:numId w:val="19"/>
        </w:num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Innovación en materia de seguridad sísmica, vinculadas al </w:t>
      </w:r>
      <w:proofErr w:type="spellStart"/>
      <w:r w:rsidRPr="00535110">
        <w:rPr>
          <w:rFonts w:ascii="Palatino Linotype" w:eastAsia="Palatino Linotype" w:hAnsi="Palatino Linotype" w:cs="Palatino Linotype"/>
          <w:sz w:val="22"/>
          <w:szCs w:val="22"/>
          <w:lang w:val="es-ES_tradnl"/>
        </w:rPr>
        <w:t>alivianamiento</w:t>
      </w:r>
      <w:proofErr w:type="spellEnd"/>
      <w:r w:rsidRPr="00535110">
        <w:rPr>
          <w:rFonts w:ascii="Palatino Linotype" w:eastAsia="Palatino Linotype" w:hAnsi="Palatino Linotype" w:cs="Palatino Linotype"/>
          <w:sz w:val="22"/>
          <w:szCs w:val="22"/>
          <w:lang w:val="es-ES_tradnl"/>
        </w:rPr>
        <w:t xml:space="preserve"> de las cargas.</w:t>
      </w:r>
    </w:p>
    <w:p w14:paraId="58D01A28" w14:textId="77777777" w:rsidR="00486007" w:rsidRPr="00535110" w:rsidRDefault="00F42F53" w:rsidP="00A74958">
      <w:p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sz w:val="22"/>
          <w:szCs w:val="22"/>
          <w:lang w:val="es-ES_tradnl"/>
        </w:rPr>
        <w:t>Los proyectos eco-eficientes, que incrementen su edificabilidad por encima del 50% de lo establecido en el PUOS vigente, deberán obtener una calificación superior</w:t>
      </w:r>
      <w:r w:rsidR="004F2A66" w:rsidRPr="00535110">
        <w:rPr>
          <w:rFonts w:ascii="Palatino Linotype" w:eastAsia="Palatino Linotype" w:hAnsi="Palatino Linotype" w:cs="Palatino Linotype"/>
          <w:sz w:val="22"/>
          <w:szCs w:val="22"/>
          <w:lang w:val="es-ES_tradnl"/>
        </w:rPr>
        <w:t xml:space="preserve"> o igual</w:t>
      </w:r>
      <w:r w:rsidRPr="00535110">
        <w:rPr>
          <w:rFonts w:ascii="Palatino Linotype" w:eastAsia="Palatino Linotype" w:hAnsi="Palatino Linotype" w:cs="Palatino Linotype"/>
          <w:sz w:val="22"/>
          <w:szCs w:val="22"/>
          <w:lang w:val="es-ES_tradnl"/>
        </w:rPr>
        <w:t xml:space="preserve"> al </w:t>
      </w:r>
      <w:r w:rsidR="00796BFF" w:rsidRPr="00535110">
        <w:rPr>
          <w:rFonts w:ascii="Palatino Linotype" w:eastAsia="Palatino Linotype" w:hAnsi="Palatino Linotype" w:cs="Palatino Linotype"/>
          <w:sz w:val="22"/>
          <w:szCs w:val="22"/>
          <w:lang w:val="es-ES_tradnl"/>
        </w:rPr>
        <w:t>75</w:t>
      </w:r>
      <w:r w:rsidRPr="00535110">
        <w:rPr>
          <w:rFonts w:ascii="Palatino Linotype" w:eastAsia="Palatino Linotype" w:hAnsi="Palatino Linotype" w:cs="Palatino Linotype"/>
          <w:sz w:val="22"/>
          <w:szCs w:val="22"/>
          <w:lang w:val="es-ES_tradnl"/>
        </w:rPr>
        <w:t xml:space="preserve">% del puntaje correspondiente a los parámetros obligatorios. Los proyectos eco-eficientes, que incrementen su edificabilidad hasta el 50% de lo establecido en el PUOS vigente, deberán obtener al menos el </w:t>
      </w:r>
      <w:r w:rsidR="00796BFF" w:rsidRPr="00535110">
        <w:rPr>
          <w:rFonts w:ascii="Palatino Linotype" w:eastAsia="Palatino Linotype" w:hAnsi="Palatino Linotype" w:cs="Palatino Linotype"/>
          <w:sz w:val="22"/>
          <w:szCs w:val="22"/>
          <w:lang w:val="es-ES_tradnl"/>
        </w:rPr>
        <w:t>50</w:t>
      </w:r>
      <w:r w:rsidRPr="00535110">
        <w:rPr>
          <w:rFonts w:ascii="Palatino Linotype" w:eastAsia="Palatino Linotype" w:hAnsi="Palatino Linotype" w:cs="Palatino Linotype"/>
          <w:sz w:val="22"/>
          <w:szCs w:val="22"/>
          <w:lang w:val="es-ES_tradnl"/>
        </w:rPr>
        <w:t>% del puntaje correspondiente a los parámetros obligatorios.</w:t>
      </w:r>
    </w:p>
    <w:p w14:paraId="00D0B93E"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El sistema de calificación y los flujos y procedimientos de aplicación de esta herramienta deberán regularse mediante resolución administrativa de la Secretaría encargada del territorio, hábitat y vivienda.</w:t>
      </w:r>
    </w:p>
    <w:p w14:paraId="765FF943" w14:textId="2A9E8FD9" w:rsidR="00486007" w:rsidRPr="00535110" w:rsidRDefault="00C54CE2" w:rsidP="00A74958">
      <w:pPr>
        <w:spacing w:after="120" w:line="276" w:lineRule="auto"/>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IV.1.402.- </w:t>
      </w:r>
      <w:r w:rsidR="00140621" w:rsidRPr="00535110">
        <w:rPr>
          <w:rFonts w:ascii="Palatino Linotype" w:eastAsia="Palatino Linotype" w:hAnsi="Palatino Linotype" w:cs="Palatino Linotype"/>
          <w:b/>
          <w:sz w:val="22"/>
          <w:szCs w:val="22"/>
          <w:lang w:val="es-ES_tradnl"/>
        </w:rPr>
        <w:t xml:space="preserve">Densidad </w:t>
      </w:r>
      <w:proofErr w:type="gramStart"/>
      <w:r w:rsidR="00140621" w:rsidRPr="00535110">
        <w:rPr>
          <w:rFonts w:ascii="Palatino Linotype" w:eastAsia="Palatino Linotype" w:hAnsi="Palatino Linotype" w:cs="Palatino Linotype"/>
          <w:b/>
          <w:sz w:val="22"/>
          <w:szCs w:val="22"/>
          <w:lang w:val="es-ES_tradnl"/>
        </w:rPr>
        <w:t>h</w:t>
      </w:r>
      <w:r w:rsidR="00F42F53" w:rsidRPr="00535110">
        <w:rPr>
          <w:rFonts w:ascii="Palatino Linotype" w:eastAsia="Palatino Linotype" w:hAnsi="Palatino Linotype" w:cs="Palatino Linotype"/>
          <w:b/>
          <w:sz w:val="22"/>
          <w:szCs w:val="22"/>
          <w:lang w:val="es-ES_tradnl"/>
        </w:rPr>
        <w:t>abitacional.-</w:t>
      </w:r>
      <w:proofErr w:type="gramEnd"/>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 xml:space="preserve">En los proyectos eco-eficientes ubicados en las </w:t>
      </w:r>
      <w:r w:rsidR="00F42F53" w:rsidRPr="00535110">
        <w:rPr>
          <w:rFonts w:ascii="Palatino Linotype" w:eastAsia="Palatino Linotype" w:hAnsi="Palatino Linotype" w:cs="Palatino Linotype"/>
          <w:color w:val="000000"/>
          <w:sz w:val="22"/>
          <w:szCs w:val="22"/>
          <w:lang w:val="es-ES_tradnl"/>
        </w:rPr>
        <w:t xml:space="preserve">áreas de influencia del Sistema Metropolitano de Transporte, </w:t>
      </w:r>
      <w:r w:rsidR="00F42F53" w:rsidRPr="00535110">
        <w:rPr>
          <w:rFonts w:ascii="Palatino Linotype" w:eastAsia="Palatino Linotype" w:hAnsi="Palatino Linotype" w:cs="Palatino Linotype"/>
          <w:sz w:val="22"/>
          <w:szCs w:val="22"/>
          <w:lang w:val="es-ES_tradnl"/>
        </w:rPr>
        <w:t xml:space="preserve">se promoverá una adecuada densificación habitacional orientada a mantener o incrementar la población </w:t>
      </w:r>
      <w:r w:rsidR="00F42F53" w:rsidRPr="00535110">
        <w:rPr>
          <w:rFonts w:ascii="Palatino Linotype" w:eastAsia="Palatino Linotype" w:hAnsi="Palatino Linotype" w:cs="Palatino Linotype"/>
          <w:sz w:val="22"/>
          <w:szCs w:val="22"/>
          <w:lang w:val="es-ES_tradnl"/>
        </w:rPr>
        <w:lastRenderedPageBreak/>
        <w:t xml:space="preserve">residente de las áreas de influencia de los nodos de transporte público. Para el efecto, los parámetros de densidad habitacional tendrán una valoración adicional a la Matriz de Eco-eficiencia. </w:t>
      </w:r>
    </w:p>
    <w:p w14:paraId="6D7A13DD" w14:textId="5CAB4945" w:rsidR="00486007" w:rsidRPr="00535110" w:rsidRDefault="00C37693" w:rsidP="00A74958">
      <w:pPr>
        <w:tabs>
          <w:tab w:val="left" w:pos="3552"/>
        </w:tabs>
        <w:spacing w:after="120" w:line="276" w:lineRule="auto"/>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Para efectos de</w:t>
      </w:r>
      <w:r w:rsidR="00F42F53" w:rsidRPr="00535110">
        <w:rPr>
          <w:rFonts w:ascii="Palatino Linotype" w:eastAsia="Palatino Linotype" w:hAnsi="Palatino Linotype" w:cs="Palatino Linotype"/>
          <w:color w:val="000000"/>
          <w:sz w:val="22"/>
          <w:szCs w:val="22"/>
          <w:lang w:val="es-ES_tradnl"/>
        </w:rPr>
        <w:t xml:space="preserve">l presente </w:t>
      </w:r>
      <w:r w:rsidRPr="00535110">
        <w:rPr>
          <w:rFonts w:ascii="Palatino Linotype" w:eastAsia="Palatino Linotype" w:hAnsi="Palatino Linotype" w:cs="Palatino Linotype"/>
          <w:color w:val="000000"/>
          <w:sz w:val="22"/>
          <w:szCs w:val="22"/>
          <w:lang w:val="es-ES_tradnl"/>
        </w:rPr>
        <w:t xml:space="preserve">Título </w:t>
      </w:r>
      <w:r w:rsidR="00F42F53" w:rsidRPr="00535110">
        <w:rPr>
          <w:rFonts w:ascii="Palatino Linotype" w:eastAsia="Palatino Linotype" w:hAnsi="Palatino Linotype" w:cs="Palatino Linotype"/>
          <w:color w:val="000000"/>
          <w:sz w:val="22"/>
          <w:szCs w:val="22"/>
          <w:lang w:val="es-ES_tradnl"/>
        </w:rPr>
        <w:t>se entenderá como densidad habitacional a la relación entre el área útil residencial (expresada en metros cuadrados correspondiente a las unidades de vivienda) del edificio y el número de habitantes previsto en su ocupación. La búsqueda de una mayor densidad habitacional se efectuará sin perjuicio del cumplimiento de las dimensiones mínimas de los ambientes y espacios habitables previstas en las Reglas Técnicas de Arquitectura y Urbanismo.</w:t>
      </w:r>
    </w:p>
    <w:p w14:paraId="7F58F9B8" w14:textId="0B14DDF5"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IV.1.403.- </w:t>
      </w:r>
      <w:r w:rsidR="00F42F53" w:rsidRPr="00535110">
        <w:rPr>
          <w:rFonts w:ascii="Palatino Linotype" w:eastAsia="Palatino Linotype" w:hAnsi="Palatino Linotype" w:cs="Palatino Linotype"/>
          <w:b/>
          <w:color w:val="000000"/>
          <w:sz w:val="22"/>
          <w:szCs w:val="22"/>
          <w:lang w:val="es-ES_tradnl"/>
        </w:rPr>
        <w:t xml:space="preserve">Mejoramiento de espacio </w:t>
      </w:r>
      <w:proofErr w:type="gramStart"/>
      <w:r w:rsidR="004F2A66" w:rsidRPr="00535110">
        <w:rPr>
          <w:rFonts w:ascii="Palatino Linotype" w:eastAsia="Palatino Linotype" w:hAnsi="Palatino Linotype" w:cs="Palatino Linotype"/>
          <w:b/>
          <w:color w:val="000000"/>
          <w:sz w:val="22"/>
          <w:szCs w:val="22"/>
          <w:lang w:val="es-ES_tradnl"/>
        </w:rPr>
        <w:t>público.-</w:t>
      </w:r>
      <w:proofErr w:type="gramEnd"/>
      <w:r w:rsidR="00F42F53" w:rsidRPr="00535110">
        <w:rPr>
          <w:rFonts w:ascii="Palatino Linotype" w:eastAsia="Palatino Linotype" w:hAnsi="Palatino Linotype" w:cs="Palatino Linotype"/>
          <w:color w:val="000000"/>
          <w:sz w:val="22"/>
          <w:szCs w:val="22"/>
          <w:lang w:val="es-ES_tradnl"/>
        </w:rPr>
        <w:t xml:space="preserve"> </w:t>
      </w:r>
      <w:r w:rsidR="00F42F53" w:rsidRPr="00535110">
        <w:rPr>
          <w:rFonts w:ascii="Palatino Linotype" w:eastAsia="Palatino Linotype" w:hAnsi="Palatino Linotype" w:cs="Palatino Linotype"/>
          <w:sz w:val="22"/>
          <w:szCs w:val="22"/>
          <w:lang w:val="es-ES_tradnl"/>
        </w:rPr>
        <w:t xml:space="preserve">En los proyectos eco-eficientes ubicados en las </w:t>
      </w:r>
      <w:r w:rsidR="00F42F53" w:rsidRPr="00535110">
        <w:rPr>
          <w:rFonts w:ascii="Palatino Linotype" w:eastAsia="Palatino Linotype" w:hAnsi="Palatino Linotype" w:cs="Palatino Linotype"/>
          <w:color w:val="000000"/>
          <w:sz w:val="22"/>
          <w:szCs w:val="22"/>
          <w:lang w:val="es-ES_tradnl"/>
        </w:rPr>
        <w:t xml:space="preserve">áreas de influencia del Sistema Metropolitano de Transporte, </w:t>
      </w:r>
      <w:r w:rsidR="00F42F53" w:rsidRPr="00535110">
        <w:rPr>
          <w:rFonts w:ascii="Palatino Linotype" w:eastAsia="Palatino Linotype" w:hAnsi="Palatino Linotype" w:cs="Palatino Linotype"/>
          <w:sz w:val="22"/>
          <w:szCs w:val="22"/>
          <w:lang w:val="es-ES_tradnl"/>
        </w:rPr>
        <w:t>se promoverá la intervención en el espacio público del entorno al proyecto, que contemple aportes tendientes a mejorar su calidad urbanística y ambiental, su capacidad de acogida, su conectividad peatona</w:t>
      </w:r>
      <w:r w:rsidR="004F2A66" w:rsidRPr="00535110">
        <w:rPr>
          <w:rFonts w:ascii="Palatino Linotype" w:eastAsia="Palatino Linotype" w:hAnsi="Palatino Linotype" w:cs="Palatino Linotype"/>
          <w:sz w:val="22"/>
          <w:szCs w:val="22"/>
          <w:lang w:val="es-ES_tradnl"/>
        </w:rPr>
        <w:t>l y ciclística con los nodos de</w:t>
      </w:r>
      <w:r w:rsidR="00F42F53" w:rsidRPr="00535110">
        <w:rPr>
          <w:rFonts w:ascii="Palatino Linotype" w:eastAsia="Palatino Linotype" w:hAnsi="Palatino Linotype" w:cs="Palatino Linotype"/>
          <w:sz w:val="22"/>
          <w:szCs w:val="22"/>
          <w:lang w:val="es-ES_tradnl"/>
        </w:rPr>
        <w:t xml:space="preserve"> transporte, los cuales tendrán una valoración adicional a la Matriz de Eco-eficiencia. </w:t>
      </w:r>
    </w:p>
    <w:p w14:paraId="73E0F3FF" w14:textId="46180D1D"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En estos casos se estará al procedimiento previsto en los incisos tercero a quinto del artículo </w:t>
      </w:r>
      <w:r w:rsidR="008D56B9" w:rsidRPr="00535110">
        <w:rPr>
          <w:rFonts w:ascii="Palatino Linotype" w:eastAsia="Palatino Linotype" w:hAnsi="Palatino Linotype" w:cs="Palatino Linotype"/>
          <w:sz w:val="22"/>
          <w:szCs w:val="22"/>
          <w:lang w:val="es-ES_tradnl"/>
        </w:rPr>
        <w:t>IV.1.398</w:t>
      </w:r>
      <w:r w:rsidRPr="00535110">
        <w:rPr>
          <w:rFonts w:ascii="Palatino Linotype" w:eastAsia="Palatino Linotype" w:hAnsi="Palatino Linotype" w:cs="Palatino Linotype"/>
          <w:sz w:val="22"/>
          <w:szCs w:val="22"/>
          <w:lang w:val="es-ES_tradnl"/>
        </w:rPr>
        <w:t xml:space="preserve"> de</w:t>
      </w:r>
      <w:r w:rsidR="00140621" w:rsidRPr="00535110">
        <w:rPr>
          <w:rFonts w:ascii="Palatino Linotype" w:eastAsia="Palatino Linotype" w:hAnsi="Palatino Linotype" w:cs="Palatino Linotype"/>
          <w:sz w:val="22"/>
          <w:szCs w:val="22"/>
          <w:lang w:val="es-ES_tradnl"/>
        </w:rPr>
        <w:t>l presente Título</w:t>
      </w:r>
      <w:r w:rsidRPr="00535110">
        <w:rPr>
          <w:rFonts w:ascii="Palatino Linotype" w:eastAsia="Palatino Linotype" w:hAnsi="Palatino Linotype" w:cs="Palatino Linotype"/>
          <w:sz w:val="22"/>
          <w:szCs w:val="22"/>
          <w:lang w:val="es-ES_tradnl"/>
        </w:rPr>
        <w:t>.</w:t>
      </w:r>
    </w:p>
    <w:p w14:paraId="44A08C19"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CAPÍTULO II</w:t>
      </w:r>
    </w:p>
    <w:p w14:paraId="5E2B7A50"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CONCESIÓN ONEROSA DE DERECHOS POR SUELO CREADO</w:t>
      </w:r>
    </w:p>
    <w:p w14:paraId="37275E4D"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SECCION I</w:t>
      </w:r>
    </w:p>
    <w:p w14:paraId="7C5972CE"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NORMAS GENERALES</w:t>
      </w:r>
    </w:p>
    <w:p w14:paraId="0E9649F1" w14:textId="766DB2C4"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IV.1.404.- </w:t>
      </w:r>
      <w:r w:rsidR="00F42F53" w:rsidRPr="00535110">
        <w:rPr>
          <w:rFonts w:ascii="Palatino Linotype" w:eastAsia="Palatino Linotype" w:hAnsi="Palatino Linotype" w:cs="Palatino Linotype"/>
          <w:b/>
          <w:sz w:val="22"/>
          <w:szCs w:val="22"/>
          <w:lang w:val="es-ES_tradnl"/>
        </w:rPr>
        <w:t xml:space="preserve">Concesión Onerosa de Derechos (COD) por suelo </w:t>
      </w:r>
      <w:proofErr w:type="gramStart"/>
      <w:r w:rsidR="00F42F53" w:rsidRPr="00535110">
        <w:rPr>
          <w:rFonts w:ascii="Palatino Linotype" w:eastAsia="Palatino Linotype" w:hAnsi="Palatino Linotype" w:cs="Palatino Linotype"/>
          <w:b/>
          <w:sz w:val="22"/>
          <w:szCs w:val="22"/>
          <w:lang w:val="es-ES_tradnl"/>
        </w:rPr>
        <w:t>creado.-</w:t>
      </w:r>
      <w:proofErr w:type="gramEnd"/>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 xml:space="preserve">Para efectos de </w:t>
      </w:r>
      <w:r w:rsidR="00140621" w:rsidRPr="00535110">
        <w:rPr>
          <w:rFonts w:ascii="Palatino Linotype" w:eastAsia="Palatino Linotype" w:hAnsi="Palatino Linotype" w:cs="Palatino Linotype"/>
          <w:sz w:val="22"/>
          <w:szCs w:val="22"/>
          <w:lang w:val="es-ES_tradnl"/>
        </w:rPr>
        <w:t>este Título</w:t>
      </w:r>
      <w:r w:rsidR="00F42F53" w:rsidRPr="00535110">
        <w:rPr>
          <w:rFonts w:ascii="Palatino Linotype" w:eastAsia="Palatino Linotype" w:hAnsi="Palatino Linotype" w:cs="Palatino Linotype"/>
          <w:sz w:val="22"/>
          <w:szCs w:val="22"/>
          <w:lang w:val="es-ES_tradnl"/>
        </w:rPr>
        <w:t>, se define como un instrumento de financiamiento del desarrollo urbano, por el otorgamiento de un mayor aprovechamiento urbanístico expresado en el incremento de edificabilidad. La concesión onerosa de derechos se calculará únicamente sobre los derechos urbanísticos adicionales a los establecidos en el PUOS.</w:t>
      </w:r>
    </w:p>
    <w:p w14:paraId="19861E49"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 cuantía de la COD por suelo creado se determinará por cada metro cuadrado (m</w:t>
      </w:r>
      <w:r w:rsidRPr="00535110">
        <w:rPr>
          <w:rFonts w:ascii="Palatino Linotype" w:eastAsia="Palatino Linotype" w:hAnsi="Palatino Linotype" w:cs="Palatino Linotype"/>
          <w:sz w:val="22"/>
          <w:szCs w:val="22"/>
          <w:vertAlign w:val="superscript"/>
          <w:lang w:val="es-ES_tradnl"/>
        </w:rPr>
        <w:t>2</w:t>
      </w:r>
      <w:r w:rsidRPr="00535110">
        <w:rPr>
          <w:rFonts w:ascii="Palatino Linotype" w:eastAsia="Palatino Linotype" w:hAnsi="Palatino Linotype" w:cs="Palatino Linotype"/>
          <w:sz w:val="22"/>
          <w:szCs w:val="22"/>
          <w:lang w:val="es-ES_tradnl"/>
        </w:rPr>
        <w:t>) de área útil autorizado por sobre lo establecido en el PUOS (COS TOTAL), con la aplicación de la siguiente fórmula:</w:t>
      </w:r>
    </w:p>
    <w:p w14:paraId="5658E582" w14:textId="77777777" w:rsidR="00486007" w:rsidRPr="00535110" w:rsidRDefault="00F42F53" w:rsidP="00A74958">
      <w:pPr>
        <w:spacing w:after="120" w:line="276" w:lineRule="auto"/>
        <w:ind w:left="708" w:firstLine="708"/>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                                  S(t) x V(AIVA)</w:t>
      </w:r>
    </w:p>
    <w:p w14:paraId="2B698EFC" w14:textId="77777777" w:rsidR="00486007" w:rsidRPr="00535110" w:rsidRDefault="00F42F53" w:rsidP="00A74958">
      <w:pPr>
        <w:spacing w:after="120" w:line="276" w:lineRule="auto"/>
        <w:jc w:val="center"/>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COD(</w:t>
      </w:r>
      <w:proofErr w:type="spellStart"/>
      <w:r w:rsidRPr="00535110">
        <w:rPr>
          <w:rFonts w:ascii="Palatino Linotype" w:eastAsia="Palatino Linotype" w:hAnsi="Palatino Linotype" w:cs="Palatino Linotype"/>
          <w:sz w:val="22"/>
          <w:szCs w:val="22"/>
          <w:lang w:val="es-ES_tradnl"/>
        </w:rPr>
        <w:t>sc</w:t>
      </w:r>
      <w:proofErr w:type="spellEnd"/>
      <w:r w:rsidRPr="00535110">
        <w:rPr>
          <w:rFonts w:ascii="Palatino Linotype" w:eastAsia="Palatino Linotype" w:hAnsi="Palatino Linotype" w:cs="Palatino Linotype"/>
          <w:sz w:val="22"/>
          <w:szCs w:val="22"/>
          <w:lang w:val="es-ES_tradnl"/>
        </w:rPr>
        <w:t>) = ----------------------x AU(e) x FA</w:t>
      </w:r>
    </w:p>
    <w:p w14:paraId="0B9F1C76" w14:textId="77777777" w:rsidR="00486007" w:rsidRPr="00535110" w:rsidRDefault="00F42F53" w:rsidP="00A74958">
      <w:pPr>
        <w:spacing w:after="120" w:line="276" w:lineRule="auto"/>
        <w:ind w:left="1416" w:firstLine="708"/>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                              AUT</w:t>
      </w:r>
    </w:p>
    <w:p w14:paraId="74766A0F"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Donde: </w:t>
      </w:r>
    </w:p>
    <w:p w14:paraId="7DCFB68F" w14:textId="77777777"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lastRenderedPageBreak/>
        <w:t>COD(</w:t>
      </w:r>
      <w:proofErr w:type="spellStart"/>
      <w:r w:rsidRPr="00535110">
        <w:rPr>
          <w:rFonts w:ascii="Palatino Linotype" w:eastAsia="Palatino Linotype" w:hAnsi="Palatino Linotype" w:cs="Palatino Linotype"/>
          <w:b/>
          <w:sz w:val="22"/>
          <w:szCs w:val="22"/>
          <w:lang w:val="es-ES_tradnl"/>
        </w:rPr>
        <w:t>sc</w:t>
      </w:r>
      <w:proofErr w:type="spellEnd"/>
      <w:r w:rsidRPr="00535110">
        <w:rPr>
          <w:rFonts w:ascii="Palatino Linotype" w:eastAsia="Palatino Linotype" w:hAnsi="Palatino Linotype" w:cs="Palatino Linotype"/>
          <w:b/>
          <w:sz w:val="22"/>
          <w:szCs w:val="22"/>
          <w:lang w:val="es-ES_tradnl"/>
        </w:rPr>
        <w:t>)</w:t>
      </w:r>
      <w:r w:rsidRPr="00535110">
        <w:rPr>
          <w:rFonts w:ascii="Palatino Linotype" w:eastAsia="Palatino Linotype" w:hAnsi="Palatino Linotype" w:cs="Palatino Linotype"/>
          <w:sz w:val="22"/>
          <w:szCs w:val="22"/>
          <w:lang w:val="es-ES_tradnl"/>
        </w:rPr>
        <w:t>= Concesión Onerosa de Derechos por Suelo Creado</w:t>
      </w:r>
    </w:p>
    <w:p w14:paraId="249B888F" w14:textId="77777777"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S(t)=</w:t>
      </w:r>
      <w:r w:rsidRPr="00535110">
        <w:rPr>
          <w:rFonts w:ascii="Palatino Linotype" w:eastAsia="Palatino Linotype" w:hAnsi="Palatino Linotype" w:cs="Palatino Linotype"/>
          <w:sz w:val="22"/>
          <w:szCs w:val="22"/>
          <w:lang w:val="es-ES_tradnl"/>
        </w:rPr>
        <w:t xml:space="preserve">Superficie del Terreno </w:t>
      </w:r>
    </w:p>
    <w:p w14:paraId="7DD28C1E" w14:textId="77777777"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V(AIVA)=</w:t>
      </w:r>
      <w:r w:rsidRPr="00535110">
        <w:rPr>
          <w:rFonts w:ascii="Palatino Linotype" w:eastAsia="Palatino Linotype" w:hAnsi="Palatino Linotype" w:cs="Palatino Linotype"/>
          <w:sz w:val="22"/>
          <w:szCs w:val="22"/>
          <w:lang w:val="es-ES_tradnl"/>
        </w:rPr>
        <w:t xml:space="preserve"> Valor del AIVA correspondiente al terreno</w:t>
      </w:r>
    </w:p>
    <w:p w14:paraId="1156679E" w14:textId="77777777"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AUT=</w:t>
      </w:r>
      <w:r w:rsidRPr="00535110">
        <w:rPr>
          <w:rFonts w:ascii="Palatino Linotype" w:eastAsia="Palatino Linotype" w:hAnsi="Palatino Linotype" w:cs="Palatino Linotype"/>
          <w:sz w:val="22"/>
          <w:szCs w:val="22"/>
          <w:lang w:val="es-ES_tradnl"/>
        </w:rPr>
        <w:t xml:space="preserve"> Área útil asignada en el PUOS, equivalente al Coeficiente de Ocupación de Suelo Total (COS total).</w:t>
      </w:r>
    </w:p>
    <w:p w14:paraId="3AD1D0AC" w14:textId="77777777"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AU(e)=</w:t>
      </w:r>
      <w:r w:rsidRPr="00535110">
        <w:rPr>
          <w:rFonts w:ascii="Palatino Linotype" w:eastAsia="Palatino Linotype" w:hAnsi="Palatino Linotype" w:cs="Palatino Linotype"/>
          <w:sz w:val="22"/>
          <w:szCs w:val="22"/>
          <w:lang w:val="es-ES_tradnl"/>
        </w:rPr>
        <w:t xml:space="preserve"> Área útil excedente a la asignada por el PUOS (Área útil que excede a la permitida por el COS Total y que constituye el incremento de edificabilidad).</w:t>
      </w:r>
    </w:p>
    <w:p w14:paraId="1E3F19C6" w14:textId="77777777"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FA= </w:t>
      </w:r>
      <w:r w:rsidRPr="00535110">
        <w:rPr>
          <w:rFonts w:ascii="Palatino Linotype" w:eastAsia="Palatino Linotype" w:hAnsi="Palatino Linotype" w:cs="Palatino Linotype"/>
          <w:sz w:val="22"/>
          <w:szCs w:val="22"/>
          <w:lang w:val="es-ES_tradnl"/>
        </w:rPr>
        <w:t>Factor de ajuste correspondiente a la siguiente tabla, en función de la localización e incremento de edificabilidad del proyecto:</w:t>
      </w:r>
    </w:p>
    <w:p w14:paraId="75CC78C0" w14:textId="77777777" w:rsidR="00486007" w:rsidRPr="00535110" w:rsidRDefault="004F2A66" w:rsidP="00A74958">
      <w:pPr>
        <w:spacing w:after="120" w:line="276" w:lineRule="auto"/>
        <w:jc w:val="center"/>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Tabla N.- 1: Factores de Ajuste aplicables a la fórmula de la COD (</w:t>
      </w:r>
      <w:proofErr w:type="spellStart"/>
      <w:r w:rsidRPr="00535110">
        <w:rPr>
          <w:rFonts w:ascii="Palatino Linotype" w:eastAsia="Palatino Linotype" w:hAnsi="Palatino Linotype" w:cs="Palatino Linotype"/>
          <w:i/>
          <w:sz w:val="22"/>
          <w:szCs w:val="22"/>
          <w:lang w:val="es-ES_tradnl"/>
        </w:rPr>
        <w:t>sc</w:t>
      </w:r>
      <w:proofErr w:type="spellEnd"/>
      <w:r w:rsidRPr="00535110">
        <w:rPr>
          <w:rFonts w:ascii="Palatino Linotype" w:eastAsia="Palatino Linotype" w:hAnsi="Palatino Linotype" w:cs="Palatino Linotype"/>
          <w:i/>
          <w:sz w:val="22"/>
          <w:szCs w:val="22"/>
          <w:lang w:val="es-ES_tradnl"/>
        </w:rPr>
        <w:t>)</w:t>
      </w:r>
    </w:p>
    <w:tbl>
      <w:tblPr>
        <w:tblStyle w:val="Tablaconcuadrcula"/>
        <w:tblW w:w="9639" w:type="dxa"/>
        <w:tblInd w:w="-572" w:type="dxa"/>
        <w:tblLook w:val="04A0" w:firstRow="1" w:lastRow="0" w:firstColumn="1" w:lastColumn="0" w:noHBand="0" w:noVBand="1"/>
      </w:tblPr>
      <w:tblGrid>
        <w:gridCol w:w="807"/>
        <w:gridCol w:w="1472"/>
        <w:gridCol w:w="1472"/>
        <w:gridCol w:w="1472"/>
        <w:gridCol w:w="1472"/>
        <w:gridCol w:w="1472"/>
        <w:gridCol w:w="1472"/>
      </w:tblGrid>
      <w:tr w:rsidR="00486007" w:rsidRPr="00535110" w14:paraId="1085FB02" w14:textId="77777777" w:rsidTr="004F2A66">
        <w:tc>
          <w:tcPr>
            <w:tcW w:w="1334" w:type="dxa"/>
            <w:tcBorders>
              <w:bottom w:val="nil"/>
            </w:tcBorders>
            <w:shd w:val="clear" w:color="auto" w:fill="auto"/>
          </w:tcPr>
          <w:p w14:paraId="404143F4" w14:textId="77777777" w:rsidR="00486007" w:rsidRPr="00535110" w:rsidRDefault="00486007" w:rsidP="00A74958">
            <w:pPr>
              <w:spacing w:after="120" w:line="276" w:lineRule="auto"/>
              <w:rPr>
                <w:rFonts w:ascii="Palatino Linotype" w:eastAsiaTheme="minorHAnsi" w:hAnsi="Palatino Linotype" w:cs="Palatino Linotype"/>
                <w:b/>
                <w:sz w:val="20"/>
                <w:szCs w:val="20"/>
                <w:lang w:val="es-ES_tradnl"/>
              </w:rPr>
            </w:pPr>
          </w:p>
        </w:tc>
        <w:tc>
          <w:tcPr>
            <w:tcW w:w="5509" w:type="dxa"/>
            <w:gridSpan w:val="4"/>
            <w:shd w:val="clear" w:color="auto" w:fill="auto"/>
          </w:tcPr>
          <w:p w14:paraId="22D8B831"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METRO</w:t>
            </w:r>
          </w:p>
        </w:tc>
        <w:tc>
          <w:tcPr>
            <w:tcW w:w="2796" w:type="dxa"/>
            <w:gridSpan w:val="2"/>
            <w:shd w:val="clear" w:color="auto" w:fill="auto"/>
          </w:tcPr>
          <w:p w14:paraId="6F1EED64"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BRT</w:t>
            </w:r>
          </w:p>
        </w:tc>
      </w:tr>
      <w:tr w:rsidR="00486007" w:rsidRPr="00535110" w14:paraId="1B25BD0B" w14:textId="77777777" w:rsidTr="004F2A66">
        <w:tc>
          <w:tcPr>
            <w:tcW w:w="1334" w:type="dxa"/>
            <w:tcBorders>
              <w:top w:val="nil"/>
              <w:left w:val="single" w:sz="4" w:space="0" w:color="auto"/>
              <w:bottom w:val="nil"/>
              <w:right w:val="single" w:sz="4" w:space="0" w:color="auto"/>
            </w:tcBorders>
            <w:shd w:val="clear" w:color="auto" w:fill="auto"/>
            <w:vAlign w:val="center"/>
          </w:tcPr>
          <w:p w14:paraId="7EFB41EE"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Rango de AIVA</w:t>
            </w:r>
          </w:p>
        </w:tc>
        <w:tc>
          <w:tcPr>
            <w:tcW w:w="1346" w:type="dxa"/>
            <w:tcBorders>
              <w:left w:val="single" w:sz="4" w:space="0" w:color="auto"/>
            </w:tcBorders>
            <w:shd w:val="clear" w:color="auto" w:fill="auto"/>
            <w:vAlign w:val="center"/>
          </w:tcPr>
          <w:p w14:paraId="081D4F3C"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Factor de ajuste para</w:t>
            </w:r>
          </w:p>
          <w:p w14:paraId="6775695E" w14:textId="77777777" w:rsidR="00486007" w:rsidRPr="00535110" w:rsidRDefault="004F2A66"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COS incrementa</w:t>
            </w:r>
            <w:r w:rsidR="00F42F53" w:rsidRPr="00535110">
              <w:rPr>
                <w:rFonts w:ascii="Palatino Linotype" w:eastAsia="Palatino Linotype" w:hAnsi="Palatino Linotype" w:cs="Palatino Linotype"/>
                <w:b/>
                <w:sz w:val="20"/>
                <w:szCs w:val="20"/>
                <w:lang w:val="es-ES_tradnl"/>
              </w:rPr>
              <w:t>do</w:t>
            </w:r>
            <w:r w:rsidR="0079743D" w:rsidRPr="00535110">
              <w:rPr>
                <w:rFonts w:ascii="Palatino Linotype" w:eastAsia="Palatino Linotype" w:hAnsi="Palatino Linotype" w:cs="Palatino Linotype"/>
                <w:b/>
                <w:sz w:val="20"/>
                <w:szCs w:val="20"/>
                <w:lang w:val="es-ES_tradnl"/>
              </w:rPr>
              <w:t xml:space="preserve"> ≤25%</w:t>
            </w:r>
          </w:p>
        </w:tc>
        <w:tc>
          <w:tcPr>
            <w:tcW w:w="1346" w:type="dxa"/>
            <w:shd w:val="clear" w:color="auto" w:fill="auto"/>
            <w:vAlign w:val="center"/>
          </w:tcPr>
          <w:p w14:paraId="1E581A4F"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Facto</w:t>
            </w:r>
            <w:r w:rsidR="004F2A66" w:rsidRPr="00535110">
              <w:rPr>
                <w:rFonts w:ascii="Palatino Linotype" w:eastAsia="Palatino Linotype" w:hAnsi="Palatino Linotype" w:cs="Palatino Linotype"/>
                <w:b/>
                <w:sz w:val="20"/>
                <w:szCs w:val="20"/>
                <w:lang w:val="es-ES_tradnl"/>
              </w:rPr>
              <w:t>r de ajuste para COS incrementa</w:t>
            </w:r>
            <w:r w:rsidRPr="00535110">
              <w:rPr>
                <w:rFonts w:ascii="Palatino Linotype" w:eastAsia="Palatino Linotype" w:hAnsi="Palatino Linotype" w:cs="Palatino Linotype"/>
                <w:b/>
                <w:sz w:val="20"/>
                <w:szCs w:val="20"/>
                <w:lang w:val="es-ES_tradnl"/>
              </w:rPr>
              <w:t>do</w:t>
            </w:r>
            <w:r w:rsidR="004F2A66" w:rsidRPr="00535110">
              <w:rPr>
                <w:rFonts w:ascii="Palatino Linotype" w:eastAsia="Palatino Linotype" w:hAnsi="Palatino Linotype" w:cs="Palatino Linotype"/>
                <w:b/>
                <w:sz w:val="20"/>
                <w:szCs w:val="20"/>
                <w:lang w:val="es-ES_tradnl"/>
              </w:rPr>
              <w:t xml:space="preserve"> &gt;25% e</w:t>
            </w:r>
          </w:p>
          <w:p w14:paraId="34F61667" w14:textId="77777777" w:rsidR="00486007" w:rsidRPr="00535110" w:rsidRDefault="00CE28BF"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w:t>
            </w:r>
            <w:r w:rsidR="00F42F53" w:rsidRPr="00535110">
              <w:rPr>
                <w:rFonts w:ascii="Palatino Linotype" w:eastAsia="Palatino Linotype" w:hAnsi="Palatino Linotype" w:cs="Palatino Linotype"/>
                <w:b/>
                <w:sz w:val="20"/>
                <w:szCs w:val="20"/>
                <w:lang w:val="es-ES_tradnl"/>
              </w:rPr>
              <w:t>50%</w:t>
            </w:r>
          </w:p>
        </w:tc>
        <w:tc>
          <w:tcPr>
            <w:tcW w:w="1409" w:type="dxa"/>
            <w:shd w:val="clear" w:color="auto" w:fill="auto"/>
            <w:vAlign w:val="center"/>
          </w:tcPr>
          <w:p w14:paraId="5FC62EC1"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Factor de ajuste para COS incrementado</w:t>
            </w:r>
          </w:p>
          <w:p w14:paraId="50FC8AF0" w14:textId="77777777" w:rsidR="00486007" w:rsidRPr="00535110" w:rsidRDefault="00CE28BF"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&gt;</w:t>
            </w:r>
            <w:r w:rsidR="004F2A66" w:rsidRPr="00535110">
              <w:rPr>
                <w:rFonts w:ascii="Palatino Linotype" w:eastAsia="Palatino Linotype" w:hAnsi="Palatino Linotype" w:cs="Palatino Linotype"/>
                <w:b/>
                <w:sz w:val="20"/>
                <w:szCs w:val="20"/>
                <w:lang w:val="es-ES_tradnl"/>
              </w:rPr>
              <w:t>50% e</w:t>
            </w:r>
            <w:r w:rsidR="00F42F53" w:rsidRPr="00535110">
              <w:rPr>
                <w:rFonts w:ascii="Palatino Linotype" w:eastAsia="Palatino Linotype" w:hAnsi="Palatino Linotype" w:cs="Palatino Linotype"/>
                <w:b/>
                <w:sz w:val="20"/>
                <w:szCs w:val="20"/>
                <w:lang w:val="es-ES_tradnl"/>
              </w:rPr>
              <w:t xml:space="preserve"> </w:t>
            </w:r>
            <w:r w:rsidRPr="00535110">
              <w:rPr>
                <w:rFonts w:ascii="Palatino Linotype" w:eastAsia="Palatino Linotype" w:hAnsi="Palatino Linotype" w:cs="Palatino Linotype"/>
                <w:b/>
                <w:sz w:val="20"/>
                <w:szCs w:val="20"/>
                <w:lang w:val="es-ES_tradnl"/>
              </w:rPr>
              <w:t>≤</w:t>
            </w:r>
            <w:r w:rsidR="00F42F53" w:rsidRPr="00535110">
              <w:rPr>
                <w:rFonts w:ascii="Palatino Linotype" w:eastAsia="Palatino Linotype" w:hAnsi="Palatino Linotype" w:cs="Palatino Linotype"/>
                <w:b/>
                <w:sz w:val="20"/>
                <w:szCs w:val="20"/>
                <w:lang w:val="es-ES_tradnl"/>
              </w:rPr>
              <w:t>75%</w:t>
            </w:r>
          </w:p>
        </w:tc>
        <w:tc>
          <w:tcPr>
            <w:tcW w:w="1408" w:type="dxa"/>
            <w:shd w:val="clear" w:color="auto" w:fill="auto"/>
            <w:vAlign w:val="center"/>
          </w:tcPr>
          <w:p w14:paraId="036AF774"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Factor de ajuste para COS incrementado</w:t>
            </w:r>
          </w:p>
          <w:p w14:paraId="39A3BD96"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&gt;75%</w:t>
            </w:r>
            <w:r w:rsidR="00CE28BF" w:rsidRPr="00535110">
              <w:rPr>
                <w:rFonts w:ascii="Palatino Linotype" w:eastAsia="Palatino Linotype" w:hAnsi="Palatino Linotype" w:cs="Palatino Linotype"/>
                <w:b/>
                <w:sz w:val="20"/>
                <w:szCs w:val="20"/>
                <w:lang w:val="es-ES_tradnl"/>
              </w:rPr>
              <w:t xml:space="preserve"> hasta 100%</w:t>
            </w:r>
          </w:p>
        </w:tc>
        <w:tc>
          <w:tcPr>
            <w:tcW w:w="1390" w:type="dxa"/>
            <w:shd w:val="clear" w:color="auto" w:fill="auto"/>
            <w:vAlign w:val="center"/>
          </w:tcPr>
          <w:p w14:paraId="59ACEFEB" w14:textId="77777777" w:rsidR="0079743D" w:rsidRPr="00535110" w:rsidRDefault="0079743D"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Factor de ajuste para</w:t>
            </w:r>
          </w:p>
          <w:p w14:paraId="5A7CEEB3" w14:textId="77777777" w:rsidR="00486007" w:rsidRPr="00535110" w:rsidRDefault="004F2A66"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COS incrementa</w:t>
            </w:r>
            <w:r w:rsidR="0079743D" w:rsidRPr="00535110">
              <w:rPr>
                <w:rFonts w:ascii="Palatino Linotype" w:eastAsia="Palatino Linotype" w:hAnsi="Palatino Linotype" w:cs="Palatino Linotype"/>
                <w:b/>
                <w:sz w:val="20"/>
                <w:szCs w:val="20"/>
                <w:lang w:val="es-ES_tradnl"/>
              </w:rPr>
              <w:t>do ≤25%</w:t>
            </w:r>
          </w:p>
        </w:tc>
        <w:tc>
          <w:tcPr>
            <w:tcW w:w="1406" w:type="dxa"/>
            <w:shd w:val="clear" w:color="auto" w:fill="auto"/>
            <w:vAlign w:val="center"/>
          </w:tcPr>
          <w:p w14:paraId="05DE2B30"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Factor de ajuste para COS incrementado</w:t>
            </w:r>
          </w:p>
          <w:p w14:paraId="372B81F7"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&gt;25%</w:t>
            </w:r>
            <w:r w:rsidR="0079743D" w:rsidRPr="00535110">
              <w:rPr>
                <w:rFonts w:ascii="Palatino Linotype" w:eastAsia="Palatino Linotype" w:hAnsi="Palatino Linotype" w:cs="Palatino Linotype"/>
                <w:b/>
                <w:sz w:val="20"/>
                <w:szCs w:val="20"/>
                <w:lang w:val="es-ES_tradnl"/>
              </w:rPr>
              <w:t xml:space="preserve"> hasta 50%</w:t>
            </w:r>
          </w:p>
        </w:tc>
      </w:tr>
      <w:tr w:rsidR="00486007" w:rsidRPr="00535110" w14:paraId="04EBE994" w14:textId="77777777" w:rsidTr="004F2A66">
        <w:tc>
          <w:tcPr>
            <w:tcW w:w="1334" w:type="dxa"/>
            <w:tcBorders>
              <w:top w:val="nil"/>
            </w:tcBorders>
            <w:shd w:val="clear" w:color="auto" w:fill="auto"/>
            <w:vAlign w:val="center"/>
          </w:tcPr>
          <w:p w14:paraId="11D22072"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 1055</w:t>
            </w:r>
          </w:p>
        </w:tc>
        <w:tc>
          <w:tcPr>
            <w:tcW w:w="1346" w:type="dxa"/>
            <w:shd w:val="clear" w:color="auto" w:fill="auto"/>
            <w:vAlign w:val="center"/>
          </w:tcPr>
          <w:p w14:paraId="453379E6"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1</w:t>
            </w:r>
          </w:p>
        </w:tc>
        <w:tc>
          <w:tcPr>
            <w:tcW w:w="1346" w:type="dxa"/>
            <w:shd w:val="clear" w:color="auto" w:fill="auto"/>
            <w:vAlign w:val="center"/>
          </w:tcPr>
          <w:p w14:paraId="62D84724"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0,8</w:t>
            </w:r>
          </w:p>
        </w:tc>
        <w:tc>
          <w:tcPr>
            <w:tcW w:w="1409" w:type="dxa"/>
            <w:shd w:val="clear" w:color="auto" w:fill="auto"/>
            <w:vAlign w:val="center"/>
          </w:tcPr>
          <w:p w14:paraId="1E2E2113"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0,6</w:t>
            </w:r>
          </w:p>
        </w:tc>
        <w:tc>
          <w:tcPr>
            <w:tcW w:w="1408" w:type="dxa"/>
            <w:shd w:val="clear" w:color="auto" w:fill="auto"/>
            <w:vAlign w:val="center"/>
          </w:tcPr>
          <w:p w14:paraId="6AB78614"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0,5</w:t>
            </w:r>
          </w:p>
        </w:tc>
        <w:tc>
          <w:tcPr>
            <w:tcW w:w="1390" w:type="dxa"/>
            <w:shd w:val="clear" w:color="auto" w:fill="auto"/>
            <w:vAlign w:val="center"/>
          </w:tcPr>
          <w:p w14:paraId="1D9FA59A"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1</w:t>
            </w:r>
          </w:p>
        </w:tc>
        <w:tc>
          <w:tcPr>
            <w:tcW w:w="1406" w:type="dxa"/>
            <w:shd w:val="clear" w:color="auto" w:fill="auto"/>
            <w:vAlign w:val="center"/>
          </w:tcPr>
          <w:p w14:paraId="10A0D3D9"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0,8</w:t>
            </w:r>
          </w:p>
        </w:tc>
      </w:tr>
      <w:tr w:rsidR="00486007" w:rsidRPr="00535110" w14:paraId="4096C66F" w14:textId="77777777" w:rsidTr="004F2A66">
        <w:tc>
          <w:tcPr>
            <w:tcW w:w="1334" w:type="dxa"/>
            <w:shd w:val="clear" w:color="auto" w:fill="auto"/>
            <w:vAlign w:val="center"/>
          </w:tcPr>
          <w:p w14:paraId="696C79A7" w14:textId="77777777" w:rsidR="00486007" w:rsidRPr="00535110" w:rsidRDefault="004F2A66"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≥815 e</w:t>
            </w:r>
            <w:r w:rsidR="00F42F53" w:rsidRPr="00535110">
              <w:rPr>
                <w:rFonts w:ascii="Palatino Linotype" w:eastAsia="Palatino Linotype" w:hAnsi="Palatino Linotype" w:cs="Palatino Linotype"/>
                <w:b/>
                <w:sz w:val="20"/>
                <w:szCs w:val="20"/>
                <w:lang w:val="es-ES_tradnl"/>
              </w:rPr>
              <w:t xml:space="preserve"> &lt;1055</w:t>
            </w:r>
          </w:p>
        </w:tc>
        <w:tc>
          <w:tcPr>
            <w:tcW w:w="1346" w:type="dxa"/>
            <w:shd w:val="clear" w:color="auto" w:fill="auto"/>
            <w:vAlign w:val="center"/>
          </w:tcPr>
          <w:p w14:paraId="0183DFED"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0,9</w:t>
            </w:r>
          </w:p>
        </w:tc>
        <w:tc>
          <w:tcPr>
            <w:tcW w:w="1346" w:type="dxa"/>
            <w:shd w:val="clear" w:color="auto" w:fill="auto"/>
            <w:vAlign w:val="center"/>
          </w:tcPr>
          <w:p w14:paraId="3B323BEC"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0,7</w:t>
            </w:r>
          </w:p>
        </w:tc>
        <w:tc>
          <w:tcPr>
            <w:tcW w:w="1409" w:type="dxa"/>
            <w:shd w:val="clear" w:color="auto" w:fill="auto"/>
            <w:vAlign w:val="center"/>
          </w:tcPr>
          <w:p w14:paraId="1131A8C0"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0,5</w:t>
            </w:r>
          </w:p>
        </w:tc>
        <w:tc>
          <w:tcPr>
            <w:tcW w:w="1408" w:type="dxa"/>
            <w:shd w:val="clear" w:color="auto" w:fill="auto"/>
            <w:vAlign w:val="center"/>
          </w:tcPr>
          <w:p w14:paraId="39238ECA"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0,4</w:t>
            </w:r>
          </w:p>
        </w:tc>
        <w:tc>
          <w:tcPr>
            <w:tcW w:w="1390" w:type="dxa"/>
            <w:shd w:val="clear" w:color="auto" w:fill="auto"/>
            <w:vAlign w:val="center"/>
          </w:tcPr>
          <w:p w14:paraId="2429A856"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0,9</w:t>
            </w:r>
          </w:p>
        </w:tc>
        <w:tc>
          <w:tcPr>
            <w:tcW w:w="1406" w:type="dxa"/>
            <w:shd w:val="clear" w:color="auto" w:fill="auto"/>
            <w:vAlign w:val="center"/>
          </w:tcPr>
          <w:p w14:paraId="6D2BB39F"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0,7</w:t>
            </w:r>
          </w:p>
        </w:tc>
      </w:tr>
      <w:tr w:rsidR="00486007" w:rsidRPr="00535110" w14:paraId="047203FA" w14:textId="77777777" w:rsidTr="004F2A66">
        <w:tc>
          <w:tcPr>
            <w:tcW w:w="1334" w:type="dxa"/>
            <w:shd w:val="clear" w:color="auto" w:fill="auto"/>
            <w:vAlign w:val="center"/>
          </w:tcPr>
          <w:p w14:paraId="73476AE9" w14:textId="77777777" w:rsidR="00486007" w:rsidRPr="00535110" w:rsidRDefault="004F2A66"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≥515 e</w:t>
            </w:r>
            <w:r w:rsidR="00F42F53" w:rsidRPr="00535110">
              <w:rPr>
                <w:rFonts w:ascii="Palatino Linotype" w:eastAsia="Palatino Linotype" w:hAnsi="Palatino Linotype" w:cs="Palatino Linotype"/>
                <w:b/>
                <w:sz w:val="20"/>
                <w:szCs w:val="20"/>
                <w:lang w:val="es-ES_tradnl"/>
              </w:rPr>
              <w:t xml:space="preserve"> &lt;815</w:t>
            </w:r>
          </w:p>
        </w:tc>
        <w:tc>
          <w:tcPr>
            <w:tcW w:w="1346" w:type="dxa"/>
            <w:shd w:val="clear" w:color="auto" w:fill="auto"/>
            <w:vAlign w:val="center"/>
          </w:tcPr>
          <w:p w14:paraId="15DD5DA4"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0,7</w:t>
            </w:r>
          </w:p>
        </w:tc>
        <w:tc>
          <w:tcPr>
            <w:tcW w:w="1346" w:type="dxa"/>
            <w:shd w:val="clear" w:color="auto" w:fill="auto"/>
            <w:vAlign w:val="center"/>
          </w:tcPr>
          <w:p w14:paraId="685E0CC1"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0,5</w:t>
            </w:r>
          </w:p>
        </w:tc>
        <w:tc>
          <w:tcPr>
            <w:tcW w:w="1409" w:type="dxa"/>
            <w:shd w:val="clear" w:color="auto" w:fill="auto"/>
            <w:vAlign w:val="center"/>
          </w:tcPr>
          <w:p w14:paraId="7B1C4072"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0,4</w:t>
            </w:r>
          </w:p>
        </w:tc>
        <w:tc>
          <w:tcPr>
            <w:tcW w:w="1408" w:type="dxa"/>
            <w:shd w:val="clear" w:color="auto" w:fill="auto"/>
            <w:vAlign w:val="center"/>
          </w:tcPr>
          <w:p w14:paraId="05E14AAE"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0,3</w:t>
            </w:r>
          </w:p>
        </w:tc>
        <w:tc>
          <w:tcPr>
            <w:tcW w:w="1390" w:type="dxa"/>
            <w:shd w:val="clear" w:color="auto" w:fill="auto"/>
            <w:vAlign w:val="center"/>
          </w:tcPr>
          <w:p w14:paraId="2EFAB307"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0,7</w:t>
            </w:r>
          </w:p>
        </w:tc>
        <w:tc>
          <w:tcPr>
            <w:tcW w:w="1406" w:type="dxa"/>
            <w:shd w:val="clear" w:color="auto" w:fill="auto"/>
            <w:vAlign w:val="center"/>
          </w:tcPr>
          <w:p w14:paraId="62B2E7C3"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0,5</w:t>
            </w:r>
          </w:p>
        </w:tc>
      </w:tr>
      <w:tr w:rsidR="00486007" w:rsidRPr="00535110" w14:paraId="29BF85E0" w14:textId="77777777" w:rsidTr="004F2A66">
        <w:tc>
          <w:tcPr>
            <w:tcW w:w="1334" w:type="dxa"/>
            <w:shd w:val="clear" w:color="auto" w:fill="auto"/>
            <w:vAlign w:val="center"/>
          </w:tcPr>
          <w:p w14:paraId="250F4305"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&lt;515</w:t>
            </w:r>
          </w:p>
        </w:tc>
        <w:tc>
          <w:tcPr>
            <w:tcW w:w="1346" w:type="dxa"/>
            <w:shd w:val="clear" w:color="auto" w:fill="auto"/>
            <w:vAlign w:val="center"/>
          </w:tcPr>
          <w:p w14:paraId="558AEF4E"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0,6</w:t>
            </w:r>
          </w:p>
        </w:tc>
        <w:tc>
          <w:tcPr>
            <w:tcW w:w="1346" w:type="dxa"/>
            <w:shd w:val="clear" w:color="auto" w:fill="auto"/>
            <w:vAlign w:val="center"/>
          </w:tcPr>
          <w:p w14:paraId="4E0B7108"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0,4</w:t>
            </w:r>
          </w:p>
        </w:tc>
        <w:tc>
          <w:tcPr>
            <w:tcW w:w="1409" w:type="dxa"/>
            <w:shd w:val="clear" w:color="auto" w:fill="auto"/>
            <w:vAlign w:val="center"/>
          </w:tcPr>
          <w:p w14:paraId="27FC16C0"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0,3</w:t>
            </w:r>
          </w:p>
        </w:tc>
        <w:tc>
          <w:tcPr>
            <w:tcW w:w="1408" w:type="dxa"/>
            <w:shd w:val="clear" w:color="auto" w:fill="auto"/>
            <w:vAlign w:val="center"/>
          </w:tcPr>
          <w:p w14:paraId="0D018B3C"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0,2</w:t>
            </w:r>
          </w:p>
        </w:tc>
        <w:tc>
          <w:tcPr>
            <w:tcW w:w="1390" w:type="dxa"/>
            <w:shd w:val="clear" w:color="auto" w:fill="auto"/>
            <w:vAlign w:val="center"/>
          </w:tcPr>
          <w:p w14:paraId="0F473B37"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0,6</w:t>
            </w:r>
          </w:p>
        </w:tc>
        <w:tc>
          <w:tcPr>
            <w:tcW w:w="1406" w:type="dxa"/>
            <w:shd w:val="clear" w:color="auto" w:fill="auto"/>
            <w:vAlign w:val="center"/>
          </w:tcPr>
          <w:p w14:paraId="3AB76C38" w14:textId="77777777" w:rsidR="00486007" w:rsidRPr="00535110" w:rsidRDefault="00F42F53" w:rsidP="00A74958">
            <w:pPr>
              <w:spacing w:after="120" w:line="276" w:lineRule="auto"/>
              <w:jc w:val="center"/>
              <w:rPr>
                <w:rFonts w:ascii="Palatino Linotype" w:eastAsia="Palatino Linotype" w:hAnsi="Palatino Linotype" w:cs="Palatino Linotype"/>
                <w:b/>
                <w:sz w:val="20"/>
                <w:szCs w:val="20"/>
                <w:lang w:val="es-ES_tradnl"/>
              </w:rPr>
            </w:pPr>
            <w:r w:rsidRPr="00535110">
              <w:rPr>
                <w:rFonts w:ascii="Palatino Linotype" w:eastAsia="Palatino Linotype" w:hAnsi="Palatino Linotype" w:cs="Palatino Linotype"/>
                <w:b/>
                <w:sz w:val="20"/>
                <w:szCs w:val="20"/>
                <w:lang w:val="es-ES_tradnl"/>
              </w:rPr>
              <w:t>0,4</w:t>
            </w:r>
          </w:p>
        </w:tc>
      </w:tr>
    </w:tbl>
    <w:p w14:paraId="337F9A93" w14:textId="77777777" w:rsidR="0054085F" w:rsidRPr="00535110" w:rsidRDefault="0054085F" w:rsidP="00A74958">
      <w:pPr>
        <w:spacing w:after="120" w:line="276" w:lineRule="auto"/>
        <w:jc w:val="both"/>
        <w:rPr>
          <w:rFonts w:ascii="Palatino Linotype" w:hAnsi="Palatino Linotype"/>
          <w:sz w:val="18"/>
          <w:szCs w:val="18"/>
        </w:rPr>
      </w:pPr>
      <w:r w:rsidRPr="00535110">
        <w:rPr>
          <w:rFonts w:ascii="Palatino Linotype" w:eastAsia="Palatino Linotype" w:hAnsi="Palatino Linotype" w:cs="Palatino Linotype"/>
          <w:b/>
          <w:sz w:val="18"/>
          <w:szCs w:val="18"/>
          <w:lang w:val="es-ES_tradnl"/>
        </w:rPr>
        <w:t>Nota 1:</w:t>
      </w:r>
      <w:r w:rsidRPr="00535110">
        <w:rPr>
          <w:rFonts w:ascii="Palatino Linotype" w:eastAsia="Palatino Linotype" w:hAnsi="Palatino Linotype" w:cs="Palatino Linotype"/>
          <w:sz w:val="18"/>
          <w:szCs w:val="18"/>
          <w:lang w:val="es-ES_tradnl"/>
        </w:rPr>
        <w:t xml:space="preserve"> A los proyectos que se desarrollen en las Zonas Urbanísticas de Asignación Especial (ZUAE) les corresponderá un factor de ajuste del 0,9.</w:t>
      </w:r>
    </w:p>
    <w:p w14:paraId="4159B5B8" w14:textId="3E23F0F8" w:rsidR="0054085F" w:rsidRPr="00535110" w:rsidRDefault="0054085F" w:rsidP="00A74958">
      <w:pPr>
        <w:spacing w:after="120" w:line="276" w:lineRule="auto"/>
        <w:jc w:val="both"/>
        <w:rPr>
          <w:rFonts w:ascii="Palatino Linotype" w:eastAsia="Palatino Linotype" w:hAnsi="Palatino Linotype" w:cs="Palatino Linotype"/>
          <w:sz w:val="18"/>
          <w:szCs w:val="18"/>
          <w:lang w:val="es-ES_tradnl"/>
        </w:rPr>
      </w:pPr>
      <w:r w:rsidRPr="00535110">
        <w:rPr>
          <w:rFonts w:ascii="Palatino Linotype" w:eastAsia="Palatino Linotype" w:hAnsi="Palatino Linotype" w:cs="Palatino Linotype"/>
          <w:b/>
          <w:sz w:val="18"/>
          <w:szCs w:val="18"/>
          <w:lang w:val="es-ES_tradnl"/>
        </w:rPr>
        <w:t xml:space="preserve">Nota 2: </w:t>
      </w:r>
      <w:r w:rsidRPr="00535110">
        <w:rPr>
          <w:rFonts w:ascii="Palatino Linotype" w:eastAsia="Palatino Linotype" w:hAnsi="Palatino Linotype" w:cs="Palatino Linotype"/>
          <w:sz w:val="18"/>
          <w:szCs w:val="18"/>
          <w:lang w:val="es-ES_tradnl"/>
        </w:rPr>
        <w:t>El porcentaje de incremento de número de pisos aprobado a partir de la evaluación del proyecto con la Matriz de Eco-Eficiencia</w:t>
      </w:r>
      <w:r w:rsidR="004F2A66" w:rsidRPr="00535110">
        <w:rPr>
          <w:rFonts w:ascii="Palatino Linotype" w:eastAsia="Palatino Linotype" w:hAnsi="Palatino Linotype" w:cs="Palatino Linotype"/>
          <w:sz w:val="18"/>
          <w:szCs w:val="18"/>
          <w:lang w:val="es-ES_tradnl"/>
        </w:rPr>
        <w:t xml:space="preserve"> (Cuadro N</w:t>
      </w:r>
      <w:r w:rsidR="00750380" w:rsidRPr="00535110">
        <w:rPr>
          <w:rFonts w:ascii="Palatino Linotype" w:eastAsia="Palatino Linotype" w:hAnsi="Palatino Linotype" w:cs="Palatino Linotype"/>
          <w:sz w:val="18"/>
          <w:szCs w:val="18"/>
          <w:lang w:val="es-ES_tradnl"/>
        </w:rPr>
        <w:t xml:space="preserve">o. </w:t>
      </w:r>
      <w:r w:rsidR="004F2A66" w:rsidRPr="00535110">
        <w:rPr>
          <w:rFonts w:ascii="Palatino Linotype" w:eastAsia="Palatino Linotype" w:hAnsi="Palatino Linotype" w:cs="Palatino Linotype"/>
          <w:sz w:val="18"/>
          <w:szCs w:val="18"/>
          <w:lang w:val="es-ES_tradnl"/>
        </w:rPr>
        <w:t>1)</w:t>
      </w:r>
      <w:r w:rsidRPr="00535110">
        <w:rPr>
          <w:rFonts w:ascii="Palatino Linotype" w:eastAsia="Palatino Linotype" w:hAnsi="Palatino Linotype" w:cs="Palatino Linotype"/>
          <w:sz w:val="18"/>
          <w:szCs w:val="18"/>
          <w:lang w:val="es-ES_tradnl"/>
        </w:rPr>
        <w:t>, equivale al rango de COS incrementado del presente cuadro.</w:t>
      </w:r>
    </w:p>
    <w:p w14:paraId="0F3335A3"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Para proyectos que incluyen servicios hoteleros, servicios turísticos,</w:t>
      </w:r>
      <w:r w:rsidR="002A7B34"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equipamientos educativos y equipamientos de salud, ubicados en las áreas de influencia del Sistema Metropolitano de Transporte, se aplicará al monto resultante de la fórmula prevista en el presente artículo, un factor de ajuste adicional de 0,7, siempre y cuando estos servicios alcancen al menos un 30% del área útil total del proyecto.</w:t>
      </w:r>
    </w:p>
    <w:p w14:paraId="41DC3EEE" w14:textId="1092A97C"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lastRenderedPageBreak/>
        <w:t xml:space="preserve">Artículo IV.1.405.- </w:t>
      </w:r>
      <w:r w:rsidR="00F42F53" w:rsidRPr="00535110">
        <w:rPr>
          <w:rFonts w:ascii="Palatino Linotype" w:eastAsia="Palatino Linotype" w:hAnsi="Palatino Linotype" w:cs="Palatino Linotype"/>
          <w:b/>
          <w:sz w:val="22"/>
          <w:szCs w:val="22"/>
          <w:lang w:val="es-ES_tradnl"/>
        </w:rPr>
        <w:t xml:space="preserve">Sujetos obligados al pago de la Concesión Onerosa de </w:t>
      </w:r>
      <w:proofErr w:type="gramStart"/>
      <w:r w:rsidR="00F42F53" w:rsidRPr="00535110">
        <w:rPr>
          <w:rFonts w:ascii="Palatino Linotype" w:eastAsia="Palatino Linotype" w:hAnsi="Palatino Linotype" w:cs="Palatino Linotype"/>
          <w:b/>
          <w:sz w:val="22"/>
          <w:szCs w:val="22"/>
          <w:lang w:val="es-ES_tradnl"/>
        </w:rPr>
        <w:t>Derechos.-</w:t>
      </w:r>
      <w:proofErr w:type="gramEnd"/>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Están obligados a cancelar los valores generados por concepto de Concesión Onerosa de Derechos, todas las personas naturales o jurídicas</w:t>
      </w:r>
      <w:r w:rsidR="00873CCD" w:rsidRPr="00535110">
        <w:rPr>
          <w:rFonts w:ascii="Palatino Linotype" w:eastAsia="Palatino Linotype" w:hAnsi="Palatino Linotype" w:cs="Palatino Linotype"/>
          <w:sz w:val="22"/>
          <w:szCs w:val="22"/>
          <w:lang w:val="es-ES_tradnl"/>
        </w:rPr>
        <w:t>,</w:t>
      </w:r>
      <w:r w:rsidR="00F42F53" w:rsidRPr="00535110">
        <w:rPr>
          <w:rFonts w:ascii="Palatino Linotype" w:eastAsia="Palatino Linotype" w:hAnsi="Palatino Linotype" w:cs="Palatino Linotype"/>
          <w:sz w:val="22"/>
          <w:szCs w:val="22"/>
          <w:lang w:val="es-ES_tradnl"/>
        </w:rPr>
        <w:t xml:space="preserve"> que soliciten el incremento de número de pisos en proyectos eco-eficientes ubicados en las </w:t>
      </w:r>
      <w:r w:rsidR="00F42F53" w:rsidRPr="00535110">
        <w:rPr>
          <w:rFonts w:ascii="Palatino Linotype" w:eastAsia="Palatino Linotype" w:hAnsi="Palatino Linotype" w:cs="Palatino Linotype"/>
          <w:color w:val="000000"/>
          <w:sz w:val="22"/>
          <w:szCs w:val="22"/>
          <w:lang w:val="es-ES_tradnl"/>
        </w:rPr>
        <w:t xml:space="preserve">áreas de influencia del Sistema Metropolitano de Transporte o </w:t>
      </w:r>
      <w:r w:rsidR="00F42F53" w:rsidRPr="00535110">
        <w:rPr>
          <w:rFonts w:ascii="Palatino Linotype" w:eastAsia="Palatino Linotype" w:hAnsi="Palatino Linotype" w:cs="Palatino Linotype"/>
          <w:sz w:val="22"/>
          <w:szCs w:val="22"/>
          <w:lang w:val="es-ES_tradnl"/>
        </w:rPr>
        <w:t>en proyectos ubicados en las Zonas Urbanísticas de Asignación Especial (ZUAE).</w:t>
      </w:r>
    </w:p>
    <w:p w14:paraId="42814C72" w14:textId="19D4266E"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IV.1.406.- </w:t>
      </w:r>
      <w:r w:rsidRPr="00535110">
        <w:rPr>
          <w:rFonts w:ascii="Palatino Linotype" w:eastAsia="Palatino Linotype" w:hAnsi="Palatino Linotype" w:cs="Palatino Linotype"/>
          <w:b/>
          <w:sz w:val="22"/>
          <w:szCs w:val="22"/>
          <w:lang w:val="es-ES_tradnl"/>
        </w:rPr>
        <w:t xml:space="preserve">Proyectos exonerados de la Concesión Onerosa de </w:t>
      </w:r>
      <w:proofErr w:type="gramStart"/>
      <w:r w:rsidRPr="00535110">
        <w:rPr>
          <w:rFonts w:ascii="Palatino Linotype" w:eastAsia="Palatino Linotype" w:hAnsi="Palatino Linotype" w:cs="Palatino Linotype"/>
          <w:b/>
          <w:sz w:val="22"/>
          <w:szCs w:val="22"/>
          <w:lang w:val="es-ES_tradnl"/>
        </w:rPr>
        <w:t>Derechos.-</w:t>
      </w:r>
      <w:proofErr w:type="gramEnd"/>
      <w:r w:rsidRPr="00535110">
        <w:rPr>
          <w:rFonts w:ascii="Palatino Linotype" w:eastAsia="Palatino Linotype" w:hAnsi="Palatino Linotype" w:cs="Palatino Linotype"/>
          <w:b/>
          <w:sz w:val="22"/>
          <w:szCs w:val="22"/>
          <w:lang w:val="es-ES_tradnl"/>
        </w:rPr>
        <w:t xml:space="preserve"> </w:t>
      </w:r>
      <w:r w:rsidRPr="00535110">
        <w:rPr>
          <w:rFonts w:ascii="Palatino Linotype" w:eastAsia="Palatino Linotype" w:hAnsi="Palatino Linotype" w:cs="Palatino Linotype"/>
          <w:sz w:val="22"/>
          <w:szCs w:val="22"/>
          <w:lang w:val="es-ES_tradnl"/>
        </w:rPr>
        <w:t>Están exentos del pago de la concesión onerosa de derechos por suelo creado, todas las personas naturales o jurídicas de derecho público o privado y organizaciones pertenecientes a la economía popular y solidaria que promuevan los siguientes tipos de proyectos:</w:t>
      </w:r>
    </w:p>
    <w:p w14:paraId="45594212" w14:textId="59A3C751"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a. </w:t>
      </w:r>
      <w:r w:rsidR="00F42F53" w:rsidRPr="00535110">
        <w:rPr>
          <w:rFonts w:ascii="Palatino Linotype" w:eastAsia="Palatino Linotype" w:hAnsi="Palatino Linotype" w:cs="Palatino Linotype"/>
          <w:color w:val="000000"/>
          <w:sz w:val="22"/>
          <w:szCs w:val="22"/>
          <w:lang w:val="es-ES_tradnl"/>
        </w:rPr>
        <w:t xml:space="preserve">Los proyectos públicos y/o privados de vivienda social, bajo todas las categorías previstas en la política pública nacional, incluyendo a los de Vivienda de interés social (VIS), debidamente calificados por </w:t>
      </w:r>
      <w:r w:rsidR="00750380" w:rsidRPr="00535110">
        <w:rPr>
          <w:rFonts w:ascii="Palatino Linotype" w:eastAsia="Palatino Linotype" w:hAnsi="Palatino Linotype" w:cs="Palatino Linotype"/>
          <w:color w:val="000000"/>
          <w:sz w:val="22"/>
          <w:szCs w:val="22"/>
          <w:lang w:val="es-ES_tradnl"/>
        </w:rPr>
        <w:t>el</w:t>
      </w:r>
      <w:r w:rsidR="00F42F53" w:rsidRPr="00535110">
        <w:rPr>
          <w:rFonts w:ascii="Palatino Linotype" w:eastAsia="Palatino Linotype" w:hAnsi="Palatino Linotype" w:cs="Palatino Linotype"/>
          <w:color w:val="000000"/>
          <w:sz w:val="22"/>
          <w:szCs w:val="22"/>
          <w:lang w:val="es-ES_tradnl"/>
        </w:rPr>
        <w:t xml:space="preserve"> Ministerio de Desarrollo Urbano y Vivienda. </w:t>
      </w:r>
    </w:p>
    <w:p w14:paraId="0C4896B7" w14:textId="104E365A"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b. </w:t>
      </w:r>
      <w:r w:rsidR="00F42F53" w:rsidRPr="00535110">
        <w:rPr>
          <w:rFonts w:ascii="Palatino Linotype" w:eastAsia="Palatino Linotype" w:hAnsi="Palatino Linotype" w:cs="Palatino Linotype"/>
          <w:color w:val="000000"/>
          <w:sz w:val="22"/>
          <w:szCs w:val="22"/>
          <w:lang w:val="es-ES_tradnl"/>
        </w:rPr>
        <w:t>Los proyectos de equipamiento público, destinados a la administración pública o a la provisión de servicios públicos, incluso los promovidos por sociedades y organizaciones no gubernamentales sin fines de lucro, en los ámbitos de la educación, salud, cultura, deporte, beneficencia, entre otros, que demuestren objetivamente la orientación de inclusión social y económica de proyectos sin fines de lucro.</w:t>
      </w:r>
    </w:p>
    <w:p w14:paraId="1550D834" w14:textId="6DC89F20"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Los proyectos que apliquen a la exoneración de la COD deberán presentar ante la Administración Zonal correspondiente, previo a la emisión de la LMU</w:t>
      </w:r>
      <w:r w:rsidR="00750380"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la documentación de respaldo que sustente la exoneración. </w:t>
      </w:r>
    </w:p>
    <w:p w14:paraId="0F327155" w14:textId="7524968A" w:rsidR="00486007" w:rsidRPr="00535110" w:rsidRDefault="00C54CE2" w:rsidP="00A74958">
      <w:pPr>
        <w:spacing w:after="120" w:line="276" w:lineRule="auto"/>
        <w:jc w:val="both"/>
        <w:rPr>
          <w:rFonts w:ascii="Palatino Linotype" w:eastAsia="Palatino Linotype" w:hAnsi="Palatino Linotype" w:cs="Palatino Linotype"/>
          <w:b/>
          <w:sz w:val="22"/>
          <w:szCs w:val="22"/>
          <w:lang w:val="es-ES_tradnl"/>
        </w:rPr>
      </w:pPr>
      <w:bookmarkStart w:id="2" w:name="_gjdgxs"/>
      <w:bookmarkEnd w:id="2"/>
      <w:r w:rsidRPr="00535110">
        <w:rPr>
          <w:rFonts w:ascii="Palatino Linotype" w:eastAsia="Palatino Linotype" w:hAnsi="Palatino Linotype" w:cs="Palatino Linotype"/>
          <w:b/>
          <w:sz w:val="22"/>
          <w:szCs w:val="22"/>
          <w:lang w:val="es-ES_tradnl"/>
        </w:rPr>
        <w:t>Artículo IV.1.407</w:t>
      </w:r>
      <w:r w:rsidR="00F42F53" w:rsidRPr="00535110">
        <w:rPr>
          <w:rFonts w:ascii="Palatino Linotype" w:eastAsia="Palatino Linotype" w:hAnsi="Palatino Linotype" w:cs="Palatino Linotype"/>
          <w:b/>
          <w:sz w:val="22"/>
          <w:szCs w:val="22"/>
          <w:lang w:val="es-ES_tradnl"/>
        </w:rPr>
        <w:t>.- Compensación del pago correspondiente a la Concesión Onerosa de Derechos.-</w:t>
      </w:r>
      <w:r w:rsidR="00142E6D"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 xml:space="preserve">Los proyectos eco-eficientes ubicados en las </w:t>
      </w:r>
      <w:r w:rsidR="00F42F53" w:rsidRPr="00535110">
        <w:rPr>
          <w:rFonts w:ascii="Palatino Linotype" w:eastAsia="Palatino Linotype" w:hAnsi="Palatino Linotype" w:cs="Palatino Linotype"/>
          <w:color w:val="000000"/>
          <w:sz w:val="22"/>
          <w:szCs w:val="22"/>
          <w:lang w:val="es-ES_tradnl"/>
        </w:rPr>
        <w:t xml:space="preserve">áreas de influencia del Sistema Metropolitano de Transporte, </w:t>
      </w:r>
      <w:r w:rsidR="00F42F53" w:rsidRPr="00535110">
        <w:rPr>
          <w:rFonts w:ascii="Palatino Linotype" w:eastAsia="Palatino Linotype" w:hAnsi="Palatino Linotype" w:cs="Palatino Linotype"/>
          <w:sz w:val="22"/>
          <w:szCs w:val="22"/>
          <w:lang w:val="es-ES_tradnl"/>
        </w:rPr>
        <w:t>que incorporen en el mismo proyecto unidades de vivienda de interés social (VIS) o vivienda de interés público (VIP) cuya área útil vendible sea equivalente al menos al 10% del área útil vendible del edificio, serán compensados, por efecto de esta incorporación, con el monto total a pagarse por concepto de la concesión onerosa de derechos por suelo creado.</w:t>
      </w:r>
    </w:p>
    <w:p w14:paraId="38279964"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Para tales efectos, el propietario o promotor del proyecto, adjuntará al expediente técnico del proyecto, los siguientes respaldos documentales:</w:t>
      </w:r>
    </w:p>
    <w:p w14:paraId="62346399" w14:textId="5E61581A"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sz w:val="22"/>
          <w:szCs w:val="22"/>
          <w:lang w:val="es-ES_tradnl"/>
        </w:rPr>
        <w:lastRenderedPageBreak/>
        <w:t xml:space="preserve">a. </w:t>
      </w:r>
      <w:r w:rsidR="00F42F53" w:rsidRPr="00535110">
        <w:rPr>
          <w:rFonts w:ascii="Palatino Linotype" w:eastAsia="Palatino Linotype" w:hAnsi="Palatino Linotype" w:cs="Palatino Linotype"/>
          <w:sz w:val="22"/>
          <w:szCs w:val="22"/>
          <w:lang w:val="es-ES_tradnl"/>
        </w:rPr>
        <w:t>Los planos arquitectónicos donde se señale con precisión la ubicación y superficies las unidades habitacionales destinadas para este fin, con los correspondientes cuadros de áreas útiles y brutas;</w:t>
      </w:r>
    </w:p>
    <w:p w14:paraId="0EDDCF5C" w14:textId="25B4AD9A" w:rsidR="00486007" w:rsidRPr="00535110" w:rsidRDefault="00140621" w:rsidP="00140621">
      <w:pPr>
        <w:spacing w:after="120" w:line="276" w:lineRule="auto"/>
        <w:ind w:left="708"/>
        <w:jc w:val="both"/>
        <w:rPr>
          <w:rFonts w:ascii="Palatino Linotype" w:hAnsi="Palatino Linotype"/>
          <w:color w:val="000000"/>
          <w:sz w:val="22"/>
          <w:szCs w:val="22"/>
          <w:lang w:val="es-ES_tradnl"/>
        </w:rPr>
      </w:pPr>
      <w:r w:rsidRPr="00535110">
        <w:rPr>
          <w:rFonts w:ascii="Palatino Linotype" w:eastAsia="Palatino Linotype" w:hAnsi="Palatino Linotype" w:cs="Palatino Linotype"/>
          <w:b/>
          <w:sz w:val="22"/>
          <w:szCs w:val="22"/>
          <w:lang w:val="es-ES_tradnl"/>
        </w:rPr>
        <w:t xml:space="preserve">b. </w:t>
      </w:r>
      <w:r w:rsidR="00F42F53" w:rsidRPr="00535110">
        <w:rPr>
          <w:rFonts w:ascii="Palatino Linotype" w:eastAsia="Palatino Linotype" w:hAnsi="Palatino Linotype" w:cs="Palatino Linotype"/>
          <w:sz w:val="22"/>
          <w:szCs w:val="22"/>
          <w:lang w:val="es-ES_tradnl"/>
        </w:rPr>
        <w:t>La memoria de especificaciones técnicas de acabados que se implementará en las unidades habitaciones, en concordancia con los techos de comercialización establecidos para esta</w:t>
      </w:r>
      <w:r w:rsidR="00873CCD" w:rsidRPr="00535110">
        <w:rPr>
          <w:rFonts w:ascii="Palatino Linotype" w:eastAsia="Palatino Linotype" w:hAnsi="Palatino Linotype" w:cs="Palatino Linotype"/>
          <w:sz w:val="22"/>
          <w:szCs w:val="22"/>
          <w:lang w:val="es-ES_tradnl"/>
        </w:rPr>
        <w:t>s</w:t>
      </w:r>
      <w:r w:rsidR="00F42F53" w:rsidRPr="00535110">
        <w:rPr>
          <w:rFonts w:ascii="Palatino Linotype" w:eastAsia="Palatino Linotype" w:hAnsi="Palatino Linotype" w:cs="Palatino Linotype"/>
          <w:sz w:val="22"/>
          <w:szCs w:val="22"/>
          <w:lang w:val="es-ES_tradnl"/>
        </w:rPr>
        <w:t xml:space="preserve"> categoría</w:t>
      </w:r>
      <w:r w:rsidR="00873CCD" w:rsidRPr="00535110">
        <w:rPr>
          <w:rFonts w:ascii="Palatino Linotype" w:eastAsia="Palatino Linotype" w:hAnsi="Palatino Linotype" w:cs="Palatino Linotype"/>
          <w:sz w:val="22"/>
          <w:szCs w:val="22"/>
          <w:lang w:val="es-ES_tradnl"/>
        </w:rPr>
        <w:t>s</w:t>
      </w:r>
      <w:r w:rsidR="00F42F53" w:rsidRPr="00535110">
        <w:rPr>
          <w:rFonts w:ascii="Palatino Linotype" w:eastAsia="Palatino Linotype" w:hAnsi="Palatino Linotype" w:cs="Palatino Linotype"/>
          <w:sz w:val="22"/>
          <w:szCs w:val="22"/>
          <w:lang w:val="es-ES_tradnl"/>
        </w:rPr>
        <w:t xml:space="preserve"> de vivienda social;</w:t>
      </w:r>
    </w:p>
    <w:p w14:paraId="6E68A9AD" w14:textId="4587B69E" w:rsidR="00486007" w:rsidRPr="00535110" w:rsidRDefault="00140621" w:rsidP="00140621">
      <w:pPr>
        <w:spacing w:after="120" w:line="276" w:lineRule="auto"/>
        <w:ind w:left="708"/>
        <w:jc w:val="both"/>
        <w:rPr>
          <w:rFonts w:ascii="Palatino Linotype" w:hAnsi="Palatino Linotype"/>
          <w:color w:val="000000"/>
          <w:sz w:val="22"/>
          <w:szCs w:val="22"/>
          <w:lang w:val="es-ES_tradnl"/>
        </w:rPr>
      </w:pPr>
      <w:r w:rsidRPr="00535110">
        <w:rPr>
          <w:rFonts w:ascii="Palatino Linotype" w:eastAsia="Palatino Linotype" w:hAnsi="Palatino Linotype" w:cs="Palatino Linotype"/>
          <w:b/>
          <w:sz w:val="22"/>
          <w:szCs w:val="22"/>
          <w:lang w:val="es-ES_tradnl"/>
        </w:rPr>
        <w:t xml:space="preserve">c. </w:t>
      </w:r>
      <w:r w:rsidR="00F42F53" w:rsidRPr="00535110">
        <w:rPr>
          <w:rFonts w:ascii="Palatino Linotype" w:eastAsia="Palatino Linotype" w:hAnsi="Palatino Linotype" w:cs="Palatino Linotype"/>
          <w:sz w:val="22"/>
          <w:szCs w:val="22"/>
          <w:lang w:val="es-ES_tradnl"/>
        </w:rPr>
        <w:t>La memoria de especificaciones técnicas de acabados que se implementará en las áreas comunales correspondientes a los pisos donde se emplacen estas unidades habitacionales;</w:t>
      </w:r>
    </w:p>
    <w:p w14:paraId="404246F6" w14:textId="68FE026B" w:rsidR="00486007" w:rsidRPr="00535110" w:rsidRDefault="00140621" w:rsidP="00140621">
      <w:pPr>
        <w:spacing w:after="120" w:line="276" w:lineRule="auto"/>
        <w:ind w:left="708"/>
        <w:jc w:val="both"/>
        <w:rPr>
          <w:rFonts w:ascii="Palatino Linotype" w:hAnsi="Palatino Linotype"/>
          <w:color w:val="000000"/>
          <w:sz w:val="22"/>
          <w:szCs w:val="22"/>
          <w:lang w:val="es-ES_tradnl"/>
        </w:rPr>
      </w:pPr>
      <w:r w:rsidRPr="00535110">
        <w:rPr>
          <w:rFonts w:ascii="Palatino Linotype" w:eastAsia="Palatino Linotype" w:hAnsi="Palatino Linotype" w:cs="Palatino Linotype"/>
          <w:b/>
          <w:sz w:val="22"/>
          <w:szCs w:val="22"/>
          <w:lang w:val="es-ES_tradnl"/>
        </w:rPr>
        <w:t xml:space="preserve">d. </w:t>
      </w:r>
      <w:r w:rsidR="00F42F53" w:rsidRPr="00535110">
        <w:rPr>
          <w:rFonts w:ascii="Palatino Linotype" w:eastAsia="Palatino Linotype" w:hAnsi="Palatino Linotype" w:cs="Palatino Linotype"/>
          <w:sz w:val="22"/>
          <w:szCs w:val="22"/>
          <w:lang w:val="es-ES_tradnl"/>
        </w:rPr>
        <w:t>La memoria de los estacionamientos, bodegas y otras áreas de propiedad exclusiva, vinculadas a la unidad habitacional y que estarían comprendidas en el precio total de venta.</w:t>
      </w:r>
    </w:p>
    <w:p w14:paraId="49A9219C" w14:textId="2B111D41" w:rsidR="00486007" w:rsidRPr="00535110" w:rsidRDefault="00140621" w:rsidP="00140621">
      <w:pPr>
        <w:spacing w:after="120" w:line="276" w:lineRule="auto"/>
        <w:ind w:left="708"/>
        <w:jc w:val="both"/>
        <w:rPr>
          <w:rFonts w:ascii="Palatino Linotype" w:hAnsi="Palatino Linotype"/>
          <w:color w:val="000000"/>
          <w:sz w:val="22"/>
          <w:szCs w:val="22"/>
          <w:lang w:val="es-ES_tradnl"/>
        </w:rPr>
      </w:pPr>
      <w:r w:rsidRPr="00535110">
        <w:rPr>
          <w:rFonts w:ascii="Palatino Linotype" w:eastAsia="Palatino Linotype" w:hAnsi="Palatino Linotype" w:cs="Palatino Linotype"/>
          <w:b/>
          <w:sz w:val="22"/>
          <w:szCs w:val="22"/>
          <w:lang w:val="es-ES_tradnl"/>
        </w:rPr>
        <w:t xml:space="preserve">e. </w:t>
      </w:r>
      <w:r w:rsidR="00F42F53" w:rsidRPr="00535110">
        <w:rPr>
          <w:rFonts w:ascii="Palatino Linotype" w:eastAsia="Palatino Linotype" w:hAnsi="Palatino Linotype" w:cs="Palatino Linotype"/>
          <w:sz w:val="22"/>
          <w:szCs w:val="22"/>
          <w:lang w:val="es-ES_tradnl"/>
        </w:rPr>
        <w:t>Una carta de compromiso protocolizada mediante la cual el propietario o promotor se compromete a comercializar las unidades habitacionales objeto de este artículo a un precio total de venta que no supere aquel establecido por la política pública nacional.</w:t>
      </w:r>
    </w:p>
    <w:p w14:paraId="787B3A21" w14:textId="1D24FC40" w:rsidR="00486007" w:rsidRPr="00535110" w:rsidRDefault="00140621" w:rsidP="00140621">
      <w:pPr>
        <w:spacing w:after="120" w:line="276" w:lineRule="auto"/>
        <w:ind w:left="708"/>
        <w:jc w:val="both"/>
        <w:rPr>
          <w:rFonts w:ascii="Palatino Linotype" w:hAnsi="Palatino Linotype"/>
          <w:color w:val="000000"/>
          <w:sz w:val="22"/>
          <w:szCs w:val="22"/>
          <w:lang w:val="es-ES_tradnl"/>
        </w:rPr>
      </w:pPr>
      <w:r w:rsidRPr="00535110">
        <w:rPr>
          <w:rFonts w:ascii="Palatino Linotype" w:eastAsia="Palatino Linotype" w:hAnsi="Palatino Linotype" w:cs="Palatino Linotype"/>
          <w:b/>
          <w:sz w:val="22"/>
          <w:szCs w:val="22"/>
          <w:lang w:val="es-ES_tradnl"/>
        </w:rPr>
        <w:t xml:space="preserve">f. </w:t>
      </w:r>
      <w:r w:rsidR="00F42F53" w:rsidRPr="00535110">
        <w:rPr>
          <w:rFonts w:ascii="Palatino Linotype" w:eastAsia="Palatino Linotype" w:hAnsi="Palatino Linotype" w:cs="Palatino Linotype"/>
          <w:sz w:val="22"/>
          <w:szCs w:val="22"/>
          <w:lang w:val="es-ES_tradnl"/>
        </w:rPr>
        <w:t xml:space="preserve">La calificación del proyecto o de las unidades calificadas como VIS o VIP, por parte de las entidades públicas competentes, de ser el caso. </w:t>
      </w:r>
    </w:p>
    <w:p w14:paraId="73EC53F9"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De comprobarse incumplimiento de una o varias de las condiciones aquí señaladas, mediante todas las fuentes objetivas de verificación disponibles, el municipio, a través de los órganos competentes, procederá a emitir la orden de pago correspondiente a la concesión onerosa de derechos actualizada a la fecha de dicha emisión, la cual se hará exigible de manera inmediata, incluso por vía coactiva. En tales circunstancias, el monto a pagarse por este concepto, corresponderá únicamente al área útil de las viviendas que incumplan las condiciones de precio establecidas por la política pública, al momento de esta liquidación.</w:t>
      </w:r>
    </w:p>
    <w:p w14:paraId="60663173" w14:textId="1C987984" w:rsidR="00486007" w:rsidRPr="00535110" w:rsidRDefault="00F42F53" w:rsidP="00A74958">
      <w:pPr>
        <w:spacing w:after="120" w:line="276" w:lineRule="auto"/>
        <w:jc w:val="both"/>
        <w:rPr>
          <w:rFonts w:ascii="Palatino Linotype" w:hAnsi="Palatino Linotype"/>
          <w:color w:val="000000"/>
          <w:sz w:val="22"/>
          <w:szCs w:val="22"/>
          <w:lang w:val="es-ES_tradnl"/>
        </w:rPr>
      </w:pPr>
      <w:r w:rsidRPr="00535110">
        <w:rPr>
          <w:rFonts w:ascii="Palatino Linotype" w:eastAsia="Palatino Linotype" w:hAnsi="Palatino Linotype" w:cs="Palatino Linotype"/>
          <w:sz w:val="22"/>
          <w:szCs w:val="22"/>
          <w:lang w:val="es-ES_tradnl"/>
        </w:rPr>
        <w:t>Con tal propósito, en un plazo no mayor a 3 años contados a partir de la obtención de la licencia metropolitana urbanística LMU</w:t>
      </w:r>
      <w:r w:rsidR="0041571A"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el promotor presentará ante la Administración Zonal respectiva, los documentos que evidencien que dichas unidades de vivienda de destinaron efectivamente a los beneficiarios focalizados por la política pública nacional, pudiendo ser estos documentos: copias certificadas de escrituras de compra-venta en las cuales se evidencie que el valor de la venta se realizó observando los techos establecidos por la política pública; actas de entrega-recepción avaladas por la entidad pública competente, entre otros documentos cuyo alcance y contenido demuestre que la vivienda fue vendida observando las condiciones establecidas en la </w:t>
      </w:r>
      <w:r w:rsidRPr="00535110">
        <w:rPr>
          <w:rFonts w:ascii="Palatino Linotype" w:eastAsia="Palatino Linotype" w:hAnsi="Palatino Linotype" w:cs="Palatino Linotype"/>
          <w:sz w:val="22"/>
          <w:szCs w:val="22"/>
          <w:lang w:val="es-ES_tradnl"/>
        </w:rPr>
        <w:lastRenderedPageBreak/>
        <w:t xml:space="preserve">política pública de vivienda social. Este plazo podrá prorrogarse, a solicitud del promotor, por hasta 18 meses adicionales, con las debidas justificaciones, luego de lo cual, de no mediar presentación de los documentos aquí citados, la Administración Zonal procederá a emitir las </w:t>
      </w:r>
      <w:r w:rsidR="00140621" w:rsidRPr="00535110">
        <w:rPr>
          <w:rFonts w:ascii="Palatino Linotype" w:eastAsia="Palatino Linotype" w:hAnsi="Palatino Linotype" w:cs="Palatino Linotype"/>
          <w:sz w:val="22"/>
          <w:szCs w:val="22"/>
          <w:lang w:val="es-ES_tradnl"/>
        </w:rPr>
        <w:t>órdenes</w:t>
      </w:r>
      <w:r w:rsidRPr="00535110">
        <w:rPr>
          <w:rFonts w:ascii="Palatino Linotype" w:eastAsia="Palatino Linotype" w:hAnsi="Palatino Linotype" w:cs="Palatino Linotype"/>
          <w:sz w:val="22"/>
          <w:szCs w:val="22"/>
          <w:lang w:val="es-ES_tradnl"/>
        </w:rPr>
        <w:t xml:space="preserve"> de pago correspondientes.</w:t>
      </w:r>
    </w:p>
    <w:p w14:paraId="227C00D1" w14:textId="1EA86D09"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IV.1.408.- </w:t>
      </w:r>
      <w:r w:rsidRPr="00535110">
        <w:rPr>
          <w:rFonts w:ascii="Palatino Linotype" w:eastAsia="Palatino Linotype" w:hAnsi="Palatino Linotype" w:cs="Palatino Linotype"/>
          <w:b/>
          <w:sz w:val="22"/>
          <w:szCs w:val="22"/>
          <w:lang w:val="es-ES_tradnl"/>
        </w:rPr>
        <w:t>Entidad responsable del cálculo para determinar el valor de la Concesión Onerosa de Derechos. –</w:t>
      </w:r>
      <w:r w:rsidRPr="00535110">
        <w:rPr>
          <w:rFonts w:ascii="Palatino Linotype" w:eastAsia="Palatino Linotype" w:hAnsi="Palatino Linotype" w:cs="Palatino Linotype"/>
          <w:sz w:val="22"/>
          <w:szCs w:val="22"/>
          <w:lang w:val="es-ES_tradnl"/>
        </w:rPr>
        <w:t xml:space="preserve"> Las entidades responsables para determinar y emitir el valor a cancelar por concepto de Concesión Onerosa de Derechos son: </w:t>
      </w:r>
    </w:p>
    <w:p w14:paraId="23B260E4" w14:textId="7827CEA6"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w:t>
      </w:r>
      <w:r w:rsidR="00140621" w:rsidRPr="00535110">
        <w:rPr>
          <w:rFonts w:ascii="Palatino Linotype" w:eastAsia="Palatino Linotype" w:hAnsi="Palatino Linotype" w:cs="Palatino Linotype"/>
          <w:b/>
          <w:sz w:val="22"/>
          <w:szCs w:val="22"/>
          <w:lang w:val="es-ES_tradnl"/>
        </w:rPr>
        <w:t>.</w:t>
      </w:r>
      <w:r w:rsidRPr="00535110">
        <w:rPr>
          <w:rFonts w:ascii="Palatino Linotype" w:eastAsia="Palatino Linotype" w:hAnsi="Palatino Linotype" w:cs="Palatino Linotype"/>
          <w:sz w:val="22"/>
          <w:szCs w:val="22"/>
          <w:lang w:val="es-ES_tradnl"/>
        </w:rPr>
        <w:t xml:space="preserve"> En el caso de proyectos que apliquen al incremento de pisos por suelo creado en ZUAE, la Administración Zonal correspondiente. </w:t>
      </w:r>
    </w:p>
    <w:p w14:paraId="4C087994" w14:textId="0300B069" w:rsidR="00486007" w:rsidRPr="00535110" w:rsidRDefault="00F42F53" w:rsidP="00140621">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b</w:t>
      </w:r>
      <w:r w:rsidR="00140621" w:rsidRPr="00535110">
        <w:rPr>
          <w:rFonts w:ascii="Palatino Linotype" w:eastAsia="Palatino Linotype" w:hAnsi="Palatino Linotype" w:cs="Palatino Linotype"/>
          <w:b/>
          <w:sz w:val="22"/>
          <w:szCs w:val="22"/>
          <w:lang w:val="es-ES_tradnl"/>
        </w:rPr>
        <w:t>.</w:t>
      </w:r>
      <w:r w:rsidRPr="00535110">
        <w:rPr>
          <w:rFonts w:ascii="Palatino Linotype" w:eastAsia="Palatino Linotype" w:hAnsi="Palatino Linotype" w:cs="Palatino Linotype"/>
          <w:sz w:val="22"/>
          <w:szCs w:val="22"/>
          <w:lang w:val="es-ES_tradnl"/>
        </w:rPr>
        <w:t xml:space="preserve"> En el caso de proyectos eco-eficientes ubicados en las </w:t>
      </w:r>
      <w:r w:rsidRPr="00535110">
        <w:rPr>
          <w:rFonts w:ascii="Palatino Linotype" w:eastAsia="Palatino Linotype" w:hAnsi="Palatino Linotype" w:cs="Palatino Linotype"/>
          <w:color w:val="000000"/>
          <w:sz w:val="22"/>
          <w:szCs w:val="22"/>
          <w:lang w:val="es-ES_tradnl"/>
        </w:rPr>
        <w:t>áreas de influencia del Sistema Metropolitano de Transporte</w:t>
      </w:r>
      <w:r w:rsidRPr="00535110">
        <w:rPr>
          <w:rFonts w:ascii="Palatino Linotype" w:eastAsia="Palatino Linotype" w:hAnsi="Palatino Linotype" w:cs="Palatino Linotype"/>
          <w:sz w:val="22"/>
          <w:szCs w:val="22"/>
          <w:lang w:val="es-ES_tradnl"/>
        </w:rPr>
        <w:t>, la Administración Zonal correspondiente, determinando para cada caso, los valores y montos a pagar por concepto de la Concesión Onerosa de Derechos, incluyendo las exenciones, compensaciones y reducciones que pudieren aplicar.</w:t>
      </w:r>
    </w:p>
    <w:p w14:paraId="67535BEA" w14:textId="5C0E74E3"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Para el caso previsto en el literal b</w:t>
      </w:r>
      <w:r w:rsidR="0041571A"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del presente artículo, y únicamente cuando el pago se haga en especie, será la Secretaría encargada del territorio, hábitat y vivienda la encargada de emitir un informe que detalle y valore las formas de pago en especie acordadas con los promotores; información que sustentará la suscripción del convenio de pago a celebrarse entre el promotor y la Administración General. El convenio de pago, debidamente suscrito, será exigible por la Administración Zonal correspondiente, previa emisión de la LMU</w:t>
      </w:r>
      <w:r w:rsidR="0041571A"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(20).</w:t>
      </w:r>
    </w:p>
    <w:p w14:paraId="2BDB1E80"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SECCIÓN II</w:t>
      </w:r>
    </w:p>
    <w:p w14:paraId="102DDF35"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DEL PAGO DE LA CONCESIÓN ONEROSA</w:t>
      </w:r>
    </w:p>
    <w:p w14:paraId="75345C44" w14:textId="14FCA9A4"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IV.1.409.- </w:t>
      </w:r>
      <w:r w:rsidRPr="00535110">
        <w:rPr>
          <w:rFonts w:ascii="Palatino Linotype" w:eastAsia="Palatino Linotype" w:hAnsi="Palatino Linotype" w:cs="Palatino Linotype"/>
          <w:b/>
          <w:sz w:val="22"/>
          <w:szCs w:val="22"/>
          <w:lang w:val="es-ES_tradnl"/>
        </w:rPr>
        <w:t xml:space="preserve">Formas de pago de la Concesión Onerosa de Derechos. - </w:t>
      </w:r>
      <w:r w:rsidRPr="00535110">
        <w:rPr>
          <w:rFonts w:ascii="Palatino Linotype" w:eastAsia="Palatino Linotype" w:hAnsi="Palatino Linotype" w:cs="Palatino Linotype"/>
          <w:sz w:val="22"/>
          <w:szCs w:val="22"/>
          <w:lang w:val="es-ES_tradnl"/>
        </w:rPr>
        <w:t xml:space="preserve">El pago a favor del Municipio del Distrito Metropolitano de Quito, por concepto de Concesión Onerosa de Derechos, resultante de la aplicación de la fórmula establecida en el artículo </w:t>
      </w:r>
      <w:r w:rsidR="008D56B9" w:rsidRPr="00535110">
        <w:rPr>
          <w:rFonts w:ascii="Palatino Linotype" w:eastAsia="Palatino Linotype" w:hAnsi="Palatino Linotype" w:cs="Palatino Linotype"/>
          <w:sz w:val="22"/>
          <w:szCs w:val="22"/>
          <w:lang w:val="es-ES_tradnl"/>
        </w:rPr>
        <w:t>IV.1.404</w:t>
      </w:r>
      <w:r w:rsidR="00C37693" w:rsidRPr="00535110">
        <w:rPr>
          <w:rFonts w:ascii="Palatino Linotype" w:eastAsia="Palatino Linotype" w:hAnsi="Palatino Linotype" w:cs="Palatino Linotype"/>
          <w:sz w:val="22"/>
          <w:szCs w:val="22"/>
          <w:lang w:val="es-ES_tradnl"/>
        </w:rPr>
        <w:t xml:space="preserve"> de</w:t>
      </w:r>
      <w:r w:rsidRPr="00535110">
        <w:rPr>
          <w:rFonts w:ascii="Palatino Linotype" w:eastAsia="Palatino Linotype" w:hAnsi="Palatino Linotype" w:cs="Palatino Linotype"/>
          <w:sz w:val="22"/>
          <w:szCs w:val="22"/>
          <w:lang w:val="es-ES_tradnl"/>
        </w:rPr>
        <w:t xml:space="preserve">l presente </w:t>
      </w:r>
      <w:r w:rsidR="00C37693" w:rsidRPr="00535110">
        <w:rPr>
          <w:rFonts w:ascii="Palatino Linotype" w:eastAsia="Palatino Linotype" w:hAnsi="Palatino Linotype" w:cs="Palatino Linotype"/>
          <w:sz w:val="22"/>
          <w:szCs w:val="22"/>
          <w:lang w:val="es-ES_tradnl"/>
        </w:rPr>
        <w:t>Título</w:t>
      </w:r>
      <w:r w:rsidRPr="00535110">
        <w:rPr>
          <w:rFonts w:ascii="Palatino Linotype" w:eastAsia="Palatino Linotype" w:hAnsi="Palatino Linotype" w:cs="Palatino Linotype"/>
          <w:sz w:val="22"/>
          <w:szCs w:val="22"/>
          <w:lang w:val="es-ES_tradnl"/>
        </w:rPr>
        <w:t>, podrá ser realizado por parte de los promotores previa concertación con el Municipio aplicando una o varias de las siguientes modalidades:</w:t>
      </w:r>
    </w:p>
    <w:p w14:paraId="342EF457" w14:textId="4FCD3842"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a. </w:t>
      </w:r>
      <w:r w:rsidR="00F42F53" w:rsidRPr="00535110">
        <w:rPr>
          <w:rFonts w:ascii="Palatino Linotype" w:eastAsia="Palatino Linotype" w:hAnsi="Palatino Linotype" w:cs="Palatino Linotype"/>
          <w:color w:val="000000"/>
          <w:sz w:val="22"/>
          <w:szCs w:val="22"/>
          <w:lang w:val="es-ES_tradnl"/>
        </w:rPr>
        <w:t>Pago monetario al contado o por cronograma de pago;</w:t>
      </w:r>
    </w:p>
    <w:p w14:paraId="08607444" w14:textId="27F07BE1"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b. </w:t>
      </w:r>
      <w:r w:rsidR="00F42F53" w:rsidRPr="00535110">
        <w:rPr>
          <w:rFonts w:ascii="Palatino Linotype" w:eastAsia="Palatino Linotype" w:hAnsi="Palatino Linotype" w:cs="Palatino Linotype"/>
          <w:color w:val="000000"/>
          <w:sz w:val="22"/>
          <w:szCs w:val="22"/>
          <w:lang w:val="es-ES_tradnl"/>
        </w:rPr>
        <w:t>Pago en especie, mediante la entrega, cesión o actuación a favor del Municipio en los siguientes aspectos:</w:t>
      </w:r>
    </w:p>
    <w:p w14:paraId="77591331" w14:textId="1C7FA458" w:rsidR="00486007" w:rsidRPr="00535110" w:rsidRDefault="00140621" w:rsidP="00140621">
      <w:pPr>
        <w:spacing w:after="120" w:line="276" w:lineRule="auto"/>
        <w:ind w:left="1416"/>
        <w:jc w:val="both"/>
        <w:rPr>
          <w:rFonts w:ascii="Palatino Linotype" w:hAnsi="Palatino Linotype"/>
          <w:sz w:val="22"/>
          <w:szCs w:val="22"/>
          <w:lang w:val="es-ES_tradnl"/>
        </w:rPr>
      </w:pPr>
      <w:r w:rsidRPr="00535110">
        <w:rPr>
          <w:rFonts w:ascii="Palatino Linotype" w:eastAsia="Palatino Linotype" w:hAnsi="Palatino Linotype" w:cs="Palatino Linotype"/>
          <w:b/>
          <w:color w:val="000000"/>
          <w:sz w:val="22"/>
          <w:szCs w:val="22"/>
          <w:lang w:val="es-ES_tradnl"/>
        </w:rPr>
        <w:t xml:space="preserve">i. </w:t>
      </w:r>
      <w:r w:rsidR="00F42F53" w:rsidRPr="00535110">
        <w:rPr>
          <w:rFonts w:ascii="Palatino Linotype" w:eastAsia="Palatino Linotype" w:hAnsi="Palatino Linotype" w:cs="Palatino Linotype"/>
          <w:color w:val="000000"/>
          <w:sz w:val="22"/>
          <w:szCs w:val="22"/>
          <w:lang w:val="es-ES_tradnl"/>
        </w:rPr>
        <w:t>Infraestructura necesaria para ampliar o mejorar los sistemas públicos de soporte; el espacio público; la interconexión entre los diversos modos de transport</w:t>
      </w:r>
      <w:r w:rsidR="00873CCD" w:rsidRPr="00535110">
        <w:rPr>
          <w:rFonts w:ascii="Palatino Linotype" w:eastAsia="Palatino Linotype" w:hAnsi="Palatino Linotype" w:cs="Palatino Linotype"/>
          <w:color w:val="000000"/>
          <w:sz w:val="22"/>
          <w:szCs w:val="22"/>
          <w:lang w:val="es-ES_tradnl"/>
        </w:rPr>
        <w:t>e público y la red verde urbana,</w:t>
      </w:r>
      <w:r w:rsidR="00F42F53" w:rsidRPr="00535110">
        <w:rPr>
          <w:rFonts w:ascii="Palatino Linotype" w:eastAsia="Palatino Linotype" w:hAnsi="Palatino Linotype" w:cs="Palatino Linotype"/>
          <w:color w:val="000000"/>
          <w:sz w:val="22"/>
          <w:szCs w:val="22"/>
          <w:lang w:val="es-ES_tradnl"/>
        </w:rPr>
        <w:t xml:space="preserve"> conforme a lo previsto en los </w:t>
      </w:r>
      <w:r w:rsidR="00F42F53" w:rsidRPr="00535110">
        <w:rPr>
          <w:rFonts w:ascii="Palatino Linotype" w:eastAsia="Palatino Linotype" w:hAnsi="Palatino Linotype" w:cs="Palatino Linotype"/>
          <w:color w:val="000000"/>
          <w:sz w:val="22"/>
          <w:szCs w:val="22"/>
          <w:lang w:val="es-ES_tradnl"/>
        </w:rPr>
        <w:lastRenderedPageBreak/>
        <w:t>planes maestros, planes parciales, planes especiales o planificación metropolitana prevista para el efecto, dentro de los Mapas 1 y 2 de</w:t>
      </w:r>
      <w:r w:rsidRPr="00535110">
        <w:rPr>
          <w:rFonts w:ascii="Palatino Linotype" w:eastAsia="Palatino Linotype" w:hAnsi="Palatino Linotype" w:cs="Palatino Linotype"/>
          <w:color w:val="000000"/>
          <w:sz w:val="22"/>
          <w:szCs w:val="22"/>
          <w:lang w:val="es-ES_tradnl"/>
        </w:rPr>
        <w:t>l presente Título</w:t>
      </w:r>
      <w:r w:rsidR="00F42F53" w:rsidRPr="00535110">
        <w:rPr>
          <w:rFonts w:ascii="Palatino Linotype" w:eastAsia="Palatino Linotype" w:hAnsi="Palatino Linotype" w:cs="Palatino Linotype"/>
          <w:color w:val="000000"/>
          <w:sz w:val="22"/>
          <w:szCs w:val="22"/>
          <w:lang w:val="es-ES_tradnl"/>
        </w:rPr>
        <w:t>.</w:t>
      </w:r>
    </w:p>
    <w:p w14:paraId="2F422B60" w14:textId="75409D1E"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ii. </w:t>
      </w:r>
      <w:r w:rsidR="00F42F53" w:rsidRPr="00535110">
        <w:rPr>
          <w:rFonts w:ascii="Palatino Linotype" w:eastAsia="Palatino Linotype" w:hAnsi="Palatino Linotype" w:cs="Palatino Linotype"/>
          <w:color w:val="000000"/>
          <w:sz w:val="22"/>
          <w:szCs w:val="22"/>
          <w:lang w:val="es-ES_tradnl"/>
        </w:rPr>
        <w:t>Suelo urbanizado, siempre que el o los lotes que se entreguen a la municipalidad tengan un área de al menos 400 m</w:t>
      </w:r>
      <w:r w:rsidR="00F42F53" w:rsidRPr="00535110">
        <w:rPr>
          <w:rFonts w:ascii="Palatino Linotype" w:eastAsia="Palatino Linotype" w:hAnsi="Palatino Linotype" w:cs="Palatino Linotype"/>
          <w:color w:val="000000"/>
          <w:sz w:val="22"/>
          <w:szCs w:val="22"/>
          <w:vertAlign w:val="superscript"/>
          <w:lang w:val="es-ES_tradnl"/>
        </w:rPr>
        <w:t>2</w:t>
      </w:r>
      <w:r w:rsidR="00F42F53" w:rsidRPr="00535110">
        <w:rPr>
          <w:rFonts w:ascii="Palatino Linotype" w:eastAsia="Palatino Linotype" w:hAnsi="Palatino Linotype" w:cs="Palatino Linotype"/>
          <w:color w:val="000000"/>
          <w:sz w:val="22"/>
          <w:szCs w:val="22"/>
          <w:lang w:val="es-ES_tradnl"/>
        </w:rPr>
        <w:t xml:space="preserve"> por lote y se encuentren ubicados dentro del Mapa 2, anexos </w:t>
      </w:r>
      <w:r w:rsidRPr="00535110">
        <w:rPr>
          <w:rFonts w:ascii="Palatino Linotype" w:eastAsia="Palatino Linotype" w:hAnsi="Palatino Linotype" w:cs="Palatino Linotype"/>
          <w:color w:val="000000"/>
          <w:sz w:val="22"/>
          <w:szCs w:val="22"/>
          <w:lang w:val="es-ES_tradnl"/>
        </w:rPr>
        <w:t>al presente Título</w:t>
      </w:r>
      <w:r w:rsidR="00F42F53" w:rsidRPr="00535110">
        <w:rPr>
          <w:rFonts w:ascii="Palatino Linotype" w:eastAsia="Palatino Linotype" w:hAnsi="Palatino Linotype" w:cs="Palatino Linotype"/>
          <w:color w:val="000000"/>
          <w:sz w:val="22"/>
          <w:szCs w:val="22"/>
          <w:lang w:val="es-ES_tradnl"/>
        </w:rPr>
        <w:t>.</w:t>
      </w:r>
    </w:p>
    <w:p w14:paraId="1886BCFF" w14:textId="2A6698AA"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iii. </w:t>
      </w:r>
      <w:r w:rsidR="00F42F53" w:rsidRPr="00535110">
        <w:rPr>
          <w:rFonts w:ascii="Palatino Linotype" w:eastAsia="Palatino Linotype" w:hAnsi="Palatino Linotype" w:cs="Palatino Linotype"/>
          <w:color w:val="000000"/>
          <w:sz w:val="22"/>
          <w:szCs w:val="22"/>
          <w:lang w:val="es-ES_tradnl"/>
        </w:rPr>
        <w:t xml:space="preserve">Vivienda de Interés Social, bajo las condiciones establecidas en las normativas nacional y metropolitana, dentro del Mapa 2 anexo </w:t>
      </w:r>
      <w:r w:rsidRPr="00535110">
        <w:rPr>
          <w:rFonts w:ascii="Palatino Linotype" w:eastAsia="Palatino Linotype" w:hAnsi="Palatino Linotype" w:cs="Palatino Linotype"/>
          <w:color w:val="000000"/>
          <w:sz w:val="22"/>
          <w:szCs w:val="22"/>
          <w:lang w:val="es-ES_tradnl"/>
        </w:rPr>
        <w:t>al presente Título</w:t>
      </w:r>
      <w:r w:rsidR="00F42F53" w:rsidRPr="00535110">
        <w:rPr>
          <w:rFonts w:ascii="Palatino Linotype" w:eastAsia="Palatino Linotype" w:hAnsi="Palatino Linotype" w:cs="Palatino Linotype"/>
          <w:color w:val="000000"/>
          <w:sz w:val="22"/>
          <w:szCs w:val="22"/>
          <w:lang w:val="es-ES_tradnl"/>
        </w:rPr>
        <w:t xml:space="preserve"> o en proyectos de vivienda impulsados por la Empresa Pública Metropolitana competente. Cuando el pago en especie se haga mediante la entrega, a favor del Municipio, de unidades de vivienda de interés social, el valor de dichas viviendas será equivalente al menos al 50% del valor total de la Concesión Onerosa de Derechos resultante de la aplicación de la fórmula establecida en el artículo </w:t>
      </w:r>
      <w:r w:rsidR="008D56B9" w:rsidRPr="00535110">
        <w:rPr>
          <w:rFonts w:ascii="Palatino Linotype" w:eastAsia="Palatino Linotype" w:hAnsi="Palatino Linotype" w:cs="Palatino Linotype"/>
          <w:sz w:val="22"/>
          <w:szCs w:val="22"/>
          <w:lang w:val="es-ES_tradnl"/>
        </w:rPr>
        <w:t>IV.1.404</w:t>
      </w:r>
      <w:r w:rsidR="00F42F53" w:rsidRPr="00535110">
        <w:rPr>
          <w:rFonts w:ascii="Palatino Linotype" w:eastAsia="Palatino Linotype" w:hAnsi="Palatino Linotype" w:cs="Palatino Linotype"/>
          <w:color w:val="000000"/>
          <w:sz w:val="22"/>
          <w:szCs w:val="22"/>
          <w:lang w:val="es-ES_tradnl"/>
        </w:rPr>
        <w:t>.</w:t>
      </w:r>
    </w:p>
    <w:p w14:paraId="040D422E" w14:textId="75479B9E" w:rsidR="00486007" w:rsidRPr="00535110" w:rsidRDefault="00140621" w:rsidP="00140621">
      <w:pPr>
        <w:spacing w:after="120" w:line="276" w:lineRule="auto"/>
        <w:ind w:left="1416"/>
        <w:jc w:val="both"/>
        <w:rPr>
          <w:rFonts w:ascii="Palatino Linotype" w:hAnsi="Palatino Linotype"/>
          <w:sz w:val="22"/>
          <w:szCs w:val="22"/>
          <w:lang w:val="es-ES_tradnl"/>
        </w:rPr>
      </w:pPr>
      <w:r w:rsidRPr="00535110">
        <w:rPr>
          <w:rFonts w:ascii="Palatino Linotype" w:eastAsia="Palatino Linotype" w:hAnsi="Palatino Linotype" w:cs="Palatino Linotype"/>
          <w:b/>
          <w:color w:val="000000"/>
          <w:sz w:val="22"/>
          <w:szCs w:val="22"/>
          <w:lang w:val="es-ES_tradnl"/>
        </w:rPr>
        <w:t xml:space="preserve">iv. </w:t>
      </w:r>
      <w:r w:rsidR="00F42F53" w:rsidRPr="00535110">
        <w:rPr>
          <w:rFonts w:ascii="Palatino Linotype" w:eastAsia="Palatino Linotype" w:hAnsi="Palatino Linotype" w:cs="Palatino Linotype"/>
          <w:color w:val="000000"/>
          <w:sz w:val="22"/>
          <w:szCs w:val="22"/>
          <w:lang w:val="es-ES_tradnl"/>
        </w:rPr>
        <w:t xml:space="preserve">Equipamientos públicos de servicios sociales o de servicios públicos, según las tipologías previstas en el PUOS vigente, dentro de los Mapas 1 y 2 </w:t>
      </w:r>
      <w:r w:rsidRPr="00535110">
        <w:rPr>
          <w:rFonts w:ascii="Palatino Linotype" w:eastAsia="Palatino Linotype" w:hAnsi="Palatino Linotype" w:cs="Palatino Linotype"/>
          <w:color w:val="000000"/>
          <w:sz w:val="22"/>
          <w:szCs w:val="22"/>
          <w:lang w:val="es-ES_tradnl"/>
        </w:rPr>
        <w:t>del presente Título</w:t>
      </w:r>
      <w:r w:rsidR="00F42F53" w:rsidRPr="00535110">
        <w:rPr>
          <w:rFonts w:ascii="Palatino Linotype" w:eastAsia="Palatino Linotype" w:hAnsi="Palatino Linotype" w:cs="Palatino Linotype"/>
          <w:color w:val="000000"/>
          <w:sz w:val="22"/>
          <w:szCs w:val="22"/>
          <w:lang w:val="es-ES_tradnl"/>
        </w:rPr>
        <w:t>.</w:t>
      </w:r>
    </w:p>
    <w:p w14:paraId="0BB09364" w14:textId="55DE0958"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v. </w:t>
      </w:r>
      <w:r w:rsidR="00F42F53" w:rsidRPr="00535110">
        <w:rPr>
          <w:rFonts w:ascii="Palatino Linotype" w:eastAsia="Palatino Linotype" w:hAnsi="Palatino Linotype" w:cs="Palatino Linotype"/>
          <w:color w:val="000000"/>
          <w:sz w:val="22"/>
          <w:szCs w:val="22"/>
          <w:lang w:val="es-ES_tradnl"/>
        </w:rPr>
        <w:t>Otra infraestructura pública que contribuya a disminuir los déficits prioritarios de la ciudad o a mejorar las condiciones urbanísticas del entorno o sector de implantación del proyecto.</w:t>
      </w:r>
    </w:p>
    <w:p w14:paraId="459B62D0"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color w:val="000000"/>
          <w:sz w:val="22"/>
          <w:szCs w:val="22"/>
          <w:lang w:val="es-ES_tradnl"/>
        </w:rPr>
        <w:t xml:space="preserve">No serán imputables al pago de la Concesión Onerosa de Derechos las obras de mitigación a los impactos en la movilidad, ambiente o urbanismo que deban ser asumidas por el promotor, a su costa. </w:t>
      </w:r>
    </w:p>
    <w:p w14:paraId="7E5A6DC9" w14:textId="77777777" w:rsidR="00486007" w:rsidRPr="00535110" w:rsidRDefault="00F42F53" w:rsidP="00A74958">
      <w:pPr>
        <w:spacing w:after="120" w:line="276" w:lineRule="auto"/>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En estos casos, y de existir una valoración objetiva de obras de mitigación que excedan los requerimientos de los estudios de impacto, el Municipio, previo informe técnico y valorativo de las entidades competentes, podrá descontar del valor de la Concesión Onerosa de Derechos los montos proporcionales a estos excedentes, siempre y cuando se demuestre el beneficio colectivo de los mismos.</w:t>
      </w:r>
    </w:p>
    <w:p w14:paraId="2B17315A" w14:textId="0FDA05D1"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IV.1.410.- </w:t>
      </w:r>
      <w:r w:rsidRPr="00535110">
        <w:rPr>
          <w:rFonts w:ascii="Palatino Linotype" w:eastAsia="Palatino Linotype" w:hAnsi="Palatino Linotype" w:cs="Palatino Linotype"/>
          <w:b/>
          <w:sz w:val="22"/>
          <w:szCs w:val="22"/>
          <w:lang w:val="es-ES_tradnl"/>
        </w:rPr>
        <w:t>Valoración de los pagos en especie. -</w:t>
      </w:r>
      <w:r w:rsidRPr="00535110">
        <w:rPr>
          <w:rFonts w:ascii="Palatino Linotype" w:eastAsia="Palatino Linotype" w:hAnsi="Palatino Linotype" w:cs="Palatino Linotype"/>
          <w:sz w:val="22"/>
          <w:szCs w:val="22"/>
          <w:lang w:val="es-ES_tradnl"/>
        </w:rPr>
        <w:t xml:space="preserve"> La valoración de acuerdo a la modalidad elegida como pago en especie se la realizará de la siguiente manera: </w:t>
      </w:r>
    </w:p>
    <w:p w14:paraId="7CBAF8B4" w14:textId="77777777" w:rsidR="0041571A"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a.</w:t>
      </w:r>
      <w:r w:rsidRPr="00535110">
        <w:rPr>
          <w:rFonts w:ascii="Palatino Linotype" w:eastAsia="Palatino Linotype" w:hAnsi="Palatino Linotype" w:cs="Palatino Linotype"/>
          <w:color w:val="000000"/>
          <w:sz w:val="22"/>
          <w:szCs w:val="22"/>
          <w:lang w:val="es-ES_tradnl"/>
        </w:rPr>
        <w:t xml:space="preserve"> </w:t>
      </w:r>
      <w:r w:rsidR="00873CCD" w:rsidRPr="00535110">
        <w:rPr>
          <w:rFonts w:ascii="Palatino Linotype" w:eastAsia="Palatino Linotype" w:hAnsi="Palatino Linotype" w:cs="Palatino Linotype"/>
          <w:b/>
          <w:color w:val="000000"/>
          <w:sz w:val="22"/>
          <w:szCs w:val="22"/>
          <w:lang w:val="es-ES_tradnl"/>
        </w:rPr>
        <w:t>Infraestructura necesaria para ampliar o mejorar los sistemas públicos de soporte;</w:t>
      </w:r>
      <w:r w:rsidR="00873CCD" w:rsidRPr="00535110">
        <w:rPr>
          <w:rFonts w:ascii="Palatino Linotype" w:eastAsia="Palatino Linotype" w:hAnsi="Palatino Linotype" w:cs="Palatino Linotype"/>
          <w:color w:val="000000"/>
          <w:sz w:val="22"/>
          <w:szCs w:val="22"/>
          <w:lang w:val="es-ES_tradnl"/>
        </w:rPr>
        <w:t xml:space="preserve"> </w:t>
      </w:r>
      <w:r w:rsidR="00873CCD" w:rsidRPr="00535110">
        <w:rPr>
          <w:rFonts w:ascii="Palatino Linotype" w:eastAsia="Palatino Linotype" w:hAnsi="Palatino Linotype" w:cs="Palatino Linotype"/>
          <w:b/>
          <w:color w:val="000000"/>
          <w:sz w:val="22"/>
          <w:szCs w:val="22"/>
          <w:lang w:val="es-ES_tradnl"/>
        </w:rPr>
        <w:t xml:space="preserve">el espacio público; la interconexión entre los diversos modos de transporte público y la red verde urbana. - </w:t>
      </w:r>
      <w:r w:rsidR="00873CCD" w:rsidRPr="00535110">
        <w:rPr>
          <w:rFonts w:ascii="Palatino Linotype" w:eastAsia="Palatino Linotype" w:hAnsi="Palatino Linotype" w:cs="Palatino Linotype"/>
          <w:color w:val="000000"/>
          <w:sz w:val="22"/>
          <w:szCs w:val="22"/>
          <w:lang w:val="es-ES_tradnl"/>
        </w:rPr>
        <w:t xml:space="preserve">Se hará mediante informe motivado por parte de las entidades o empresas municipales competentes en la materia, </w:t>
      </w:r>
      <w:r w:rsidR="00873CCD" w:rsidRPr="00535110">
        <w:rPr>
          <w:rFonts w:ascii="Palatino Linotype" w:eastAsia="Palatino Linotype" w:hAnsi="Palatino Linotype" w:cs="Palatino Linotype"/>
          <w:color w:val="000000"/>
          <w:sz w:val="22"/>
          <w:szCs w:val="22"/>
          <w:lang w:val="es-ES_tradnl"/>
        </w:rPr>
        <w:lastRenderedPageBreak/>
        <w:t xml:space="preserve">sobre la base de un estudio presentado por el promotor del Proyecto que contendrá: </w:t>
      </w:r>
    </w:p>
    <w:p w14:paraId="7D44B995" w14:textId="77777777" w:rsidR="0041571A" w:rsidRPr="00535110" w:rsidRDefault="00873CCD" w:rsidP="0041571A">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i)</w:t>
      </w:r>
      <w:r w:rsidRPr="00535110">
        <w:rPr>
          <w:rFonts w:ascii="Palatino Linotype" w:eastAsia="Palatino Linotype" w:hAnsi="Palatino Linotype" w:cs="Palatino Linotype"/>
          <w:color w:val="000000"/>
          <w:sz w:val="22"/>
          <w:szCs w:val="22"/>
          <w:lang w:val="es-ES_tradnl"/>
        </w:rPr>
        <w:t xml:space="preserve"> El dimensionamiento técnico y económico preliminar de las obras que proponga dar en pago; </w:t>
      </w:r>
    </w:p>
    <w:p w14:paraId="3E9EEE50" w14:textId="1BF3C580" w:rsidR="0041571A" w:rsidRPr="00535110" w:rsidRDefault="00873CCD" w:rsidP="0041571A">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ii)</w:t>
      </w:r>
      <w:r w:rsidRPr="00535110">
        <w:rPr>
          <w:rFonts w:ascii="Palatino Linotype" w:eastAsia="Palatino Linotype" w:hAnsi="Palatino Linotype" w:cs="Palatino Linotype"/>
          <w:color w:val="000000"/>
          <w:sz w:val="22"/>
          <w:szCs w:val="22"/>
          <w:lang w:val="es-ES_tradnl"/>
        </w:rPr>
        <w:t xml:space="preserve"> </w:t>
      </w:r>
      <w:r w:rsidR="0041571A" w:rsidRPr="00535110">
        <w:rPr>
          <w:rFonts w:ascii="Palatino Linotype" w:eastAsia="Palatino Linotype" w:hAnsi="Palatino Linotype" w:cs="Palatino Linotype"/>
          <w:color w:val="000000"/>
          <w:sz w:val="22"/>
          <w:szCs w:val="22"/>
          <w:lang w:val="es-ES_tradnl"/>
        </w:rPr>
        <w:t>L</w:t>
      </w:r>
      <w:r w:rsidRPr="00535110">
        <w:rPr>
          <w:rFonts w:ascii="Palatino Linotype" w:eastAsia="Palatino Linotype" w:hAnsi="Palatino Linotype" w:cs="Palatino Linotype"/>
          <w:color w:val="000000"/>
          <w:sz w:val="22"/>
          <w:szCs w:val="22"/>
          <w:lang w:val="es-ES_tradnl"/>
        </w:rPr>
        <w:t xml:space="preserve">as fases y cronograma de construcción o consolidación; </w:t>
      </w:r>
    </w:p>
    <w:p w14:paraId="420BBA0C" w14:textId="77777777" w:rsidR="0041571A" w:rsidRPr="00535110" w:rsidRDefault="00873CCD" w:rsidP="0041571A">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iii)</w:t>
      </w:r>
      <w:r w:rsidRPr="00535110">
        <w:rPr>
          <w:rFonts w:ascii="Palatino Linotype" w:eastAsia="Palatino Linotype" w:hAnsi="Palatino Linotype" w:cs="Palatino Linotype"/>
          <w:color w:val="000000"/>
          <w:sz w:val="22"/>
          <w:szCs w:val="22"/>
          <w:lang w:val="es-ES_tradnl"/>
        </w:rPr>
        <w:t xml:space="preserve"> Los alcances o impactos, objetivamente dimensionados que dichas obras aportan para resolver o paliar los problemas, déficits o mejoras en los cuales se enfocan; y, </w:t>
      </w:r>
    </w:p>
    <w:p w14:paraId="5D832B57" w14:textId="2C0F8D89" w:rsidR="00873CCD" w:rsidRPr="00535110" w:rsidRDefault="00873CCD" w:rsidP="0041571A">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iv)</w:t>
      </w:r>
      <w:r w:rsidRPr="00535110">
        <w:rPr>
          <w:rFonts w:ascii="Palatino Linotype" w:eastAsia="Palatino Linotype" w:hAnsi="Palatino Linotype" w:cs="Palatino Linotype"/>
          <w:color w:val="000000"/>
          <w:sz w:val="22"/>
          <w:szCs w:val="22"/>
          <w:lang w:val="es-ES_tradnl"/>
        </w:rPr>
        <w:t xml:space="preserve"> </w:t>
      </w:r>
      <w:r w:rsidR="0041571A" w:rsidRPr="00535110">
        <w:rPr>
          <w:rFonts w:ascii="Palatino Linotype" w:eastAsia="Palatino Linotype" w:hAnsi="Palatino Linotype" w:cs="Palatino Linotype"/>
          <w:color w:val="000000"/>
          <w:sz w:val="22"/>
          <w:szCs w:val="22"/>
          <w:lang w:val="es-ES_tradnl"/>
        </w:rPr>
        <w:t>P</w:t>
      </w:r>
      <w:r w:rsidRPr="00535110">
        <w:rPr>
          <w:rFonts w:ascii="Palatino Linotype" w:eastAsia="Palatino Linotype" w:hAnsi="Palatino Linotype" w:cs="Palatino Linotype"/>
          <w:color w:val="000000"/>
          <w:sz w:val="22"/>
          <w:szCs w:val="22"/>
          <w:lang w:val="es-ES_tradnl"/>
        </w:rPr>
        <w:t>ara el caso de infraestructura, los costos estimados en la operación y mantenimiento de las redes o sistemas de soporte propuestos.</w:t>
      </w:r>
    </w:p>
    <w:p w14:paraId="24DBCB1A" w14:textId="77777777" w:rsidR="00873CCD" w:rsidRPr="00535110" w:rsidRDefault="00873CCD" w:rsidP="00A74958">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El análisis de costos se hará en comparación o con base a los índices de precios, costos o valores actualizados que dispongan las entidades o empresas municipales competentes en la materia del pago en especie. De no contarse con tal información, se utilizará la información oficial y actualizada de precios, costos y valores emitida por los gremios, cámaras o entidades del sector público o privado competentes en la materia. </w:t>
      </w:r>
    </w:p>
    <w:p w14:paraId="15661A4D" w14:textId="77777777" w:rsidR="00873CCD" w:rsidRPr="00535110" w:rsidRDefault="00873CCD" w:rsidP="00A74958">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El informe de valoración será habilitante del convenio de pago en especie que suscribirá el promotor con la Administración General del Municipio. El plazo que dispondrá la entidad municipal competente para emitir el informe de valoración será de 15 días contados a partir de la entrega de información requerida para tal efecto.</w:t>
      </w:r>
    </w:p>
    <w:p w14:paraId="207EDEA4" w14:textId="585CA016"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b. </w:t>
      </w:r>
      <w:r w:rsidR="00F42F53" w:rsidRPr="00535110">
        <w:rPr>
          <w:rFonts w:ascii="Palatino Linotype" w:eastAsia="Palatino Linotype" w:hAnsi="Palatino Linotype" w:cs="Palatino Linotype"/>
          <w:b/>
          <w:color w:val="000000"/>
          <w:sz w:val="22"/>
          <w:szCs w:val="22"/>
          <w:lang w:val="es-ES_tradnl"/>
        </w:rPr>
        <w:t xml:space="preserve">Suelo </w:t>
      </w:r>
      <w:proofErr w:type="gramStart"/>
      <w:r w:rsidR="00F42F53" w:rsidRPr="00535110">
        <w:rPr>
          <w:rFonts w:ascii="Palatino Linotype" w:eastAsia="Palatino Linotype" w:hAnsi="Palatino Linotype" w:cs="Palatino Linotype"/>
          <w:b/>
          <w:color w:val="000000"/>
          <w:sz w:val="22"/>
          <w:szCs w:val="22"/>
          <w:lang w:val="es-ES_tradnl"/>
        </w:rPr>
        <w:t>urbanizado.-</w:t>
      </w:r>
      <w:proofErr w:type="gramEnd"/>
      <w:r w:rsidR="00F42F53" w:rsidRPr="00535110">
        <w:rPr>
          <w:rFonts w:ascii="Palatino Linotype" w:eastAsia="Palatino Linotype" w:hAnsi="Palatino Linotype" w:cs="Palatino Linotype"/>
          <w:color w:val="000000"/>
          <w:sz w:val="22"/>
          <w:szCs w:val="22"/>
          <w:lang w:val="es-ES_tradnl"/>
        </w:rPr>
        <w:t xml:space="preserve"> La valoración de las cesiones de suelo urbanizado considerará el costo total de la habilitación del suelo efectuada por parte del promotor, incluyendo:</w:t>
      </w:r>
    </w:p>
    <w:p w14:paraId="526EE3AF" w14:textId="73E9EB2B"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 </w:t>
      </w:r>
      <w:r w:rsidR="00F42F53" w:rsidRPr="00535110">
        <w:rPr>
          <w:rFonts w:ascii="Palatino Linotype" w:eastAsia="Palatino Linotype" w:hAnsi="Palatino Linotype" w:cs="Palatino Linotype"/>
          <w:color w:val="000000"/>
          <w:sz w:val="22"/>
          <w:szCs w:val="22"/>
          <w:lang w:val="es-ES_tradnl"/>
        </w:rPr>
        <w:t>El costo del terreno urbanizado que resultará de la multiplicación del área total a ser cedida por el AIVA vigente correspondiente a la ubicación del lote.</w:t>
      </w:r>
    </w:p>
    <w:p w14:paraId="3AC77F29" w14:textId="77777777" w:rsidR="00486007" w:rsidRPr="00535110" w:rsidRDefault="00F42F53" w:rsidP="00A74958">
      <w:pPr>
        <w:spacing w:after="120" w:line="276" w:lineRule="auto"/>
        <w:ind w:left="72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 xml:space="preserve">La valoración del suelo urbanizado a entregarse como forma de pago en especie, declarada por el promotor del proyecto, será analizada por la Dirección Metropolitana de Catastro, entidad que emitirá un informe valorativo. Por su parte, la Secretaría encargada del territorio, hábitat y vivienda emitirá un informe técnico referido a la conveniencia territorial de aceptar dicho suelo como forma de pago. Ambos informes serán habilitantes del convenio de pago en especie que suscribirá el promotor con la Administración General del Municipio. El plazo </w:t>
      </w:r>
      <w:r w:rsidRPr="00535110">
        <w:rPr>
          <w:rFonts w:ascii="Palatino Linotype" w:eastAsia="Palatino Linotype" w:hAnsi="Palatino Linotype" w:cs="Palatino Linotype"/>
          <w:color w:val="000000"/>
          <w:sz w:val="22"/>
          <w:szCs w:val="22"/>
          <w:lang w:val="es-ES_tradnl"/>
        </w:rPr>
        <w:lastRenderedPageBreak/>
        <w:t>para que las entidades emitan sus respectivos informes será de 15 días contados a partir de la entrega de información requerida para tal efecto.</w:t>
      </w:r>
    </w:p>
    <w:p w14:paraId="72659AC3" w14:textId="0C728F56" w:rsidR="00486007" w:rsidRPr="00535110" w:rsidRDefault="00140621" w:rsidP="00140621">
      <w:pPr>
        <w:spacing w:after="120" w:line="276" w:lineRule="auto"/>
        <w:ind w:left="72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c. </w:t>
      </w:r>
      <w:r w:rsidR="00F42F53" w:rsidRPr="00535110">
        <w:rPr>
          <w:rFonts w:ascii="Palatino Linotype" w:eastAsia="Palatino Linotype" w:hAnsi="Palatino Linotype" w:cs="Palatino Linotype"/>
          <w:b/>
          <w:color w:val="000000"/>
          <w:sz w:val="22"/>
          <w:szCs w:val="22"/>
          <w:lang w:val="es-ES_tradnl"/>
        </w:rPr>
        <w:t>Vivienda de interés social y equipamientos públicos de servicios sociales o</w:t>
      </w:r>
      <w:r w:rsidR="00F42F53" w:rsidRPr="00535110">
        <w:rPr>
          <w:rFonts w:ascii="Palatino Linotype" w:eastAsia="Palatino Linotype" w:hAnsi="Palatino Linotype" w:cs="Palatino Linotype"/>
          <w:color w:val="000000"/>
          <w:sz w:val="22"/>
          <w:szCs w:val="22"/>
          <w:lang w:val="es-ES_tradnl"/>
        </w:rPr>
        <w:t xml:space="preserve"> </w:t>
      </w:r>
      <w:r w:rsidR="00F42F53" w:rsidRPr="00535110">
        <w:rPr>
          <w:rFonts w:ascii="Palatino Linotype" w:eastAsia="Palatino Linotype" w:hAnsi="Palatino Linotype" w:cs="Palatino Linotype"/>
          <w:b/>
          <w:color w:val="000000"/>
          <w:sz w:val="22"/>
          <w:szCs w:val="22"/>
          <w:lang w:val="es-ES_tradnl"/>
        </w:rPr>
        <w:t xml:space="preserve">de servicios </w:t>
      </w:r>
      <w:proofErr w:type="gramStart"/>
      <w:r w:rsidR="00F42F53" w:rsidRPr="00535110">
        <w:rPr>
          <w:rFonts w:ascii="Palatino Linotype" w:eastAsia="Palatino Linotype" w:hAnsi="Palatino Linotype" w:cs="Palatino Linotype"/>
          <w:b/>
          <w:color w:val="000000"/>
          <w:sz w:val="22"/>
          <w:szCs w:val="22"/>
          <w:lang w:val="es-ES_tradnl"/>
        </w:rPr>
        <w:t>públicos.-</w:t>
      </w:r>
      <w:proofErr w:type="gramEnd"/>
      <w:r w:rsidR="00F42F53" w:rsidRPr="00535110">
        <w:rPr>
          <w:rFonts w:ascii="Palatino Linotype" w:eastAsia="Palatino Linotype" w:hAnsi="Palatino Linotype" w:cs="Palatino Linotype"/>
          <w:b/>
          <w:color w:val="000000"/>
          <w:sz w:val="22"/>
          <w:szCs w:val="22"/>
          <w:lang w:val="es-ES_tradnl"/>
        </w:rPr>
        <w:t xml:space="preserve"> </w:t>
      </w:r>
      <w:r w:rsidR="00F42F53" w:rsidRPr="00535110">
        <w:rPr>
          <w:rFonts w:ascii="Palatino Linotype" w:eastAsia="Palatino Linotype" w:hAnsi="Palatino Linotype" w:cs="Palatino Linotype"/>
          <w:color w:val="000000"/>
          <w:sz w:val="22"/>
          <w:szCs w:val="22"/>
          <w:lang w:val="es-ES_tradnl"/>
        </w:rPr>
        <w:t>La valoración de unidades de vivienda de interés social y/o de equipamientos públicos, considerará el costo total del proyecto efectuado por parte del promotor, incluyendo:</w:t>
      </w:r>
    </w:p>
    <w:p w14:paraId="78A672EA" w14:textId="68B2E3D8"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 </w:t>
      </w:r>
      <w:r w:rsidR="00F42F53" w:rsidRPr="00535110">
        <w:rPr>
          <w:rFonts w:ascii="Palatino Linotype" w:eastAsia="Palatino Linotype" w:hAnsi="Palatino Linotype" w:cs="Palatino Linotype"/>
          <w:color w:val="000000"/>
          <w:sz w:val="22"/>
          <w:szCs w:val="22"/>
          <w:lang w:val="es-ES_tradnl"/>
        </w:rPr>
        <w:t xml:space="preserve">El costo del terreno que resultare de la multiplicación del área total a ser cedida por el AIVA vigente correspondiente a la ubicación del lote; </w:t>
      </w:r>
    </w:p>
    <w:p w14:paraId="24937657" w14:textId="254D7AC0"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ii. </w:t>
      </w:r>
      <w:r w:rsidR="00F42F53" w:rsidRPr="00535110">
        <w:rPr>
          <w:rFonts w:ascii="Palatino Linotype" w:eastAsia="Palatino Linotype" w:hAnsi="Palatino Linotype" w:cs="Palatino Linotype"/>
          <w:color w:val="000000"/>
          <w:sz w:val="22"/>
          <w:szCs w:val="22"/>
          <w:lang w:val="es-ES_tradnl"/>
        </w:rPr>
        <w:t>Los costos directos correspondientes a la construcción de las áreas computables y no computables; áreas verdes y los demás requerimientos funcionales del proyecto, y;</w:t>
      </w:r>
    </w:p>
    <w:p w14:paraId="6B06051E" w14:textId="328FF97B" w:rsidR="00486007" w:rsidRPr="00535110" w:rsidRDefault="00140621" w:rsidP="00140621">
      <w:pPr>
        <w:spacing w:after="120" w:line="276" w:lineRule="auto"/>
        <w:ind w:left="1416"/>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iii. </w:t>
      </w:r>
      <w:r w:rsidR="00F42F53" w:rsidRPr="00535110">
        <w:rPr>
          <w:rFonts w:ascii="Palatino Linotype" w:eastAsia="Palatino Linotype" w:hAnsi="Palatino Linotype" w:cs="Palatino Linotype"/>
          <w:color w:val="000000"/>
          <w:sz w:val="22"/>
          <w:szCs w:val="22"/>
          <w:lang w:val="es-ES_tradnl"/>
        </w:rPr>
        <w:t xml:space="preserve">Los costos indirectos incurridos para la construcción del proyecto que en ningún caso podrán superar el 15% del costo total del proyecto. </w:t>
      </w:r>
    </w:p>
    <w:p w14:paraId="60FF4A41" w14:textId="77777777" w:rsidR="00486007" w:rsidRPr="00535110" w:rsidRDefault="00F42F53" w:rsidP="00A74958">
      <w:pPr>
        <w:spacing w:after="120" w:line="276" w:lineRule="auto"/>
        <w:ind w:left="720"/>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La valoración de las formas de pago en especie de las que trata el presente artículo será analizada por la Empresa Pública Metropolitana a cargo de la vivienda, Empresa Pública Metropolitana de Obras Públicas u otra entidad competente, según los casos, y su informe de valoración será habilitante del convenio de pago en especie que suscribirá el promotor con la Administración General del Municipio. El plazo para que dicha entidad emita el informe de valoración será de 15 días contados a partir de la entrega de información requerida para tal efecto.</w:t>
      </w:r>
    </w:p>
    <w:p w14:paraId="28623FB0" w14:textId="5D16671B"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IV.1.411.- </w:t>
      </w:r>
      <w:r w:rsidRPr="00535110">
        <w:rPr>
          <w:rFonts w:ascii="Palatino Linotype" w:eastAsia="Palatino Linotype" w:hAnsi="Palatino Linotype" w:cs="Palatino Linotype"/>
          <w:b/>
          <w:sz w:val="22"/>
          <w:szCs w:val="22"/>
          <w:lang w:val="es-ES_tradnl"/>
        </w:rPr>
        <w:t>Pago monetario de contado o por cronograma de pago. -</w:t>
      </w:r>
      <w:r w:rsidRPr="00535110">
        <w:rPr>
          <w:rFonts w:ascii="Palatino Linotype" w:eastAsia="Palatino Linotype" w:hAnsi="Palatino Linotype" w:cs="Palatino Linotype"/>
          <w:sz w:val="22"/>
          <w:szCs w:val="22"/>
          <w:lang w:val="es-ES_tradnl"/>
        </w:rPr>
        <w:t xml:space="preserve"> Tras la aplicación la fórmula de cálculo y la determinación del valor a cancelar por concepto de Concesión Onerosa de Derechos y previo a la obtención de la LMU (20), el promotor cancelará el valor total por Concesión Onerosa de Derechos por suelo creado correspondiente a la edificación a ser licenciada, cuando la forma elegida de pago sea de contado. Emitida la orden de pago por parte de la Administración Zonal correspondiente, el administrado tendrá 30 días calendario para efectuar el pago del valor total de Concesión Onerosa de Derechos por suelo creado. Pasado dicho plazo, la orden de pago quedará sin efecto ante lo cual, de ser de su interés, el promotor deberá solicitar una actualización del informe de calificación previsto en el artículo </w:t>
      </w:r>
      <w:r w:rsidR="008D56B9" w:rsidRPr="00535110">
        <w:rPr>
          <w:rFonts w:ascii="Palatino Linotype" w:eastAsia="Palatino Linotype" w:hAnsi="Palatino Linotype" w:cs="Palatino Linotype"/>
          <w:sz w:val="22"/>
          <w:szCs w:val="22"/>
          <w:lang w:val="es-ES_tradnl"/>
        </w:rPr>
        <w:t>IV.1.399</w:t>
      </w:r>
      <w:r w:rsidRPr="00535110">
        <w:rPr>
          <w:rFonts w:ascii="Palatino Linotype" w:eastAsia="Palatino Linotype" w:hAnsi="Palatino Linotype" w:cs="Palatino Linotype"/>
          <w:sz w:val="22"/>
          <w:szCs w:val="22"/>
          <w:lang w:val="es-ES_tradnl"/>
        </w:rPr>
        <w:t xml:space="preserve"> de</w:t>
      </w:r>
      <w:r w:rsidR="00140621" w:rsidRPr="00535110">
        <w:rPr>
          <w:rFonts w:ascii="Palatino Linotype" w:eastAsia="Palatino Linotype" w:hAnsi="Palatino Linotype" w:cs="Palatino Linotype"/>
          <w:sz w:val="22"/>
          <w:szCs w:val="22"/>
          <w:lang w:val="es-ES_tradnl"/>
        </w:rPr>
        <w:t>l</w:t>
      </w:r>
      <w:r w:rsidRPr="00535110">
        <w:rPr>
          <w:rFonts w:ascii="Palatino Linotype" w:eastAsia="Palatino Linotype" w:hAnsi="Palatino Linotype" w:cs="Palatino Linotype"/>
          <w:sz w:val="22"/>
          <w:szCs w:val="22"/>
          <w:lang w:val="es-ES_tradnl"/>
        </w:rPr>
        <w:t xml:space="preserve"> </w:t>
      </w:r>
      <w:r w:rsidR="00140621" w:rsidRPr="00535110">
        <w:rPr>
          <w:rFonts w:ascii="Palatino Linotype" w:eastAsia="Palatino Linotype" w:hAnsi="Palatino Linotype" w:cs="Palatino Linotype"/>
          <w:sz w:val="22"/>
          <w:szCs w:val="22"/>
          <w:lang w:val="es-ES_tradnl"/>
        </w:rPr>
        <w:t>presente Título</w:t>
      </w:r>
      <w:r w:rsidRPr="00535110">
        <w:rPr>
          <w:rFonts w:ascii="Palatino Linotype" w:eastAsia="Palatino Linotype" w:hAnsi="Palatino Linotype" w:cs="Palatino Linotype"/>
          <w:sz w:val="22"/>
          <w:szCs w:val="22"/>
          <w:lang w:val="es-ES_tradnl"/>
        </w:rPr>
        <w:t xml:space="preserve">, previo a la emisión de una nueva orden de pago. </w:t>
      </w:r>
    </w:p>
    <w:p w14:paraId="0889DB59" w14:textId="53E9CC86"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El pago de contado se efectuará por todos los medios disponibles previstos, previo a la obtención de la LMU</w:t>
      </w:r>
      <w:r w:rsidR="0041571A"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w:t>
      </w:r>
    </w:p>
    <w:p w14:paraId="2BB0A9BE"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 xml:space="preserve">En caso de errores en la emisión de la orden de pago o de desistimiento del proceso de compra de suelo creado, será la respectiva Administración zonal la responsable de darlos de baja, de emitir las nuevas órdenes de pago con datos corregidos, o de emitir los títulos de crédito a favor del administrado para la correspondiente devolución de los valores pagados por concepto de Concesión Onerosa de Derechos, según los casos. </w:t>
      </w:r>
    </w:p>
    <w:p w14:paraId="6BE7D5B0" w14:textId="2479D8BA"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Cuando el administrado solicite dar de baja a la LMU</w:t>
      </w:r>
      <w:r w:rsidR="0041571A"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siempre y cuando no se hayan iniciado las intervenciones constructivas correspondientes a los pisos adicionales objeto de la compra de suelo creado y previo informe de la Agencia Metropolitana de Control, será la Administración Zonal la responsable de emitir los títulos de crédito a favor del administrado para la correspondiente devolución de los valores pagados por concepto de Concesión Onerosa de Derechos. </w:t>
      </w:r>
    </w:p>
    <w:p w14:paraId="1C5A7A3D" w14:textId="489655CA"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Cuando el pago se realice por cronograma de pago, se cancelará bajo las mismas condiciones y procedimientos previstos para el pago al contado, al menos el 20% del monto total resultante de la aplicación de la fórmula por concepto de la Concesión Onerosa de Derechos previo a la obtención de la LMU</w:t>
      </w:r>
      <w:r w:rsidR="0041571A"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sz w:val="22"/>
          <w:szCs w:val="22"/>
          <w:lang w:val="es-ES_tradnl"/>
        </w:rPr>
        <w:t xml:space="preserve">(20). El pago del 80% restante será exigible después de 24 meses contados a partir de la obtención de la LMU </w:t>
      </w:r>
      <w:r w:rsidR="0041571A"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20</w:t>
      </w:r>
      <w:r w:rsidR="0041571A"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con un plazo máximo </w:t>
      </w:r>
      <w:r w:rsidR="003474D4" w:rsidRPr="00535110">
        <w:rPr>
          <w:rFonts w:ascii="Palatino Linotype" w:eastAsia="Palatino Linotype" w:hAnsi="Palatino Linotype" w:cs="Palatino Linotype"/>
          <w:sz w:val="22"/>
          <w:szCs w:val="22"/>
          <w:lang w:val="es-ES_tradnl"/>
        </w:rPr>
        <w:t>de 12 meses, saldo a pagarse en</w:t>
      </w:r>
      <w:r w:rsidRPr="00535110">
        <w:rPr>
          <w:rFonts w:ascii="Palatino Linotype" w:eastAsia="Palatino Linotype" w:hAnsi="Palatino Linotype" w:cs="Palatino Linotype"/>
          <w:sz w:val="22"/>
          <w:szCs w:val="22"/>
          <w:lang w:val="es-ES_tradnl"/>
        </w:rPr>
        <w:t xml:space="preserve"> cuotas mensuales iguales, contadas a partir del mes 25. En caso de mora en el pago de una cuota a partir del mes 25,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 </w:t>
      </w:r>
    </w:p>
    <w:p w14:paraId="48A39B26" w14:textId="1ED946D9"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IV.1.412.- </w:t>
      </w:r>
      <w:r w:rsidR="00142E6D" w:rsidRPr="00535110">
        <w:rPr>
          <w:rFonts w:ascii="Palatino Linotype" w:eastAsia="Palatino Linotype" w:hAnsi="Palatino Linotype" w:cs="Palatino Linotype"/>
          <w:b/>
          <w:sz w:val="22"/>
          <w:szCs w:val="22"/>
          <w:lang w:val="es-ES_tradnl"/>
        </w:rPr>
        <w:t xml:space="preserve">Convenio de pago en </w:t>
      </w:r>
      <w:proofErr w:type="gramStart"/>
      <w:r w:rsidR="00142E6D" w:rsidRPr="00535110">
        <w:rPr>
          <w:rFonts w:ascii="Palatino Linotype" w:eastAsia="Palatino Linotype" w:hAnsi="Palatino Linotype" w:cs="Palatino Linotype"/>
          <w:b/>
          <w:sz w:val="22"/>
          <w:szCs w:val="22"/>
          <w:lang w:val="es-ES_tradnl"/>
        </w:rPr>
        <w:t>especie.</w:t>
      </w:r>
      <w:r w:rsidR="00F42F53" w:rsidRPr="00535110">
        <w:rPr>
          <w:rFonts w:ascii="Palatino Linotype" w:eastAsia="Palatino Linotype" w:hAnsi="Palatino Linotype" w:cs="Palatino Linotype"/>
          <w:b/>
          <w:sz w:val="22"/>
          <w:szCs w:val="22"/>
          <w:lang w:val="es-ES_tradnl"/>
        </w:rPr>
        <w:t>-</w:t>
      </w:r>
      <w:proofErr w:type="gramEnd"/>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Para efecto de formalizar la modalidad de pago en especie, se deberá considerar los siguientes aspectos:</w:t>
      </w:r>
    </w:p>
    <w:p w14:paraId="294513A8" w14:textId="2726008E"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 </w:t>
      </w:r>
      <w:r w:rsidR="00F42F53" w:rsidRPr="00535110">
        <w:rPr>
          <w:rFonts w:ascii="Palatino Linotype" w:eastAsia="Palatino Linotype" w:hAnsi="Palatino Linotype" w:cs="Palatino Linotype"/>
          <w:color w:val="000000"/>
          <w:sz w:val="22"/>
          <w:szCs w:val="22"/>
          <w:lang w:val="es-ES_tradnl"/>
        </w:rPr>
        <w:t>La entidad municipal encargada de suscribir el convenio de pago en especie es la Administración General.</w:t>
      </w:r>
    </w:p>
    <w:p w14:paraId="5A0FE301" w14:textId="32C7C6C9"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ii. </w:t>
      </w:r>
      <w:r w:rsidR="00F42F53" w:rsidRPr="00535110">
        <w:rPr>
          <w:rFonts w:ascii="Palatino Linotype" w:eastAsia="Palatino Linotype" w:hAnsi="Palatino Linotype" w:cs="Palatino Linotype"/>
          <w:color w:val="000000"/>
          <w:sz w:val="22"/>
          <w:szCs w:val="22"/>
          <w:lang w:val="es-ES_tradnl"/>
        </w:rPr>
        <w:t xml:space="preserve">La valoración económica del pago en especie se realizará conforme a lo establecido en </w:t>
      </w:r>
      <w:r w:rsidR="00C37693" w:rsidRPr="00535110">
        <w:rPr>
          <w:rFonts w:ascii="Palatino Linotype" w:eastAsia="Palatino Linotype" w:hAnsi="Palatino Linotype" w:cs="Palatino Linotype"/>
          <w:color w:val="000000"/>
          <w:sz w:val="22"/>
          <w:szCs w:val="22"/>
          <w:lang w:val="es-ES_tradnl"/>
        </w:rPr>
        <w:t>el</w:t>
      </w:r>
      <w:r w:rsidR="00F42F53" w:rsidRPr="00535110">
        <w:rPr>
          <w:rFonts w:ascii="Palatino Linotype" w:eastAsia="Palatino Linotype" w:hAnsi="Palatino Linotype" w:cs="Palatino Linotype"/>
          <w:color w:val="000000"/>
          <w:sz w:val="22"/>
          <w:szCs w:val="22"/>
          <w:lang w:val="es-ES_tradnl"/>
        </w:rPr>
        <w:t xml:space="preserve"> presente </w:t>
      </w:r>
      <w:r w:rsidR="00C37693" w:rsidRPr="00535110">
        <w:rPr>
          <w:rFonts w:ascii="Palatino Linotype" w:eastAsia="Palatino Linotype" w:hAnsi="Palatino Linotype" w:cs="Palatino Linotype"/>
          <w:color w:val="000000"/>
          <w:sz w:val="22"/>
          <w:szCs w:val="22"/>
          <w:lang w:val="es-ES_tradnl"/>
        </w:rPr>
        <w:t>Título</w:t>
      </w:r>
      <w:r w:rsidR="00F42F53" w:rsidRPr="00535110">
        <w:rPr>
          <w:rFonts w:ascii="Palatino Linotype" w:eastAsia="Palatino Linotype" w:hAnsi="Palatino Linotype" w:cs="Palatino Linotype"/>
          <w:color w:val="000000"/>
          <w:sz w:val="22"/>
          <w:szCs w:val="22"/>
          <w:lang w:val="es-ES_tradnl"/>
        </w:rPr>
        <w:t>. Los informes de valoración serán documentos habilitantes del convenio</w:t>
      </w:r>
      <w:r w:rsidR="0041571A" w:rsidRPr="00535110">
        <w:rPr>
          <w:rFonts w:ascii="Palatino Linotype" w:eastAsia="Palatino Linotype" w:hAnsi="Palatino Linotype" w:cs="Palatino Linotype"/>
          <w:color w:val="000000"/>
          <w:sz w:val="22"/>
          <w:szCs w:val="22"/>
          <w:lang w:val="es-ES_tradnl"/>
        </w:rPr>
        <w:t>.</w:t>
      </w:r>
    </w:p>
    <w:p w14:paraId="2E848870" w14:textId="66AA9F2A"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iii. </w:t>
      </w:r>
      <w:r w:rsidR="00F42F53" w:rsidRPr="00535110">
        <w:rPr>
          <w:rFonts w:ascii="Palatino Linotype" w:eastAsia="Palatino Linotype" w:hAnsi="Palatino Linotype" w:cs="Palatino Linotype"/>
          <w:color w:val="000000"/>
          <w:sz w:val="22"/>
          <w:szCs w:val="22"/>
          <w:lang w:val="es-ES_tradnl"/>
        </w:rPr>
        <w:t xml:space="preserve">La valoración económica del pago en especie corresponderá al menos al valor resultante de la fórmula de Concesión Onerosa de Derechos al cual se deberá descontar los valores resultantes de la aplicación de los </w:t>
      </w:r>
      <w:r w:rsidRPr="00535110">
        <w:rPr>
          <w:rFonts w:ascii="Palatino Linotype" w:eastAsia="Palatino Linotype" w:hAnsi="Palatino Linotype" w:cs="Palatino Linotype"/>
          <w:color w:val="000000"/>
          <w:sz w:val="22"/>
          <w:szCs w:val="22"/>
          <w:lang w:val="es-ES_tradnl"/>
        </w:rPr>
        <w:t>descuentos monetarios</w:t>
      </w:r>
      <w:r w:rsidR="00F42F53" w:rsidRPr="00535110">
        <w:rPr>
          <w:rFonts w:ascii="Palatino Linotype" w:eastAsia="Palatino Linotype" w:hAnsi="Palatino Linotype" w:cs="Palatino Linotype"/>
          <w:color w:val="000000"/>
          <w:sz w:val="22"/>
          <w:szCs w:val="22"/>
          <w:lang w:val="es-ES_tradnl"/>
        </w:rPr>
        <w:t xml:space="preserve">, de ser el caso. </w:t>
      </w:r>
    </w:p>
    <w:p w14:paraId="2D72F9D2" w14:textId="4AC2D108"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iv. </w:t>
      </w:r>
      <w:r w:rsidR="00F42F53" w:rsidRPr="00535110">
        <w:rPr>
          <w:rFonts w:ascii="Palatino Linotype" w:eastAsia="Palatino Linotype" w:hAnsi="Palatino Linotype" w:cs="Palatino Linotype"/>
          <w:color w:val="000000"/>
          <w:sz w:val="22"/>
          <w:szCs w:val="22"/>
          <w:lang w:val="es-ES_tradnl"/>
        </w:rPr>
        <w:t xml:space="preserve">El convenio contendrá las cláusulas necesarias para garantizar la cantidad, calidad y oportunidad (plazos) para la ejecución y/o entrega de las obras bienes </w:t>
      </w:r>
      <w:r w:rsidR="00F42F53" w:rsidRPr="00535110">
        <w:rPr>
          <w:rFonts w:ascii="Palatino Linotype" w:eastAsia="Palatino Linotype" w:hAnsi="Palatino Linotype" w:cs="Palatino Linotype"/>
          <w:color w:val="000000"/>
          <w:sz w:val="22"/>
          <w:szCs w:val="22"/>
          <w:lang w:val="es-ES_tradnl"/>
        </w:rPr>
        <w:lastRenderedPageBreak/>
        <w:t>o actuaciones a favor del Municipio. Establecerá las obligaciones de las partes, las garantías de cumplimiento por parte de los deudores y las penalizaciones a las cuales se sujetarán por probado incumplimiento o retraso de sus obligaciones. De igual forma, determinará la o las entidades responsables del seguimiento y fiscalización de las obras a ejecutarse o de los bienes a transferirse a favor del Municipio.</w:t>
      </w:r>
    </w:p>
    <w:p w14:paraId="2EE6AB8E" w14:textId="3AAC255B" w:rsidR="00486007" w:rsidRPr="00535110" w:rsidRDefault="00140621" w:rsidP="00140621">
      <w:pPr>
        <w:spacing w:after="120" w:line="276" w:lineRule="auto"/>
        <w:ind w:left="708"/>
        <w:jc w:val="both"/>
        <w:rPr>
          <w:rFonts w:ascii="Palatino Linotype" w:eastAsia="Palatino Linotype" w:hAnsi="Palatino Linotype" w:cs="Palatino Linotype"/>
          <w:color w:val="000000"/>
          <w:sz w:val="22"/>
          <w:szCs w:val="22"/>
          <w:lang w:val="es-ES_tradnl"/>
        </w:rPr>
      </w:pPr>
      <w:r w:rsidRPr="00535110">
        <w:rPr>
          <w:rFonts w:ascii="Palatino Linotype" w:eastAsia="Palatino Linotype" w:hAnsi="Palatino Linotype" w:cs="Palatino Linotype"/>
          <w:b/>
          <w:color w:val="000000"/>
          <w:sz w:val="22"/>
          <w:szCs w:val="22"/>
          <w:lang w:val="es-ES_tradnl"/>
        </w:rPr>
        <w:t xml:space="preserve">v. </w:t>
      </w:r>
      <w:r w:rsidR="00F42F53" w:rsidRPr="00535110">
        <w:rPr>
          <w:rFonts w:ascii="Palatino Linotype" w:eastAsia="Palatino Linotype" w:hAnsi="Palatino Linotype" w:cs="Palatino Linotype"/>
          <w:color w:val="000000"/>
          <w:sz w:val="22"/>
          <w:szCs w:val="22"/>
          <w:lang w:val="es-ES_tradnl"/>
        </w:rPr>
        <w:t>En el caso de cesiones de suelo, de pago con vivienda de interés social o de otros bienes convenidos como forma de pago, el promotor será responsable de llevar a cabo, a su costo, los trámites necesarios para lograr las respectivas aprobaciones y efectuar la transferencia de dominio a favor del Municipio.</w:t>
      </w:r>
    </w:p>
    <w:p w14:paraId="3B710B05" w14:textId="638F1E50" w:rsidR="00486007" w:rsidRPr="00535110" w:rsidRDefault="00F42F53" w:rsidP="00A74958">
      <w:pPr>
        <w:spacing w:after="120" w:line="276" w:lineRule="auto"/>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IV.1.413.- </w:t>
      </w:r>
      <w:r w:rsidRPr="00535110">
        <w:rPr>
          <w:rFonts w:ascii="Palatino Linotype" w:eastAsia="Palatino Linotype" w:hAnsi="Palatino Linotype" w:cs="Palatino Linotype"/>
          <w:b/>
          <w:sz w:val="22"/>
          <w:szCs w:val="22"/>
          <w:lang w:val="es-ES_tradnl"/>
        </w:rPr>
        <w:t>Seguimiento de los compromisos asumidos por el promotor del proyecto.-</w:t>
      </w:r>
      <w:r w:rsidRPr="00535110">
        <w:rPr>
          <w:rFonts w:ascii="Palatino Linotype" w:eastAsia="Palatino Linotype" w:hAnsi="Palatino Linotype" w:cs="Palatino Linotype"/>
          <w:sz w:val="22"/>
          <w:szCs w:val="22"/>
          <w:lang w:val="es-ES_tradnl"/>
        </w:rPr>
        <w:t xml:space="preserve"> La Secretaría encargada del territorio, hábitat y vivienda, en coordinación con o mediante delegación a las Administraciones Zonales, Empresas Públicas Metropolitanas y demás entidades municipales, en función de las obras o actuaciones a ejecutarse o de los bienes a transferirse en calidad de pago en especie, efectuarán el seguimiento a los compromisos asumidos por el promotor, en el marco del convenio previsto </w:t>
      </w:r>
      <w:r w:rsidR="002D5035" w:rsidRPr="00535110">
        <w:rPr>
          <w:rFonts w:ascii="Palatino Linotype" w:eastAsia="Palatino Linotype" w:hAnsi="Palatino Linotype" w:cs="Palatino Linotype"/>
          <w:sz w:val="22"/>
          <w:szCs w:val="22"/>
          <w:lang w:val="es-ES_tradnl"/>
        </w:rPr>
        <w:t>en el presente Título</w:t>
      </w:r>
      <w:r w:rsidRPr="00535110">
        <w:rPr>
          <w:rFonts w:ascii="Palatino Linotype" w:eastAsia="Palatino Linotype" w:hAnsi="Palatino Linotype" w:cs="Palatino Linotype"/>
          <w:sz w:val="22"/>
          <w:szCs w:val="22"/>
          <w:lang w:val="es-ES_tradnl"/>
        </w:rPr>
        <w:t xml:space="preserve">. En caso de probado incumplimiento a las obligaciones establecidas en el convenio de pago en especie, la o las entidades encargadas del seguimiento informarán a las dependencias municipales competentes, para que estas inicien las acciones legales o administrativas previstas para cada caso, según lo establecido en </w:t>
      </w:r>
      <w:r w:rsidR="002D5035" w:rsidRPr="00535110">
        <w:rPr>
          <w:rFonts w:ascii="Palatino Linotype" w:eastAsia="Palatino Linotype" w:hAnsi="Palatino Linotype" w:cs="Palatino Linotype"/>
          <w:sz w:val="22"/>
          <w:szCs w:val="22"/>
          <w:lang w:val="es-ES_tradnl"/>
        </w:rPr>
        <w:t>el presente Título</w:t>
      </w:r>
      <w:r w:rsidRPr="00535110">
        <w:rPr>
          <w:rFonts w:ascii="Palatino Linotype" w:eastAsia="Palatino Linotype" w:hAnsi="Palatino Linotype" w:cs="Palatino Linotype"/>
          <w:sz w:val="22"/>
          <w:szCs w:val="22"/>
          <w:lang w:val="es-ES_tradnl"/>
        </w:rPr>
        <w:t>.</w:t>
      </w:r>
    </w:p>
    <w:p w14:paraId="4A458FD9" w14:textId="7FF190AA"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IV.1.414.- </w:t>
      </w:r>
      <w:r w:rsidRPr="00535110">
        <w:rPr>
          <w:rFonts w:ascii="Palatino Linotype" w:eastAsia="Palatino Linotype" w:hAnsi="Palatino Linotype" w:cs="Palatino Linotype"/>
          <w:b/>
          <w:sz w:val="22"/>
          <w:szCs w:val="22"/>
          <w:lang w:val="es-ES_tradnl"/>
        </w:rPr>
        <w:t xml:space="preserve">Control y cumplimiento del cronograma de pago monetario. - </w:t>
      </w:r>
      <w:r w:rsidRPr="00535110">
        <w:rPr>
          <w:rFonts w:ascii="Palatino Linotype" w:eastAsia="Palatino Linotype" w:hAnsi="Palatino Linotype" w:cs="Palatino Linotype"/>
          <w:sz w:val="22"/>
          <w:szCs w:val="22"/>
          <w:lang w:val="es-ES_tradnl"/>
        </w:rPr>
        <w:t>La Tesorería Metropolitana llevará un registro individualizado de control y cumplimiento de los pagos monetarios debiendo, en caso de incumplimiento, reportar inmediatamente a la entidad encargada del catastro para el consecuente bloqueo de claves catastrales y a efecto de solicitar o disponer las acciones que correspondan en defensa del interés institucional. La Concesión Onerosa de Derechos, de manera general, será exigible por la vía coactiva.</w:t>
      </w:r>
    </w:p>
    <w:p w14:paraId="147AF180" w14:textId="584A993D"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IV.1.415.- </w:t>
      </w:r>
      <w:r w:rsidRPr="00535110">
        <w:rPr>
          <w:rFonts w:ascii="Palatino Linotype" w:eastAsia="Palatino Linotype" w:hAnsi="Palatino Linotype" w:cs="Palatino Linotype"/>
          <w:b/>
          <w:sz w:val="22"/>
          <w:szCs w:val="22"/>
          <w:lang w:val="es-ES_tradnl"/>
        </w:rPr>
        <w:t>Deducción en el Impuesto a las Utilidades en la Transferencia de Predios Urb</w:t>
      </w:r>
      <w:r w:rsidR="0041571A" w:rsidRPr="00535110">
        <w:rPr>
          <w:rFonts w:ascii="Palatino Linotype" w:eastAsia="Palatino Linotype" w:hAnsi="Palatino Linotype" w:cs="Palatino Linotype"/>
          <w:b/>
          <w:sz w:val="22"/>
          <w:szCs w:val="22"/>
          <w:lang w:val="es-ES_tradnl"/>
        </w:rPr>
        <w:t>anos y Plusvalía de los Mismos.</w:t>
      </w:r>
      <w:r w:rsidRPr="00535110">
        <w:rPr>
          <w:rFonts w:ascii="Palatino Linotype" w:eastAsia="Palatino Linotype" w:hAnsi="Palatino Linotype" w:cs="Palatino Linotype"/>
          <w:b/>
          <w:sz w:val="22"/>
          <w:szCs w:val="22"/>
          <w:lang w:val="es-ES_tradnl"/>
        </w:rPr>
        <w:t xml:space="preserve">- </w:t>
      </w:r>
      <w:r w:rsidRPr="00535110">
        <w:rPr>
          <w:rFonts w:ascii="Palatino Linotype" w:eastAsia="Palatino Linotype" w:hAnsi="Palatino Linotype" w:cs="Palatino Linotype"/>
          <w:sz w:val="22"/>
          <w:szCs w:val="22"/>
          <w:lang w:val="es-ES_tradnl"/>
        </w:rPr>
        <w:t>Para el cálculo del Impuesto a las Utilidades en la Transferencia de Predios Urbanos y Plusvalía de los Mismos, los valores pagados por concepto de Concesión Onerosa de Derechos serán deducibles de la utilidad bruta de acuerdo a la normativa vigente, siempre que el impuesto a las utilidades haya sido asumido por el vendedor y sea el mismo sujeto pasivo de la Concesión Onerosa de Derechos, considerando como precio de venta o de cuantía de transferencia, el valor comercial del predio.</w:t>
      </w:r>
    </w:p>
    <w:p w14:paraId="5C6CD2C7" w14:textId="048ACD04"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lastRenderedPageBreak/>
        <w:t>Para efectos de la deducibilidad, se considerará únicamente el valor pagado a la fecha de transferencia del predio. Los valores pagados sea</w:t>
      </w:r>
      <w:r w:rsidR="002D5035" w:rsidRPr="00535110">
        <w:rPr>
          <w:rFonts w:ascii="Palatino Linotype" w:eastAsia="Palatino Linotype" w:hAnsi="Palatino Linotype" w:cs="Palatino Linotype"/>
          <w:sz w:val="22"/>
          <w:szCs w:val="22"/>
          <w:lang w:val="es-ES_tradnl"/>
        </w:rPr>
        <w:t>n</w:t>
      </w:r>
      <w:r w:rsidRPr="00535110">
        <w:rPr>
          <w:rFonts w:ascii="Palatino Linotype" w:eastAsia="Palatino Linotype" w:hAnsi="Palatino Linotype" w:cs="Palatino Linotype"/>
          <w:sz w:val="22"/>
          <w:szCs w:val="22"/>
          <w:lang w:val="es-ES_tradnl"/>
        </w:rPr>
        <w:t xml:space="preserve"> en especie o en dinero aplicables a cada predio transferido deberán ser certificados por la Administración Zonal, Secretaría encargada del Territorio, Hábitat o Vivienda o la Dirección Metropolitana Financiera en los casos que les corresponda, y enviados a la Dirección Metropolitana Tributaria en el término de 24 horas de solicitados.</w:t>
      </w:r>
    </w:p>
    <w:p w14:paraId="697D9B04"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CAPÍTULO III</w:t>
      </w:r>
    </w:p>
    <w:p w14:paraId="12B0D986" w14:textId="77777777" w:rsidR="00486007" w:rsidRPr="00535110" w:rsidRDefault="00F42F53" w:rsidP="00A74958">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RÉGIMEN DE CONTROL, INFRACCIONES Y SANCIONES</w:t>
      </w:r>
    </w:p>
    <w:p w14:paraId="7847B2DD" w14:textId="65F64909"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IV.1.416.- </w:t>
      </w:r>
      <w:r w:rsidR="0041571A" w:rsidRPr="00535110">
        <w:rPr>
          <w:rFonts w:ascii="Palatino Linotype" w:eastAsia="Palatino Linotype" w:hAnsi="Palatino Linotype" w:cs="Palatino Linotype"/>
          <w:b/>
          <w:sz w:val="22"/>
          <w:szCs w:val="22"/>
          <w:lang w:val="es-ES_tradnl"/>
        </w:rPr>
        <w:t xml:space="preserve"> </w:t>
      </w:r>
      <w:proofErr w:type="gramStart"/>
      <w:r w:rsidR="0041571A" w:rsidRPr="00535110">
        <w:rPr>
          <w:rFonts w:ascii="Palatino Linotype" w:eastAsia="Palatino Linotype" w:hAnsi="Palatino Linotype" w:cs="Palatino Linotype"/>
          <w:b/>
          <w:sz w:val="22"/>
          <w:szCs w:val="22"/>
          <w:lang w:val="es-ES_tradnl"/>
        </w:rPr>
        <w:t>Control.</w:t>
      </w:r>
      <w:r w:rsidR="00F42F53" w:rsidRPr="00535110">
        <w:rPr>
          <w:rFonts w:ascii="Palatino Linotype" w:eastAsia="Palatino Linotype" w:hAnsi="Palatino Linotype" w:cs="Palatino Linotype"/>
          <w:b/>
          <w:sz w:val="22"/>
          <w:szCs w:val="22"/>
          <w:lang w:val="es-ES_tradnl"/>
        </w:rPr>
        <w:t>-</w:t>
      </w:r>
      <w:proofErr w:type="gramEnd"/>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 xml:space="preserve">Las competencias de </w:t>
      </w:r>
      <w:r w:rsidR="00C37693" w:rsidRPr="00535110">
        <w:rPr>
          <w:rFonts w:ascii="Palatino Linotype" w:eastAsia="Palatino Linotype" w:hAnsi="Palatino Linotype" w:cs="Palatino Linotype"/>
          <w:sz w:val="22"/>
          <w:szCs w:val="22"/>
          <w:lang w:val="es-ES_tradnl"/>
        </w:rPr>
        <w:t>control de</w:t>
      </w:r>
      <w:r w:rsidR="00F42F53" w:rsidRPr="00535110">
        <w:rPr>
          <w:rFonts w:ascii="Palatino Linotype" w:eastAsia="Palatino Linotype" w:hAnsi="Palatino Linotype" w:cs="Palatino Linotype"/>
          <w:sz w:val="22"/>
          <w:szCs w:val="22"/>
          <w:lang w:val="es-ES_tradnl"/>
        </w:rPr>
        <w:t xml:space="preserve">l presente </w:t>
      </w:r>
      <w:r w:rsidR="00C37693" w:rsidRPr="00535110">
        <w:rPr>
          <w:rFonts w:ascii="Palatino Linotype" w:eastAsia="Palatino Linotype" w:hAnsi="Palatino Linotype" w:cs="Palatino Linotype"/>
          <w:sz w:val="22"/>
          <w:szCs w:val="22"/>
          <w:lang w:val="es-ES_tradnl"/>
        </w:rPr>
        <w:t xml:space="preserve">Título </w:t>
      </w:r>
      <w:r w:rsidR="00F42F53" w:rsidRPr="00535110">
        <w:rPr>
          <w:rFonts w:ascii="Palatino Linotype" w:eastAsia="Palatino Linotype" w:hAnsi="Palatino Linotype" w:cs="Palatino Linotype"/>
          <w:sz w:val="22"/>
          <w:szCs w:val="22"/>
          <w:lang w:val="es-ES_tradnl"/>
        </w:rPr>
        <w:t>las ejercerá la Agencia Metropolitana de Control, sin perjuicio de que las inspecciones técnicas se realicen a través de los órganos competentes del Municipio del Distrito Metropolitano de Quito o Entidades Colaboradoras.</w:t>
      </w:r>
    </w:p>
    <w:p w14:paraId="7E73E777" w14:textId="6CF3829C"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IV.1.417.- </w:t>
      </w:r>
      <w:r w:rsidRPr="00535110">
        <w:rPr>
          <w:rFonts w:ascii="Palatino Linotype" w:eastAsia="Palatino Linotype" w:hAnsi="Palatino Linotype" w:cs="Palatino Linotype"/>
          <w:b/>
          <w:sz w:val="22"/>
          <w:szCs w:val="22"/>
          <w:lang w:val="es-ES_tradnl"/>
        </w:rPr>
        <w:t>Inspección Técnica. -</w:t>
      </w:r>
      <w:r w:rsidRPr="00535110">
        <w:rPr>
          <w:rFonts w:ascii="Palatino Linotype" w:eastAsia="Palatino Linotype" w:hAnsi="Palatino Linotype" w:cs="Palatino Linotype"/>
          <w:sz w:val="22"/>
          <w:szCs w:val="22"/>
          <w:lang w:val="es-ES_tradnl"/>
        </w:rPr>
        <w:t xml:space="preserve"> La Agencia Metropolitana de Control (AMC) efectuará o delegará a Entidades Colaboradas la realización de las inspecciones técnicas y de control en los proyectos que se califiquen </w:t>
      </w:r>
      <w:r w:rsidR="001D6179" w:rsidRPr="00535110">
        <w:rPr>
          <w:rFonts w:ascii="Palatino Linotype" w:eastAsia="Palatino Linotype" w:hAnsi="Palatino Linotype" w:cs="Palatino Linotype"/>
          <w:sz w:val="22"/>
          <w:szCs w:val="22"/>
          <w:lang w:val="es-ES_tradnl"/>
        </w:rPr>
        <w:t>por la Matriz de Eco-eficiencia.</w:t>
      </w:r>
    </w:p>
    <w:p w14:paraId="399A552E"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Una vez que se encuentre emitido el acto administrativo de autorización de incremento de pisos, la AMC o las Entidades Colaboradoras, deberán efectuar las inspecciones técnicas </w:t>
      </w:r>
      <w:r w:rsidRPr="00535110">
        <w:rPr>
          <w:rFonts w:ascii="Palatino Linotype" w:eastAsia="Palatino Linotype" w:hAnsi="Palatino Linotype" w:cs="Palatino Linotype"/>
          <w:i/>
          <w:sz w:val="22"/>
          <w:szCs w:val="22"/>
          <w:lang w:val="es-ES_tradnl"/>
        </w:rPr>
        <w:t>in-situ</w:t>
      </w:r>
      <w:r w:rsidRPr="00535110">
        <w:rPr>
          <w:rFonts w:ascii="Palatino Linotype" w:eastAsia="Palatino Linotype" w:hAnsi="Palatino Linotype" w:cs="Palatino Linotype"/>
          <w:sz w:val="22"/>
          <w:szCs w:val="22"/>
          <w:lang w:val="es-ES_tradnl"/>
        </w:rPr>
        <w:t>, durante la construcción del proyecto, para comprobar el cumplimiento de las reglas técnicas de la Matriz de Eco-eficiencia. Será responsabilidad de la AMC o de las Entidades Colaboradoras, establecer el esquema de visitas para la correcta verificación de cada punto de la Matriz de Eco-eficiencia</w:t>
      </w:r>
      <w:r w:rsidR="001D6179" w:rsidRPr="00535110">
        <w:rPr>
          <w:rFonts w:ascii="Palatino Linotype" w:eastAsia="Palatino Linotype" w:hAnsi="Palatino Linotype" w:cs="Palatino Linotype"/>
          <w:sz w:val="22"/>
          <w:szCs w:val="22"/>
          <w:lang w:val="es-ES_tradnl"/>
        </w:rPr>
        <w:t>, de conformidad con el instructivo que la Secretaría</w:t>
      </w:r>
      <w:r w:rsidR="007E6FDC" w:rsidRPr="00535110">
        <w:rPr>
          <w:rFonts w:ascii="Palatino Linotype" w:eastAsia="Palatino Linotype" w:hAnsi="Palatino Linotype" w:cs="Palatino Linotype"/>
          <w:sz w:val="22"/>
          <w:szCs w:val="22"/>
          <w:lang w:val="es-ES_tradnl"/>
        </w:rPr>
        <w:t xml:space="preserve"> de Territorio</w:t>
      </w:r>
      <w:r w:rsidR="001D6179" w:rsidRPr="00535110">
        <w:rPr>
          <w:rFonts w:ascii="Palatino Linotype" w:eastAsia="Palatino Linotype" w:hAnsi="Palatino Linotype" w:cs="Palatino Linotype"/>
          <w:sz w:val="22"/>
          <w:szCs w:val="22"/>
          <w:lang w:val="es-ES_tradnl"/>
        </w:rPr>
        <w:t>, hábitat y Vivienda, y la Agencia Metropolitana de Control desarrollarán para le efecto</w:t>
      </w:r>
      <w:r w:rsidRPr="00535110">
        <w:rPr>
          <w:rFonts w:ascii="Palatino Linotype" w:eastAsia="Palatino Linotype" w:hAnsi="Palatino Linotype" w:cs="Palatino Linotype"/>
          <w:sz w:val="22"/>
          <w:szCs w:val="22"/>
          <w:lang w:val="es-ES_tradnl"/>
        </w:rPr>
        <w:t>.</w:t>
      </w:r>
    </w:p>
    <w:p w14:paraId="7389EBBF"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Finalizado el proyecto, se efectuará la inspección final de la obra que permitirá la verificación del cumplimiento de las reglas técnicas de la Matriz de Eco-eficiencia y habilitará la emisión del certificado de conformidad de finalización del proceso constructivo por parte de la AMC. </w:t>
      </w:r>
    </w:p>
    <w:p w14:paraId="1CDB475A" w14:textId="77777777" w:rsidR="002F044D" w:rsidRPr="00535110" w:rsidRDefault="002F044D"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Las tasas o tarifas, según corresponda a cada caso, que aplicará la AMC o las entidades colaboradoras, serán las previstas en el ordenamiento jurídico vigente para el ejercicio del seguimiento de las tareas constructivas y emisión del certificado de conformidad de finalización del procedimiento constructivo.</w:t>
      </w:r>
    </w:p>
    <w:p w14:paraId="139BC573" w14:textId="3F677098"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IV.1.418.- </w:t>
      </w:r>
      <w:r w:rsidRPr="00535110">
        <w:rPr>
          <w:rFonts w:ascii="Palatino Linotype" w:eastAsia="Palatino Linotype" w:hAnsi="Palatino Linotype" w:cs="Palatino Linotype"/>
          <w:b/>
          <w:sz w:val="22"/>
          <w:szCs w:val="22"/>
          <w:lang w:val="es-ES_tradnl"/>
        </w:rPr>
        <w:t>Actas de verificación. –</w:t>
      </w:r>
      <w:r w:rsidRPr="00535110">
        <w:rPr>
          <w:rFonts w:ascii="Palatino Linotype" w:eastAsia="Palatino Linotype" w:hAnsi="Palatino Linotype" w:cs="Palatino Linotype"/>
          <w:sz w:val="22"/>
          <w:szCs w:val="22"/>
          <w:lang w:val="es-ES_tradnl"/>
        </w:rPr>
        <w:t xml:space="preserve"> La AMC o las Entidades Colaboradoras, en cada una de las inspecciones técnicas y de control del proyecto calificado con la Matriz de Eco-eficiencia, emitirán actas de verificación conforme lo estipulado en la </w:t>
      </w:r>
      <w:r w:rsidR="002D5035" w:rsidRPr="00535110">
        <w:rPr>
          <w:rFonts w:ascii="Palatino Linotype" w:eastAsia="Palatino Linotype" w:hAnsi="Palatino Linotype" w:cs="Palatino Linotype"/>
          <w:sz w:val="22"/>
          <w:szCs w:val="22"/>
          <w:lang w:val="es-ES_tradnl"/>
        </w:rPr>
        <w:t xml:space="preserve">normativa </w:t>
      </w:r>
      <w:r w:rsidR="002D5035" w:rsidRPr="00535110">
        <w:rPr>
          <w:rFonts w:ascii="Palatino Linotype" w:eastAsia="Palatino Linotype" w:hAnsi="Palatino Linotype" w:cs="Palatino Linotype"/>
          <w:sz w:val="22"/>
          <w:szCs w:val="22"/>
          <w:lang w:val="es-ES_tradnl"/>
        </w:rPr>
        <w:lastRenderedPageBreak/>
        <w:t xml:space="preserve">metropolitana </w:t>
      </w:r>
      <w:r w:rsidRPr="00535110">
        <w:rPr>
          <w:rFonts w:ascii="Palatino Linotype" w:eastAsia="Palatino Linotype" w:hAnsi="Palatino Linotype" w:cs="Palatino Linotype"/>
          <w:sz w:val="22"/>
          <w:szCs w:val="22"/>
          <w:lang w:val="es-ES_tradnl"/>
        </w:rPr>
        <w:t>que establece el régimen administrativo que regula el ejercicio de la potestad sancionadora en el Distrito Metropolitano de Quito.</w:t>
      </w:r>
    </w:p>
    <w:p w14:paraId="4654991D" w14:textId="1671D78F"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IV.1.419.- </w:t>
      </w:r>
      <w:r w:rsidRPr="00535110">
        <w:rPr>
          <w:rFonts w:ascii="Palatino Linotype" w:eastAsia="Palatino Linotype" w:hAnsi="Palatino Linotype" w:cs="Palatino Linotype"/>
          <w:b/>
          <w:sz w:val="22"/>
          <w:szCs w:val="22"/>
          <w:lang w:val="es-ES_tradnl"/>
        </w:rPr>
        <w:t>Inspección de control anual</w:t>
      </w:r>
      <w:r w:rsidR="008D56B9"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Finalizado el proyecto y obtenido el certificado de conformidad de finalización del proceso constructivo, la AMC </w:t>
      </w:r>
      <w:r w:rsidR="001D6179" w:rsidRPr="00535110">
        <w:rPr>
          <w:rFonts w:ascii="Palatino Linotype" w:eastAsia="Palatino Linotype" w:hAnsi="Palatino Linotype" w:cs="Palatino Linotype"/>
          <w:sz w:val="22"/>
          <w:szCs w:val="22"/>
          <w:lang w:val="es-ES_tradnl"/>
        </w:rPr>
        <w:t xml:space="preserve">directamente </w:t>
      </w:r>
      <w:r w:rsidRPr="00535110">
        <w:rPr>
          <w:rFonts w:ascii="Palatino Linotype" w:eastAsia="Palatino Linotype" w:hAnsi="Palatino Linotype" w:cs="Palatino Linotype"/>
          <w:sz w:val="22"/>
          <w:szCs w:val="22"/>
          <w:lang w:val="es-ES_tradnl"/>
        </w:rPr>
        <w:t>o</w:t>
      </w:r>
      <w:r w:rsidR="001D6179" w:rsidRPr="00535110">
        <w:rPr>
          <w:rFonts w:ascii="Palatino Linotype" w:eastAsia="Palatino Linotype" w:hAnsi="Palatino Linotype" w:cs="Palatino Linotype"/>
          <w:sz w:val="22"/>
          <w:szCs w:val="22"/>
          <w:lang w:val="es-ES_tradnl"/>
        </w:rPr>
        <w:t xml:space="preserve"> a través de</w:t>
      </w:r>
      <w:r w:rsidRPr="00535110">
        <w:rPr>
          <w:rFonts w:ascii="Palatino Linotype" w:eastAsia="Palatino Linotype" w:hAnsi="Palatino Linotype" w:cs="Palatino Linotype"/>
          <w:sz w:val="22"/>
          <w:szCs w:val="22"/>
          <w:lang w:val="es-ES_tradnl"/>
        </w:rPr>
        <w:t xml:space="preserve"> las Entidades Colaboradas de Control, efectuarán</w:t>
      </w:r>
      <w:r w:rsidR="001D6179" w:rsidRPr="00535110">
        <w:rPr>
          <w:rFonts w:ascii="Palatino Linotype" w:eastAsia="Palatino Linotype" w:hAnsi="Palatino Linotype" w:cs="Palatino Linotype"/>
          <w:sz w:val="22"/>
          <w:szCs w:val="22"/>
          <w:lang w:val="es-ES_tradnl"/>
        </w:rPr>
        <w:t xml:space="preserve"> obligatoriamente</w:t>
      </w:r>
      <w:r w:rsidRPr="00535110">
        <w:rPr>
          <w:rFonts w:ascii="Palatino Linotype" w:eastAsia="Palatino Linotype" w:hAnsi="Palatino Linotype" w:cs="Palatino Linotype"/>
          <w:sz w:val="22"/>
          <w:szCs w:val="22"/>
          <w:lang w:val="es-ES_tradnl"/>
        </w:rPr>
        <w:t xml:space="preserve"> cada año</w:t>
      </w:r>
      <w:r w:rsidR="007E6FDC"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durante 10 años, una inspección de control para verificar que los parámetros de eco-eficiencia, constantes en el informe de calificación previsto en el inciso tercero del artículo </w:t>
      </w:r>
      <w:r w:rsidR="008D56B9" w:rsidRPr="00535110">
        <w:rPr>
          <w:rFonts w:ascii="Palatino Linotype" w:eastAsia="Palatino Linotype" w:hAnsi="Palatino Linotype" w:cs="Palatino Linotype"/>
          <w:sz w:val="22"/>
          <w:szCs w:val="22"/>
          <w:lang w:val="es-ES_tradnl"/>
        </w:rPr>
        <w:t>IV.1.399</w:t>
      </w:r>
      <w:r w:rsidRPr="00535110">
        <w:rPr>
          <w:rFonts w:ascii="Palatino Linotype" w:eastAsia="Palatino Linotype" w:hAnsi="Palatino Linotype" w:cs="Palatino Linotype"/>
          <w:sz w:val="22"/>
          <w:szCs w:val="22"/>
          <w:lang w:val="es-ES_tradnl"/>
        </w:rPr>
        <w:t xml:space="preserve"> del </w:t>
      </w:r>
      <w:r w:rsidR="002D5035" w:rsidRPr="00535110">
        <w:rPr>
          <w:rFonts w:ascii="Palatino Linotype" w:eastAsia="Palatino Linotype" w:hAnsi="Palatino Linotype" w:cs="Palatino Linotype"/>
          <w:sz w:val="22"/>
          <w:szCs w:val="22"/>
          <w:lang w:val="es-ES_tradnl"/>
        </w:rPr>
        <w:t>presente Título</w:t>
      </w:r>
      <w:r w:rsidRPr="00535110">
        <w:rPr>
          <w:rFonts w:ascii="Palatino Linotype" w:eastAsia="Palatino Linotype" w:hAnsi="Palatino Linotype" w:cs="Palatino Linotype"/>
          <w:sz w:val="22"/>
          <w:szCs w:val="22"/>
          <w:lang w:val="es-ES_tradnl"/>
        </w:rPr>
        <w:t xml:space="preserve">, </w:t>
      </w:r>
      <w:r w:rsidR="003474D4" w:rsidRPr="00535110">
        <w:rPr>
          <w:rFonts w:ascii="Palatino Linotype" w:eastAsia="Palatino Linotype" w:hAnsi="Palatino Linotype" w:cs="Palatino Linotype"/>
          <w:sz w:val="22"/>
          <w:szCs w:val="22"/>
          <w:lang w:val="es-ES_tradnl"/>
        </w:rPr>
        <w:t xml:space="preserve">se </w:t>
      </w:r>
      <w:r w:rsidRPr="00535110">
        <w:rPr>
          <w:rFonts w:ascii="Palatino Linotype" w:eastAsia="Palatino Linotype" w:hAnsi="Palatino Linotype" w:cs="Palatino Linotype"/>
          <w:sz w:val="22"/>
          <w:szCs w:val="22"/>
          <w:lang w:val="es-ES_tradnl"/>
        </w:rPr>
        <w:t>sigan</w:t>
      </w:r>
      <w:r w:rsidR="003474D4" w:rsidRPr="00535110">
        <w:rPr>
          <w:rFonts w:ascii="Palatino Linotype" w:eastAsia="Palatino Linotype" w:hAnsi="Palatino Linotype" w:cs="Palatino Linotype"/>
          <w:sz w:val="22"/>
          <w:szCs w:val="22"/>
          <w:lang w:val="es-ES_tradnl"/>
        </w:rPr>
        <w:t xml:space="preserve"> manteniendo en funcionamiento en </w:t>
      </w:r>
      <w:r w:rsidRPr="00535110">
        <w:rPr>
          <w:rFonts w:ascii="Palatino Linotype" w:eastAsia="Palatino Linotype" w:hAnsi="Palatino Linotype" w:cs="Palatino Linotype"/>
          <w:sz w:val="22"/>
          <w:szCs w:val="22"/>
          <w:lang w:val="es-ES_tradnl"/>
        </w:rPr>
        <w:t>el edificio. Con este fin, el proyecto deberá incluir dispositivos de monitoreo y medición incorporados a los sistemas de eco-eficiencia.</w:t>
      </w:r>
    </w:p>
    <w:p w14:paraId="5EF5AE7F" w14:textId="77777777" w:rsidR="002F044D" w:rsidRPr="00535110" w:rsidRDefault="002F044D"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 cuantía de la tasa o tarifa por la emisión del informe de inspección anual, según corresponda a cada caso, que aplicará la AMC o las entidades colaboradoras respectivamente, será equivalente al 1,5% de aquellas previstas para la emisión del certificado de finalización del proceso constructivo. El monto resultante de la aplicación de la tasa o tarifa será pagado antes de la inspección por parte de los propietarios o copropietarios, obligación que constará en la escritura pública de declaratoria de propiedad horizontal.</w:t>
      </w:r>
    </w:p>
    <w:p w14:paraId="67DE904A" w14:textId="3FC8DE78"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IV.1.420.- </w:t>
      </w:r>
      <w:r w:rsidRPr="00535110">
        <w:rPr>
          <w:rFonts w:ascii="Palatino Linotype" w:eastAsia="Palatino Linotype" w:hAnsi="Palatino Linotype" w:cs="Palatino Linotype"/>
          <w:b/>
          <w:sz w:val="22"/>
          <w:szCs w:val="22"/>
          <w:lang w:val="es-ES_tradnl"/>
        </w:rPr>
        <w:t>Infracciones en proyectos eco-</w:t>
      </w:r>
      <w:proofErr w:type="gramStart"/>
      <w:r w:rsidRPr="00535110">
        <w:rPr>
          <w:rFonts w:ascii="Palatino Linotype" w:eastAsia="Palatino Linotype" w:hAnsi="Palatino Linotype" w:cs="Palatino Linotype"/>
          <w:b/>
          <w:sz w:val="22"/>
          <w:szCs w:val="22"/>
          <w:lang w:val="es-ES_tradnl"/>
        </w:rPr>
        <w:t>eficientes.-</w:t>
      </w:r>
      <w:proofErr w:type="gramEnd"/>
      <w:r w:rsidRPr="00535110">
        <w:rPr>
          <w:rFonts w:ascii="Palatino Linotype" w:eastAsia="Palatino Linotype" w:hAnsi="Palatino Linotype" w:cs="Palatino Linotype"/>
          <w:b/>
          <w:sz w:val="22"/>
          <w:szCs w:val="22"/>
          <w:lang w:val="es-ES_tradnl"/>
        </w:rPr>
        <w:t xml:space="preserve"> </w:t>
      </w:r>
      <w:r w:rsidRPr="00535110">
        <w:rPr>
          <w:rFonts w:ascii="Palatino Linotype" w:eastAsia="Palatino Linotype" w:hAnsi="Palatino Linotype" w:cs="Palatino Linotype"/>
          <w:sz w:val="22"/>
          <w:szCs w:val="22"/>
          <w:lang w:val="es-ES_tradnl"/>
        </w:rPr>
        <w:t>Se consideran infr</w:t>
      </w:r>
      <w:r w:rsidR="00C37693" w:rsidRPr="00535110">
        <w:rPr>
          <w:rFonts w:ascii="Palatino Linotype" w:eastAsia="Palatino Linotype" w:hAnsi="Palatino Linotype" w:cs="Palatino Linotype"/>
          <w:sz w:val="22"/>
          <w:szCs w:val="22"/>
          <w:lang w:val="es-ES_tradnl"/>
        </w:rPr>
        <w:t>acciones a las disposiciones de</w:t>
      </w:r>
      <w:r w:rsidRPr="00535110">
        <w:rPr>
          <w:rFonts w:ascii="Palatino Linotype" w:eastAsia="Palatino Linotype" w:hAnsi="Palatino Linotype" w:cs="Palatino Linotype"/>
          <w:sz w:val="22"/>
          <w:szCs w:val="22"/>
          <w:lang w:val="es-ES_tradnl"/>
        </w:rPr>
        <w:t xml:space="preserve">l presente </w:t>
      </w:r>
      <w:r w:rsidR="00C37693" w:rsidRPr="00535110">
        <w:rPr>
          <w:rFonts w:ascii="Palatino Linotype" w:eastAsia="Palatino Linotype" w:hAnsi="Palatino Linotype" w:cs="Palatino Linotype"/>
          <w:sz w:val="22"/>
          <w:szCs w:val="22"/>
          <w:lang w:val="es-ES_tradnl"/>
        </w:rPr>
        <w:t xml:space="preserve">Título </w:t>
      </w:r>
      <w:r w:rsidRPr="00535110">
        <w:rPr>
          <w:rFonts w:ascii="Palatino Linotype" w:eastAsia="Palatino Linotype" w:hAnsi="Palatino Linotype" w:cs="Palatino Linotype"/>
          <w:sz w:val="22"/>
          <w:szCs w:val="22"/>
          <w:lang w:val="es-ES_tradnl"/>
        </w:rPr>
        <w:t>aquellas relacionadas con el incumplimiento de los parámetros de eco-eficiencia bajo los cuales un proyecto fue aprobado. Las infracciones se clasifican en:</w:t>
      </w:r>
    </w:p>
    <w:p w14:paraId="51416B95" w14:textId="77777777" w:rsidR="00486007" w:rsidRPr="00535110" w:rsidRDefault="00F42F53" w:rsidP="002D5035">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1. </w:t>
      </w:r>
      <w:proofErr w:type="gramStart"/>
      <w:r w:rsidRPr="00535110">
        <w:rPr>
          <w:rFonts w:ascii="Palatino Linotype" w:eastAsia="Palatino Linotype" w:hAnsi="Palatino Linotype" w:cs="Palatino Linotype"/>
          <w:b/>
          <w:sz w:val="22"/>
          <w:szCs w:val="22"/>
          <w:lang w:val="es-ES_tradnl"/>
        </w:rPr>
        <w:t>Leves.-</w:t>
      </w:r>
      <w:proofErr w:type="gramEnd"/>
      <w:r w:rsidRPr="00535110">
        <w:rPr>
          <w:rFonts w:ascii="Palatino Linotype" w:eastAsia="Palatino Linotype" w:hAnsi="Palatino Linotype" w:cs="Palatino Linotype"/>
          <w:sz w:val="22"/>
          <w:szCs w:val="22"/>
          <w:lang w:val="es-ES_tradnl"/>
        </w:rPr>
        <w:t xml:space="preserve"> Cuando un proyecto ha incumplido con un porcentaje menor o igual al 5% de los parámetros aprobados por la Matriz de Eco-Eficiencia.</w:t>
      </w:r>
    </w:p>
    <w:p w14:paraId="55C90CAB" w14:textId="77777777" w:rsidR="00486007" w:rsidRPr="00535110" w:rsidRDefault="00F42F53" w:rsidP="002D5035">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2. </w:t>
      </w:r>
      <w:proofErr w:type="gramStart"/>
      <w:r w:rsidRPr="00535110">
        <w:rPr>
          <w:rFonts w:ascii="Palatino Linotype" w:eastAsia="Palatino Linotype" w:hAnsi="Palatino Linotype" w:cs="Palatino Linotype"/>
          <w:b/>
          <w:sz w:val="22"/>
          <w:szCs w:val="22"/>
          <w:lang w:val="es-ES_tradnl"/>
        </w:rPr>
        <w:t>Graves.-</w:t>
      </w:r>
      <w:proofErr w:type="gramEnd"/>
      <w:r w:rsidRPr="00535110">
        <w:rPr>
          <w:rFonts w:ascii="Palatino Linotype" w:eastAsia="Palatino Linotype" w:hAnsi="Palatino Linotype" w:cs="Palatino Linotype"/>
          <w:sz w:val="22"/>
          <w:szCs w:val="22"/>
          <w:lang w:val="es-ES_tradnl"/>
        </w:rPr>
        <w:t xml:space="preserve"> Cuando un proyecto ha incumplido con un porcentaje mayor al 5% y menor o igual al 10% de los parámetros aprobados por la Matriz de Eco-Eficiencia.</w:t>
      </w:r>
    </w:p>
    <w:p w14:paraId="1CF7D849" w14:textId="51953173" w:rsidR="00486007" w:rsidRPr="00535110" w:rsidRDefault="00F42F53" w:rsidP="002D5035">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3. Muy </w:t>
      </w:r>
      <w:proofErr w:type="gramStart"/>
      <w:r w:rsidR="0041571A" w:rsidRPr="00535110">
        <w:rPr>
          <w:rFonts w:ascii="Palatino Linotype" w:eastAsia="Palatino Linotype" w:hAnsi="Palatino Linotype" w:cs="Palatino Linotype"/>
          <w:b/>
          <w:sz w:val="22"/>
          <w:szCs w:val="22"/>
          <w:lang w:val="es-ES_tradnl"/>
        </w:rPr>
        <w:t>g</w:t>
      </w:r>
      <w:r w:rsidRPr="00535110">
        <w:rPr>
          <w:rFonts w:ascii="Palatino Linotype" w:eastAsia="Palatino Linotype" w:hAnsi="Palatino Linotype" w:cs="Palatino Linotype"/>
          <w:b/>
          <w:sz w:val="22"/>
          <w:szCs w:val="22"/>
          <w:lang w:val="es-ES_tradnl"/>
        </w:rPr>
        <w:t>raves.-</w:t>
      </w:r>
      <w:proofErr w:type="gramEnd"/>
      <w:r w:rsidRPr="00535110">
        <w:rPr>
          <w:rFonts w:ascii="Palatino Linotype" w:eastAsia="Palatino Linotype" w:hAnsi="Palatino Linotype" w:cs="Palatino Linotype"/>
          <w:sz w:val="22"/>
          <w:szCs w:val="22"/>
          <w:lang w:val="es-ES_tradnl"/>
        </w:rPr>
        <w:t xml:space="preserve"> Cuando un proyecto ha incumplido con un porcentaje mayor al 10% de los parámetros aprobados por la Matriz de Eco-Eficiencia.</w:t>
      </w:r>
    </w:p>
    <w:p w14:paraId="5872FBA2" w14:textId="6F5EBBA6" w:rsidR="007E6FDC" w:rsidRPr="00535110" w:rsidRDefault="007E6FDC" w:rsidP="00A74958">
      <w:pPr>
        <w:spacing w:after="120" w:line="276" w:lineRule="auto"/>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sz w:val="22"/>
          <w:szCs w:val="22"/>
          <w:lang w:val="es-ES_tradnl"/>
        </w:rPr>
        <w:t xml:space="preserve">El grado de la presunta infracción será determinado, de ser el caso, a partir del acta o informe resultantes de las inspecciones previstas en los artículos </w:t>
      </w:r>
      <w:r w:rsidR="008D56B9" w:rsidRPr="00535110">
        <w:rPr>
          <w:rFonts w:ascii="Palatino Linotype" w:eastAsia="Palatino Linotype" w:hAnsi="Palatino Linotype" w:cs="Palatino Linotype"/>
          <w:sz w:val="22"/>
          <w:szCs w:val="22"/>
          <w:lang w:val="es-ES_tradnl"/>
        </w:rPr>
        <w:t>IV.1.417</w:t>
      </w:r>
      <w:r w:rsidRPr="00535110">
        <w:rPr>
          <w:rFonts w:ascii="Palatino Linotype" w:eastAsia="Palatino Linotype" w:hAnsi="Palatino Linotype" w:cs="Palatino Linotype"/>
          <w:sz w:val="22"/>
          <w:szCs w:val="22"/>
          <w:lang w:val="es-ES_tradnl"/>
        </w:rPr>
        <w:t xml:space="preserve">, </w:t>
      </w:r>
      <w:r w:rsidR="008D56B9" w:rsidRPr="00535110">
        <w:rPr>
          <w:rFonts w:ascii="Palatino Linotype" w:eastAsia="Palatino Linotype" w:hAnsi="Palatino Linotype" w:cs="Palatino Linotype"/>
          <w:sz w:val="22"/>
          <w:szCs w:val="22"/>
          <w:lang w:val="es-ES_tradnl"/>
        </w:rPr>
        <w:t>IV.1.418</w:t>
      </w:r>
      <w:r w:rsidRPr="00535110">
        <w:rPr>
          <w:rFonts w:ascii="Palatino Linotype" w:eastAsia="Palatino Linotype" w:hAnsi="Palatino Linotype" w:cs="Palatino Linotype"/>
          <w:sz w:val="22"/>
          <w:szCs w:val="22"/>
          <w:lang w:val="es-ES_tradnl"/>
        </w:rPr>
        <w:t xml:space="preserve"> y </w:t>
      </w:r>
      <w:r w:rsidR="008D56B9" w:rsidRPr="00535110">
        <w:rPr>
          <w:rFonts w:ascii="Palatino Linotype" w:eastAsia="Palatino Linotype" w:hAnsi="Palatino Linotype" w:cs="Palatino Linotype"/>
          <w:sz w:val="22"/>
          <w:szCs w:val="22"/>
          <w:lang w:val="es-ES_tradnl"/>
        </w:rPr>
        <w:t>IV.1.419</w:t>
      </w:r>
      <w:r w:rsidRPr="00535110">
        <w:rPr>
          <w:rFonts w:ascii="Palatino Linotype" w:eastAsia="Palatino Linotype" w:hAnsi="Palatino Linotype" w:cs="Palatino Linotype"/>
          <w:sz w:val="22"/>
          <w:szCs w:val="22"/>
          <w:lang w:val="es-ES_tradnl"/>
        </w:rPr>
        <w:t xml:space="preserve"> </w:t>
      </w:r>
      <w:r w:rsidR="002D5035" w:rsidRPr="00535110">
        <w:rPr>
          <w:rFonts w:ascii="Palatino Linotype" w:eastAsia="Palatino Linotype" w:hAnsi="Palatino Linotype" w:cs="Palatino Linotype"/>
          <w:sz w:val="22"/>
          <w:szCs w:val="22"/>
          <w:lang w:val="es-ES_tradnl"/>
        </w:rPr>
        <w:t>del presente Título</w:t>
      </w:r>
      <w:r w:rsidRPr="00535110">
        <w:rPr>
          <w:rFonts w:ascii="Palatino Linotype" w:eastAsia="Palatino Linotype" w:hAnsi="Palatino Linotype" w:cs="Palatino Linotype"/>
          <w:sz w:val="22"/>
          <w:szCs w:val="22"/>
          <w:lang w:val="es-ES_tradnl"/>
        </w:rPr>
        <w:t>.</w:t>
      </w:r>
    </w:p>
    <w:p w14:paraId="14FA0AFA" w14:textId="63044FB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Para el ejercicio de la potestad sancionadora, la AMC observará lo dispuesto en el Código Orgánico Administrativo y, para todo lo que no se encuentre previsto en est</w:t>
      </w:r>
      <w:r w:rsidR="00C37693" w:rsidRPr="00535110">
        <w:rPr>
          <w:rFonts w:ascii="Palatino Linotype" w:eastAsia="Palatino Linotype" w:hAnsi="Palatino Linotype" w:cs="Palatino Linotype"/>
          <w:sz w:val="22"/>
          <w:szCs w:val="22"/>
          <w:lang w:val="es-ES_tradnl"/>
        </w:rPr>
        <w:t>e</w:t>
      </w:r>
      <w:r w:rsidRPr="00535110">
        <w:rPr>
          <w:rFonts w:ascii="Palatino Linotype" w:eastAsia="Palatino Linotype" w:hAnsi="Palatino Linotype" w:cs="Palatino Linotype"/>
          <w:sz w:val="22"/>
          <w:szCs w:val="22"/>
          <w:lang w:val="es-ES_tradnl"/>
        </w:rPr>
        <w:t xml:space="preserve"> </w:t>
      </w:r>
      <w:r w:rsidR="00C37693" w:rsidRPr="00535110">
        <w:rPr>
          <w:rFonts w:ascii="Palatino Linotype" w:eastAsia="Palatino Linotype" w:hAnsi="Palatino Linotype" w:cs="Palatino Linotype"/>
          <w:sz w:val="22"/>
          <w:szCs w:val="22"/>
          <w:lang w:val="es-ES_tradnl"/>
        </w:rPr>
        <w:t>Título</w:t>
      </w:r>
      <w:r w:rsidRPr="00535110">
        <w:rPr>
          <w:rFonts w:ascii="Palatino Linotype" w:eastAsia="Palatino Linotype" w:hAnsi="Palatino Linotype" w:cs="Palatino Linotype"/>
          <w:sz w:val="22"/>
          <w:szCs w:val="22"/>
          <w:lang w:val="es-ES_tradnl"/>
        </w:rPr>
        <w:t xml:space="preserve"> respecto del régimen sancionatorio y su procedimiento, se someterá de manera </w:t>
      </w:r>
      <w:r w:rsidRPr="00535110">
        <w:rPr>
          <w:rFonts w:ascii="Palatino Linotype" w:eastAsia="Palatino Linotype" w:hAnsi="Palatino Linotype" w:cs="Palatino Linotype"/>
          <w:sz w:val="22"/>
          <w:szCs w:val="22"/>
          <w:lang w:val="es-ES_tradnl"/>
        </w:rPr>
        <w:lastRenderedPageBreak/>
        <w:t xml:space="preserve">supletoria a lo constante en la </w:t>
      </w:r>
      <w:r w:rsidR="002D5035" w:rsidRPr="00535110">
        <w:rPr>
          <w:rFonts w:ascii="Palatino Linotype" w:eastAsia="Palatino Linotype" w:hAnsi="Palatino Linotype" w:cs="Palatino Linotype"/>
          <w:sz w:val="22"/>
          <w:szCs w:val="22"/>
          <w:lang w:val="es-ES_tradnl"/>
        </w:rPr>
        <w:t xml:space="preserve">normativa metropolitana </w:t>
      </w:r>
      <w:r w:rsidRPr="00535110">
        <w:rPr>
          <w:rFonts w:ascii="Palatino Linotype" w:eastAsia="Palatino Linotype" w:hAnsi="Palatino Linotype" w:cs="Palatino Linotype"/>
          <w:sz w:val="22"/>
          <w:szCs w:val="22"/>
          <w:lang w:val="es-ES_tradnl"/>
        </w:rPr>
        <w:t>que establece el régimen administrativo para el ejercicio de la potestad sancionadora en el Distrito Metropolitano de Quito.</w:t>
      </w:r>
    </w:p>
    <w:p w14:paraId="7630120E" w14:textId="3D673786"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IV.1.421.- </w:t>
      </w:r>
      <w:r w:rsidR="00F42F53" w:rsidRPr="00535110">
        <w:rPr>
          <w:rFonts w:ascii="Palatino Linotype" w:eastAsia="Palatino Linotype" w:hAnsi="Palatino Linotype" w:cs="Palatino Linotype"/>
          <w:b/>
          <w:sz w:val="22"/>
          <w:szCs w:val="22"/>
          <w:lang w:val="es-ES_tradnl"/>
        </w:rPr>
        <w:t xml:space="preserve"> Sanciones. - </w:t>
      </w:r>
      <w:r w:rsidR="00F42F53" w:rsidRPr="00535110">
        <w:rPr>
          <w:rFonts w:ascii="Palatino Linotype" w:eastAsia="Palatino Linotype" w:hAnsi="Palatino Linotype" w:cs="Palatino Linotype"/>
          <w:sz w:val="22"/>
          <w:szCs w:val="22"/>
          <w:lang w:val="es-ES_tradnl"/>
        </w:rPr>
        <w:t>Los proyectos calificados y aprobados por la Matriz de Eco-eficiencia deben implementar y mantener en óptimo funcionamiento los sistemas e instalaciones por las cuales se concedió el incremento de pisos. Los dispositivos de monitoreo y medición incorporados a los sistemas de eco-eficiencia servirán para evaluar su rendimiento y operación.</w:t>
      </w:r>
    </w:p>
    <w:p w14:paraId="6235B7F1"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En el caso de incumplimiento total o parcial de los parámetros que se evaluaron para calificar la eco-eficiencia del edificio y/o en caso de incumplimiento del mantenimiento o cese de operación de los sistemas de eco-eficiencia, se aplicarán las siguientes sanciones a los promotores, propietarios o copropietarios del inmueble, según los casos:</w:t>
      </w:r>
    </w:p>
    <w:p w14:paraId="0FF0BFD2" w14:textId="77777777" w:rsidR="00486007" w:rsidRPr="00535110" w:rsidRDefault="00F42F53" w:rsidP="002D5035">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1.</w:t>
      </w:r>
      <w:r w:rsidRPr="00535110">
        <w:rPr>
          <w:rFonts w:ascii="Palatino Linotype" w:eastAsia="Palatino Linotype" w:hAnsi="Palatino Linotype" w:cs="Palatino Linotype"/>
          <w:sz w:val="22"/>
          <w:szCs w:val="22"/>
          <w:lang w:val="es-ES_tradnl"/>
        </w:rPr>
        <w:t xml:space="preserve"> Si durante la fase de construcción, el promotor del proyecto incumpliere en la ejecución o puesta en marcha de los parámetros técnicos calificados con la Matriz de Eco-Eficiencia y los dispositivos de monitoreo y medición, la AMC no procederá con la entrega del Certificado de Conformidad de Finalización del Proceso Constructivo hasta que se haya implementado íntegra y adecuadamente los sistemas, instalaciones y equipos de eco-eficiencia con los cuales se aprobó el proyecto. Para asegurarse del cumplimiento de estas obligaciones, dicha entidad podrá aplicar las multas y medidas cautelares previstas en el ordenamiento jurídico y en el numeral 2 de este artículo.</w:t>
      </w:r>
    </w:p>
    <w:p w14:paraId="4A0E2D78" w14:textId="77777777" w:rsidR="00486007" w:rsidRPr="00535110" w:rsidRDefault="00F42F53" w:rsidP="002D5035">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2.</w:t>
      </w:r>
      <w:r w:rsidRPr="00535110">
        <w:rPr>
          <w:rFonts w:ascii="Palatino Linotype" w:eastAsia="Palatino Linotype" w:hAnsi="Palatino Linotype" w:cs="Palatino Linotype"/>
          <w:sz w:val="22"/>
          <w:szCs w:val="22"/>
          <w:lang w:val="es-ES_tradnl"/>
        </w:rPr>
        <w:t xml:space="preserve"> Si durante las inspecciones de control anual, se verificare el incumplimiento de los parámetros de eco-eficiencia derivados de la supresión, falta de funcionamiento o avería de los sistemas, instalaciones o equipos de eco-eficiencia, así como la desinstalación o no funcionamiento de los sistemas de seguimiento y monitoreo, se aplicará a los propietarios o copropietarios del inmueble, la multa resultante de la aplicación de la siguiente fórmula: </w:t>
      </w:r>
    </w:p>
    <w:p w14:paraId="3AF82B16" w14:textId="77777777" w:rsidR="00486007" w:rsidRPr="00535110" w:rsidRDefault="00F42F53" w:rsidP="0041571A">
      <w:pPr>
        <w:spacing w:after="120" w:line="276" w:lineRule="auto"/>
        <w:ind w:firstLine="708"/>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 xml:space="preserve">Monto de la multa </w:t>
      </w:r>
      <w:proofErr w:type="gramStart"/>
      <w:r w:rsidRPr="00535110">
        <w:rPr>
          <w:rFonts w:ascii="Palatino Linotype" w:eastAsia="Palatino Linotype" w:hAnsi="Palatino Linotype" w:cs="Palatino Linotype"/>
          <w:b/>
          <w:sz w:val="22"/>
          <w:szCs w:val="22"/>
          <w:lang w:val="es-ES_tradnl"/>
        </w:rPr>
        <w:t>=  %</w:t>
      </w:r>
      <w:proofErr w:type="gramEnd"/>
      <w:r w:rsidRPr="00535110">
        <w:rPr>
          <w:rFonts w:ascii="Palatino Linotype" w:eastAsia="Palatino Linotype" w:hAnsi="Palatino Linotype" w:cs="Palatino Linotype"/>
          <w:b/>
          <w:sz w:val="22"/>
          <w:szCs w:val="22"/>
          <w:lang w:val="es-ES_tradnl"/>
        </w:rPr>
        <w:t xml:space="preserve"> de incumplimiento del puntaje alcanzado en la Matriz de Eco-Eficiencia x COD(</w:t>
      </w:r>
      <w:proofErr w:type="spellStart"/>
      <w:r w:rsidRPr="00535110">
        <w:rPr>
          <w:rFonts w:ascii="Palatino Linotype" w:eastAsia="Palatino Linotype" w:hAnsi="Palatino Linotype" w:cs="Palatino Linotype"/>
          <w:b/>
          <w:sz w:val="22"/>
          <w:szCs w:val="22"/>
          <w:lang w:val="es-ES_tradnl"/>
        </w:rPr>
        <w:t>sc</w:t>
      </w:r>
      <w:proofErr w:type="spellEnd"/>
      <w:r w:rsidRPr="00535110">
        <w:rPr>
          <w:rFonts w:ascii="Palatino Linotype" w:eastAsia="Palatino Linotype" w:hAnsi="Palatino Linotype" w:cs="Palatino Linotype"/>
          <w:b/>
          <w:sz w:val="22"/>
          <w:szCs w:val="22"/>
          <w:lang w:val="es-ES_tradnl"/>
        </w:rPr>
        <w:t>)</w:t>
      </w:r>
    </w:p>
    <w:p w14:paraId="5D99D0E5" w14:textId="77777777" w:rsidR="00486007" w:rsidRPr="00535110" w:rsidRDefault="00F42F53" w:rsidP="0041571A">
      <w:pPr>
        <w:spacing w:after="120" w:line="276" w:lineRule="auto"/>
        <w:ind w:firstLine="708"/>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Donde: </w:t>
      </w:r>
    </w:p>
    <w:p w14:paraId="3814F182" w14:textId="77777777" w:rsidR="00486007" w:rsidRPr="00535110" w:rsidRDefault="00F42F53" w:rsidP="00A74958">
      <w:pPr>
        <w:numPr>
          <w:ilvl w:val="0"/>
          <w:numId w:val="7"/>
        </w:numPr>
        <w:spacing w:after="120" w:line="276" w:lineRule="auto"/>
        <w:rPr>
          <w:rFonts w:ascii="Palatino Linotype" w:hAnsi="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t>El % de incumplimiento del puntaje de la Matriz de Eco-Eficiencia corresponde a la división de la sumatoria del puntaje de los parámetros incumplidos para el puntaje total obtenido en la evaluación de la Matriz de Eco-Eficiencia por 100.</w:t>
      </w:r>
    </w:p>
    <w:p w14:paraId="1681EC8F" w14:textId="77777777" w:rsidR="00486007" w:rsidRPr="00535110" w:rsidRDefault="00F42F53" w:rsidP="00A74958">
      <w:pPr>
        <w:numPr>
          <w:ilvl w:val="0"/>
          <w:numId w:val="7"/>
        </w:numPr>
        <w:spacing w:after="120" w:line="276" w:lineRule="auto"/>
        <w:rPr>
          <w:rFonts w:ascii="Palatino Linotype" w:hAnsi="Palatino Linotype"/>
          <w:color w:val="000000"/>
          <w:sz w:val="22"/>
          <w:szCs w:val="22"/>
          <w:lang w:val="es-ES_tradnl"/>
        </w:rPr>
      </w:pPr>
      <w:r w:rsidRPr="00535110">
        <w:rPr>
          <w:rFonts w:ascii="Palatino Linotype" w:eastAsia="Palatino Linotype" w:hAnsi="Palatino Linotype" w:cs="Palatino Linotype"/>
          <w:color w:val="000000"/>
          <w:sz w:val="22"/>
          <w:szCs w:val="22"/>
          <w:lang w:val="es-ES_tradnl"/>
        </w:rPr>
        <w:lastRenderedPageBreak/>
        <w:t xml:space="preserve">COD corresponde al monto </w:t>
      </w:r>
      <w:r w:rsidRPr="00535110">
        <w:rPr>
          <w:rFonts w:ascii="Palatino Linotype" w:eastAsia="Palatino Linotype" w:hAnsi="Palatino Linotype" w:cs="Palatino Linotype"/>
          <w:sz w:val="22"/>
          <w:szCs w:val="22"/>
          <w:lang w:val="es-ES_tradnl"/>
        </w:rPr>
        <w:t>calculado</w:t>
      </w:r>
      <w:r w:rsidRPr="00535110">
        <w:rPr>
          <w:rFonts w:ascii="Palatino Linotype" w:eastAsia="Palatino Linotype" w:hAnsi="Palatino Linotype" w:cs="Palatino Linotype"/>
          <w:color w:val="000000"/>
          <w:sz w:val="22"/>
          <w:szCs w:val="22"/>
          <w:lang w:val="es-ES_tradnl"/>
        </w:rPr>
        <w:t xml:space="preserve"> de la Concesión Onerosa de Derechos por suelo creado.</w:t>
      </w:r>
    </w:p>
    <w:p w14:paraId="33E681EA"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En caso de desinstalación de los sistemas de seguimiento y monitoreo, se aplicará un factor de 0,3 a la fórmula prevista en el presente artículo.</w:t>
      </w:r>
    </w:p>
    <w:p w14:paraId="44E87D3C" w14:textId="77777777"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Las multas correspondientes a las sanciones que corresponden a las infracciones leves, graves y muy graves, se calcularán con la formula aquí prevista, en concordancia con el porcentaje de incumplimiento.</w:t>
      </w:r>
    </w:p>
    <w:p w14:paraId="345E0188" w14:textId="57C1B6FB"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Sin perjuicio de lo previsto en este artículo, los promotores, propietarios o copropietarios de edificios eco-eficientes podrán adecuar su conducta presentando un proyecto modificatorio a los sistemas de eco-eficiencia que podrían haber dejado de operar, para lo cual se sujetarán al procedimiento de certificación de planos y licenciamiento urbanísti</w:t>
      </w:r>
      <w:r w:rsidR="00C37693" w:rsidRPr="00535110">
        <w:rPr>
          <w:rFonts w:ascii="Palatino Linotype" w:eastAsia="Palatino Linotype" w:hAnsi="Palatino Linotype" w:cs="Palatino Linotype"/>
          <w:sz w:val="22"/>
          <w:szCs w:val="22"/>
          <w:lang w:val="es-ES_tradnl"/>
        </w:rPr>
        <w:t>co-arquitectónico previsto en el</w:t>
      </w:r>
      <w:r w:rsidRPr="00535110">
        <w:rPr>
          <w:rFonts w:ascii="Palatino Linotype" w:eastAsia="Palatino Linotype" w:hAnsi="Palatino Linotype" w:cs="Palatino Linotype"/>
          <w:sz w:val="22"/>
          <w:szCs w:val="22"/>
          <w:lang w:val="es-ES_tradnl"/>
        </w:rPr>
        <w:t xml:space="preserve"> presente </w:t>
      </w:r>
      <w:r w:rsidR="00C37693" w:rsidRPr="00535110">
        <w:rPr>
          <w:rFonts w:ascii="Palatino Linotype" w:eastAsia="Palatino Linotype" w:hAnsi="Palatino Linotype" w:cs="Palatino Linotype"/>
          <w:sz w:val="22"/>
          <w:szCs w:val="22"/>
          <w:lang w:val="es-ES_tradnl"/>
        </w:rPr>
        <w:t>Título</w:t>
      </w:r>
      <w:r w:rsidRPr="00535110">
        <w:rPr>
          <w:rFonts w:ascii="Palatino Linotype" w:eastAsia="Palatino Linotype" w:hAnsi="Palatino Linotype" w:cs="Palatino Linotype"/>
          <w:sz w:val="22"/>
          <w:szCs w:val="22"/>
          <w:lang w:val="es-ES_tradnl"/>
        </w:rPr>
        <w:t>. En tales circunstancias, los sistemas previstos en el proyecto modificatorio garantizarán al menos el mismo rendimiento ambiental que el sistema que se pretende modificar o suplantar.</w:t>
      </w:r>
    </w:p>
    <w:p w14:paraId="262EF4D0" w14:textId="49F4FB5B" w:rsidR="00486007" w:rsidRPr="00535110" w:rsidRDefault="00C54CE2"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IV.1.422.- </w:t>
      </w:r>
      <w:r w:rsidR="00F42F53" w:rsidRPr="00535110">
        <w:rPr>
          <w:rFonts w:ascii="Palatino Linotype" w:eastAsia="Palatino Linotype" w:hAnsi="Palatino Linotype" w:cs="Palatino Linotype"/>
          <w:sz w:val="22"/>
          <w:szCs w:val="22"/>
          <w:lang w:val="es-ES_tradnl"/>
        </w:rPr>
        <w:t xml:space="preserve"> </w:t>
      </w:r>
      <w:proofErr w:type="gramStart"/>
      <w:r w:rsidR="00F42F53" w:rsidRPr="00535110">
        <w:rPr>
          <w:rFonts w:ascii="Palatino Linotype" w:eastAsia="Palatino Linotype" w:hAnsi="Palatino Linotype" w:cs="Palatino Linotype"/>
          <w:b/>
          <w:sz w:val="22"/>
          <w:szCs w:val="22"/>
          <w:lang w:val="es-ES_tradnl"/>
        </w:rPr>
        <w:t>Prescripción.-</w:t>
      </w:r>
      <w:proofErr w:type="gramEnd"/>
      <w:r w:rsidR="00F42F53" w:rsidRPr="00535110">
        <w:rPr>
          <w:rFonts w:ascii="Palatino Linotype" w:eastAsia="Palatino Linotype" w:hAnsi="Palatino Linotype" w:cs="Palatino Linotype"/>
          <w:sz w:val="22"/>
          <w:szCs w:val="22"/>
          <w:lang w:val="es-ES_tradnl"/>
        </w:rPr>
        <w:t xml:space="preserve"> Las infracciones y sanciones constantes en </w:t>
      </w:r>
      <w:r w:rsidR="00C37693" w:rsidRPr="00535110">
        <w:rPr>
          <w:rFonts w:ascii="Palatino Linotype" w:eastAsia="Palatino Linotype" w:hAnsi="Palatino Linotype" w:cs="Palatino Linotype"/>
          <w:sz w:val="22"/>
          <w:szCs w:val="22"/>
          <w:lang w:val="es-ES_tradnl"/>
        </w:rPr>
        <w:t>el</w:t>
      </w:r>
      <w:r w:rsidR="00F42F53" w:rsidRPr="00535110">
        <w:rPr>
          <w:rFonts w:ascii="Palatino Linotype" w:eastAsia="Palatino Linotype" w:hAnsi="Palatino Linotype" w:cs="Palatino Linotype"/>
          <w:sz w:val="22"/>
          <w:szCs w:val="22"/>
          <w:lang w:val="es-ES_tradnl"/>
        </w:rPr>
        <w:t xml:space="preserve"> presente </w:t>
      </w:r>
      <w:r w:rsidR="00C37693" w:rsidRPr="00535110">
        <w:rPr>
          <w:rFonts w:ascii="Palatino Linotype" w:eastAsia="Palatino Linotype" w:hAnsi="Palatino Linotype" w:cs="Palatino Linotype"/>
          <w:sz w:val="22"/>
          <w:szCs w:val="22"/>
          <w:lang w:val="es-ES_tradnl"/>
        </w:rPr>
        <w:t>Título</w:t>
      </w:r>
      <w:r w:rsidR="00F42F53" w:rsidRPr="00535110">
        <w:rPr>
          <w:rFonts w:ascii="Palatino Linotype" w:eastAsia="Palatino Linotype" w:hAnsi="Palatino Linotype" w:cs="Palatino Linotype"/>
          <w:sz w:val="22"/>
          <w:szCs w:val="22"/>
          <w:lang w:val="es-ES_tradnl"/>
        </w:rPr>
        <w:t xml:space="preserve"> prescribirán de conformidad con el ordenamiento nacional y metropolitano vigente.</w:t>
      </w:r>
    </w:p>
    <w:p w14:paraId="32ABD3AC" w14:textId="1922D053"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Artículo </w:t>
      </w:r>
      <w:r w:rsidR="00C54CE2" w:rsidRPr="00535110">
        <w:rPr>
          <w:rFonts w:ascii="Palatino Linotype" w:eastAsia="Palatino Linotype" w:hAnsi="Palatino Linotype" w:cs="Palatino Linotype"/>
          <w:b/>
          <w:sz w:val="22"/>
          <w:szCs w:val="22"/>
          <w:lang w:val="es-ES_tradnl"/>
        </w:rPr>
        <w:t xml:space="preserve">IV.1.423.- </w:t>
      </w:r>
      <w:r w:rsidRPr="00535110">
        <w:rPr>
          <w:rFonts w:ascii="Palatino Linotype" w:eastAsia="Palatino Linotype" w:hAnsi="Palatino Linotype" w:cs="Palatino Linotype"/>
          <w:b/>
          <w:sz w:val="22"/>
          <w:szCs w:val="22"/>
          <w:lang w:val="es-ES_tradnl"/>
        </w:rPr>
        <w:t xml:space="preserve">Obligaciones del </w:t>
      </w:r>
      <w:proofErr w:type="gramStart"/>
      <w:r w:rsidRPr="00535110">
        <w:rPr>
          <w:rFonts w:ascii="Palatino Linotype" w:eastAsia="Palatino Linotype" w:hAnsi="Palatino Linotype" w:cs="Palatino Linotype"/>
          <w:b/>
          <w:sz w:val="22"/>
          <w:szCs w:val="22"/>
          <w:lang w:val="es-ES_tradnl"/>
        </w:rPr>
        <w:t>promotor.</w:t>
      </w:r>
      <w:r w:rsidR="0041571A" w:rsidRPr="00535110">
        <w:rPr>
          <w:rFonts w:ascii="Palatino Linotype" w:eastAsia="Palatino Linotype" w:hAnsi="Palatino Linotype" w:cs="Palatino Linotype"/>
          <w:b/>
          <w:sz w:val="22"/>
          <w:szCs w:val="22"/>
          <w:lang w:val="es-ES_tradnl"/>
        </w:rPr>
        <w:t>-</w:t>
      </w:r>
      <w:proofErr w:type="gramEnd"/>
      <w:r w:rsidRPr="00535110">
        <w:rPr>
          <w:rFonts w:ascii="Palatino Linotype" w:eastAsia="Palatino Linotype" w:hAnsi="Palatino Linotype" w:cs="Palatino Linotype"/>
          <w:b/>
          <w:sz w:val="22"/>
          <w:szCs w:val="22"/>
          <w:lang w:val="es-ES_tradnl"/>
        </w:rPr>
        <w:t xml:space="preserve"> </w:t>
      </w:r>
      <w:r w:rsidRPr="00535110">
        <w:rPr>
          <w:rFonts w:ascii="Palatino Linotype" w:eastAsia="Palatino Linotype" w:hAnsi="Palatino Linotype" w:cs="Palatino Linotype"/>
          <w:sz w:val="22"/>
          <w:szCs w:val="22"/>
          <w:lang w:val="es-ES_tradnl"/>
        </w:rPr>
        <w:t xml:space="preserve">Sin perjuicio de la responsabilidad civil sobre la estructura e infraestructura del edificio, será además obligación del promotor o constructor del proyecto, el entregar a la administración del edificio o a la directiva del condominio, las garantías vigentes de todos los equipos e instalaciones de eco-eficiencia instaladas, que fueron parte de los parámetros aprobados para alcanzar el puntaje que sustentó el incremento de pisos. </w:t>
      </w:r>
    </w:p>
    <w:p w14:paraId="405DFD31" w14:textId="10F19220"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A estas garantías se acompañará una memoria técnica que establezca con claridad los parámetros técnicos de mantenimiento y operación de los equipo</w:t>
      </w:r>
      <w:r w:rsidR="002D5035" w:rsidRPr="00535110">
        <w:rPr>
          <w:rFonts w:ascii="Palatino Linotype" w:eastAsia="Palatino Linotype" w:hAnsi="Palatino Linotype" w:cs="Palatino Linotype"/>
          <w:sz w:val="22"/>
          <w:szCs w:val="22"/>
          <w:lang w:val="es-ES_tradnl"/>
        </w:rPr>
        <w:t xml:space="preserve">s, para garantizar el correcto </w:t>
      </w:r>
      <w:r w:rsidRPr="00535110">
        <w:rPr>
          <w:rFonts w:ascii="Palatino Linotype" w:eastAsia="Palatino Linotype" w:hAnsi="Palatino Linotype" w:cs="Palatino Linotype"/>
          <w:sz w:val="22"/>
          <w:szCs w:val="22"/>
          <w:lang w:val="es-ES_tradnl"/>
        </w:rPr>
        <w:t xml:space="preserve">y continuo funcionamiento de los sistemas de eco-eficiencia. En el ejercicio de la inspección anual o cuando se estime necesario, la AMC o las entidades colaboradoras podrán hacer uso de este manual e incluso solicitar auditorias técnicas de cumplimiento a los administradores </w:t>
      </w:r>
      <w:proofErr w:type="spellStart"/>
      <w:r w:rsidRPr="00535110">
        <w:rPr>
          <w:rFonts w:ascii="Palatino Linotype" w:eastAsia="Palatino Linotype" w:hAnsi="Palatino Linotype" w:cs="Palatino Linotype"/>
          <w:sz w:val="22"/>
          <w:szCs w:val="22"/>
          <w:lang w:val="es-ES_tradnl"/>
        </w:rPr>
        <w:t>condominales</w:t>
      </w:r>
      <w:proofErr w:type="spellEnd"/>
      <w:r w:rsidRPr="00535110">
        <w:rPr>
          <w:rFonts w:ascii="Palatino Linotype" w:eastAsia="Palatino Linotype" w:hAnsi="Palatino Linotype" w:cs="Palatino Linotype"/>
          <w:sz w:val="22"/>
          <w:szCs w:val="22"/>
          <w:lang w:val="es-ES_tradnl"/>
        </w:rPr>
        <w:t>.</w:t>
      </w:r>
    </w:p>
    <w:p w14:paraId="2830B9FE" w14:textId="1DE2F533" w:rsidR="002D5035" w:rsidRPr="00535110" w:rsidRDefault="002D5035" w:rsidP="002D5035">
      <w:pPr>
        <w:spacing w:after="120" w:line="276" w:lineRule="auto"/>
        <w:jc w:val="center"/>
        <w:rPr>
          <w:rFonts w:ascii="Palatino Linotype" w:eastAsia="Palatino Linotype" w:hAnsi="Palatino Linotype" w:cs="Palatino Linotype"/>
          <w:b/>
          <w:sz w:val="22"/>
          <w:szCs w:val="22"/>
          <w:lang w:val="es-ES_tradnl"/>
        </w:rPr>
      </w:pPr>
      <w:bookmarkStart w:id="3" w:name="_30j0zll"/>
      <w:bookmarkEnd w:id="3"/>
      <w:r w:rsidRPr="00535110">
        <w:rPr>
          <w:rFonts w:ascii="Palatino Linotype" w:eastAsia="Palatino Linotype" w:hAnsi="Palatino Linotype" w:cs="Palatino Linotype"/>
          <w:b/>
          <w:sz w:val="22"/>
          <w:szCs w:val="22"/>
          <w:lang w:val="es-ES_tradnl"/>
        </w:rPr>
        <w:t>CAPÍTULO IV</w:t>
      </w:r>
    </w:p>
    <w:p w14:paraId="705C173E" w14:textId="0A436027" w:rsidR="002D5035" w:rsidRPr="00535110" w:rsidRDefault="002D5035" w:rsidP="002D5035">
      <w:pPr>
        <w:spacing w:after="120" w:line="276" w:lineRule="auto"/>
        <w:jc w:val="center"/>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DISPOSICIONES GENERALES</w:t>
      </w:r>
    </w:p>
    <w:p w14:paraId="511CF194" w14:textId="71917BA3" w:rsidR="00486007" w:rsidRPr="00535110" w:rsidRDefault="002D5035"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IV.1.424</w:t>
      </w:r>
      <w:r w:rsidR="00F42F53" w:rsidRPr="00535110">
        <w:rPr>
          <w:rFonts w:ascii="Palatino Linotype" w:eastAsia="Palatino Linotype" w:hAnsi="Palatino Linotype" w:cs="Palatino Linotype"/>
          <w:b/>
          <w:sz w:val="22"/>
          <w:szCs w:val="22"/>
          <w:lang w:val="es-ES_tradnl"/>
        </w:rPr>
        <w:t>.-</w:t>
      </w:r>
      <w:r w:rsidR="00F42F53" w:rsidRPr="00535110">
        <w:rPr>
          <w:rFonts w:ascii="Palatino Linotype" w:eastAsia="Palatino Linotype" w:hAnsi="Palatino Linotype" w:cs="Palatino Linotype"/>
          <w:sz w:val="22"/>
          <w:szCs w:val="22"/>
          <w:lang w:val="es-ES_tradnl"/>
        </w:rPr>
        <w:t xml:space="preserve"> Las entidades municipales competentes en materia de planificación presupuestaria, en función de la planificación y de las prioridades institucionales, asignarán el presupuesto equivalente a los recursos obtenidos por concepto de la </w:t>
      </w:r>
      <w:r w:rsidR="00F42F53" w:rsidRPr="00535110">
        <w:rPr>
          <w:rFonts w:ascii="Palatino Linotype" w:eastAsia="Palatino Linotype" w:hAnsi="Palatino Linotype" w:cs="Palatino Linotype"/>
          <w:sz w:val="22"/>
          <w:szCs w:val="22"/>
          <w:lang w:val="es-ES_tradnl"/>
        </w:rPr>
        <w:lastRenderedPageBreak/>
        <w:t xml:space="preserve">Concesión Onerosa de Derechos por Suelo Creado, provenientes de proyectos eco-eficientes ubicados en las </w:t>
      </w:r>
      <w:r w:rsidR="00F42F53" w:rsidRPr="00535110">
        <w:rPr>
          <w:rFonts w:ascii="Palatino Linotype" w:eastAsia="Palatino Linotype" w:hAnsi="Palatino Linotype" w:cs="Palatino Linotype"/>
          <w:color w:val="000000"/>
          <w:sz w:val="22"/>
          <w:szCs w:val="22"/>
          <w:lang w:val="es-ES_tradnl"/>
        </w:rPr>
        <w:t xml:space="preserve">áreas de influencia del Sistema Metropolitano de Transporte </w:t>
      </w:r>
      <w:r w:rsidR="00F42F53" w:rsidRPr="00535110">
        <w:rPr>
          <w:rFonts w:ascii="Palatino Linotype" w:eastAsia="Palatino Linotype" w:hAnsi="Palatino Linotype" w:cs="Palatino Linotype"/>
          <w:sz w:val="22"/>
          <w:szCs w:val="22"/>
          <w:lang w:val="es-ES_tradnl"/>
        </w:rPr>
        <w:t>o ZUAE, para la ejecución de infraestructura, construcción de vivienda de interés social, equipamiento, sistemas públicos de soporte, mejoramiento del espacio público u otras actuaciones para la habilitación del suelo y la garantía del derecho a la ciudad, prioritariamente en los polígonos donde actúan las formas</w:t>
      </w:r>
      <w:r w:rsidRPr="00535110">
        <w:rPr>
          <w:rFonts w:ascii="Palatino Linotype" w:eastAsia="Palatino Linotype" w:hAnsi="Palatino Linotype" w:cs="Palatino Linotype"/>
          <w:sz w:val="22"/>
          <w:szCs w:val="22"/>
          <w:lang w:val="es-ES_tradnl"/>
        </w:rPr>
        <w:t xml:space="preserve"> de suelo creado previstas en el presente Título</w:t>
      </w:r>
      <w:r w:rsidR="00F42F53" w:rsidRPr="00535110">
        <w:rPr>
          <w:rFonts w:ascii="Palatino Linotype" w:eastAsia="Palatino Linotype" w:hAnsi="Palatino Linotype" w:cs="Palatino Linotype"/>
          <w:sz w:val="22"/>
          <w:szCs w:val="22"/>
          <w:lang w:val="es-ES_tradnl"/>
        </w:rPr>
        <w:t>, de conformidad con lo establecido en el artículo 73 de la LOOTUGS. Dichos montos serán explícitamente señalados en el sistema de información presupuestaria.</w:t>
      </w:r>
    </w:p>
    <w:p w14:paraId="04DEA362" w14:textId="45AED08D" w:rsidR="00486007" w:rsidRPr="00535110" w:rsidRDefault="002D5035"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IV.1.425</w:t>
      </w:r>
      <w:r w:rsidR="00F42F53" w:rsidRPr="00535110">
        <w:rPr>
          <w:rFonts w:ascii="Palatino Linotype" w:eastAsia="Palatino Linotype" w:hAnsi="Palatino Linotype" w:cs="Palatino Linotype"/>
          <w:b/>
          <w:sz w:val="22"/>
          <w:szCs w:val="22"/>
          <w:lang w:val="es-ES_tradnl"/>
        </w:rPr>
        <w:t>.</w:t>
      </w:r>
      <w:r w:rsidR="0041571A" w:rsidRPr="00535110">
        <w:rPr>
          <w:rFonts w:ascii="Palatino Linotype" w:eastAsia="Palatino Linotype" w:hAnsi="Palatino Linotype" w:cs="Palatino Linotype"/>
          <w:b/>
          <w:sz w:val="22"/>
          <w:szCs w:val="22"/>
          <w:lang w:val="es-ES_tradnl"/>
        </w:rPr>
        <w:t>-</w:t>
      </w:r>
      <w:r w:rsidR="00F42F53" w:rsidRPr="00535110">
        <w:rPr>
          <w:rFonts w:ascii="Palatino Linotype" w:eastAsia="Palatino Linotype" w:hAnsi="Palatino Linotype" w:cs="Palatino Linotype"/>
          <w:sz w:val="22"/>
          <w:szCs w:val="22"/>
          <w:lang w:val="es-ES_tradnl"/>
        </w:rPr>
        <w:t xml:space="preserve"> Atendiendo los requerimientos de la gestión administrativa y considerando los requerimientos de cambio y ajuste, técnicamente sustentados, derivados del monitoreo y evaluación de la aplicaci</w:t>
      </w:r>
      <w:r w:rsidR="00C37693" w:rsidRPr="00535110">
        <w:rPr>
          <w:rFonts w:ascii="Palatino Linotype" w:eastAsia="Palatino Linotype" w:hAnsi="Palatino Linotype" w:cs="Palatino Linotype"/>
          <w:sz w:val="22"/>
          <w:szCs w:val="22"/>
          <w:lang w:val="es-ES_tradnl"/>
        </w:rPr>
        <w:t>ón de</w:t>
      </w:r>
      <w:r w:rsidR="00F42F53" w:rsidRPr="00535110">
        <w:rPr>
          <w:rFonts w:ascii="Palatino Linotype" w:eastAsia="Palatino Linotype" w:hAnsi="Palatino Linotype" w:cs="Palatino Linotype"/>
          <w:sz w:val="22"/>
          <w:szCs w:val="22"/>
          <w:lang w:val="es-ES_tradnl"/>
        </w:rPr>
        <w:t xml:space="preserve">l presente </w:t>
      </w:r>
      <w:r w:rsidR="00C37693" w:rsidRPr="00535110">
        <w:rPr>
          <w:rFonts w:ascii="Palatino Linotype" w:eastAsia="Palatino Linotype" w:hAnsi="Palatino Linotype" w:cs="Palatino Linotype"/>
          <w:sz w:val="22"/>
          <w:szCs w:val="22"/>
          <w:lang w:val="es-ES_tradnl"/>
        </w:rPr>
        <w:t>Título</w:t>
      </w:r>
      <w:r w:rsidR="00F42F53" w:rsidRPr="00535110">
        <w:rPr>
          <w:rFonts w:ascii="Palatino Linotype" w:eastAsia="Palatino Linotype" w:hAnsi="Palatino Linotype" w:cs="Palatino Linotype"/>
          <w:sz w:val="22"/>
          <w:szCs w:val="22"/>
          <w:lang w:val="es-ES_tradnl"/>
        </w:rPr>
        <w:t>, particularmente en lo referido a los proyectos eco-eficientes,  la Secretaría de Territorio, Hábitat y Vivienda será la instancia encargada de expedir la resolución administrativa que determine las condiciones urbanísticas del lote así como los requisitos, flujos de procedimiento, reglas técnicas, parámetros y sistema de calificación de la Matriz de Eco-eficiencia. Para tales efectos, la Matriz de Eco-eficiencia podrá actualizarse con una periodicidad bienal, previo conocimiento del Concejo Metropolitano.</w:t>
      </w:r>
    </w:p>
    <w:p w14:paraId="536F3C36" w14:textId="39D2504E" w:rsidR="00486007" w:rsidRPr="00535110" w:rsidRDefault="002D5035"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IV.1.426</w:t>
      </w:r>
      <w:r w:rsidR="0041571A" w:rsidRPr="00535110">
        <w:rPr>
          <w:rFonts w:ascii="Palatino Linotype" w:eastAsia="Palatino Linotype" w:hAnsi="Palatino Linotype" w:cs="Palatino Linotype"/>
          <w:b/>
          <w:sz w:val="22"/>
          <w:szCs w:val="22"/>
          <w:lang w:val="es-ES_tradnl"/>
        </w:rPr>
        <w:t>.-</w:t>
      </w:r>
      <w:r w:rsidR="00F42F53" w:rsidRPr="00535110">
        <w:rPr>
          <w:rFonts w:ascii="Palatino Linotype" w:eastAsia="Palatino Linotype" w:hAnsi="Palatino Linotype" w:cs="Palatino Linotype"/>
          <w:b/>
          <w:sz w:val="22"/>
          <w:szCs w:val="22"/>
          <w:lang w:val="es-ES_tradnl"/>
        </w:rPr>
        <w:t xml:space="preserve"> </w:t>
      </w:r>
      <w:r w:rsidR="00F42F53" w:rsidRPr="00535110">
        <w:rPr>
          <w:rFonts w:ascii="Palatino Linotype" w:eastAsia="Palatino Linotype" w:hAnsi="Palatino Linotype" w:cs="Palatino Linotype"/>
          <w:sz w:val="22"/>
          <w:szCs w:val="22"/>
          <w:lang w:val="es-ES_tradnl"/>
        </w:rPr>
        <w:t>La modificación técnicamente sustentada de los Anexos 1 y 2 de</w:t>
      </w:r>
      <w:r w:rsidRPr="00535110">
        <w:rPr>
          <w:rFonts w:ascii="Palatino Linotype" w:eastAsia="Palatino Linotype" w:hAnsi="Palatino Linotype" w:cs="Palatino Linotype"/>
          <w:sz w:val="22"/>
          <w:szCs w:val="22"/>
          <w:lang w:val="es-ES_tradnl"/>
        </w:rPr>
        <w:t>l presente Título</w:t>
      </w:r>
      <w:r w:rsidR="00F42F53" w:rsidRPr="00535110">
        <w:rPr>
          <w:rFonts w:ascii="Palatino Linotype" w:eastAsia="Palatino Linotype" w:hAnsi="Palatino Linotype" w:cs="Palatino Linotype"/>
          <w:sz w:val="22"/>
          <w:szCs w:val="22"/>
          <w:lang w:val="es-ES_tradnl"/>
        </w:rPr>
        <w:t xml:space="preserve"> estará a cargo de la Secretaría encargada del territorio, hábitat y vivienda y será puesta en conocimiento del Concejo Metropolitano para su aprobación, previo a su incorporación como anexos actualizados del presente </w:t>
      </w:r>
      <w:r w:rsidR="00C37693" w:rsidRPr="00535110">
        <w:rPr>
          <w:rFonts w:ascii="Palatino Linotype" w:eastAsia="Palatino Linotype" w:hAnsi="Palatino Linotype" w:cs="Palatino Linotype"/>
          <w:sz w:val="22"/>
          <w:szCs w:val="22"/>
          <w:lang w:val="es-ES_tradnl"/>
        </w:rPr>
        <w:t>Título</w:t>
      </w:r>
      <w:r w:rsidR="00F42F53" w:rsidRPr="00535110">
        <w:rPr>
          <w:rFonts w:ascii="Palatino Linotype" w:eastAsia="Palatino Linotype" w:hAnsi="Palatino Linotype" w:cs="Palatino Linotype"/>
          <w:sz w:val="22"/>
          <w:szCs w:val="22"/>
          <w:lang w:val="es-ES_tradnl"/>
        </w:rPr>
        <w:t xml:space="preserve"> y del PUOS. Sin perjuicio de aquello, la Secretaría de Territorio, Hábitat y Vivienda podrá actualizar la base cartográfica correspondiente a estos anexos en atención a los requerimientos de gestión derivados de las integraciones o subdivisiones parcelarias y regularización de áreas.</w:t>
      </w:r>
    </w:p>
    <w:p w14:paraId="7577E846" w14:textId="72F30D94" w:rsidR="00486007" w:rsidRPr="00535110" w:rsidRDefault="002D5035"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IV.1.427</w:t>
      </w:r>
      <w:r w:rsidR="00F42F53" w:rsidRPr="00535110">
        <w:rPr>
          <w:rFonts w:ascii="Palatino Linotype" w:eastAsia="Palatino Linotype" w:hAnsi="Palatino Linotype" w:cs="Palatino Linotype"/>
          <w:b/>
          <w:sz w:val="22"/>
          <w:szCs w:val="22"/>
          <w:lang w:val="es-ES_tradnl"/>
        </w:rPr>
        <w:t>.-</w:t>
      </w:r>
      <w:r w:rsidR="00F42F53" w:rsidRPr="00535110">
        <w:rPr>
          <w:rFonts w:ascii="Palatino Linotype" w:eastAsia="Palatino Linotype" w:hAnsi="Palatino Linotype" w:cs="Palatino Linotype"/>
          <w:sz w:val="22"/>
          <w:szCs w:val="22"/>
          <w:lang w:val="es-ES_tradnl"/>
        </w:rPr>
        <w:t xml:space="preserve"> En el ejercicio de las competencias previstas en est</w:t>
      </w:r>
      <w:r w:rsidR="00C37693" w:rsidRPr="00535110">
        <w:rPr>
          <w:rFonts w:ascii="Palatino Linotype" w:eastAsia="Palatino Linotype" w:hAnsi="Palatino Linotype" w:cs="Palatino Linotype"/>
          <w:sz w:val="22"/>
          <w:szCs w:val="22"/>
          <w:lang w:val="es-ES_tradnl"/>
        </w:rPr>
        <w:t>e</w:t>
      </w:r>
      <w:r w:rsidR="00F42F53" w:rsidRPr="00535110">
        <w:rPr>
          <w:rFonts w:ascii="Palatino Linotype" w:eastAsia="Palatino Linotype" w:hAnsi="Palatino Linotype" w:cs="Palatino Linotype"/>
          <w:sz w:val="22"/>
          <w:szCs w:val="22"/>
          <w:lang w:val="es-ES_tradnl"/>
        </w:rPr>
        <w:t xml:space="preserve"> </w:t>
      </w:r>
      <w:r w:rsidR="00C37693" w:rsidRPr="00535110">
        <w:rPr>
          <w:rFonts w:ascii="Palatino Linotype" w:eastAsia="Palatino Linotype" w:hAnsi="Palatino Linotype" w:cs="Palatino Linotype"/>
          <w:sz w:val="22"/>
          <w:szCs w:val="22"/>
          <w:lang w:val="es-ES_tradnl"/>
        </w:rPr>
        <w:t>Título</w:t>
      </w:r>
      <w:r w:rsidR="00F42F53" w:rsidRPr="00535110">
        <w:rPr>
          <w:rFonts w:ascii="Palatino Linotype" w:eastAsia="Palatino Linotype" w:hAnsi="Palatino Linotype" w:cs="Palatino Linotype"/>
          <w:sz w:val="22"/>
          <w:szCs w:val="22"/>
          <w:lang w:val="es-ES_tradnl"/>
        </w:rPr>
        <w:t xml:space="preserve"> para las Entidades colaboradoras de certificación de planos, particularmente para aquellas establecidas en los artículos 5 y 6, estas aplicarán una tarifa equivalente a la prevista para la emisión del certificado de conformidad de planos correspondiente a la ingeniería estructural. Esta tarifa se actualizará bajo el mismo procedimiento establecido para la actualización de las tarifas de dichas Entidades.</w:t>
      </w:r>
    </w:p>
    <w:p w14:paraId="3B3C772E" w14:textId="77777777" w:rsidR="00644047" w:rsidRPr="00535110" w:rsidRDefault="002D5035"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IV.1.428</w:t>
      </w:r>
      <w:r w:rsidR="0054085F" w:rsidRPr="00535110">
        <w:rPr>
          <w:rFonts w:ascii="Palatino Linotype" w:eastAsia="Palatino Linotype" w:hAnsi="Palatino Linotype" w:cs="Palatino Linotype"/>
          <w:b/>
          <w:sz w:val="22"/>
          <w:szCs w:val="22"/>
          <w:lang w:val="es-ES_tradnl"/>
        </w:rPr>
        <w:t xml:space="preserve">.- </w:t>
      </w:r>
      <w:r w:rsidR="0054085F" w:rsidRPr="00535110">
        <w:rPr>
          <w:rFonts w:ascii="Palatino Linotype" w:eastAsia="Palatino Linotype" w:hAnsi="Palatino Linotype" w:cs="Palatino Linotype"/>
          <w:sz w:val="22"/>
          <w:szCs w:val="22"/>
          <w:lang w:val="es-ES_tradnl"/>
        </w:rPr>
        <w:t>Cada semestre,</w:t>
      </w:r>
      <w:r w:rsidR="0054085F" w:rsidRPr="00535110">
        <w:rPr>
          <w:rFonts w:ascii="Palatino Linotype" w:eastAsia="Palatino Linotype" w:hAnsi="Palatino Linotype" w:cs="Palatino Linotype"/>
          <w:b/>
          <w:sz w:val="22"/>
          <w:szCs w:val="22"/>
          <w:lang w:val="es-ES_tradnl"/>
        </w:rPr>
        <w:t xml:space="preserve"> </w:t>
      </w:r>
      <w:r w:rsidR="0054085F" w:rsidRPr="00535110">
        <w:rPr>
          <w:rFonts w:ascii="Palatino Linotype" w:eastAsia="Palatino Linotype" w:hAnsi="Palatino Linotype" w:cs="Palatino Linotype"/>
          <w:sz w:val="22"/>
          <w:szCs w:val="22"/>
          <w:lang w:val="es-ES_tradnl"/>
        </w:rPr>
        <w:t xml:space="preserve">la Secretaría de Territorio, Hábitat y Vivienda pondrá en conocimiento </w:t>
      </w:r>
      <w:r w:rsidR="0061454D" w:rsidRPr="00535110">
        <w:rPr>
          <w:rFonts w:ascii="Palatino Linotype" w:eastAsia="Palatino Linotype" w:hAnsi="Palatino Linotype" w:cs="Palatino Linotype"/>
          <w:sz w:val="22"/>
          <w:szCs w:val="22"/>
          <w:lang w:val="es-ES_tradnl"/>
        </w:rPr>
        <w:t>del</w:t>
      </w:r>
      <w:r w:rsidR="0054085F" w:rsidRPr="00535110">
        <w:rPr>
          <w:rFonts w:ascii="Palatino Linotype" w:eastAsia="Palatino Linotype" w:hAnsi="Palatino Linotype" w:cs="Palatino Linotype"/>
          <w:sz w:val="22"/>
          <w:szCs w:val="22"/>
          <w:lang w:val="es-ES_tradnl"/>
        </w:rPr>
        <w:t xml:space="preserve"> Concejo Metropolitano</w:t>
      </w:r>
      <w:r w:rsidR="0061454D" w:rsidRPr="00535110">
        <w:rPr>
          <w:rFonts w:ascii="Palatino Linotype" w:eastAsia="Palatino Linotype" w:hAnsi="Palatino Linotype" w:cs="Palatino Linotype"/>
          <w:sz w:val="22"/>
          <w:szCs w:val="22"/>
          <w:lang w:val="es-ES_tradnl"/>
        </w:rPr>
        <w:t>, los proyectos que se hayan</w:t>
      </w:r>
      <w:r w:rsidR="0054085F" w:rsidRPr="00535110">
        <w:rPr>
          <w:rFonts w:ascii="Palatino Linotype" w:eastAsia="Palatino Linotype" w:hAnsi="Palatino Linotype" w:cs="Palatino Linotype"/>
          <w:sz w:val="22"/>
          <w:szCs w:val="22"/>
          <w:lang w:val="es-ES_tradnl"/>
        </w:rPr>
        <w:t xml:space="preserve"> aprobado bajo </w:t>
      </w:r>
      <w:r w:rsidRPr="00535110">
        <w:rPr>
          <w:rFonts w:ascii="Palatino Linotype" w:eastAsia="Palatino Linotype" w:hAnsi="Palatino Linotype" w:cs="Palatino Linotype"/>
          <w:sz w:val="22"/>
          <w:szCs w:val="22"/>
          <w:lang w:val="es-ES_tradnl"/>
        </w:rPr>
        <w:t>el presente Título</w:t>
      </w:r>
      <w:r w:rsidR="0054085F" w:rsidRPr="00535110">
        <w:rPr>
          <w:rFonts w:ascii="Palatino Linotype" w:eastAsia="Palatino Linotype" w:hAnsi="Palatino Linotype" w:cs="Palatino Linotype"/>
          <w:sz w:val="22"/>
          <w:szCs w:val="22"/>
          <w:lang w:val="es-ES_tradnl"/>
        </w:rPr>
        <w:t>, así como los valores cancelados e invertidos por concepto de Concesión Onerosa de Derechos. De igual forma</w:t>
      </w:r>
      <w:r w:rsidR="0061454D" w:rsidRPr="00535110">
        <w:rPr>
          <w:rFonts w:ascii="Palatino Linotype" w:eastAsia="Palatino Linotype" w:hAnsi="Palatino Linotype" w:cs="Palatino Linotype"/>
          <w:sz w:val="22"/>
          <w:szCs w:val="22"/>
          <w:lang w:val="es-ES_tradnl"/>
        </w:rPr>
        <w:t>,</w:t>
      </w:r>
      <w:r w:rsidR="0054085F" w:rsidRPr="00535110">
        <w:rPr>
          <w:rFonts w:ascii="Palatino Linotype" w:eastAsia="Palatino Linotype" w:hAnsi="Palatino Linotype" w:cs="Palatino Linotype"/>
          <w:sz w:val="22"/>
          <w:szCs w:val="22"/>
          <w:lang w:val="es-ES_tradnl"/>
        </w:rPr>
        <w:t xml:space="preserve"> la Agencia Metropolitana de Control informará los resultados de las inspecciones realizadas a los proyectos eco-eficientes.</w:t>
      </w:r>
    </w:p>
    <w:p w14:paraId="46A340E0" w14:textId="5F1219FC" w:rsidR="0054085F" w:rsidRPr="00535110" w:rsidRDefault="00644047"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lastRenderedPageBreak/>
        <w:t xml:space="preserve">Artículo IV.1.429.- </w:t>
      </w:r>
      <w:r w:rsidRPr="00535110">
        <w:rPr>
          <w:rFonts w:ascii="Palatino Linotype" w:eastAsia="Palatino Linotype" w:hAnsi="Palatino Linotype" w:cs="Palatino Linotype"/>
          <w:sz w:val="22"/>
          <w:szCs w:val="22"/>
          <w:lang w:val="es-ES_tradnl"/>
        </w:rPr>
        <w:t>Cuando un predio cuente con más de un valor de AIVA, para el cálculo de la concesión onerosa de derechos, se aplicará el valor de cada AIVA de manera proporcional a su participación en la superficie del predio. Para tales efectos, de ser necesario, se solicitará la delimitación del AIVA y determinación de superficies de AIVA en el predio, a la Dirección Metropolitana de Catastro.</w:t>
      </w:r>
      <w:r w:rsidR="002D5035" w:rsidRPr="00535110">
        <w:rPr>
          <w:rFonts w:ascii="Palatino Linotype" w:eastAsia="Palatino Linotype" w:hAnsi="Palatino Linotype" w:cs="Palatino Linotype"/>
          <w:sz w:val="22"/>
          <w:szCs w:val="22"/>
          <w:lang w:val="es-ES_tradnl"/>
        </w:rPr>
        <w:t>”</w:t>
      </w:r>
    </w:p>
    <w:p w14:paraId="2D8528D5" w14:textId="6148A2AA" w:rsidR="002D5035" w:rsidRPr="00535110" w:rsidRDefault="002D5035"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2.-</w:t>
      </w:r>
      <w:r w:rsidRPr="00535110">
        <w:rPr>
          <w:rFonts w:ascii="Palatino Linotype" w:eastAsia="Palatino Linotype" w:hAnsi="Palatino Linotype" w:cs="Palatino Linotype"/>
          <w:sz w:val="22"/>
          <w:szCs w:val="22"/>
          <w:lang w:val="es-ES_tradnl"/>
        </w:rPr>
        <w:t xml:space="preserve"> Sustitúyase el literal d) del artículo IV.1.96, “</w:t>
      </w:r>
      <w:r w:rsidRPr="00535110">
        <w:rPr>
          <w:rFonts w:ascii="Palatino Linotype" w:eastAsia="Palatino Linotype" w:hAnsi="Palatino Linotype" w:cs="Palatino Linotype"/>
          <w:i/>
          <w:sz w:val="22"/>
          <w:szCs w:val="22"/>
          <w:lang w:val="es-ES_tradnl"/>
        </w:rPr>
        <w:t xml:space="preserve">Ámbito de </w:t>
      </w:r>
      <w:proofErr w:type="gramStart"/>
      <w:r w:rsidRPr="00535110">
        <w:rPr>
          <w:rFonts w:ascii="Palatino Linotype" w:eastAsia="Palatino Linotype" w:hAnsi="Palatino Linotype" w:cs="Palatino Linotype"/>
          <w:i/>
          <w:sz w:val="22"/>
          <w:szCs w:val="22"/>
          <w:lang w:val="es-ES_tradnl"/>
        </w:rPr>
        <w:t>aplicación</w:t>
      </w:r>
      <w:r w:rsidRPr="00535110">
        <w:rPr>
          <w:rFonts w:ascii="Palatino Linotype" w:eastAsia="Palatino Linotype" w:hAnsi="Palatino Linotype" w:cs="Palatino Linotype"/>
          <w:sz w:val="22"/>
          <w:szCs w:val="22"/>
          <w:lang w:val="es-ES_tradnl"/>
        </w:rPr>
        <w:t>“</w:t>
      </w:r>
      <w:proofErr w:type="gramEnd"/>
      <w:r w:rsidRPr="00535110">
        <w:rPr>
          <w:rFonts w:ascii="Palatino Linotype" w:eastAsia="Palatino Linotype" w:hAnsi="Palatino Linotype" w:cs="Palatino Linotype"/>
          <w:sz w:val="22"/>
          <w:szCs w:val="22"/>
          <w:lang w:val="es-ES_tradnl"/>
        </w:rPr>
        <w:t xml:space="preserve">, del  Código Municipal, por el siguiente: </w:t>
      </w:r>
    </w:p>
    <w:p w14:paraId="00107889" w14:textId="44D8DEBC"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b/>
          <w:i/>
          <w:sz w:val="22"/>
          <w:szCs w:val="22"/>
          <w:lang w:val="es-ES_tradnl"/>
        </w:rPr>
        <w:t>d.</w:t>
      </w:r>
      <w:r w:rsidRPr="00535110">
        <w:rPr>
          <w:rFonts w:ascii="Palatino Linotype" w:eastAsia="Palatino Linotype" w:hAnsi="Palatino Linotype" w:cs="Palatino Linotype"/>
          <w:i/>
          <w:sz w:val="22"/>
          <w:szCs w:val="22"/>
          <w:lang w:val="es-ES_tradnl"/>
        </w:rPr>
        <w:t xml:space="preserve"> En proyectos eco-eficientes ubicados en las áreas de influencia del Sistema Metropolitano de Transporte, según lo determinado en el ordenamiento jurídico metropolitano.”</w:t>
      </w:r>
    </w:p>
    <w:p w14:paraId="1F65EC9C" w14:textId="791A4B0F" w:rsidR="002D5035" w:rsidRPr="00535110" w:rsidRDefault="002D5035"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3.-</w:t>
      </w:r>
      <w:r w:rsidRPr="00535110">
        <w:rPr>
          <w:rFonts w:ascii="Palatino Linotype" w:eastAsia="Palatino Linotype" w:hAnsi="Palatino Linotype" w:cs="Palatino Linotype"/>
          <w:sz w:val="22"/>
          <w:szCs w:val="22"/>
          <w:lang w:val="es-ES_tradnl"/>
        </w:rPr>
        <w:t xml:space="preserve"> Sustitúyase el artículo IV.1.99,</w:t>
      </w:r>
      <w:r w:rsidRPr="00535110">
        <w:rPr>
          <w:rFonts w:ascii="Palatino Linotype" w:eastAsia="Palatino Linotype" w:hAnsi="Palatino Linotype" w:cs="Palatino Linotype"/>
          <w:i/>
          <w:sz w:val="22"/>
          <w:szCs w:val="22"/>
          <w:lang w:val="es-ES_tradnl"/>
        </w:rPr>
        <w:t xml:space="preserve"> “Captación del incremento del valor del inmueble por suelo creado”</w:t>
      </w:r>
      <w:r w:rsidRPr="00535110">
        <w:rPr>
          <w:rFonts w:ascii="Palatino Linotype" w:eastAsia="Palatino Linotype" w:hAnsi="Palatino Linotype" w:cs="Palatino Linotype"/>
          <w:sz w:val="22"/>
          <w:szCs w:val="22"/>
          <w:lang w:val="es-ES_tradnl"/>
        </w:rPr>
        <w:t xml:space="preserve">, del Código Municipal, por el siguiente: </w:t>
      </w:r>
    </w:p>
    <w:p w14:paraId="4F068D4B" w14:textId="77777777"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b/>
          <w:i/>
          <w:sz w:val="22"/>
          <w:szCs w:val="22"/>
          <w:lang w:val="es-ES_tradnl"/>
        </w:rPr>
        <w:t>1.</w:t>
      </w:r>
      <w:r w:rsidRPr="00535110">
        <w:rPr>
          <w:rFonts w:ascii="Palatino Linotype" w:eastAsia="Palatino Linotype" w:hAnsi="Palatino Linotype" w:cs="Palatino Linotype"/>
          <w:i/>
          <w:sz w:val="22"/>
          <w:szCs w:val="22"/>
          <w:lang w:val="es-ES_tradnl"/>
        </w:rPr>
        <w:t xml:space="preserve"> El Municipio del Distrito Metropolitano de Quito captará el incremento del valor del inmueble no atribuible a su titular y derivado del Suelo Creado a través del pago de la concesión onerosa de derechos.</w:t>
      </w:r>
    </w:p>
    <w:p w14:paraId="1AD1752B" w14:textId="77777777"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b/>
          <w:i/>
          <w:sz w:val="22"/>
          <w:szCs w:val="22"/>
          <w:lang w:val="es-ES_tradnl"/>
        </w:rPr>
        <w:t xml:space="preserve">2. </w:t>
      </w:r>
      <w:r w:rsidRPr="00535110">
        <w:rPr>
          <w:rFonts w:ascii="Palatino Linotype" w:eastAsia="Palatino Linotype" w:hAnsi="Palatino Linotype" w:cs="Palatino Linotype"/>
          <w:i/>
          <w:sz w:val="22"/>
          <w:szCs w:val="22"/>
          <w:lang w:val="es-ES_tradnl"/>
        </w:rPr>
        <w:t>El pago de la concesión onerosa de derechos de que trata este artículo se realizará en dinero o en especie, según lo determinado en el ordenamiento jurídico metropolitano.</w:t>
      </w:r>
    </w:p>
    <w:p w14:paraId="469AD045" w14:textId="77777777"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En los casos de pago en especie, la Administración General del Municipio, suscribirá un convenio con el administrado, previa emisión de los informes técnicos correspondientes, en el que se determinará todas las condiciones aplicables al pago en especie.</w:t>
      </w:r>
    </w:p>
    <w:p w14:paraId="4E9FD88A" w14:textId="77777777"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b/>
          <w:i/>
          <w:sz w:val="22"/>
          <w:szCs w:val="22"/>
          <w:lang w:val="es-ES_tradnl"/>
        </w:rPr>
        <w:t>3.</w:t>
      </w:r>
      <w:r w:rsidRPr="00535110">
        <w:rPr>
          <w:rFonts w:ascii="Palatino Linotype" w:eastAsia="Palatino Linotype" w:hAnsi="Palatino Linotype" w:cs="Palatino Linotype"/>
          <w:i/>
          <w:sz w:val="22"/>
          <w:szCs w:val="22"/>
          <w:lang w:val="es-ES_tradnl"/>
        </w:rPr>
        <w:t xml:space="preserve"> El pago de la concesión onerosa de derechos no suple el cumplimiento de las cesiones ni de las obligaciones urbanísticas, ni pueden confundirse con éstas.”</w:t>
      </w:r>
    </w:p>
    <w:p w14:paraId="572BFC13" w14:textId="2B94C4B0"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4</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En el numeral 2 del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rtículo IV.1.100 del Código Municipal, sustitúyase la frase: “</w:t>
      </w:r>
      <w:r w:rsidR="002D5035" w:rsidRPr="00535110">
        <w:rPr>
          <w:rFonts w:ascii="Palatino Linotype" w:eastAsia="Palatino Linotype" w:hAnsi="Palatino Linotype" w:cs="Palatino Linotype"/>
          <w:i/>
          <w:sz w:val="22"/>
          <w:szCs w:val="22"/>
          <w:lang w:val="es-ES_tradnl"/>
        </w:rPr>
        <w:t>contribución especial para la captación del incremento del valor del inmueble por Suelo Creado</w:t>
      </w:r>
      <w:r w:rsidR="002D5035" w:rsidRPr="00535110">
        <w:rPr>
          <w:rFonts w:ascii="Palatino Linotype" w:eastAsia="Palatino Linotype" w:hAnsi="Palatino Linotype" w:cs="Palatino Linotype"/>
          <w:sz w:val="22"/>
          <w:szCs w:val="22"/>
          <w:lang w:val="es-ES_tradnl"/>
        </w:rPr>
        <w:t>” por “</w:t>
      </w:r>
      <w:r w:rsidR="002D5035" w:rsidRPr="00535110">
        <w:rPr>
          <w:rFonts w:ascii="Palatino Linotype" w:eastAsia="Palatino Linotype" w:hAnsi="Palatino Linotype" w:cs="Palatino Linotype"/>
          <w:i/>
          <w:sz w:val="22"/>
          <w:szCs w:val="22"/>
          <w:lang w:val="es-ES_tradnl"/>
        </w:rPr>
        <w:t>concesión onerosa de derechos por suelo creado</w:t>
      </w:r>
      <w:r w:rsidR="002D5035" w:rsidRPr="00535110">
        <w:rPr>
          <w:rFonts w:ascii="Palatino Linotype" w:eastAsia="Palatino Linotype" w:hAnsi="Palatino Linotype" w:cs="Palatino Linotype"/>
          <w:sz w:val="22"/>
          <w:szCs w:val="22"/>
          <w:lang w:val="es-ES_tradnl"/>
        </w:rPr>
        <w:t>”.</w:t>
      </w:r>
    </w:p>
    <w:p w14:paraId="358FB1A8" w14:textId="1A259487"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5</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Sustitúyase el numeral 3 del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 xml:space="preserve">rtículo IV.1.100 del Código Municipal, por el siguiente: </w:t>
      </w:r>
    </w:p>
    <w:p w14:paraId="509215F9" w14:textId="751165FB"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w:t>
      </w:r>
      <w:r w:rsidR="00E83688" w:rsidRPr="00535110">
        <w:rPr>
          <w:rFonts w:ascii="Palatino Linotype" w:eastAsia="Palatino Linotype" w:hAnsi="Palatino Linotype" w:cs="Palatino Linotype"/>
          <w:b/>
          <w:i/>
          <w:sz w:val="22"/>
          <w:szCs w:val="22"/>
          <w:lang w:val="es-ES_tradnl"/>
        </w:rPr>
        <w:t xml:space="preserve">3. </w:t>
      </w:r>
      <w:r w:rsidRPr="00535110">
        <w:rPr>
          <w:rFonts w:ascii="Palatino Linotype" w:eastAsia="Palatino Linotype" w:hAnsi="Palatino Linotype" w:cs="Palatino Linotype"/>
          <w:i/>
          <w:sz w:val="22"/>
          <w:szCs w:val="22"/>
          <w:lang w:val="es-ES_tradnl"/>
        </w:rPr>
        <w:t xml:space="preserve">Se sujetarán al procedimiento administrativo especial las solicitudes de incremento del número de pisos que paguen la concesión onerosa de derechos en especie, así como las solicitudes relativas a los proyectos previstos en el literal b) del artículo IV.1.96 relativo al ámbito de aplicación del incremento de pisos en el Distrito Metropolitano de Quito.” </w:t>
      </w:r>
    </w:p>
    <w:p w14:paraId="39364C73" w14:textId="3015029A"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6</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Sustitúyase el numeral 2 del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rtículo IV.1.101</w:t>
      </w:r>
      <w:r w:rsidR="002D5035" w:rsidRPr="00535110">
        <w:rPr>
          <w:rFonts w:ascii="Palatino Linotype" w:hAnsi="Palatino Linotype" w:cs="Arial"/>
          <w:b/>
          <w:sz w:val="22"/>
          <w:szCs w:val="22"/>
          <w:lang w:val="es-ES_tradnl"/>
        </w:rPr>
        <w:t xml:space="preserve"> </w:t>
      </w:r>
      <w:r w:rsidR="002D5035" w:rsidRPr="00535110">
        <w:rPr>
          <w:rFonts w:ascii="Palatino Linotype" w:eastAsia="Palatino Linotype" w:hAnsi="Palatino Linotype" w:cs="Palatino Linotype"/>
          <w:sz w:val="22"/>
          <w:szCs w:val="22"/>
          <w:lang w:val="es-ES_tradnl"/>
        </w:rPr>
        <w:t xml:space="preserve">del Código Municipal, por el siguiente: </w:t>
      </w:r>
    </w:p>
    <w:p w14:paraId="215E128A" w14:textId="05AFB9F7"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lastRenderedPageBreak/>
        <w:t>“</w:t>
      </w:r>
      <w:r w:rsidR="00E83688" w:rsidRPr="00535110">
        <w:rPr>
          <w:rFonts w:ascii="Palatino Linotype" w:eastAsia="Palatino Linotype" w:hAnsi="Palatino Linotype" w:cs="Palatino Linotype"/>
          <w:b/>
          <w:i/>
          <w:sz w:val="22"/>
          <w:szCs w:val="22"/>
          <w:lang w:val="es-ES_tradnl"/>
        </w:rPr>
        <w:t xml:space="preserve">2. </w:t>
      </w:r>
      <w:r w:rsidRPr="00535110">
        <w:rPr>
          <w:rFonts w:ascii="Palatino Linotype" w:eastAsia="Palatino Linotype" w:hAnsi="Palatino Linotype" w:cs="Palatino Linotype"/>
          <w:i/>
          <w:sz w:val="22"/>
          <w:szCs w:val="22"/>
          <w:lang w:val="es-ES_tradnl"/>
        </w:rPr>
        <w:t xml:space="preserve">El administrado presentará a la Autoridad Administrativa Competente la solicitud de pago de la concesión onerosa de derechos por suelo creado, en dinero o especie, en el formulario normalizado determinado vía Resolución Administrativa”. </w:t>
      </w:r>
    </w:p>
    <w:p w14:paraId="00E1798D" w14:textId="4470C7DF"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7</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En los literales b) y e) del numeral 1 del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rtículo IV.1.102 de</w:t>
      </w:r>
      <w:r w:rsidRPr="00535110">
        <w:rPr>
          <w:rFonts w:ascii="Palatino Linotype" w:eastAsia="Palatino Linotype" w:hAnsi="Palatino Linotype" w:cs="Palatino Linotype"/>
          <w:sz w:val="22"/>
          <w:szCs w:val="22"/>
          <w:lang w:val="es-ES_tradnl"/>
        </w:rPr>
        <w:t>l Código Municipal</w:t>
      </w:r>
      <w:r w:rsidR="002D5035" w:rsidRPr="00535110">
        <w:rPr>
          <w:rFonts w:ascii="Palatino Linotype" w:eastAsia="Palatino Linotype" w:hAnsi="Palatino Linotype" w:cs="Palatino Linotype"/>
          <w:sz w:val="22"/>
          <w:szCs w:val="22"/>
          <w:lang w:val="es-ES_tradnl"/>
        </w:rPr>
        <w:t>, sustitúyase la frase “</w:t>
      </w:r>
      <w:r w:rsidR="002D5035" w:rsidRPr="00535110">
        <w:rPr>
          <w:rFonts w:ascii="Palatino Linotype" w:eastAsia="Palatino Linotype" w:hAnsi="Palatino Linotype" w:cs="Palatino Linotype"/>
          <w:i/>
          <w:sz w:val="22"/>
          <w:szCs w:val="22"/>
          <w:lang w:val="es-ES_tradnl"/>
        </w:rPr>
        <w:t>contribución especial para la captación del incremento del valor del inmueble por Suelo Creado</w:t>
      </w:r>
      <w:r w:rsidR="002D5035" w:rsidRPr="00535110">
        <w:rPr>
          <w:rFonts w:ascii="Palatino Linotype" w:eastAsia="Palatino Linotype" w:hAnsi="Palatino Linotype" w:cs="Palatino Linotype"/>
          <w:sz w:val="22"/>
          <w:szCs w:val="22"/>
          <w:lang w:val="es-ES_tradnl"/>
        </w:rPr>
        <w:t>” por “</w:t>
      </w:r>
      <w:r w:rsidR="002D5035" w:rsidRPr="00535110">
        <w:rPr>
          <w:rFonts w:ascii="Palatino Linotype" w:eastAsia="Palatino Linotype" w:hAnsi="Palatino Linotype" w:cs="Palatino Linotype"/>
          <w:i/>
          <w:sz w:val="22"/>
          <w:szCs w:val="22"/>
          <w:lang w:val="es-ES_tradnl"/>
        </w:rPr>
        <w:t>concesión onerosa de derechos por suelo creado</w:t>
      </w:r>
      <w:r w:rsidR="002D5035" w:rsidRPr="00535110">
        <w:rPr>
          <w:rFonts w:ascii="Palatino Linotype" w:eastAsia="Palatino Linotype" w:hAnsi="Palatino Linotype" w:cs="Palatino Linotype"/>
          <w:sz w:val="22"/>
          <w:szCs w:val="22"/>
          <w:lang w:val="es-ES_tradnl"/>
        </w:rPr>
        <w:t>”.</w:t>
      </w:r>
    </w:p>
    <w:p w14:paraId="6B8E5AF4" w14:textId="7359D8B8"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8</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En el literal c) del numeral 1 del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rtículo IV.1.102. del Código Municipal, sustitúyase la frase “</w:t>
      </w:r>
      <w:r w:rsidR="002D5035" w:rsidRPr="00535110">
        <w:rPr>
          <w:rFonts w:ascii="Palatino Linotype" w:eastAsia="Palatino Linotype" w:hAnsi="Palatino Linotype" w:cs="Palatino Linotype"/>
          <w:i/>
          <w:sz w:val="22"/>
          <w:szCs w:val="22"/>
          <w:lang w:val="es-ES_tradnl"/>
        </w:rPr>
        <w:t>contribución especial</w:t>
      </w:r>
      <w:r w:rsidR="002D5035" w:rsidRPr="00535110">
        <w:rPr>
          <w:rFonts w:ascii="Palatino Linotype" w:eastAsia="Palatino Linotype" w:hAnsi="Palatino Linotype" w:cs="Palatino Linotype"/>
          <w:sz w:val="22"/>
          <w:szCs w:val="22"/>
          <w:lang w:val="es-ES_tradnl"/>
        </w:rPr>
        <w:t>” por “</w:t>
      </w:r>
      <w:r w:rsidR="002D5035" w:rsidRPr="00535110">
        <w:rPr>
          <w:rFonts w:ascii="Palatino Linotype" w:eastAsia="Palatino Linotype" w:hAnsi="Palatino Linotype" w:cs="Palatino Linotype"/>
          <w:i/>
          <w:sz w:val="22"/>
          <w:szCs w:val="22"/>
          <w:lang w:val="es-ES_tradnl"/>
        </w:rPr>
        <w:t>concesión onerosa de derechos por suelo creado</w:t>
      </w:r>
      <w:r w:rsidR="002D5035" w:rsidRPr="00535110">
        <w:rPr>
          <w:rFonts w:ascii="Palatino Linotype" w:eastAsia="Palatino Linotype" w:hAnsi="Palatino Linotype" w:cs="Palatino Linotype"/>
          <w:sz w:val="22"/>
          <w:szCs w:val="22"/>
          <w:lang w:val="es-ES_tradnl"/>
        </w:rPr>
        <w:t>”.</w:t>
      </w:r>
    </w:p>
    <w:p w14:paraId="0901876E" w14:textId="7C9CCFD4"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9</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Sustitúyase el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 xml:space="preserve">rtículo IV.1.103, del Código Municipal, por el siguiente: </w:t>
      </w:r>
    </w:p>
    <w:p w14:paraId="3405DE14" w14:textId="77777777" w:rsidR="002D5035" w:rsidRPr="00535110" w:rsidRDefault="002D5035" w:rsidP="002D5035">
      <w:pPr>
        <w:spacing w:after="120" w:line="276" w:lineRule="auto"/>
        <w:ind w:left="360"/>
        <w:jc w:val="both"/>
        <w:rPr>
          <w:rFonts w:ascii="Palatino Linotype" w:eastAsia="Palatino Linotype" w:hAnsi="Palatino Linotype" w:cs="Palatino Linotype"/>
          <w:b/>
          <w:i/>
          <w:sz w:val="22"/>
          <w:szCs w:val="22"/>
          <w:lang w:val="es-ES_tradnl"/>
        </w:rPr>
      </w:pPr>
      <w:r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b/>
          <w:i/>
          <w:sz w:val="22"/>
          <w:szCs w:val="22"/>
          <w:lang w:val="es-ES_tradnl"/>
        </w:rPr>
        <w:t xml:space="preserve">Artículo IV.1. 103.- Procedimiento Administrativo </w:t>
      </w:r>
      <w:proofErr w:type="gramStart"/>
      <w:r w:rsidRPr="00535110">
        <w:rPr>
          <w:rFonts w:ascii="Palatino Linotype" w:eastAsia="Palatino Linotype" w:hAnsi="Palatino Linotype" w:cs="Palatino Linotype"/>
          <w:b/>
          <w:i/>
          <w:sz w:val="22"/>
          <w:szCs w:val="22"/>
          <w:lang w:val="es-ES_tradnl"/>
        </w:rPr>
        <w:t>Especial.-</w:t>
      </w:r>
      <w:proofErr w:type="gramEnd"/>
      <w:r w:rsidRPr="00535110">
        <w:rPr>
          <w:rFonts w:ascii="Palatino Linotype" w:eastAsia="Palatino Linotype" w:hAnsi="Palatino Linotype" w:cs="Palatino Linotype"/>
          <w:b/>
          <w:i/>
          <w:sz w:val="22"/>
          <w:szCs w:val="22"/>
          <w:lang w:val="es-ES_tradnl"/>
        </w:rPr>
        <w:t xml:space="preserve"> </w:t>
      </w:r>
    </w:p>
    <w:p w14:paraId="17D7F403" w14:textId="56060762" w:rsidR="002D5035" w:rsidRPr="00535110" w:rsidRDefault="00E83688" w:rsidP="00E83688">
      <w:pPr>
        <w:spacing w:after="120" w:line="276" w:lineRule="auto"/>
        <w:ind w:left="360"/>
        <w:jc w:val="both"/>
        <w:rPr>
          <w:rFonts w:ascii="Palatino Linotype" w:eastAsia="Palatino Linotype" w:hAnsi="Palatino Linotype" w:cs="Palatino Linotype"/>
          <w:i/>
          <w:color w:val="000000"/>
          <w:sz w:val="22"/>
          <w:szCs w:val="22"/>
          <w:lang w:val="es-ES_tradnl"/>
        </w:rPr>
      </w:pPr>
      <w:r w:rsidRPr="00535110">
        <w:rPr>
          <w:rFonts w:ascii="Palatino Linotype" w:eastAsia="Palatino Linotype" w:hAnsi="Palatino Linotype" w:cs="Palatino Linotype"/>
          <w:b/>
          <w:i/>
          <w:color w:val="000000"/>
          <w:sz w:val="22"/>
          <w:szCs w:val="22"/>
          <w:lang w:val="es-ES_tradnl"/>
        </w:rPr>
        <w:t xml:space="preserve">1. </w:t>
      </w:r>
      <w:r w:rsidR="002D5035" w:rsidRPr="00535110">
        <w:rPr>
          <w:rFonts w:ascii="Palatino Linotype" w:eastAsia="Palatino Linotype" w:hAnsi="Palatino Linotype" w:cs="Palatino Linotype"/>
          <w:i/>
          <w:color w:val="000000"/>
          <w:sz w:val="22"/>
          <w:szCs w:val="22"/>
          <w:lang w:val="es-ES_tradnl"/>
        </w:rPr>
        <w:t>En el caso de las solicitudes de incremento de número de pisos a través del pago en especie de la concesión onerosa de derechos, sujetas al procedimiento especial, la Autoridad Administrativa Competente emitirá la autorización para suelo creado condicionada a la suscripción de un convenio con el administrado, que se agregará a la solicitud de la Licencia Metropolitana Urbanística de Edificación.</w:t>
      </w:r>
    </w:p>
    <w:p w14:paraId="1D423241" w14:textId="77777777" w:rsidR="00E83688" w:rsidRPr="00535110" w:rsidRDefault="002D5035" w:rsidP="00E83688">
      <w:pPr>
        <w:spacing w:after="120" w:line="276" w:lineRule="auto"/>
        <w:ind w:left="360"/>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En caso de incumplimiento de los convenios de los que trata este numeral, la Autoridad Administrativa Competente dispondrá el pago inmediato de la concesión onerosa de derechos que corresponda.</w:t>
      </w:r>
    </w:p>
    <w:p w14:paraId="0F6144E2" w14:textId="28418147" w:rsidR="00E83688" w:rsidRPr="00535110" w:rsidRDefault="00E83688" w:rsidP="00E83688">
      <w:pPr>
        <w:spacing w:after="120" w:line="276" w:lineRule="auto"/>
        <w:ind w:left="360"/>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b/>
          <w:i/>
          <w:sz w:val="22"/>
          <w:szCs w:val="22"/>
          <w:lang w:val="es-ES_tradnl"/>
        </w:rPr>
        <w:t xml:space="preserve">2. </w:t>
      </w:r>
      <w:r w:rsidR="002D5035" w:rsidRPr="00535110">
        <w:rPr>
          <w:rFonts w:ascii="Palatino Linotype" w:eastAsia="Palatino Linotype" w:hAnsi="Palatino Linotype" w:cs="Palatino Linotype"/>
          <w:i/>
          <w:color w:val="000000"/>
          <w:sz w:val="22"/>
          <w:szCs w:val="22"/>
          <w:lang w:val="es-ES_tradnl"/>
        </w:rPr>
        <w:t xml:space="preserve">En el caso de las solicitudes de incremento de número de pisos a través del pago de la concesión onerosa de derechos, en dinero o en especie, relativas a los proyectos previstos en el literal b) del numeral 1 del </w:t>
      </w:r>
      <w:r w:rsidRPr="00535110">
        <w:rPr>
          <w:rFonts w:ascii="Palatino Linotype" w:eastAsia="Palatino Linotype" w:hAnsi="Palatino Linotype" w:cs="Palatino Linotype"/>
          <w:i/>
          <w:color w:val="000000"/>
          <w:sz w:val="22"/>
          <w:szCs w:val="22"/>
          <w:lang w:val="es-ES_tradnl"/>
        </w:rPr>
        <w:t>a</w:t>
      </w:r>
      <w:r w:rsidR="002D5035" w:rsidRPr="00535110">
        <w:rPr>
          <w:rFonts w:ascii="Palatino Linotype" w:eastAsia="Palatino Linotype" w:hAnsi="Palatino Linotype" w:cs="Palatino Linotype"/>
          <w:i/>
          <w:color w:val="000000"/>
          <w:sz w:val="22"/>
          <w:szCs w:val="22"/>
          <w:lang w:val="es-ES_tradnl"/>
        </w:rPr>
        <w:t>rtículo IV.1.96, relativo al ámbito de aplicación del incremento de pisos en el Distrito Metropolitano de Quito, la Autoridad Administrativa Competente emitirá el informe para aprobación del Concejo Metropolitano de Quito, efectuando las recomendaciones técnicas que se consideren aplicables al caso, previa expedición de la respectiva ordenanza.</w:t>
      </w:r>
    </w:p>
    <w:p w14:paraId="057E0200" w14:textId="755C06EC" w:rsidR="00E83688" w:rsidRPr="00535110" w:rsidRDefault="00E83688" w:rsidP="00E83688">
      <w:pPr>
        <w:spacing w:after="120" w:line="276" w:lineRule="auto"/>
        <w:ind w:left="360"/>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b/>
          <w:i/>
          <w:sz w:val="22"/>
          <w:szCs w:val="22"/>
          <w:lang w:val="es-ES_tradnl"/>
        </w:rPr>
        <w:t>3.</w:t>
      </w:r>
      <w:r w:rsidRPr="00535110">
        <w:rPr>
          <w:rFonts w:ascii="Palatino Linotype" w:eastAsia="Palatino Linotype" w:hAnsi="Palatino Linotype" w:cs="Palatino Linotype"/>
          <w:i/>
          <w:sz w:val="22"/>
          <w:szCs w:val="22"/>
          <w:lang w:val="es-ES_tradnl"/>
        </w:rPr>
        <w:t xml:space="preserve"> </w:t>
      </w:r>
      <w:r w:rsidR="002D5035" w:rsidRPr="00535110">
        <w:rPr>
          <w:rFonts w:ascii="Palatino Linotype" w:eastAsia="Palatino Linotype" w:hAnsi="Palatino Linotype" w:cs="Palatino Linotype"/>
          <w:i/>
          <w:color w:val="000000"/>
          <w:sz w:val="22"/>
          <w:szCs w:val="22"/>
          <w:lang w:val="es-ES_tradnl"/>
        </w:rPr>
        <w:t>En el caso de las solicitudes de incremento de número de pisos a través del pago de la concesión onerosa de derechos relativa a los proyectos previstos el literal c</w:t>
      </w:r>
      <w:r w:rsidRPr="00535110">
        <w:rPr>
          <w:rFonts w:ascii="Palatino Linotype" w:eastAsia="Palatino Linotype" w:hAnsi="Palatino Linotype" w:cs="Palatino Linotype"/>
          <w:i/>
          <w:color w:val="000000"/>
          <w:sz w:val="22"/>
          <w:szCs w:val="22"/>
          <w:lang w:val="es-ES_tradnl"/>
        </w:rPr>
        <w:t>)</w:t>
      </w:r>
      <w:r w:rsidR="002D5035" w:rsidRPr="00535110">
        <w:rPr>
          <w:rFonts w:ascii="Palatino Linotype" w:eastAsia="Palatino Linotype" w:hAnsi="Palatino Linotype" w:cs="Palatino Linotype"/>
          <w:i/>
          <w:color w:val="000000"/>
          <w:sz w:val="22"/>
          <w:szCs w:val="22"/>
          <w:lang w:val="es-ES_tradnl"/>
        </w:rPr>
        <w:t xml:space="preserve"> del </w:t>
      </w:r>
      <w:r w:rsidRPr="00535110">
        <w:rPr>
          <w:rFonts w:ascii="Palatino Linotype" w:eastAsia="Palatino Linotype" w:hAnsi="Palatino Linotype" w:cs="Palatino Linotype"/>
          <w:i/>
          <w:color w:val="000000"/>
          <w:sz w:val="22"/>
          <w:szCs w:val="22"/>
          <w:lang w:val="es-ES_tradnl"/>
        </w:rPr>
        <w:t>a</w:t>
      </w:r>
      <w:r w:rsidR="002D5035" w:rsidRPr="00535110">
        <w:rPr>
          <w:rFonts w:ascii="Palatino Linotype" w:eastAsia="Palatino Linotype" w:hAnsi="Palatino Linotype" w:cs="Palatino Linotype"/>
          <w:i/>
          <w:color w:val="000000"/>
          <w:sz w:val="22"/>
          <w:szCs w:val="22"/>
          <w:lang w:val="es-ES_tradnl"/>
        </w:rPr>
        <w:t>rtículo IV.1.96, relativo al ámbito de aplicación del incremento de pisos en el Distrito Metropolitano de Quito, la Autoridad Administrativa Competente emitirá la autorización para suelo creado especificando los metros cuadrados útiles adicionales autorizados para el proyecto, en virtud de la calificación obtenida en función de los parámetros de la Matriz de Eco-eficiencia, según lo determinado en el ordenamiento jurídico metropolitano.</w:t>
      </w:r>
    </w:p>
    <w:p w14:paraId="673884B9" w14:textId="1B6B7BED" w:rsidR="002D5035" w:rsidRPr="00535110" w:rsidRDefault="002D5035" w:rsidP="00E83688">
      <w:pPr>
        <w:spacing w:after="120" w:line="276" w:lineRule="auto"/>
        <w:ind w:left="360"/>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color w:val="000000"/>
          <w:sz w:val="22"/>
          <w:szCs w:val="22"/>
          <w:lang w:val="es-ES_tradnl"/>
        </w:rPr>
        <w:lastRenderedPageBreak/>
        <w:t>La autorización de la Autoridad Administrativa competente, en conjunto con el comprobante de pago en dinero o el convenio de pago en especie, se adjuntarán obligatoriamente a la solicitud de la Licencia Metropolitana Urbanística de Edificación.”</w:t>
      </w:r>
    </w:p>
    <w:p w14:paraId="4206CB49" w14:textId="239EA1F9"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10</w:t>
      </w:r>
      <w:r w:rsidR="002D5035" w:rsidRPr="00535110">
        <w:rPr>
          <w:rFonts w:ascii="Palatino Linotype" w:eastAsia="Palatino Linotype" w:hAnsi="Palatino Linotype" w:cs="Palatino Linotype"/>
          <w:b/>
          <w:sz w:val="22"/>
          <w:szCs w:val="22"/>
          <w:lang w:val="es-ES_tradnl"/>
        </w:rPr>
        <w:t xml:space="preserve">.- </w:t>
      </w:r>
      <w:r w:rsidR="002D5035" w:rsidRPr="00535110">
        <w:rPr>
          <w:rFonts w:ascii="Palatino Linotype" w:eastAsia="Palatino Linotype" w:hAnsi="Palatino Linotype" w:cs="Palatino Linotype"/>
          <w:sz w:val="22"/>
          <w:szCs w:val="22"/>
          <w:lang w:val="es-ES_tradnl"/>
        </w:rPr>
        <w:t>Incorpórese en las notas constantes al pie del cuadro No. 7</w:t>
      </w:r>
      <w:r w:rsidRPr="00535110">
        <w:rPr>
          <w:rFonts w:ascii="Palatino Linotype" w:eastAsia="Palatino Linotype" w:hAnsi="Palatino Linotype" w:cs="Palatino Linotype"/>
          <w:sz w:val="22"/>
          <w:szCs w:val="22"/>
          <w:lang w:val="es-ES_tradnl"/>
        </w:rPr>
        <w:t>,</w:t>
      </w:r>
      <w:r w:rsidR="002D5035" w:rsidRPr="00535110">
        <w:rPr>
          <w:rFonts w:ascii="Palatino Linotype" w:eastAsia="Palatino Linotype" w:hAnsi="Palatino Linotype" w:cs="Palatino Linotype"/>
          <w:sz w:val="22"/>
          <w:szCs w:val="22"/>
          <w:lang w:val="es-ES_tradnl"/>
        </w:rPr>
        <w:t xml:space="preserve"> Requerimiento mínimo de estacionamientos de vehículos livianos por usos (2), de la viñeta “Cálculo del número de estacionamiento”, del documento Anexo Libro IV, del Título I del Régimen Administrativo del Suelo (Anexo a la Ordenanza Metropolitana 172 </w:t>
      </w:r>
      <w:r w:rsidRPr="00535110">
        <w:rPr>
          <w:rFonts w:ascii="Palatino Linotype" w:eastAsia="Palatino Linotype" w:hAnsi="Palatino Linotype" w:cs="Palatino Linotype"/>
          <w:sz w:val="22"/>
          <w:szCs w:val="22"/>
          <w:lang w:val="es-ES_tradnl"/>
        </w:rPr>
        <w:t xml:space="preserve">No. </w:t>
      </w:r>
      <w:r w:rsidR="002D5035" w:rsidRPr="00535110">
        <w:rPr>
          <w:rFonts w:ascii="Palatino Linotype" w:eastAsia="Palatino Linotype" w:hAnsi="Palatino Linotype" w:cs="Palatino Linotype"/>
          <w:sz w:val="22"/>
          <w:szCs w:val="22"/>
          <w:lang w:val="es-ES_tradnl"/>
        </w:rPr>
        <w:t>del 30 de diciembre de 2011), Código RT-AU Anexo, la siguiente nota:</w:t>
      </w:r>
    </w:p>
    <w:p w14:paraId="4C8D4D78" w14:textId="08300F1A"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b/>
          <w:i/>
          <w:sz w:val="22"/>
          <w:szCs w:val="22"/>
          <w:lang w:val="es-ES_tradnl"/>
        </w:rPr>
        <w:t>9</w:t>
      </w:r>
      <w:r w:rsidR="00E83688" w:rsidRPr="00535110">
        <w:rPr>
          <w:rFonts w:ascii="Palatino Linotype" w:eastAsia="Palatino Linotype" w:hAnsi="Palatino Linotype" w:cs="Palatino Linotype"/>
          <w:b/>
          <w:i/>
          <w:sz w:val="22"/>
          <w:szCs w:val="22"/>
          <w:lang w:val="es-ES_tradnl"/>
        </w:rPr>
        <w:t>.</w:t>
      </w:r>
      <w:r w:rsidRPr="00535110">
        <w:rPr>
          <w:rFonts w:ascii="Palatino Linotype" w:eastAsia="Palatino Linotype" w:hAnsi="Palatino Linotype" w:cs="Palatino Linotype"/>
          <w:i/>
          <w:sz w:val="22"/>
          <w:szCs w:val="22"/>
          <w:lang w:val="es-ES_tradnl"/>
        </w:rPr>
        <w:t xml:space="preserve"> Los proyectos a desarrollarse en lotes comprendidos en las áreas de influencia del Sistema Metropolitano de Transporte según el mapa contenido en el Anexo No. 1 de</w:t>
      </w:r>
      <w:r w:rsidR="00E83688" w:rsidRPr="00535110">
        <w:rPr>
          <w:rFonts w:ascii="Palatino Linotype" w:eastAsia="Palatino Linotype" w:hAnsi="Palatino Linotype" w:cs="Palatino Linotype"/>
          <w:i/>
          <w:sz w:val="22"/>
          <w:szCs w:val="22"/>
          <w:lang w:val="es-ES_tradnl"/>
        </w:rPr>
        <w:t>l presente Título</w:t>
      </w:r>
      <w:r w:rsidRPr="00535110">
        <w:rPr>
          <w:rFonts w:ascii="Palatino Linotype" w:eastAsia="Palatino Linotype" w:hAnsi="Palatino Linotype" w:cs="Palatino Linotype"/>
          <w:i/>
          <w:sz w:val="22"/>
          <w:szCs w:val="22"/>
          <w:lang w:val="es-ES_tradnl"/>
        </w:rPr>
        <w:t>, deberán calcular el número de estacionamientos observando las siguientes condiciones:</w:t>
      </w:r>
    </w:p>
    <w:p w14:paraId="63E1E25D" w14:textId="45A14B06" w:rsidR="002D5035" w:rsidRPr="00535110" w:rsidRDefault="00E83688" w:rsidP="00E83688">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b/>
          <w:i/>
          <w:sz w:val="22"/>
          <w:szCs w:val="22"/>
          <w:lang w:val="es-ES_tradnl"/>
        </w:rPr>
        <w:t xml:space="preserve">a. </w:t>
      </w:r>
      <w:r w:rsidR="002D5035" w:rsidRPr="00535110">
        <w:rPr>
          <w:rFonts w:ascii="Palatino Linotype" w:eastAsia="Palatino Linotype" w:hAnsi="Palatino Linotype" w:cs="Palatino Linotype"/>
          <w:i/>
          <w:sz w:val="22"/>
          <w:szCs w:val="22"/>
          <w:lang w:val="es-ES_tradnl"/>
        </w:rPr>
        <w:t xml:space="preserve">Para los proyectos con uso residencial y de oficinas, comprendidos en los polígonos correspondientes a las áreas de influencia de las estaciones del Metro de Quito, el número máximo de estacionamientos no podrá superar al requerimiento del número mínimo de estacionamientos previstos en este cuadro, con una tolerancia adicional del 15% únicamente para el área destinada a residencia. </w:t>
      </w:r>
    </w:p>
    <w:p w14:paraId="6BB5E798" w14:textId="0A89B973" w:rsidR="002D5035" w:rsidRPr="00535110" w:rsidRDefault="00E83688" w:rsidP="00E83688">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b/>
          <w:i/>
          <w:sz w:val="22"/>
          <w:szCs w:val="22"/>
          <w:lang w:val="es-ES_tradnl"/>
        </w:rPr>
        <w:t xml:space="preserve">b. </w:t>
      </w:r>
      <w:r w:rsidR="002D5035" w:rsidRPr="00535110">
        <w:rPr>
          <w:rFonts w:ascii="Palatino Linotype" w:eastAsia="Palatino Linotype" w:hAnsi="Palatino Linotype" w:cs="Palatino Linotype"/>
          <w:i/>
          <w:sz w:val="22"/>
          <w:szCs w:val="22"/>
          <w:lang w:val="es-ES_tradnl"/>
        </w:rPr>
        <w:t>Para los proyectos con uso residencial y de oficinas, comprendidos en los polígonos correspondientes a las áreas de influencia de las paradas de BRT, el número máximo de estacionamientos no podrá superar al requerimiento del número mínimo de estacionamientos previstos en este cuadro con una tolerancia adicional del 30%, únicamente para el área destinada a residencia.</w:t>
      </w:r>
    </w:p>
    <w:p w14:paraId="79A551C7" w14:textId="6058AC98" w:rsidR="002D5035" w:rsidRPr="00535110" w:rsidRDefault="002D5035" w:rsidP="002D5035">
      <w:pPr>
        <w:spacing w:after="120" w:line="276" w:lineRule="auto"/>
        <w:ind w:left="708"/>
        <w:jc w:val="both"/>
        <w:rPr>
          <w:rFonts w:ascii="Palatino Linotype" w:eastAsia="Palatino Linotype" w:hAnsi="Palatino Linotype" w:cs="Palatino Linotype"/>
          <w:i/>
          <w:sz w:val="22"/>
          <w:szCs w:val="22"/>
          <w:lang w:val="es-ES_tradnl"/>
        </w:rPr>
      </w:pPr>
      <w:r w:rsidRPr="00535110">
        <w:rPr>
          <w:rFonts w:ascii="Palatino Linotype" w:eastAsia="Palatino Linotype" w:hAnsi="Palatino Linotype" w:cs="Palatino Linotype"/>
          <w:i/>
          <w:sz w:val="22"/>
          <w:szCs w:val="22"/>
          <w:lang w:val="es-ES_tradnl"/>
        </w:rPr>
        <w:t>Los proyectos eco-eficientes podrán reducir o incluso eliminar el número de estacionamientos previstos en esta nota, sin perjuicio de beneficiarse del puntaje que pudieren obtener por este efecto en la calificación de este parámetro en la matriz de eco-ef</w:t>
      </w:r>
      <w:r w:rsidR="00E83688" w:rsidRPr="00535110">
        <w:rPr>
          <w:rFonts w:ascii="Palatino Linotype" w:eastAsia="Palatino Linotype" w:hAnsi="Palatino Linotype" w:cs="Palatino Linotype"/>
          <w:i/>
          <w:sz w:val="22"/>
          <w:szCs w:val="22"/>
          <w:lang w:val="es-ES_tradnl"/>
        </w:rPr>
        <w:t xml:space="preserve">iciencia prevista para evaluar </w:t>
      </w:r>
      <w:r w:rsidRPr="00535110">
        <w:rPr>
          <w:rFonts w:ascii="Palatino Linotype" w:eastAsia="Palatino Linotype" w:hAnsi="Palatino Linotype" w:cs="Palatino Linotype"/>
          <w:i/>
          <w:sz w:val="22"/>
          <w:szCs w:val="22"/>
          <w:lang w:val="es-ES_tradnl"/>
        </w:rPr>
        <w:t>dichos proyectos.”</w:t>
      </w:r>
    </w:p>
    <w:p w14:paraId="4FFB84EB" w14:textId="282BB9F5"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11</w:t>
      </w:r>
      <w:r w:rsidR="002D5035" w:rsidRPr="00535110">
        <w:rPr>
          <w:rFonts w:ascii="Palatino Linotype" w:eastAsia="Palatino Linotype" w:hAnsi="Palatino Linotype" w:cs="Palatino Linotype"/>
          <w:b/>
          <w:sz w:val="22"/>
          <w:szCs w:val="22"/>
          <w:lang w:val="es-ES_tradnl"/>
        </w:rPr>
        <w:t xml:space="preserve">.- </w:t>
      </w:r>
      <w:r w:rsidR="002D5035" w:rsidRPr="00535110">
        <w:rPr>
          <w:rFonts w:ascii="Palatino Linotype" w:eastAsia="Palatino Linotype" w:hAnsi="Palatino Linotype" w:cs="Palatino Linotype"/>
          <w:sz w:val="22"/>
          <w:szCs w:val="22"/>
          <w:lang w:val="es-ES_tradnl"/>
        </w:rPr>
        <w:t xml:space="preserve">Incorpórese al pie del cuadro No. 17 “Resumen de Requerimientos”, de la viñeta referida a las </w:t>
      </w:r>
      <w:r w:rsidR="002D5035" w:rsidRPr="00535110">
        <w:rPr>
          <w:rFonts w:ascii="Palatino Linotype" w:eastAsia="Palatino Linotype" w:hAnsi="Palatino Linotype" w:cs="Palatino Linotype"/>
          <w:i/>
          <w:sz w:val="22"/>
          <w:szCs w:val="22"/>
          <w:lang w:val="es-ES_tradnl"/>
        </w:rPr>
        <w:t>Reglas técnicas e instrumentos de planificación en materia de régimen de propiedad horizontal</w:t>
      </w:r>
      <w:r w:rsidR="002D5035" w:rsidRPr="00535110">
        <w:rPr>
          <w:rFonts w:ascii="Palatino Linotype" w:eastAsia="Palatino Linotype" w:hAnsi="Palatino Linotype" w:cs="Palatino Linotype"/>
          <w:sz w:val="22"/>
          <w:szCs w:val="22"/>
          <w:lang w:val="es-ES_tradnl"/>
        </w:rPr>
        <w:t xml:space="preserve"> del documento Anexo del Libro IV, del Título I del Régimen Administrativo del Suelo (</w:t>
      </w:r>
      <w:r w:rsidRPr="00535110">
        <w:rPr>
          <w:rFonts w:ascii="Palatino Linotype" w:eastAsia="Palatino Linotype" w:hAnsi="Palatino Linotype" w:cs="Palatino Linotype"/>
          <w:sz w:val="22"/>
          <w:szCs w:val="22"/>
          <w:lang w:val="es-ES_tradnl"/>
        </w:rPr>
        <w:t>a</w:t>
      </w:r>
      <w:r w:rsidR="002D5035" w:rsidRPr="00535110">
        <w:rPr>
          <w:rFonts w:ascii="Palatino Linotype" w:eastAsia="Palatino Linotype" w:hAnsi="Palatino Linotype" w:cs="Palatino Linotype"/>
          <w:sz w:val="22"/>
          <w:szCs w:val="22"/>
          <w:lang w:val="es-ES_tradnl"/>
        </w:rPr>
        <w:t xml:space="preserve">nexo a la Ordenanza Metropolitana </w:t>
      </w:r>
      <w:r w:rsidRPr="00535110">
        <w:rPr>
          <w:rFonts w:ascii="Palatino Linotype" w:eastAsia="Palatino Linotype" w:hAnsi="Palatino Linotype" w:cs="Palatino Linotype"/>
          <w:sz w:val="22"/>
          <w:szCs w:val="22"/>
          <w:lang w:val="es-ES_tradnl"/>
        </w:rPr>
        <w:t xml:space="preserve">No. </w:t>
      </w:r>
      <w:r w:rsidR="002D5035" w:rsidRPr="00535110">
        <w:rPr>
          <w:rFonts w:ascii="Palatino Linotype" w:eastAsia="Palatino Linotype" w:hAnsi="Palatino Linotype" w:cs="Palatino Linotype"/>
          <w:sz w:val="22"/>
          <w:szCs w:val="22"/>
          <w:lang w:val="es-ES_tradnl"/>
        </w:rPr>
        <w:t>172 del 30 de diciembre de 2011), Código RT-AU Anexo, la siguiente nota:</w:t>
      </w:r>
    </w:p>
    <w:p w14:paraId="1A21B636" w14:textId="30582291" w:rsidR="002D5035" w:rsidRPr="00535110" w:rsidRDefault="002D5035" w:rsidP="00E83688">
      <w:pPr>
        <w:spacing w:after="120" w:line="276" w:lineRule="auto"/>
        <w:ind w:left="708"/>
        <w:jc w:val="both"/>
        <w:rPr>
          <w:rFonts w:ascii="Palatino Linotype" w:hAnsi="Palatino Linotype"/>
          <w:sz w:val="22"/>
          <w:szCs w:val="22"/>
        </w:rPr>
      </w:pPr>
      <w:r w:rsidRPr="00535110">
        <w:rPr>
          <w:rFonts w:ascii="Palatino Linotype" w:eastAsia="Palatino Linotype" w:hAnsi="Palatino Linotype" w:cs="Palatino Linotype"/>
          <w:i/>
          <w:sz w:val="22"/>
          <w:szCs w:val="22"/>
          <w:lang w:val="es-ES_tradnl"/>
        </w:rPr>
        <w:t>“</w:t>
      </w:r>
      <w:r w:rsidRPr="00535110">
        <w:rPr>
          <w:rFonts w:ascii="Palatino Linotype" w:eastAsia="Palatino Linotype" w:hAnsi="Palatino Linotype" w:cs="Palatino Linotype"/>
          <w:b/>
          <w:i/>
          <w:sz w:val="22"/>
          <w:szCs w:val="22"/>
          <w:lang w:val="es-ES_tradnl"/>
        </w:rPr>
        <w:t>1</w:t>
      </w:r>
      <w:r w:rsidR="00E83688" w:rsidRPr="00535110">
        <w:rPr>
          <w:rFonts w:ascii="Palatino Linotype" w:eastAsia="Palatino Linotype" w:hAnsi="Palatino Linotype" w:cs="Palatino Linotype"/>
          <w:b/>
          <w:i/>
          <w:sz w:val="22"/>
          <w:szCs w:val="22"/>
          <w:lang w:val="es-ES_tradnl"/>
        </w:rPr>
        <w:t>.</w:t>
      </w:r>
      <w:r w:rsidRPr="00535110">
        <w:rPr>
          <w:rFonts w:ascii="Palatino Linotype" w:eastAsia="Palatino Linotype" w:hAnsi="Palatino Linotype" w:cs="Palatino Linotype"/>
          <w:b/>
          <w:i/>
          <w:sz w:val="22"/>
          <w:szCs w:val="22"/>
          <w:lang w:val="es-ES_tradnl"/>
        </w:rPr>
        <w:t xml:space="preserve"> </w:t>
      </w:r>
      <w:r w:rsidRPr="00535110">
        <w:rPr>
          <w:rFonts w:ascii="Palatino Linotype" w:eastAsia="Palatino Linotype" w:hAnsi="Palatino Linotype" w:cs="Palatino Linotype"/>
          <w:i/>
          <w:sz w:val="22"/>
          <w:szCs w:val="22"/>
          <w:lang w:val="es-ES_tradnl"/>
        </w:rPr>
        <w:t xml:space="preserve">Los proyectos eco-eficientes ubicados en las áreas de influencia del Sistema Metropolitano de Transporte y los proyectos ubicados en las Zonas Urbanísticas de Asignación Especial, correspondientes a edificios residenciales y de oficinas, pertenecientes a los grupos D, E y F podrán reducir el área de las zonas recreativas (áreas </w:t>
      </w:r>
      <w:r w:rsidRPr="00535110">
        <w:rPr>
          <w:rFonts w:ascii="Palatino Linotype" w:eastAsia="Palatino Linotype" w:hAnsi="Palatino Linotype" w:cs="Palatino Linotype"/>
          <w:i/>
          <w:sz w:val="22"/>
          <w:szCs w:val="22"/>
          <w:lang w:val="es-ES_tradnl"/>
        </w:rPr>
        <w:lastRenderedPageBreak/>
        <w:t>verdes) en hasta un 50% de la superficie requerida por unidad de vivienda u oficina, sin prejuicio del puntaje adicional que obtendrán en la matriz de eco-eficiencia.</w:t>
      </w:r>
    </w:p>
    <w:p w14:paraId="1A57E9D8" w14:textId="782F6696" w:rsidR="002D5035" w:rsidRPr="00535110" w:rsidRDefault="002D5035" w:rsidP="00E83688">
      <w:pPr>
        <w:spacing w:after="120" w:line="276" w:lineRule="auto"/>
        <w:ind w:left="708"/>
        <w:jc w:val="both"/>
        <w:rPr>
          <w:rFonts w:ascii="Palatino Linotype" w:hAnsi="Palatino Linotype"/>
          <w:sz w:val="22"/>
          <w:szCs w:val="22"/>
        </w:rPr>
      </w:pPr>
      <w:r w:rsidRPr="00535110">
        <w:rPr>
          <w:rFonts w:ascii="Palatino Linotype" w:eastAsia="Palatino Linotype" w:hAnsi="Palatino Linotype" w:cs="Palatino Linotype"/>
          <w:b/>
          <w:i/>
          <w:sz w:val="22"/>
          <w:szCs w:val="22"/>
          <w:lang w:val="es-ES_tradnl"/>
        </w:rPr>
        <w:t>2</w:t>
      </w:r>
      <w:r w:rsidR="00E83688" w:rsidRPr="00535110">
        <w:rPr>
          <w:rFonts w:ascii="Palatino Linotype" w:eastAsia="Palatino Linotype" w:hAnsi="Palatino Linotype" w:cs="Palatino Linotype"/>
          <w:b/>
          <w:i/>
          <w:sz w:val="22"/>
          <w:szCs w:val="22"/>
          <w:lang w:val="es-ES_tradnl"/>
        </w:rPr>
        <w:t>.</w:t>
      </w:r>
      <w:r w:rsidRPr="00535110">
        <w:rPr>
          <w:rFonts w:ascii="Palatino Linotype" w:eastAsia="Palatino Linotype" w:hAnsi="Palatino Linotype" w:cs="Palatino Linotype"/>
          <w:i/>
          <w:sz w:val="22"/>
          <w:szCs w:val="22"/>
          <w:lang w:val="es-ES_tradnl"/>
        </w:rPr>
        <w:t xml:space="preserve"> Los proyectos eco-eficientes ubicados en las áreas de influencia del sistema metropolitano de transporte, que incorporen unidades de vivienda que integren los espacios de cocina, lavado y secado, sala-comedor y dormitorio en un área no menor a 18 m², contabilizarán por cada tres unidades de vivienda 6 m² de áreas recreativas (áreas verdes) como mínimo obligatorio.”</w:t>
      </w:r>
    </w:p>
    <w:p w14:paraId="1B996BA0" w14:textId="6EBDE7FF" w:rsidR="002D5035" w:rsidRPr="00535110" w:rsidRDefault="00E83688" w:rsidP="002D5035">
      <w:pPr>
        <w:spacing w:after="120" w:line="276" w:lineRule="auto"/>
        <w:jc w:val="both"/>
        <w:rPr>
          <w:rFonts w:ascii="Palatino Linotype" w:hAnsi="Palatino Linotype"/>
          <w:sz w:val="22"/>
          <w:szCs w:val="22"/>
        </w:rPr>
      </w:pPr>
      <w:r w:rsidRPr="00535110">
        <w:rPr>
          <w:rFonts w:ascii="Palatino Linotype" w:eastAsia="Palatino Linotype" w:hAnsi="Palatino Linotype" w:cs="Palatino Linotype"/>
          <w:b/>
          <w:sz w:val="22"/>
          <w:szCs w:val="22"/>
          <w:lang w:val="es-ES_tradnl"/>
        </w:rPr>
        <w:t>Artículo 12</w:t>
      </w:r>
      <w:r w:rsidR="002D5035" w:rsidRPr="00535110">
        <w:rPr>
          <w:rFonts w:ascii="Palatino Linotype" w:eastAsia="Palatino Linotype" w:hAnsi="Palatino Linotype" w:cs="Palatino Linotype"/>
          <w:b/>
          <w:sz w:val="22"/>
          <w:szCs w:val="22"/>
          <w:lang w:val="es-ES_tradnl"/>
        </w:rPr>
        <w:t>. -</w:t>
      </w:r>
      <w:r w:rsidR="002D5035" w:rsidRPr="00535110">
        <w:rPr>
          <w:rFonts w:ascii="Palatino Linotype" w:eastAsia="Palatino Linotype" w:hAnsi="Palatino Linotype" w:cs="Palatino Linotype"/>
          <w:sz w:val="22"/>
          <w:szCs w:val="22"/>
          <w:lang w:val="es-ES_tradnl"/>
        </w:rPr>
        <w:t xml:space="preserve"> A continuación del literal d), numeral 1 del Articulo IV.1.67, del Código Municipal, </w:t>
      </w:r>
      <w:r w:rsidR="002D5035" w:rsidRPr="00535110">
        <w:rPr>
          <w:rFonts w:ascii="Palatino Linotype" w:eastAsia="Palatino Linotype" w:hAnsi="Palatino Linotype" w:cs="Palatino Linotype"/>
          <w:i/>
          <w:sz w:val="22"/>
          <w:szCs w:val="22"/>
          <w:lang w:val="es-ES_tradnl"/>
        </w:rPr>
        <w:t>Casos particulares en que la zonificación asignada no es aplicable</w:t>
      </w:r>
      <w:r w:rsidR="002D5035" w:rsidRPr="00535110">
        <w:rPr>
          <w:rFonts w:ascii="Palatino Linotype" w:eastAsia="Palatino Linotype" w:hAnsi="Palatino Linotype" w:cs="Palatino Linotype"/>
          <w:sz w:val="22"/>
          <w:szCs w:val="22"/>
          <w:lang w:val="es-ES_tradnl"/>
        </w:rPr>
        <w:t xml:space="preserve">, agréguese </w:t>
      </w:r>
      <w:r w:rsidRPr="00535110">
        <w:rPr>
          <w:rFonts w:ascii="Palatino Linotype" w:eastAsia="Palatino Linotype" w:hAnsi="Palatino Linotype" w:cs="Palatino Linotype"/>
          <w:sz w:val="22"/>
          <w:szCs w:val="22"/>
          <w:lang w:val="es-ES_tradnl"/>
        </w:rPr>
        <w:t>el</w:t>
      </w:r>
      <w:r w:rsidR="002D5035" w:rsidRPr="00535110">
        <w:rPr>
          <w:rFonts w:ascii="Palatino Linotype" w:eastAsia="Palatino Linotype" w:hAnsi="Palatino Linotype" w:cs="Palatino Linotype"/>
          <w:sz w:val="22"/>
          <w:szCs w:val="22"/>
          <w:lang w:val="es-ES_tradnl"/>
        </w:rPr>
        <w:t xml:space="preserve"> siguiente inciso:</w:t>
      </w:r>
    </w:p>
    <w:p w14:paraId="67C2AB18" w14:textId="77777777" w:rsidR="002D5035" w:rsidRPr="00535110" w:rsidRDefault="002D5035" w:rsidP="00E83688">
      <w:pPr>
        <w:spacing w:after="120" w:line="276" w:lineRule="auto"/>
        <w:ind w:left="708"/>
        <w:jc w:val="both"/>
        <w:rPr>
          <w:rFonts w:ascii="Palatino Linotype" w:hAnsi="Palatino Linotype"/>
          <w:sz w:val="22"/>
          <w:szCs w:val="22"/>
        </w:rPr>
      </w:pPr>
      <w:r w:rsidRPr="00535110">
        <w:rPr>
          <w:rFonts w:ascii="Palatino Linotype" w:eastAsia="Palatino Linotype" w:hAnsi="Palatino Linotype" w:cs="Palatino Linotype"/>
          <w:i/>
          <w:sz w:val="22"/>
          <w:szCs w:val="22"/>
          <w:lang w:val="es-ES_tradnl"/>
        </w:rPr>
        <w:t xml:space="preserve">“Los proyectos eco-eficientes ubicados en las áreas de influencia del Sistema Metropolitano de Transporte que se acojan a las condiciones previstas en el presente artículo deberán presentar a la Secretaría encargada del territorio, hábitat y vivienda un tratamiento del muro ciego o culata resultante del adosamiento a la colindancia al lado mayor del predio, el cual deberá incorporar una propuesta de arte urbano, cobertura vegetal o una solución que combine estas posibilidades. Queda prohibida la instalación de publicidad exterior fija de terceros en el muro ciego o culata. </w:t>
      </w:r>
    </w:p>
    <w:p w14:paraId="322AACFC" w14:textId="77777777" w:rsidR="002D5035" w:rsidRPr="00535110" w:rsidRDefault="002D5035" w:rsidP="00E83688">
      <w:pPr>
        <w:spacing w:after="120" w:line="276" w:lineRule="auto"/>
        <w:ind w:left="708"/>
        <w:jc w:val="both"/>
        <w:rPr>
          <w:rFonts w:ascii="Palatino Linotype" w:hAnsi="Palatino Linotype"/>
          <w:sz w:val="22"/>
          <w:szCs w:val="22"/>
        </w:rPr>
      </w:pPr>
      <w:r w:rsidRPr="00535110">
        <w:rPr>
          <w:rFonts w:ascii="Palatino Linotype" w:eastAsia="Palatino Linotype" w:hAnsi="Palatino Linotype" w:cs="Palatino Linotype"/>
          <w:i/>
          <w:sz w:val="22"/>
          <w:szCs w:val="22"/>
          <w:lang w:val="es-ES_tradnl"/>
        </w:rPr>
        <w:t>La Secretaría encargada del territorio, hábitat y vivienda, en coordinación con la Secretaría encargada de la Cultura, emitirá un informe técnico aprobatorio de la intervención. Será responsabilidad del promotor obtener la autorización necesaria del predio colindante, de ser el caso, y llevar a cabo el tratamiento aquí previsto, previo a la obtención del Certificado de Conformidad de Finalización del Proceso Constructivo”.</w:t>
      </w:r>
    </w:p>
    <w:p w14:paraId="3413CD23" w14:textId="7C64337D"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13</w:t>
      </w:r>
      <w:r w:rsidR="002D5035" w:rsidRPr="00535110">
        <w:rPr>
          <w:rFonts w:ascii="Palatino Linotype" w:eastAsia="Palatino Linotype" w:hAnsi="Palatino Linotype" w:cs="Palatino Linotype"/>
          <w:b/>
          <w:sz w:val="22"/>
          <w:szCs w:val="22"/>
          <w:lang w:val="es-ES_tradnl"/>
        </w:rPr>
        <w:t>.-</w:t>
      </w:r>
      <w:r w:rsidR="002D5035" w:rsidRPr="00535110">
        <w:rPr>
          <w:rFonts w:ascii="Palatino Linotype" w:eastAsia="Palatino Linotype" w:hAnsi="Palatino Linotype" w:cs="Palatino Linotype"/>
          <w:sz w:val="22"/>
          <w:szCs w:val="22"/>
          <w:lang w:val="es-ES_tradnl"/>
        </w:rPr>
        <w:t xml:space="preserve"> En la viñeta Cerramientos del Anexo Único del Régimen Administrativo del Suelo correspondiente a las Reglas Técnicas de Arquitectura y Urbanismo, incorpórese la siguiente </w:t>
      </w:r>
      <w:proofErr w:type="spellStart"/>
      <w:r w:rsidR="002D5035" w:rsidRPr="00535110">
        <w:rPr>
          <w:rFonts w:ascii="Palatino Linotype" w:eastAsia="Palatino Linotype" w:hAnsi="Palatino Linotype" w:cs="Palatino Linotype"/>
          <w:sz w:val="22"/>
          <w:szCs w:val="22"/>
          <w:lang w:val="es-ES_tradnl"/>
        </w:rPr>
        <w:t>subviñeta</w:t>
      </w:r>
      <w:proofErr w:type="spellEnd"/>
      <w:r w:rsidR="002D5035" w:rsidRPr="00535110">
        <w:rPr>
          <w:rFonts w:ascii="Palatino Linotype" w:eastAsia="Palatino Linotype" w:hAnsi="Palatino Linotype" w:cs="Palatino Linotype"/>
          <w:sz w:val="22"/>
          <w:szCs w:val="22"/>
          <w:lang w:val="es-ES_tradnl"/>
        </w:rPr>
        <w:t>:</w:t>
      </w:r>
    </w:p>
    <w:p w14:paraId="10F99680" w14:textId="77777777" w:rsidR="002D5035" w:rsidRPr="00535110" w:rsidRDefault="002D5035" w:rsidP="00E83688">
      <w:pPr>
        <w:spacing w:after="120" w:line="276" w:lineRule="auto"/>
        <w:ind w:left="708"/>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i/>
          <w:sz w:val="22"/>
          <w:szCs w:val="22"/>
          <w:lang w:val="es-ES_tradnl"/>
        </w:rPr>
        <w:t>Para los proyectos eco-eficientes, ubicados en las áreas de influencia del Sistema Metropolitano de Transporte, independientemente de su uso de suelo, deberán integrar el retiro frontal con la acera, garantizando que el acceso peatonal al edificio se desarrolle al mismo nivel de la acera con una pendiente máxima que respete las especificaciones de accesibilidad universal de la normativa vigente.</w:t>
      </w:r>
      <w:r w:rsidRPr="00535110">
        <w:rPr>
          <w:rFonts w:ascii="Palatino Linotype" w:eastAsia="Palatino Linotype" w:hAnsi="Palatino Linotype" w:cs="Palatino Linotype"/>
          <w:sz w:val="22"/>
          <w:szCs w:val="22"/>
          <w:lang w:val="es-ES_tradnl"/>
        </w:rPr>
        <w:t>”</w:t>
      </w:r>
    </w:p>
    <w:p w14:paraId="3338079D" w14:textId="0CF49284"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14</w:t>
      </w:r>
      <w:r w:rsidR="002D5035" w:rsidRPr="00535110">
        <w:rPr>
          <w:rFonts w:ascii="Palatino Linotype" w:eastAsia="Palatino Linotype" w:hAnsi="Palatino Linotype" w:cs="Palatino Linotype"/>
          <w:sz w:val="22"/>
          <w:szCs w:val="22"/>
          <w:lang w:val="es-ES_tradnl"/>
        </w:rPr>
        <w:t xml:space="preserve">.- Incorpórese una nota al Cuadro No. 18 “Dimensiones mínimas de espacios y dotación mínima eléctrica para uso residencial” del Anexo Único del Libro IV, del Título I del Régimen Administrativo del Suelo (Anexo a la Ordenanza Metropolitana </w:t>
      </w:r>
      <w:r w:rsidRPr="00535110">
        <w:rPr>
          <w:rFonts w:ascii="Palatino Linotype" w:eastAsia="Palatino Linotype" w:hAnsi="Palatino Linotype" w:cs="Palatino Linotype"/>
          <w:sz w:val="22"/>
          <w:szCs w:val="22"/>
          <w:lang w:val="es-ES_tradnl"/>
        </w:rPr>
        <w:t xml:space="preserve">No. </w:t>
      </w:r>
      <w:r w:rsidR="002D5035" w:rsidRPr="00535110">
        <w:rPr>
          <w:rFonts w:ascii="Palatino Linotype" w:eastAsia="Palatino Linotype" w:hAnsi="Palatino Linotype" w:cs="Palatino Linotype"/>
          <w:sz w:val="22"/>
          <w:szCs w:val="22"/>
          <w:lang w:val="es-ES_tradnl"/>
        </w:rPr>
        <w:t>172 del 30 de diciembre de 2011) correspondiente a las Reglas Técnicas de Arquitectura y Urbanismo, que diga lo siguiente:</w:t>
      </w:r>
    </w:p>
    <w:p w14:paraId="0788E2E3" w14:textId="74E7FD01" w:rsidR="002D5035" w:rsidRPr="00535110" w:rsidRDefault="002D5035" w:rsidP="00E83688">
      <w:pPr>
        <w:spacing w:after="120" w:line="276" w:lineRule="auto"/>
        <w:ind w:left="708"/>
        <w:jc w:val="both"/>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sz w:val="22"/>
          <w:szCs w:val="22"/>
          <w:lang w:val="es-ES_tradnl"/>
        </w:rPr>
        <w:lastRenderedPageBreak/>
        <w:t>“</w:t>
      </w:r>
      <w:r w:rsidRPr="00535110">
        <w:rPr>
          <w:rFonts w:ascii="Palatino Linotype" w:eastAsia="Palatino Linotype" w:hAnsi="Palatino Linotype" w:cs="Palatino Linotype"/>
          <w:b/>
          <w:i/>
          <w:sz w:val="22"/>
          <w:szCs w:val="22"/>
          <w:lang w:val="es-ES_tradnl"/>
        </w:rPr>
        <w:t>2</w:t>
      </w:r>
      <w:r w:rsidR="00E83688" w:rsidRPr="00535110">
        <w:rPr>
          <w:rFonts w:ascii="Palatino Linotype" w:eastAsia="Palatino Linotype" w:hAnsi="Palatino Linotype" w:cs="Palatino Linotype"/>
          <w:b/>
          <w:i/>
          <w:sz w:val="22"/>
          <w:szCs w:val="22"/>
          <w:lang w:val="es-ES_tradnl"/>
        </w:rPr>
        <w:t>.</w:t>
      </w:r>
      <w:r w:rsidRPr="00535110">
        <w:rPr>
          <w:rFonts w:ascii="Palatino Linotype" w:eastAsia="Palatino Linotype" w:hAnsi="Palatino Linotype" w:cs="Palatino Linotype"/>
          <w:sz w:val="22"/>
          <w:szCs w:val="22"/>
          <w:lang w:val="es-ES_tradnl"/>
        </w:rPr>
        <w:t xml:space="preserve"> </w:t>
      </w:r>
      <w:r w:rsidRPr="00535110">
        <w:rPr>
          <w:rFonts w:ascii="Palatino Linotype" w:eastAsia="Palatino Linotype" w:hAnsi="Palatino Linotype" w:cs="Palatino Linotype"/>
          <w:i/>
          <w:sz w:val="22"/>
          <w:szCs w:val="22"/>
          <w:lang w:val="es-ES_tradnl"/>
        </w:rPr>
        <w:t>Para proyectos eco-eficientes residenciales y de usos mixtos, ubicados en las áreas de influencia del Sistema Metropolitano de Transporte, las dimensiones mínimas podrán integrar los espacios de cocina, lavado y secado, sala-comedor y dormitorio, en un área no menor a 18 m</w:t>
      </w:r>
      <w:r w:rsidRPr="00535110">
        <w:rPr>
          <w:rFonts w:ascii="Palatino Linotype" w:eastAsia="Palatino Linotype" w:hAnsi="Palatino Linotype" w:cs="Palatino Linotype"/>
          <w:i/>
          <w:sz w:val="22"/>
          <w:szCs w:val="22"/>
          <w:vertAlign w:val="superscript"/>
          <w:lang w:val="es-ES_tradnl"/>
        </w:rPr>
        <w:t>2</w:t>
      </w:r>
      <w:r w:rsidRPr="00535110">
        <w:rPr>
          <w:rFonts w:ascii="Palatino Linotype" w:eastAsia="Palatino Linotype" w:hAnsi="Palatino Linotype" w:cs="Palatino Linotype"/>
          <w:i/>
          <w:sz w:val="22"/>
          <w:szCs w:val="22"/>
          <w:lang w:val="es-ES_tradnl"/>
        </w:rPr>
        <w:t>, a la cual se agregará una batería sanitaria cuya dimensión mínima será la prevista en este cuadro. En este caso, la dotación mínima eléctrica corresponderá a las características de eficiencia energética que sean parte del proyecto calificado.</w:t>
      </w:r>
      <w:r w:rsidRPr="00535110">
        <w:rPr>
          <w:rFonts w:ascii="Palatino Linotype" w:eastAsia="Palatino Linotype" w:hAnsi="Palatino Linotype" w:cs="Palatino Linotype"/>
          <w:sz w:val="22"/>
          <w:szCs w:val="22"/>
          <w:lang w:val="es-ES_tradnl"/>
        </w:rPr>
        <w:t>”</w:t>
      </w:r>
    </w:p>
    <w:p w14:paraId="01987CE0" w14:textId="2249E0D1" w:rsidR="002D5035" w:rsidRPr="00535110" w:rsidRDefault="00E83688" w:rsidP="002D5035">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Artículo 15</w:t>
      </w:r>
      <w:r w:rsidR="002D5035" w:rsidRPr="00535110">
        <w:rPr>
          <w:rFonts w:ascii="Palatino Linotype" w:eastAsia="Palatino Linotype" w:hAnsi="Palatino Linotype" w:cs="Palatino Linotype"/>
          <w:b/>
          <w:sz w:val="22"/>
          <w:szCs w:val="22"/>
          <w:lang w:val="es-ES_tradnl"/>
        </w:rPr>
        <w:t>. -</w:t>
      </w:r>
      <w:r w:rsidR="002D5035" w:rsidRPr="00535110">
        <w:rPr>
          <w:rFonts w:ascii="Palatino Linotype" w:eastAsia="Palatino Linotype" w:hAnsi="Palatino Linotype" w:cs="Palatino Linotype"/>
          <w:sz w:val="22"/>
          <w:szCs w:val="22"/>
          <w:lang w:val="es-ES_tradnl"/>
        </w:rPr>
        <w:t xml:space="preserve"> Incorpórese en la base cartográfica del mapa PUOS Z2-2 de la </w:t>
      </w:r>
      <w:r w:rsidRPr="00535110">
        <w:rPr>
          <w:rFonts w:ascii="Palatino Linotype" w:eastAsia="Palatino Linotype" w:hAnsi="Palatino Linotype" w:cs="Palatino Linotype"/>
          <w:sz w:val="22"/>
          <w:szCs w:val="22"/>
          <w:lang w:val="es-ES_tradnl"/>
        </w:rPr>
        <w:t>O</w:t>
      </w:r>
      <w:r w:rsidR="002D5035" w:rsidRPr="00535110">
        <w:rPr>
          <w:rFonts w:ascii="Palatino Linotype" w:eastAsia="Palatino Linotype" w:hAnsi="Palatino Linotype" w:cs="Palatino Linotype"/>
          <w:sz w:val="22"/>
          <w:szCs w:val="22"/>
          <w:lang w:val="es-ES_tradnl"/>
        </w:rPr>
        <w:t xml:space="preserve">rdenanza </w:t>
      </w:r>
      <w:r w:rsidRPr="00535110">
        <w:rPr>
          <w:rFonts w:ascii="Palatino Linotype" w:eastAsia="Palatino Linotype" w:hAnsi="Palatino Linotype" w:cs="Palatino Linotype"/>
          <w:sz w:val="22"/>
          <w:szCs w:val="22"/>
          <w:lang w:val="es-ES_tradnl"/>
        </w:rPr>
        <w:t>M</w:t>
      </w:r>
      <w:r w:rsidR="002D5035" w:rsidRPr="00535110">
        <w:rPr>
          <w:rFonts w:ascii="Palatino Linotype" w:eastAsia="Palatino Linotype" w:hAnsi="Palatino Linotype" w:cs="Palatino Linotype"/>
          <w:sz w:val="22"/>
          <w:szCs w:val="22"/>
          <w:lang w:val="es-ES_tradnl"/>
        </w:rPr>
        <w:t>etropolitana No. 210</w:t>
      </w:r>
      <w:r w:rsidRPr="00535110">
        <w:rPr>
          <w:rFonts w:ascii="Palatino Linotype" w:eastAsia="Palatino Linotype" w:hAnsi="Palatino Linotype" w:cs="Palatino Linotype"/>
          <w:sz w:val="22"/>
          <w:szCs w:val="22"/>
          <w:lang w:val="es-ES_tradnl"/>
        </w:rPr>
        <w:t>,</w:t>
      </w:r>
      <w:r w:rsidR="002D5035" w:rsidRPr="00535110">
        <w:rPr>
          <w:rFonts w:ascii="Palatino Linotype" w:eastAsia="Palatino Linotype" w:hAnsi="Palatino Linotype" w:cs="Palatino Linotype"/>
          <w:sz w:val="22"/>
          <w:szCs w:val="22"/>
          <w:lang w:val="es-ES_tradnl"/>
        </w:rPr>
        <w:t xml:space="preserve"> de 12 de abril de 2018, los polígonos correspondientes a los anexos 1 y 2 de la presente ordenanza, referidos a Áreas de Influencia del Sistema Metropolitano de Trasporte y ZUAE.</w:t>
      </w:r>
    </w:p>
    <w:p w14:paraId="1E29AD29" w14:textId="77777777" w:rsidR="00486007" w:rsidRPr="00535110" w:rsidRDefault="00F42F53" w:rsidP="00A74958">
      <w:pPr>
        <w:spacing w:after="120" w:line="276" w:lineRule="auto"/>
        <w:rPr>
          <w:rFonts w:ascii="Palatino Linotype" w:eastAsia="Palatino Linotype" w:hAnsi="Palatino Linotype" w:cs="Palatino Linotype"/>
          <w:b/>
          <w:sz w:val="22"/>
          <w:szCs w:val="22"/>
          <w:lang w:val="es-ES_tradnl"/>
        </w:rPr>
      </w:pPr>
      <w:r w:rsidRPr="00535110">
        <w:rPr>
          <w:rFonts w:ascii="Palatino Linotype" w:eastAsia="Palatino Linotype" w:hAnsi="Palatino Linotype" w:cs="Palatino Linotype"/>
          <w:b/>
          <w:sz w:val="22"/>
          <w:szCs w:val="22"/>
          <w:lang w:val="es-ES_tradnl"/>
        </w:rPr>
        <w:t>Disposiciones Transitorias:</w:t>
      </w:r>
    </w:p>
    <w:p w14:paraId="446C9010" w14:textId="2987C3D5"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proofErr w:type="gramStart"/>
      <w:r w:rsidRPr="00535110">
        <w:rPr>
          <w:rFonts w:ascii="Palatino Linotype" w:eastAsia="Palatino Linotype" w:hAnsi="Palatino Linotype" w:cs="Palatino Linotype"/>
          <w:b/>
          <w:sz w:val="22"/>
          <w:szCs w:val="22"/>
          <w:lang w:val="es-ES_tradnl"/>
        </w:rPr>
        <w:t>Primera</w:t>
      </w:r>
      <w:r w:rsidR="00E83688" w:rsidRPr="00535110">
        <w:rPr>
          <w:rFonts w:ascii="Palatino Linotype" w:eastAsia="Palatino Linotype" w:hAnsi="Palatino Linotype" w:cs="Palatino Linotype"/>
          <w:b/>
          <w:sz w:val="22"/>
          <w:szCs w:val="22"/>
          <w:lang w:val="es-ES_tradnl"/>
        </w:rPr>
        <w:t>.-</w:t>
      </w:r>
      <w:proofErr w:type="gramEnd"/>
      <w:r w:rsidRPr="00535110">
        <w:rPr>
          <w:rFonts w:ascii="Palatino Linotype" w:eastAsia="Palatino Linotype" w:hAnsi="Palatino Linotype" w:cs="Palatino Linotype"/>
          <w:b/>
          <w:sz w:val="22"/>
          <w:szCs w:val="22"/>
          <w:lang w:val="es-ES_tradnl"/>
        </w:rPr>
        <w:t xml:space="preserve"> </w:t>
      </w:r>
      <w:r w:rsidRPr="00535110">
        <w:rPr>
          <w:rFonts w:ascii="Palatino Linotype" w:eastAsia="Palatino Linotype" w:hAnsi="Palatino Linotype" w:cs="Palatino Linotype"/>
          <w:sz w:val="22"/>
          <w:szCs w:val="22"/>
          <w:lang w:val="es-ES_tradnl"/>
        </w:rPr>
        <w:t xml:space="preserve">En el plazo de 60 días contados a partir de la sanción de la presente ordenanza, la Agencia Metropolitana de Control llevará a cabo el proceso de ampliación de la calificación y acreditación de las Entidades Colaboradas </w:t>
      </w:r>
      <w:r w:rsidR="0061454D" w:rsidRPr="00535110">
        <w:rPr>
          <w:rFonts w:ascii="Palatino Linotype" w:eastAsia="Palatino Linotype" w:hAnsi="Palatino Linotype" w:cs="Palatino Linotype"/>
          <w:sz w:val="22"/>
          <w:szCs w:val="22"/>
          <w:lang w:val="es-ES_tradnl"/>
        </w:rPr>
        <w:t xml:space="preserve">de certificación de planos </w:t>
      </w:r>
      <w:r w:rsidRPr="00535110">
        <w:rPr>
          <w:rFonts w:ascii="Palatino Linotype" w:eastAsia="Palatino Linotype" w:hAnsi="Palatino Linotype" w:cs="Palatino Linotype"/>
          <w:sz w:val="22"/>
          <w:szCs w:val="22"/>
          <w:lang w:val="es-ES_tradnl"/>
        </w:rPr>
        <w:t>en concordancia con las nuevas competencias previstas para ellas en esta ordenanza.</w:t>
      </w:r>
    </w:p>
    <w:p w14:paraId="0126DBE6" w14:textId="1DA36DB2" w:rsidR="005276B0"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proofErr w:type="gramStart"/>
      <w:r w:rsidRPr="00535110">
        <w:rPr>
          <w:rFonts w:ascii="Palatino Linotype" w:eastAsia="Palatino Linotype" w:hAnsi="Palatino Linotype" w:cs="Palatino Linotype"/>
          <w:b/>
          <w:sz w:val="22"/>
          <w:szCs w:val="22"/>
          <w:lang w:val="es-ES_tradnl"/>
        </w:rPr>
        <w:t>Segunda</w:t>
      </w:r>
      <w:r w:rsidR="00E83688" w:rsidRPr="00535110">
        <w:rPr>
          <w:rFonts w:ascii="Palatino Linotype" w:eastAsia="Palatino Linotype" w:hAnsi="Palatino Linotype" w:cs="Palatino Linotype"/>
          <w:b/>
          <w:sz w:val="22"/>
          <w:szCs w:val="22"/>
          <w:lang w:val="es-ES_tradnl"/>
        </w:rPr>
        <w:t>.-</w:t>
      </w:r>
      <w:proofErr w:type="gramEnd"/>
      <w:r w:rsidRPr="00535110">
        <w:rPr>
          <w:rFonts w:ascii="Palatino Linotype" w:eastAsia="Palatino Linotype" w:hAnsi="Palatino Linotype" w:cs="Palatino Linotype"/>
          <w:sz w:val="22"/>
          <w:szCs w:val="22"/>
          <w:lang w:val="es-ES_tradnl"/>
        </w:rPr>
        <w:t xml:space="preserve"> En el plazo de 60 días contados a partir de la sanción de la presente ordenanza, la Secretaría encargada del territorio hábitat y vivienda expedirá la Resolución que contenga los parámetros y método de calificación de los proyectos eco-eficientes ubicados en las </w:t>
      </w:r>
      <w:r w:rsidRPr="00535110">
        <w:rPr>
          <w:rFonts w:ascii="Palatino Linotype" w:eastAsia="Palatino Linotype" w:hAnsi="Palatino Linotype" w:cs="Palatino Linotype"/>
          <w:color w:val="000000"/>
          <w:sz w:val="22"/>
          <w:szCs w:val="22"/>
          <w:lang w:val="es-ES_tradnl"/>
        </w:rPr>
        <w:t>áreas de influencia del Sistema Metropolitano de Transporte</w:t>
      </w:r>
      <w:r w:rsidR="00E83688" w:rsidRPr="00535110">
        <w:rPr>
          <w:rFonts w:ascii="Palatino Linotype" w:eastAsia="Palatino Linotype" w:hAnsi="Palatino Linotype" w:cs="Palatino Linotype"/>
          <w:color w:val="000000"/>
          <w:sz w:val="22"/>
          <w:szCs w:val="22"/>
          <w:lang w:val="es-ES_tradnl"/>
        </w:rPr>
        <w:t>,</w:t>
      </w:r>
      <w:r w:rsidRPr="00535110">
        <w:rPr>
          <w:rFonts w:ascii="Palatino Linotype" w:eastAsia="Palatino Linotype" w:hAnsi="Palatino Linotype" w:cs="Palatino Linotype"/>
          <w:sz w:val="22"/>
          <w:szCs w:val="22"/>
          <w:lang w:val="es-ES_tradnl"/>
        </w:rPr>
        <w:t xml:space="preserve"> así como los parámetros urbanísticos de los lotes susceptibles de aplicar las figuras de suelo creado previstas en la presente ordenanza. </w:t>
      </w:r>
      <w:r w:rsidR="005276B0" w:rsidRPr="00535110">
        <w:rPr>
          <w:rFonts w:ascii="Palatino Linotype" w:eastAsia="Palatino Linotype" w:hAnsi="Palatino Linotype" w:cs="Palatino Linotype"/>
          <w:sz w:val="22"/>
          <w:szCs w:val="22"/>
          <w:lang w:val="es-ES_tradnl"/>
        </w:rPr>
        <w:t>En el mismo plazo, la Secretaría de Territorio, Hábitat y Vivienda ajustará los parámetros y método de delimitación de los polígonos de influencia y piezas urbanísticas donde aplica la figura de suelo creado por eco-eficiencia, estos instrumentos serán puestos en conocimiento del Concejo Metropolitano</w:t>
      </w:r>
      <w:r w:rsidR="004707DC">
        <w:rPr>
          <w:rFonts w:ascii="Palatino Linotype" w:eastAsia="Palatino Linotype" w:hAnsi="Palatino Linotype" w:cs="Palatino Linotype"/>
          <w:sz w:val="22"/>
          <w:szCs w:val="22"/>
          <w:lang w:val="es-ES_tradnl"/>
        </w:rPr>
        <w:t>,</w:t>
      </w:r>
      <w:r w:rsidR="00142E6D" w:rsidRPr="00535110">
        <w:rPr>
          <w:rFonts w:ascii="Palatino Linotype" w:eastAsia="Palatino Linotype" w:hAnsi="Palatino Linotype" w:cs="Palatino Linotype"/>
          <w:sz w:val="22"/>
          <w:szCs w:val="22"/>
          <w:lang w:val="es-ES_tradnl"/>
        </w:rPr>
        <w:t xml:space="preserve"> para su aprobación mediante resolución</w:t>
      </w:r>
      <w:r w:rsidR="005276B0" w:rsidRPr="00535110">
        <w:rPr>
          <w:rFonts w:ascii="Palatino Linotype" w:eastAsia="Palatino Linotype" w:hAnsi="Palatino Linotype" w:cs="Palatino Linotype"/>
          <w:sz w:val="22"/>
          <w:szCs w:val="22"/>
          <w:lang w:val="es-ES_tradnl"/>
        </w:rPr>
        <w:t>.</w:t>
      </w:r>
    </w:p>
    <w:p w14:paraId="764267E8" w14:textId="1FFCDD4A" w:rsidR="00486007" w:rsidRPr="00535110" w:rsidRDefault="00F42F53" w:rsidP="00A74958">
      <w:pPr>
        <w:spacing w:after="120" w:line="276" w:lineRule="auto"/>
        <w:jc w:val="both"/>
        <w:rPr>
          <w:rFonts w:ascii="Palatino Linotype" w:hAnsi="Palatino Linotype"/>
          <w:sz w:val="22"/>
          <w:szCs w:val="22"/>
          <w:lang w:val="es-ES_tradnl"/>
        </w:rPr>
      </w:pPr>
      <w:r w:rsidRPr="00535110">
        <w:rPr>
          <w:rFonts w:ascii="Palatino Linotype" w:eastAsia="Palatino Linotype" w:hAnsi="Palatino Linotype" w:cs="Palatino Linotype"/>
          <w:b/>
          <w:sz w:val="22"/>
          <w:szCs w:val="22"/>
          <w:lang w:val="es-ES_tradnl"/>
        </w:rPr>
        <w:t>Tercera</w:t>
      </w:r>
      <w:r w:rsidR="00E83688" w:rsidRPr="00535110">
        <w:rPr>
          <w:rFonts w:ascii="Palatino Linotype" w:eastAsia="Palatino Linotype" w:hAnsi="Palatino Linotype" w:cs="Palatino Linotype"/>
          <w:sz w:val="22"/>
          <w:szCs w:val="22"/>
          <w:lang w:val="es-ES_tradnl"/>
        </w:rPr>
        <w:t>.-</w:t>
      </w:r>
      <w:r w:rsidRPr="00535110">
        <w:rPr>
          <w:rFonts w:ascii="Palatino Linotype" w:eastAsia="Palatino Linotype" w:hAnsi="Palatino Linotype" w:cs="Palatino Linotype"/>
          <w:sz w:val="22"/>
          <w:szCs w:val="22"/>
          <w:lang w:val="es-ES_tradnl"/>
        </w:rPr>
        <w:t xml:space="preserve"> En un plazo de 180 días contados desde la aprobación de la presente ordenanza, la Secretaría de </w:t>
      </w:r>
      <w:r w:rsidR="00644047" w:rsidRPr="00535110">
        <w:rPr>
          <w:rFonts w:ascii="Palatino Linotype" w:eastAsia="Palatino Linotype" w:hAnsi="Palatino Linotype" w:cs="Palatino Linotype"/>
          <w:sz w:val="22"/>
          <w:szCs w:val="22"/>
          <w:lang w:val="es-ES_tradnl"/>
        </w:rPr>
        <w:t>T</w:t>
      </w:r>
      <w:r w:rsidRPr="00535110">
        <w:rPr>
          <w:rFonts w:ascii="Palatino Linotype" w:eastAsia="Palatino Linotype" w:hAnsi="Palatino Linotype" w:cs="Palatino Linotype"/>
          <w:sz w:val="22"/>
          <w:szCs w:val="22"/>
          <w:lang w:val="es-ES_tradnl"/>
        </w:rPr>
        <w:t xml:space="preserve">erritorio, </w:t>
      </w:r>
      <w:r w:rsidR="00644047" w:rsidRPr="00535110">
        <w:rPr>
          <w:rFonts w:ascii="Palatino Linotype" w:eastAsia="Palatino Linotype" w:hAnsi="Palatino Linotype" w:cs="Palatino Linotype"/>
          <w:sz w:val="22"/>
          <w:szCs w:val="22"/>
          <w:lang w:val="es-ES_tradnl"/>
        </w:rPr>
        <w:t>H</w:t>
      </w:r>
      <w:r w:rsidRPr="00535110">
        <w:rPr>
          <w:rFonts w:ascii="Palatino Linotype" w:eastAsia="Palatino Linotype" w:hAnsi="Palatino Linotype" w:cs="Palatino Linotype"/>
          <w:sz w:val="22"/>
          <w:szCs w:val="22"/>
          <w:lang w:val="es-ES_tradnl"/>
        </w:rPr>
        <w:t xml:space="preserve">ábitat y </w:t>
      </w:r>
      <w:r w:rsidR="00644047" w:rsidRPr="00535110">
        <w:rPr>
          <w:rFonts w:ascii="Palatino Linotype" w:eastAsia="Palatino Linotype" w:hAnsi="Palatino Linotype" w:cs="Palatino Linotype"/>
          <w:sz w:val="22"/>
          <w:szCs w:val="22"/>
          <w:lang w:val="es-ES_tradnl"/>
        </w:rPr>
        <w:t>V</w:t>
      </w:r>
      <w:r w:rsidRPr="00535110">
        <w:rPr>
          <w:rFonts w:ascii="Palatino Linotype" w:eastAsia="Palatino Linotype" w:hAnsi="Palatino Linotype" w:cs="Palatino Linotype"/>
          <w:sz w:val="22"/>
          <w:szCs w:val="22"/>
          <w:lang w:val="es-ES_tradnl"/>
        </w:rPr>
        <w:t xml:space="preserve">ivienda, en coordinación con la Secretaría de Ambiente, Secretaría de Movilidad y Empresas Públicas competentes, emitirá la resolución de Reglas Técnicas de Arquitectura y Urbanismo y de Mobiliario Urbano, aplicadas al mejoramiento o recalificación urbanística del espacio público comprendido en las áreas de influencia del Sistema Metropolitano de Transporte referidas en esta ordenanza, en las cuales deberán constar condiciones técnicas y parámetros de </w:t>
      </w:r>
      <w:proofErr w:type="spellStart"/>
      <w:r w:rsidRPr="00535110">
        <w:rPr>
          <w:rFonts w:ascii="Palatino Linotype" w:eastAsia="Palatino Linotype" w:hAnsi="Palatino Linotype" w:cs="Palatino Linotype"/>
          <w:sz w:val="22"/>
          <w:szCs w:val="22"/>
          <w:lang w:val="es-ES_tradnl"/>
        </w:rPr>
        <w:t>caminabilidad</w:t>
      </w:r>
      <w:proofErr w:type="spellEnd"/>
      <w:r w:rsidRPr="00535110">
        <w:rPr>
          <w:rFonts w:ascii="Palatino Linotype" w:eastAsia="Palatino Linotype" w:hAnsi="Palatino Linotype" w:cs="Palatino Linotype"/>
          <w:sz w:val="22"/>
          <w:szCs w:val="22"/>
          <w:lang w:val="es-ES_tradnl"/>
        </w:rPr>
        <w:t xml:space="preserve">, conectividad peatonal y por bicicleta a los nodos de transporte, seguridad e iluminación, diseño bioclimático, cobertura vegetal y arbolado </w:t>
      </w:r>
      <w:r w:rsidRPr="00535110">
        <w:rPr>
          <w:rFonts w:ascii="Palatino Linotype" w:eastAsia="Palatino Linotype" w:hAnsi="Palatino Linotype" w:cs="Palatino Linotype"/>
          <w:sz w:val="22"/>
          <w:szCs w:val="22"/>
          <w:lang w:val="es-ES_tradnl"/>
        </w:rPr>
        <w:lastRenderedPageBreak/>
        <w:t>urbano, mobiliario urbano, entre otros, aplicados al diseño y ejecución de obras en el espacio público.</w:t>
      </w:r>
    </w:p>
    <w:p w14:paraId="49EAEECC" w14:textId="2645351E" w:rsidR="0048600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proofErr w:type="gramStart"/>
      <w:r w:rsidRPr="00535110">
        <w:rPr>
          <w:rFonts w:ascii="Palatino Linotype" w:eastAsia="Palatino Linotype" w:hAnsi="Palatino Linotype" w:cs="Palatino Linotype"/>
          <w:b/>
          <w:sz w:val="22"/>
          <w:szCs w:val="22"/>
          <w:lang w:val="es-ES_tradnl"/>
        </w:rPr>
        <w:t>Cuarta</w:t>
      </w:r>
      <w:r w:rsidR="00E83688" w:rsidRPr="00535110">
        <w:rPr>
          <w:rFonts w:ascii="Palatino Linotype" w:eastAsia="Palatino Linotype" w:hAnsi="Palatino Linotype" w:cs="Palatino Linotype"/>
          <w:b/>
          <w:sz w:val="22"/>
          <w:szCs w:val="22"/>
          <w:lang w:val="es-ES_tradnl"/>
        </w:rPr>
        <w:t>.-</w:t>
      </w:r>
      <w:proofErr w:type="gramEnd"/>
      <w:r w:rsidRPr="00535110">
        <w:rPr>
          <w:rFonts w:ascii="Palatino Linotype" w:eastAsia="Palatino Linotype" w:hAnsi="Palatino Linotype" w:cs="Palatino Linotype"/>
          <w:sz w:val="22"/>
          <w:szCs w:val="22"/>
          <w:lang w:val="es-ES_tradnl"/>
        </w:rPr>
        <w:t xml:space="preserve"> En el plazo de 90 días contados a partir de la sanción de la presente Ordenanza, la Agencia Metropolitana de Control conjuntamente con la Secretaría encargada del territorio, hábitat y vivienda, expedirá el Instructivo para las inspecciones de los proyectos calificados con la Matriz de Eco-eficiencia.</w:t>
      </w:r>
    </w:p>
    <w:p w14:paraId="7BE3D7D7" w14:textId="33B91E61" w:rsidR="00CB18D7"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Quinta</w:t>
      </w:r>
      <w:r w:rsidR="00E83688" w:rsidRPr="00535110">
        <w:rPr>
          <w:rFonts w:ascii="Palatino Linotype" w:eastAsia="Palatino Linotype" w:hAnsi="Palatino Linotype" w:cs="Palatino Linotype"/>
          <w:b/>
          <w:sz w:val="22"/>
          <w:szCs w:val="22"/>
          <w:lang w:val="es-ES_tradnl"/>
        </w:rPr>
        <w:t>.-</w:t>
      </w:r>
      <w:r w:rsidRPr="00535110">
        <w:rPr>
          <w:rFonts w:ascii="Palatino Linotype" w:eastAsia="Palatino Linotype" w:hAnsi="Palatino Linotype" w:cs="Palatino Linotype"/>
          <w:b/>
          <w:sz w:val="22"/>
          <w:szCs w:val="22"/>
          <w:lang w:val="es-ES_tradnl"/>
        </w:rPr>
        <w:t xml:space="preserve"> </w:t>
      </w:r>
      <w:r w:rsidR="00CB18D7" w:rsidRPr="00535110">
        <w:rPr>
          <w:rFonts w:ascii="Palatino Linotype" w:eastAsia="Palatino Linotype" w:hAnsi="Palatino Linotype" w:cs="Palatino Linotype"/>
          <w:sz w:val="22"/>
          <w:szCs w:val="22"/>
          <w:lang w:val="es-ES_tradnl"/>
        </w:rPr>
        <w:t xml:space="preserve">Los proyectos que hayan solicitado incremento de pisos y se encuentren en trámite de aprobación, correspondientes a ZUAE o a construcciones que privilegien la reutilización de aguas servidas, garanticen limitaciones de consumo de energía y agua, y en general las que sean un aporte paisajístico, ambiental y tecnológico a la ciudad,  ingresados antes de la expedición de la presente ordenanza, podrán continuar con sus procesos de autorización y con el pago correspondiente a la contribución especial para la captación del incremento del valor de inmueble por suelo creado, al amparo de la normativa metropolitana vigente hasta antes de la aprobación de esta ordenanza. </w:t>
      </w:r>
    </w:p>
    <w:p w14:paraId="1283B155" w14:textId="6E05A412" w:rsidR="00CB18D7" w:rsidRPr="00535110" w:rsidRDefault="00CB18D7"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 xml:space="preserve">Los proyectos que, previo a la expedición de la presente ordenanza, hayan obtenido una calificación favorable para el incremento de pisos, podrán acogerse a las fórmulas y formas de pago, obligaciones, incentivos y demás beneficios establecidos en la presente ordenanza, siempre que ingresen una solicitud de convalidación a la Secretaría encargada del territorio, hábitat y vivienda, previo a la emisión de la orden de pago. </w:t>
      </w:r>
      <w:r w:rsidR="00761020" w:rsidRPr="00535110">
        <w:rPr>
          <w:rFonts w:ascii="Palatino Linotype" w:eastAsia="Palatino Linotype" w:hAnsi="Palatino Linotype" w:cs="Palatino Linotype"/>
          <w:sz w:val="22"/>
          <w:szCs w:val="22"/>
          <w:lang w:val="es-ES_tradnl"/>
        </w:rPr>
        <w:t xml:space="preserve">En la convalidación se verificará el cumplimiento de las condiciones urbanísticas de los lotes establecidos en el tercer inciso del artículo IV.1.397 incorporado al Código Municipal a través de la presente ordenanza, y que estos se encuentren dentro de los mapas 1 y 2 anexos. </w:t>
      </w:r>
      <w:r w:rsidRPr="00535110">
        <w:rPr>
          <w:rFonts w:ascii="Palatino Linotype" w:eastAsia="Palatino Linotype" w:hAnsi="Palatino Linotype" w:cs="Palatino Linotype"/>
          <w:sz w:val="22"/>
          <w:szCs w:val="22"/>
          <w:lang w:val="es-ES_tradnl"/>
        </w:rPr>
        <w:t>Estas solicitudes de convalidación deberán resolverse en un plazo máximo de 30 días contados a partir de la vigencia de la presente ord</w:t>
      </w:r>
      <w:r w:rsidR="008C1836" w:rsidRPr="00535110">
        <w:rPr>
          <w:rFonts w:ascii="Palatino Linotype" w:eastAsia="Palatino Linotype" w:hAnsi="Palatino Linotype" w:cs="Palatino Linotype"/>
          <w:sz w:val="22"/>
          <w:szCs w:val="22"/>
          <w:lang w:val="es-ES_tradnl"/>
        </w:rPr>
        <w:t>enanza.</w:t>
      </w:r>
    </w:p>
    <w:p w14:paraId="0DDCC8C8" w14:textId="77777777" w:rsidR="00486007" w:rsidRPr="00535110" w:rsidRDefault="00CB18D7"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sz w:val="22"/>
          <w:szCs w:val="22"/>
          <w:lang w:val="es-ES_tradnl"/>
        </w:rPr>
        <w:t>Sin perjuicio de lo señalado, todos proyectos que se encuentren en trámite, siempre y cuando estén comprendidos dentro de los polígonos de los mapas anexos a la presente ordenanza, podrán acogerse a los parámetros técnicos, procedimientos, fórmulas y formas de pago, incentivos y demás beneficios y obligaciones establecidas en la presente ordenanza, para lo cual deberán convalidar la propuesta técnica presentada, ajustada a las disposiciones de la presente normativa</w:t>
      </w:r>
      <w:r w:rsidR="00F42F53" w:rsidRPr="00535110">
        <w:rPr>
          <w:rFonts w:ascii="Palatino Linotype" w:eastAsia="Palatino Linotype" w:hAnsi="Palatino Linotype" w:cs="Palatino Linotype"/>
          <w:sz w:val="22"/>
          <w:szCs w:val="22"/>
          <w:lang w:val="es-ES_tradnl"/>
        </w:rPr>
        <w:t xml:space="preserve">.  </w:t>
      </w:r>
    </w:p>
    <w:p w14:paraId="39AE01A1" w14:textId="61628573" w:rsidR="005276B0"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t xml:space="preserve">Disposiciones </w:t>
      </w:r>
      <w:proofErr w:type="gramStart"/>
      <w:r w:rsidR="00E83688" w:rsidRPr="00535110">
        <w:rPr>
          <w:rFonts w:ascii="Palatino Linotype" w:eastAsia="Palatino Linotype" w:hAnsi="Palatino Linotype" w:cs="Palatino Linotype"/>
          <w:b/>
          <w:sz w:val="22"/>
          <w:szCs w:val="22"/>
          <w:lang w:val="es-ES_tradnl"/>
        </w:rPr>
        <w:t>d</w:t>
      </w:r>
      <w:r w:rsidR="00C37693" w:rsidRPr="00535110">
        <w:rPr>
          <w:rFonts w:ascii="Palatino Linotype" w:eastAsia="Palatino Linotype" w:hAnsi="Palatino Linotype" w:cs="Palatino Linotype"/>
          <w:b/>
          <w:sz w:val="22"/>
          <w:szCs w:val="22"/>
          <w:lang w:val="es-ES_tradnl"/>
        </w:rPr>
        <w:t>erogatorias.</w:t>
      </w:r>
      <w:r w:rsidR="006C0961" w:rsidRPr="00535110">
        <w:rPr>
          <w:rFonts w:ascii="Palatino Linotype" w:eastAsia="Palatino Linotype" w:hAnsi="Palatino Linotype" w:cs="Palatino Linotype"/>
          <w:b/>
          <w:sz w:val="22"/>
          <w:szCs w:val="22"/>
          <w:lang w:val="es-ES_tradnl"/>
        </w:rPr>
        <w:t>-</w:t>
      </w:r>
      <w:proofErr w:type="gramEnd"/>
      <w:r w:rsidRPr="00535110">
        <w:rPr>
          <w:rFonts w:ascii="Palatino Linotype" w:eastAsia="Palatino Linotype" w:hAnsi="Palatino Linotype" w:cs="Palatino Linotype"/>
          <w:sz w:val="22"/>
          <w:szCs w:val="22"/>
          <w:lang w:val="es-ES_tradnl"/>
        </w:rPr>
        <w:t xml:space="preserve"> </w:t>
      </w:r>
      <w:r w:rsidR="005276B0" w:rsidRPr="00535110">
        <w:rPr>
          <w:rFonts w:ascii="Palatino Linotype" w:eastAsia="Palatino Linotype" w:hAnsi="Palatino Linotype" w:cs="Palatino Linotype"/>
          <w:sz w:val="22"/>
          <w:szCs w:val="22"/>
          <w:lang w:val="es-ES_tradnl"/>
        </w:rPr>
        <w:t xml:space="preserve">Deróguese </w:t>
      </w:r>
      <w:r w:rsidR="00C37693" w:rsidRPr="00535110">
        <w:rPr>
          <w:rFonts w:ascii="Palatino Linotype" w:eastAsia="Palatino Linotype" w:hAnsi="Palatino Linotype" w:cs="Palatino Linotype"/>
          <w:sz w:val="22"/>
          <w:szCs w:val="22"/>
          <w:lang w:val="es-ES_tradnl"/>
        </w:rPr>
        <w:t>el Capítulo VI, del Título V, del Libro III.5, del Presupuesto, Finanzas y Tributación del Código Municipal</w:t>
      </w:r>
      <w:r w:rsidR="00C37693" w:rsidRPr="00535110">
        <w:rPr>
          <w:rFonts w:ascii="Palatino Linotype" w:eastAsia="Palatino Linotype" w:hAnsi="Palatino Linotype" w:cs="Palatino Linotype"/>
          <w:color w:val="000000"/>
          <w:sz w:val="22"/>
          <w:szCs w:val="22"/>
          <w:lang w:val="es-ES_tradnl"/>
        </w:rPr>
        <w:t>,</w:t>
      </w:r>
      <w:r w:rsidR="00C37693" w:rsidRPr="00535110">
        <w:rPr>
          <w:rFonts w:ascii="Palatino Linotype" w:eastAsia="Palatino Linotype" w:hAnsi="Palatino Linotype" w:cs="Palatino Linotype"/>
          <w:sz w:val="22"/>
          <w:szCs w:val="22"/>
          <w:lang w:val="es-ES_tradnl"/>
        </w:rPr>
        <w:t xml:space="preserve"> que regula las contribuciones especiales para la captación del incremento del valor del inmueble por suelo creado en el Distrito Metropolitano de Quito, así como </w:t>
      </w:r>
      <w:r w:rsidR="005276B0" w:rsidRPr="00535110">
        <w:rPr>
          <w:rFonts w:ascii="Palatino Linotype" w:eastAsia="Palatino Linotype" w:hAnsi="Palatino Linotype" w:cs="Palatino Linotype"/>
          <w:sz w:val="22"/>
          <w:szCs w:val="22"/>
          <w:lang w:val="es-ES_tradnl"/>
        </w:rPr>
        <w:t>toda disposición de igual o menor jerarquía que se oponga a la presente Ordenanza.</w:t>
      </w:r>
    </w:p>
    <w:p w14:paraId="428F418B" w14:textId="77777777" w:rsidR="00C37693" w:rsidRPr="00535110" w:rsidRDefault="00F42F53" w:rsidP="00A74958">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eastAsia="Palatino Linotype" w:hAnsi="Palatino Linotype" w:cs="Palatino Linotype"/>
          <w:b/>
          <w:sz w:val="22"/>
          <w:szCs w:val="22"/>
          <w:lang w:val="es-ES_tradnl"/>
        </w:rPr>
        <w:lastRenderedPageBreak/>
        <w:t xml:space="preserve">Disposición </w:t>
      </w:r>
      <w:proofErr w:type="gramStart"/>
      <w:r w:rsidR="00C37693" w:rsidRPr="00535110">
        <w:rPr>
          <w:rFonts w:ascii="Palatino Linotype" w:eastAsia="Palatino Linotype" w:hAnsi="Palatino Linotype" w:cs="Palatino Linotype"/>
          <w:b/>
          <w:sz w:val="22"/>
          <w:szCs w:val="22"/>
          <w:lang w:val="es-ES_tradnl"/>
        </w:rPr>
        <w:t>f</w:t>
      </w:r>
      <w:r w:rsidRPr="00535110">
        <w:rPr>
          <w:rFonts w:ascii="Palatino Linotype" w:eastAsia="Palatino Linotype" w:hAnsi="Palatino Linotype" w:cs="Palatino Linotype"/>
          <w:b/>
          <w:sz w:val="22"/>
          <w:szCs w:val="22"/>
          <w:lang w:val="es-ES_tradnl"/>
        </w:rPr>
        <w:t>inal.-</w:t>
      </w:r>
      <w:proofErr w:type="gramEnd"/>
      <w:r w:rsidRPr="00535110">
        <w:rPr>
          <w:rFonts w:ascii="Palatino Linotype" w:eastAsia="Palatino Linotype" w:hAnsi="Palatino Linotype" w:cs="Palatino Linotype"/>
          <w:sz w:val="22"/>
          <w:szCs w:val="22"/>
          <w:lang w:val="es-ES_tradnl"/>
        </w:rPr>
        <w:t xml:space="preserve"> La presente Ordenanza Metropolitana entrará en vigencia a partir de la fecha de su sanción, sin perjuicio de su publicación en el Registro Oficial</w:t>
      </w:r>
      <w:r w:rsidR="00C37693" w:rsidRPr="00535110">
        <w:rPr>
          <w:rFonts w:ascii="Palatino Linotype" w:eastAsia="Palatino Linotype" w:hAnsi="Palatino Linotype" w:cs="Palatino Linotype"/>
          <w:sz w:val="22"/>
          <w:szCs w:val="22"/>
          <w:lang w:val="es-ES_tradnl"/>
        </w:rPr>
        <w:t>, Gaceta Oficial y página</w:t>
      </w:r>
      <w:r w:rsidRPr="00535110">
        <w:rPr>
          <w:rFonts w:ascii="Palatino Linotype" w:eastAsia="Palatino Linotype" w:hAnsi="Palatino Linotype" w:cs="Palatino Linotype"/>
          <w:sz w:val="22"/>
          <w:szCs w:val="22"/>
          <w:lang w:val="es-ES_tradnl"/>
        </w:rPr>
        <w:t xml:space="preserve"> web </w:t>
      </w:r>
      <w:r w:rsidR="00C37693" w:rsidRPr="00535110">
        <w:rPr>
          <w:rFonts w:ascii="Palatino Linotype" w:eastAsia="Palatino Linotype" w:hAnsi="Palatino Linotype" w:cs="Palatino Linotype"/>
          <w:sz w:val="22"/>
          <w:szCs w:val="22"/>
          <w:lang w:val="es-ES_tradnl"/>
        </w:rPr>
        <w:t>institucional</w:t>
      </w:r>
      <w:r w:rsidRPr="00535110">
        <w:rPr>
          <w:rFonts w:ascii="Palatino Linotype" w:eastAsia="Palatino Linotype" w:hAnsi="Palatino Linotype" w:cs="Palatino Linotype"/>
          <w:sz w:val="22"/>
          <w:szCs w:val="22"/>
          <w:lang w:val="es-ES_tradnl"/>
        </w:rPr>
        <w:t>.</w:t>
      </w:r>
    </w:p>
    <w:p w14:paraId="558343E2" w14:textId="7DE08C2C" w:rsidR="00C37693" w:rsidRPr="00535110" w:rsidRDefault="00C37693" w:rsidP="00C37693">
      <w:pPr>
        <w:spacing w:after="120" w:line="276" w:lineRule="auto"/>
        <w:jc w:val="both"/>
        <w:rPr>
          <w:rFonts w:ascii="Palatino Linotype" w:hAnsi="Palatino Linotype"/>
          <w:iCs/>
          <w:sz w:val="22"/>
          <w:szCs w:val="22"/>
        </w:rPr>
      </w:pPr>
      <w:r w:rsidRPr="00535110">
        <w:rPr>
          <w:rFonts w:ascii="Palatino Linotype" w:hAnsi="Palatino Linotype"/>
          <w:sz w:val="22"/>
          <w:szCs w:val="22"/>
        </w:rPr>
        <w:t xml:space="preserve">Dada, en la Sala de Sesiones del Concejo Metropolitano de Quito, el </w:t>
      </w:r>
      <w:r w:rsidR="00644047" w:rsidRPr="00535110">
        <w:rPr>
          <w:rFonts w:ascii="Palatino Linotype" w:hAnsi="Palatino Linotype"/>
          <w:sz w:val="22"/>
          <w:szCs w:val="22"/>
        </w:rPr>
        <w:t>26</w:t>
      </w:r>
      <w:r w:rsidRPr="00535110">
        <w:rPr>
          <w:rFonts w:ascii="Palatino Linotype" w:hAnsi="Palatino Linotype"/>
          <w:sz w:val="22"/>
          <w:szCs w:val="22"/>
        </w:rPr>
        <w:t xml:space="preserve"> de abril de 2019.</w:t>
      </w:r>
    </w:p>
    <w:p w14:paraId="27D01BD4" w14:textId="77777777" w:rsidR="00C37693" w:rsidRPr="00535110" w:rsidRDefault="00C37693" w:rsidP="00C37693">
      <w:pPr>
        <w:spacing w:after="240"/>
        <w:contextualSpacing/>
        <w:jc w:val="both"/>
        <w:rPr>
          <w:rFonts w:ascii="Palatino Linotype" w:hAnsi="Palatino Linotype"/>
          <w:sz w:val="22"/>
          <w:szCs w:val="22"/>
        </w:rPr>
      </w:pPr>
    </w:p>
    <w:p w14:paraId="75C86EFA" w14:textId="77777777" w:rsidR="00C37693" w:rsidRPr="00535110" w:rsidRDefault="00C37693" w:rsidP="00C37693">
      <w:pPr>
        <w:spacing w:after="240"/>
        <w:contextualSpacing/>
        <w:jc w:val="both"/>
        <w:rPr>
          <w:rFonts w:ascii="Palatino Linotype" w:hAnsi="Palatino Linotype"/>
          <w:sz w:val="22"/>
          <w:szCs w:val="22"/>
        </w:rPr>
      </w:pPr>
    </w:p>
    <w:p w14:paraId="25565A4B" w14:textId="77777777" w:rsidR="00C37693" w:rsidRPr="00535110" w:rsidRDefault="00C37693" w:rsidP="00C37693">
      <w:pPr>
        <w:pStyle w:val="Textosinformato"/>
        <w:jc w:val="center"/>
        <w:rPr>
          <w:rFonts w:ascii="Palatino Linotype" w:eastAsia="MS Mincho" w:hAnsi="Palatino Linotype"/>
          <w:sz w:val="22"/>
          <w:szCs w:val="22"/>
          <w:lang w:val="es-EC"/>
        </w:rPr>
      </w:pPr>
      <w:r w:rsidRPr="00535110">
        <w:rPr>
          <w:rFonts w:ascii="Palatino Linotype" w:eastAsia="MS Mincho" w:hAnsi="Palatino Linotype"/>
          <w:sz w:val="22"/>
          <w:szCs w:val="22"/>
          <w:lang w:val="es-EC"/>
        </w:rPr>
        <w:t>Abg. Diego Cevallos Salgado</w:t>
      </w:r>
    </w:p>
    <w:p w14:paraId="7CD2B141" w14:textId="77777777" w:rsidR="00C37693" w:rsidRPr="00535110" w:rsidRDefault="00C37693" w:rsidP="00C37693">
      <w:pPr>
        <w:pStyle w:val="Textosinformato"/>
        <w:jc w:val="center"/>
        <w:rPr>
          <w:rFonts w:ascii="Palatino Linotype" w:eastAsia="MS Mincho" w:hAnsi="Palatino Linotype"/>
          <w:b/>
          <w:bCs/>
          <w:sz w:val="22"/>
          <w:szCs w:val="22"/>
          <w:lang w:val="es-EC"/>
        </w:rPr>
      </w:pPr>
      <w:r w:rsidRPr="00535110">
        <w:rPr>
          <w:rFonts w:ascii="Palatino Linotype" w:eastAsia="MS Mincho" w:hAnsi="Palatino Linotype"/>
          <w:b/>
          <w:bCs/>
          <w:sz w:val="22"/>
          <w:szCs w:val="22"/>
          <w:lang w:val="es-EC"/>
        </w:rPr>
        <w:t>SECRETARIO GENERAL DEL CONCEJO METROPOLITANO DE QUITO</w:t>
      </w:r>
    </w:p>
    <w:p w14:paraId="39E70BCA" w14:textId="77777777" w:rsidR="00C37693" w:rsidRPr="00535110" w:rsidRDefault="00C37693" w:rsidP="00C37693">
      <w:pPr>
        <w:pStyle w:val="Textopredeterminado"/>
        <w:shd w:val="clear" w:color="auto" w:fill="FFFFFF"/>
        <w:jc w:val="both"/>
        <w:rPr>
          <w:rFonts w:ascii="Palatino Linotype" w:hAnsi="Palatino Linotype"/>
          <w:sz w:val="22"/>
          <w:szCs w:val="22"/>
          <w:lang w:val="es-ES"/>
        </w:rPr>
      </w:pPr>
    </w:p>
    <w:p w14:paraId="6FBC23EA" w14:textId="77777777" w:rsidR="00C37693" w:rsidRPr="00535110" w:rsidRDefault="00C37693" w:rsidP="00C3769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535110">
        <w:rPr>
          <w:rFonts w:ascii="Palatino Linotype" w:eastAsia="MS Mincho" w:hAnsi="Palatino Linotype"/>
          <w:b/>
          <w:bCs/>
          <w:sz w:val="22"/>
          <w:szCs w:val="22"/>
        </w:rPr>
        <w:t>CERTIFICADO DE DISCUSIÓN</w:t>
      </w:r>
    </w:p>
    <w:p w14:paraId="1FBAB88D" w14:textId="77777777" w:rsidR="00C37693" w:rsidRPr="00535110" w:rsidRDefault="00C37693" w:rsidP="00C37693">
      <w:pPr>
        <w:pStyle w:val="Textosinformato"/>
        <w:jc w:val="both"/>
        <w:rPr>
          <w:rFonts w:ascii="Palatino Linotype" w:eastAsia="MS Mincho" w:hAnsi="Palatino Linotype"/>
          <w:sz w:val="22"/>
          <w:szCs w:val="22"/>
        </w:rPr>
      </w:pPr>
    </w:p>
    <w:p w14:paraId="5946CC77" w14:textId="434668FC" w:rsidR="00C37693" w:rsidRPr="00535110" w:rsidRDefault="00C37693" w:rsidP="00C37693">
      <w:pPr>
        <w:pStyle w:val="Textosinformato"/>
        <w:jc w:val="both"/>
        <w:rPr>
          <w:rFonts w:ascii="Palatino Linotype" w:eastAsia="MS Mincho" w:hAnsi="Palatino Linotype"/>
          <w:sz w:val="22"/>
          <w:szCs w:val="22"/>
          <w:lang w:val="es-EC"/>
        </w:rPr>
      </w:pPr>
      <w:r w:rsidRPr="00535110">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4 y </w:t>
      </w:r>
      <w:r w:rsidR="00644047" w:rsidRPr="00535110">
        <w:rPr>
          <w:rFonts w:ascii="Palatino Linotype" w:eastAsia="MS Mincho" w:hAnsi="Palatino Linotype"/>
          <w:sz w:val="22"/>
          <w:szCs w:val="22"/>
          <w:lang w:val="es-EC"/>
        </w:rPr>
        <w:t>26</w:t>
      </w:r>
      <w:r w:rsidRPr="00535110">
        <w:rPr>
          <w:rFonts w:ascii="Palatino Linotype" w:eastAsia="MS Mincho" w:hAnsi="Palatino Linotype"/>
          <w:sz w:val="22"/>
          <w:szCs w:val="22"/>
          <w:lang w:val="es-EC"/>
        </w:rPr>
        <w:t xml:space="preserve"> de abril de 2019.- Quito,</w:t>
      </w:r>
    </w:p>
    <w:p w14:paraId="0C1EE9DE" w14:textId="77777777" w:rsidR="00C37693" w:rsidRPr="00535110" w:rsidRDefault="00C37693" w:rsidP="00C37693">
      <w:pPr>
        <w:pStyle w:val="Textosinformato"/>
        <w:jc w:val="both"/>
        <w:rPr>
          <w:rFonts w:ascii="Palatino Linotype" w:eastAsia="MS Mincho" w:hAnsi="Palatino Linotype"/>
          <w:sz w:val="22"/>
          <w:szCs w:val="22"/>
          <w:lang w:val="es-EC"/>
        </w:rPr>
      </w:pPr>
    </w:p>
    <w:p w14:paraId="18FEAE10" w14:textId="77777777" w:rsidR="00C37693" w:rsidRPr="00535110" w:rsidRDefault="00C37693" w:rsidP="00C37693">
      <w:pPr>
        <w:pStyle w:val="Textosinformato"/>
        <w:jc w:val="both"/>
        <w:rPr>
          <w:rFonts w:ascii="Palatino Linotype" w:eastAsia="MS Mincho" w:hAnsi="Palatino Linotype"/>
          <w:sz w:val="22"/>
          <w:szCs w:val="22"/>
          <w:lang w:val="es-EC"/>
        </w:rPr>
      </w:pPr>
    </w:p>
    <w:p w14:paraId="7D684911" w14:textId="77777777" w:rsidR="00C37693" w:rsidRPr="00535110" w:rsidRDefault="00C37693" w:rsidP="00C37693">
      <w:pPr>
        <w:pStyle w:val="Textosinformato"/>
        <w:jc w:val="both"/>
        <w:rPr>
          <w:rFonts w:ascii="Palatino Linotype" w:eastAsia="MS Mincho" w:hAnsi="Palatino Linotype"/>
          <w:sz w:val="22"/>
          <w:szCs w:val="22"/>
          <w:lang w:val="es-EC"/>
        </w:rPr>
      </w:pPr>
    </w:p>
    <w:p w14:paraId="24C8064A" w14:textId="77777777" w:rsidR="00C37693" w:rsidRPr="00535110" w:rsidRDefault="00C37693" w:rsidP="00C37693">
      <w:pPr>
        <w:pStyle w:val="Textosinformato"/>
        <w:jc w:val="center"/>
        <w:rPr>
          <w:rFonts w:ascii="Palatino Linotype" w:eastAsia="MS Mincho" w:hAnsi="Palatino Linotype"/>
          <w:sz w:val="22"/>
          <w:szCs w:val="22"/>
          <w:lang w:val="es-EC"/>
        </w:rPr>
      </w:pPr>
      <w:r w:rsidRPr="00535110">
        <w:rPr>
          <w:rFonts w:ascii="Palatino Linotype" w:eastAsia="MS Mincho" w:hAnsi="Palatino Linotype"/>
          <w:sz w:val="22"/>
          <w:szCs w:val="22"/>
          <w:lang w:val="es-EC"/>
        </w:rPr>
        <w:t>Abg. Diego Cevallos Salgado</w:t>
      </w:r>
    </w:p>
    <w:p w14:paraId="28A61B21" w14:textId="77777777" w:rsidR="00C37693" w:rsidRPr="00535110" w:rsidRDefault="00C37693" w:rsidP="00C37693">
      <w:pPr>
        <w:pStyle w:val="Textosinformato"/>
        <w:jc w:val="center"/>
        <w:rPr>
          <w:rFonts w:ascii="Palatino Linotype" w:eastAsia="MS Mincho" w:hAnsi="Palatino Linotype"/>
          <w:b/>
          <w:bCs/>
          <w:sz w:val="22"/>
          <w:szCs w:val="22"/>
          <w:lang w:val="es-EC"/>
        </w:rPr>
      </w:pPr>
      <w:r w:rsidRPr="00535110">
        <w:rPr>
          <w:rFonts w:ascii="Palatino Linotype" w:eastAsia="MS Mincho" w:hAnsi="Palatino Linotype"/>
          <w:b/>
          <w:bCs/>
          <w:sz w:val="22"/>
          <w:szCs w:val="22"/>
          <w:lang w:val="es-EC"/>
        </w:rPr>
        <w:t>SECRETARIO GENERAL DEL CONCEJO METROPOLITANO DE QUITO</w:t>
      </w:r>
    </w:p>
    <w:p w14:paraId="076B7717" w14:textId="77777777" w:rsidR="00C37693" w:rsidRPr="00535110" w:rsidRDefault="00C37693" w:rsidP="00C37693">
      <w:pPr>
        <w:pStyle w:val="Textosinformato"/>
        <w:jc w:val="center"/>
        <w:rPr>
          <w:rFonts w:ascii="Palatino Linotype" w:eastAsia="MS Mincho" w:hAnsi="Palatino Linotype"/>
          <w:b/>
          <w:bCs/>
          <w:sz w:val="22"/>
          <w:szCs w:val="22"/>
          <w:lang w:val="es-EC"/>
        </w:rPr>
      </w:pPr>
    </w:p>
    <w:p w14:paraId="40C46660" w14:textId="77777777" w:rsidR="00C37693" w:rsidRPr="00535110" w:rsidRDefault="00C37693" w:rsidP="00C37693">
      <w:pPr>
        <w:pStyle w:val="Textosinformato"/>
        <w:jc w:val="both"/>
        <w:rPr>
          <w:rFonts w:ascii="Palatino Linotype" w:eastAsia="MS Mincho" w:hAnsi="Palatino Linotype"/>
          <w:sz w:val="22"/>
          <w:szCs w:val="22"/>
          <w:lang w:val="es-EC"/>
        </w:rPr>
      </w:pPr>
      <w:r w:rsidRPr="00535110">
        <w:rPr>
          <w:rFonts w:ascii="Palatino Linotype" w:eastAsia="MS Mincho" w:hAnsi="Palatino Linotype"/>
          <w:b/>
          <w:bCs/>
          <w:sz w:val="22"/>
          <w:szCs w:val="22"/>
          <w:lang w:val="es-EC"/>
        </w:rPr>
        <w:t xml:space="preserve">ALCALDÍA DEL DISTRITO METROPOLITANO DE </w:t>
      </w:r>
      <w:proofErr w:type="gramStart"/>
      <w:r w:rsidRPr="00535110">
        <w:rPr>
          <w:rFonts w:ascii="Palatino Linotype" w:eastAsia="MS Mincho" w:hAnsi="Palatino Linotype"/>
          <w:b/>
          <w:bCs/>
          <w:sz w:val="22"/>
          <w:szCs w:val="22"/>
          <w:lang w:val="es-EC"/>
        </w:rPr>
        <w:t>QUITO.-</w:t>
      </w:r>
      <w:proofErr w:type="gramEnd"/>
      <w:r w:rsidRPr="00535110">
        <w:rPr>
          <w:rFonts w:ascii="Palatino Linotype" w:eastAsia="MS Mincho" w:hAnsi="Palatino Linotype"/>
          <w:sz w:val="22"/>
          <w:szCs w:val="22"/>
          <w:lang w:val="es-EC"/>
        </w:rPr>
        <w:t xml:space="preserve"> Distrito Metropolitano de Quito,</w:t>
      </w:r>
    </w:p>
    <w:p w14:paraId="4998537B" w14:textId="77777777" w:rsidR="00C37693" w:rsidRPr="00535110" w:rsidRDefault="00C37693" w:rsidP="00C37693">
      <w:pPr>
        <w:pStyle w:val="Textosinformato"/>
        <w:jc w:val="center"/>
        <w:rPr>
          <w:rFonts w:ascii="Palatino Linotype" w:eastAsia="MS Mincho" w:hAnsi="Palatino Linotype"/>
          <w:b/>
          <w:sz w:val="22"/>
          <w:szCs w:val="22"/>
          <w:lang w:val="es-EC"/>
        </w:rPr>
      </w:pPr>
      <w:r w:rsidRPr="00535110">
        <w:rPr>
          <w:rFonts w:ascii="Palatino Linotype" w:eastAsia="MS Mincho" w:hAnsi="Palatino Linotype"/>
          <w:b/>
          <w:sz w:val="22"/>
          <w:szCs w:val="22"/>
          <w:lang w:val="es-EC"/>
        </w:rPr>
        <w:t>EJECÚTESE:</w:t>
      </w:r>
    </w:p>
    <w:p w14:paraId="73C77105" w14:textId="77777777" w:rsidR="00C37693" w:rsidRPr="00535110" w:rsidRDefault="00C37693" w:rsidP="00C37693">
      <w:pPr>
        <w:pStyle w:val="Textosinformato"/>
        <w:tabs>
          <w:tab w:val="left" w:pos="2655"/>
        </w:tabs>
        <w:rPr>
          <w:rFonts w:ascii="Palatino Linotype" w:eastAsia="MS Mincho" w:hAnsi="Palatino Linotype"/>
          <w:sz w:val="22"/>
          <w:szCs w:val="22"/>
          <w:lang w:val="es-EC"/>
        </w:rPr>
      </w:pPr>
    </w:p>
    <w:p w14:paraId="4547B6C4" w14:textId="77777777" w:rsidR="00C37693" w:rsidRPr="00535110" w:rsidRDefault="00C37693" w:rsidP="00C37693">
      <w:pPr>
        <w:pStyle w:val="Textosinformato"/>
        <w:jc w:val="center"/>
        <w:rPr>
          <w:rFonts w:ascii="Palatino Linotype" w:eastAsia="MS Mincho" w:hAnsi="Palatino Linotype"/>
          <w:sz w:val="22"/>
          <w:szCs w:val="22"/>
          <w:lang w:val="es-EC"/>
        </w:rPr>
      </w:pPr>
    </w:p>
    <w:p w14:paraId="6B3B510C" w14:textId="77777777" w:rsidR="00C37693" w:rsidRPr="00535110" w:rsidRDefault="00C37693" w:rsidP="00C37693">
      <w:pPr>
        <w:pStyle w:val="Textosinformato"/>
        <w:jc w:val="center"/>
        <w:rPr>
          <w:rFonts w:ascii="Palatino Linotype" w:eastAsia="MS Mincho" w:hAnsi="Palatino Linotype"/>
          <w:sz w:val="22"/>
          <w:szCs w:val="22"/>
          <w:lang w:val="es-EC"/>
        </w:rPr>
      </w:pPr>
    </w:p>
    <w:p w14:paraId="5DA11D03" w14:textId="77777777" w:rsidR="00C37693" w:rsidRPr="00535110" w:rsidRDefault="00C37693" w:rsidP="00C37693">
      <w:pPr>
        <w:pStyle w:val="Textosinformato"/>
        <w:jc w:val="center"/>
        <w:rPr>
          <w:rFonts w:ascii="Palatino Linotype" w:eastAsia="MS Mincho" w:hAnsi="Palatino Linotype"/>
          <w:sz w:val="22"/>
          <w:szCs w:val="22"/>
          <w:lang w:val="es-EC"/>
        </w:rPr>
      </w:pPr>
      <w:r w:rsidRPr="00535110">
        <w:rPr>
          <w:rFonts w:ascii="Palatino Linotype" w:eastAsia="MS Mincho" w:hAnsi="Palatino Linotype"/>
          <w:sz w:val="22"/>
          <w:szCs w:val="22"/>
          <w:lang w:val="es-EC"/>
        </w:rPr>
        <w:t>Dr. Mauricio Rodas Espinel</w:t>
      </w:r>
    </w:p>
    <w:p w14:paraId="08E2EC69" w14:textId="77777777" w:rsidR="00C37693" w:rsidRPr="00535110" w:rsidRDefault="00C37693" w:rsidP="00C37693">
      <w:pPr>
        <w:pStyle w:val="Textosinformato"/>
        <w:jc w:val="center"/>
        <w:rPr>
          <w:rFonts w:ascii="Palatino Linotype" w:eastAsia="MS Mincho" w:hAnsi="Palatino Linotype"/>
          <w:b/>
          <w:bCs/>
          <w:sz w:val="22"/>
          <w:szCs w:val="22"/>
          <w:lang w:val="es-EC"/>
        </w:rPr>
      </w:pPr>
      <w:r w:rsidRPr="00535110">
        <w:rPr>
          <w:rFonts w:ascii="Palatino Linotype" w:eastAsia="MS Mincho" w:hAnsi="Palatino Linotype"/>
          <w:b/>
          <w:bCs/>
          <w:sz w:val="22"/>
          <w:szCs w:val="22"/>
          <w:lang w:val="es-EC"/>
        </w:rPr>
        <w:t>ALCALDE DEL DISTRITO METROPOLITANO DE QUITO</w:t>
      </w:r>
    </w:p>
    <w:p w14:paraId="04943657" w14:textId="77777777" w:rsidR="00C37693" w:rsidRPr="00535110" w:rsidRDefault="00C37693" w:rsidP="00C37693">
      <w:pPr>
        <w:pStyle w:val="Textosinformato"/>
        <w:jc w:val="center"/>
        <w:rPr>
          <w:rFonts w:ascii="Palatino Linotype" w:eastAsia="MS Mincho" w:hAnsi="Palatino Linotype"/>
          <w:b/>
          <w:bCs/>
          <w:sz w:val="22"/>
          <w:szCs w:val="22"/>
          <w:lang w:val="es-EC"/>
        </w:rPr>
      </w:pPr>
    </w:p>
    <w:p w14:paraId="44F551F1" w14:textId="77777777" w:rsidR="00C37693" w:rsidRPr="00535110" w:rsidRDefault="00C37693" w:rsidP="00C37693">
      <w:pPr>
        <w:pStyle w:val="Textosinformato"/>
        <w:jc w:val="both"/>
        <w:rPr>
          <w:rFonts w:ascii="Palatino Linotype" w:eastAsia="MS Mincho" w:hAnsi="Palatino Linotype"/>
          <w:sz w:val="22"/>
          <w:szCs w:val="22"/>
          <w:lang w:val="es-EC"/>
        </w:rPr>
      </w:pPr>
      <w:r w:rsidRPr="00535110">
        <w:rPr>
          <w:rFonts w:ascii="Palatino Linotype" w:eastAsia="MS Mincho" w:hAnsi="Palatino Linotype"/>
          <w:b/>
          <w:bCs/>
          <w:sz w:val="22"/>
          <w:szCs w:val="22"/>
          <w:lang w:val="es-EC"/>
        </w:rPr>
        <w:t>CERTIFICO,</w:t>
      </w:r>
      <w:r w:rsidRPr="00535110">
        <w:rPr>
          <w:rFonts w:ascii="Palatino Linotype" w:eastAsia="MS Mincho" w:hAnsi="Palatino Linotype"/>
          <w:sz w:val="22"/>
          <w:szCs w:val="22"/>
          <w:lang w:val="es-EC"/>
        </w:rPr>
        <w:t xml:space="preserve"> que la presente ordenanza fue sancionada por el Dr. Mauricio Rodas Espinel, Alcalde del Distrito Metropolitano de Quito, el</w:t>
      </w:r>
    </w:p>
    <w:p w14:paraId="12555615" w14:textId="77777777" w:rsidR="00C37693" w:rsidRPr="00535110" w:rsidRDefault="00C37693" w:rsidP="00C37693">
      <w:pPr>
        <w:pStyle w:val="Textosinformato"/>
        <w:tabs>
          <w:tab w:val="right" w:pos="8504"/>
        </w:tabs>
        <w:jc w:val="both"/>
        <w:rPr>
          <w:rFonts w:ascii="Palatino Linotype" w:eastAsia="MS Mincho" w:hAnsi="Palatino Linotype"/>
          <w:sz w:val="22"/>
          <w:szCs w:val="22"/>
          <w:lang w:val="es-EC"/>
        </w:rPr>
      </w:pPr>
      <w:proofErr w:type="gramStart"/>
      <w:r w:rsidRPr="00535110">
        <w:rPr>
          <w:rFonts w:ascii="Palatino Linotype" w:eastAsia="MS Mincho" w:hAnsi="Palatino Linotype"/>
          <w:sz w:val="22"/>
          <w:szCs w:val="22"/>
          <w:lang w:val="es-EC"/>
        </w:rPr>
        <w:t>.-</w:t>
      </w:r>
      <w:proofErr w:type="gramEnd"/>
      <w:r w:rsidRPr="00535110">
        <w:rPr>
          <w:rFonts w:ascii="Palatino Linotype" w:eastAsia="MS Mincho" w:hAnsi="Palatino Linotype"/>
          <w:sz w:val="22"/>
          <w:szCs w:val="22"/>
          <w:lang w:val="es-EC"/>
        </w:rPr>
        <w:t xml:space="preserve"> Distrito Metropolitano de Quito,</w:t>
      </w:r>
    </w:p>
    <w:p w14:paraId="6ED41AB3" w14:textId="77777777" w:rsidR="00C37693" w:rsidRPr="00535110" w:rsidRDefault="00C37693" w:rsidP="00C37693">
      <w:pPr>
        <w:pStyle w:val="Textosinformato"/>
        <w:jc w:val="center"/>
        <w:rPr>
          <w:rFonts w:ascii="Palatino Linotype" w:eastAsia="MS Mincho" w:hAnsi="Palatino Linotype"/>
          <w:sz w:val="22"/>
          <w:szCs w:val="22"/>
          <w:lang w:val="es-EC"/>
        </w:rPr>
      </w:pPr>
    </w:p>
    <w:p w14:paraId="5A113246" w14:textId="77777777" w:rsidR="00C37693" w:rsidRPr="00535110" w:rsidRDefault="00C37693" w:rsidP="00C37693">
      <w:pPr>
        <w:pStyle w:val="Textosinformato"/>
        <w:jc w:val="center"/>
        <w:rPr>
          <w:rFonts w:ascii="Palatino Linotype" w:eastAsia="MS Mincho" w:hAnsi="Palatino Linotype"/>
          <w:sz w:val="22"/>
          <w:szCs w:val="22"/>
          <w:lang w:val="es-EC"/>
        </w:rPr>
      </w:pPr>
    </w:p>
    <w:p w14:paraId="60C27AF9" w14:textId="77777777" w:rsidR="00C37693" w:rsidRPr="00535110" w:rsidRDefault="00C37693" w:rsidP="00C37693">
      <w:pPr>
        <w:pStyle w:val="Textosinformato"/>
        <w:jc w:val="center"/>
        <w:rPr>
          <w:rFonts w:ascii="Palatino Linotype" w:eastAsia="MS Mincho" w:hAnsi="Palatino Linotype"/>
          <w:sz w:val="22"/>
          <w:szCs w:val="22"/>
          <w:lang w:val="es-EC"/>
        </w:rPr>
      </w:pPr>
    </w:p>
    <w:p w14:paraId="1FF4909B" w14:textId="77777777" w:rsidR="00C37693" w:rsidRPr="00535110" w:rsidRDefault="00C37693" w:rsidP="00C37693">
      <w:pPr>
        <w:pStyle w:val="Textosinformato"/>
        <w:jc w:val="center"/>
        <w:rPr>
          <w:rFonts w:ascii="Palatino Linotype" w:eastAsia="MS Mincho" w:hAnsi="Palatino Linotype"/>
          <w:sz w:val="22"/>
          <w:szCs w:val="22"/>
          <w:lang w:val="es-EC"/>
        </w:rPr>
      </w:pPr>
      <w:r w:rsidRPr="00535110">
        <w:rPr>
          <w:rFonts w:ascii="Palatino Linotype" w:eastAsia="MS Mincho" w:hAnsi="Palatino Linotype"/>
          <w:sz w:val="22"/>
          <w:szCs w:val="22"/>
          <w:lang w:val="es-EC"/>
        </w:rPr>
        <w:t>Abg. Diego Cevallos Salgado</w:t>
      </w:r>
    </w:p>
    <w:p w14:paraId="045C3E3D" w14:textId="77777777" w:rsidR="00C37693" w:rsidRPr="00535110" w:rsidRDefault="00C37693" w:rsidP="00C37693">
      <w:pPr>
        <w:pStyle w:val="Textosinformato"/>
        <w:jc w:val="center"/>
        <w:rPr>
          <w:rFonts w:ascii="Palatino Linotype" w:eastAsia="MS Mincho" w:hAnsi="Palatino Linotype"/>
          <w:b/>
          <w:bCs/>
          <w:sz w:val="22"/>
          <w:szCs w:val="22"/>
          <w:lang w:val="es-EC"/>
        </w:rPr>
      </w:pPr>
      <w:r w:rsidRPr="00535110">
        <w:rPr>
          <w:rFonts w:ascii="Palatino Linotype" w:eastAsia="MS Mincho" w:hAnsi="Palatino Linotype"/>
          <w:b/>
          <w:bCs/>
          <w:sz w:val="22"/>
          <w:szCs w:val="22"/>
          <w:lang w:val="es-EC"/>
        </w:rPr>
        <w:t>SECRETARIO GENERAL DEL CONCEJO METROPOLITANO DE QUITO</w:t>
      </w:r>
    </w:p>
    <w:p w14:paraId="38C6E9E9" w14:textId="61CC58EA" w:rsidR="00C37693" w:rsidRPr="00A74958" w:rsidRDefault="00C37693" w:rsidP="00C37693">
      <w:pPr>
        <w:spacing w:after="120" w:line="276" w:lineRule="auto"/>
        <w:jc w:val="both"/>
        <w:rPr>
          <w:rFonts w:ascii="Palatino Linotype" w:eastAsia="Palatino Linotype" w:hAnsi="Palatino Linotype" w:cs="Palatino Linotype"/>
          <w:sz w:val="22"/>
          <w:szCs w:val="22"/>
          <w:lang w:val="es-ES_tradnl"/>
        </w:rPr>
      </w:pPr>
      <w:r w:rsidRPr="00535110">
        <w:rPr>
          <w:rFonts w:ascii="Palatino Linotype" w:hAnsi="Palatino Linotype" w:cs="Arial"/>
          <w:sz w:val="16"/>
          <w:szCs w:val="16"/>
          <w:lang w:eastAsia="es-EC"/>
        </w:rPr>
        <w:t>DSCS</w:t>
      </w:r>
    </w:p>
    <w:sectPr w:rsidR="00C37693" w:rsidRPr="00A74958" w:rsidSect="00C37693">
      <w:footerReference w:type="default" r:id="rId10"/>
      <w:pgSz w:w="11906" w:h="16838"/>
      <w:pgMar w:top="1417" w:right="1701" w:bottom="1417" w:left="1701"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15A9" w14:textId="77777777" w:rsidR="007919A3" w:rsidRDefault="007919A3">
      <w:r>
        <w:separator/>
      </w:r>
    </w:p>
  </w:endnote>
  <w:endnote w:type="continuationSeparator" w:id="0">
    <w:p w14:paraId="15BAFA6C" w14:textId="77777777" w:rsidR="007919A3" w:rsidRDefault="0079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56BA" w14:textId="2FE18EB6" w:rsidR="00761020" w:rsidRDefault="00761020">
    <w:pPr>
      <w:pStyle w:val="Piedepgina"/>
      <w:jc w:val="right"/>
    </w:pPr>
  </w:p>
  <w:p w14:paraId="264959CF" w14:textId="77777777" w:rsidR="00761020" w:rsidRDefault="007610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40310"/>
      <w:docPartObj>
        <w:docPartGallery w:val="Page Numbers (Bottom of Page)"/>
        <w:docPartUnique/>
      </w:docPartObj>
    </w:sdtPr>
    <w:sdtEndPr/>
    <w:sdtContent>
      <w:sdt>
        <w:sdtPr>
          <w:id w:val="-1241479175"/>
          <w:docPartObj>
            <w:docPartGallery w:val="Page Numbers (Top of Page)"/>
            <w:docPartUnique/>
          </w:docPartObj>
        </w:sdtPr>
        <w:sdtEndPr/>
        <w:sdtContent>
          <w:p w14:paraId="577EF474" w14:textId="740FA4B3" w:rsidR="00761020" w:rsidRDefault="00761020">
            <w:pPr>
              <w:pStyle w:val="Piedepgina"/>
              <w:jc w:val="right"/>
            </w:pPr>
            <w:r w:rsidRPr="00C37693">
              <w:rPr>
                <w:rFonts w:ascii="Palatino Linotype" w:hAnsi="Palatino Linotype"/>
                <w:sz w:val="22"/>
                <w:szCs w:val="22"/>
                <w:lang w:val="es-ES"/>
              </w:rPr>
              <w:t xml:space="preserve">Página </w:t>
            </w:r>
            <w:r w:rsidRPr="00C37693">
              <w:rPr>
                <w:rFonts w:ascii="Palatino Linotype" w:hAnsi="Palatino Linotype"/>
                <w:b/>
                <w:bCs/>
                <w:sz w:val="22"/>
                <w:szCs w:val="22"/>
              </w:rPr>
              <w:fldChar w:fldCharType="begin"/>
            </w:r>
            <w:r w:rsidRPr="00C37693">
              <w:rPr>
                <w:rFonts w:ascii="Palatino Linotype" w:hAnsi="Palatino Linotype"/>
                <w:b/>
                <w:bCs/>
                <w:sz w:val="22"/>
                <w:szCs w:val="22"/>
              </w:rPr>
              <w:instrText>PAGE</w:instrText>
            </w:r>
            <w:r w:rsidRPr="00C37693">
              <w:rPr>
                <w:rFonts w:ascii="Palatino Linotype" w:hAnsi="Palatino Linotype"/>
                <w:b/>
                <w:bCs/>
                <w:sz w:val="22"/>
                <w:szCs w:val="22"/>
              </w:rPr>
              <w:fldChar w:fldCharType="separate"/>
            </w:r>
            <w:r w:rsidR="004707DC">
              <w:rPr>
                <w:rFonts w:ascii="Palatino Linotype" w:hAnsi="Palatino Linotype"/>
                <w:b/>
                <w:bCs/>
                <w:noProof/>
                <w:sz w:val="22"/>
                <w:szCs w:val="22"/>
              </w:rPr>
              <w:t>15</w:t>
            </w:r>
            <w:r w:rsidRPr="00C37693">
              <w:rPr>
                <w:rFonts w:ascii="Palatino Linotype" w:hAnsi="Palatino Linotype"/>
                <w:b/>
                <w:bCs/>
                <w:sz w:val="22"/>
                <w:szCs w:val="22"/>
              </w:rPr>
              <w:fldChar w:fldCharType="end"/>
            </w:r>
            <w:r w:rsidRPr="00C37693">
              <w:rPr>
                <w:rFonts w:ascii="Palatino Linotype" w:hAnsi="Palatino Linotype"/>
                <w:sz w:val="22"/>
                <w:szCs w:val="22"/>
                <w:lang w:val="es-ES"/>
              </w:rPr>
              <w:t xml:space="preserve"> de </w:t>
            </w:r>
            <w:r>
              <w:rPr>
                <w:rFonts w:ascii="Palatino Linotype" w:hAnsi="Palatino Linotype"/>
                <w:b/>
                <w:bCs/>
                <w:sz w:val="22"/>
                <w:szCs w:val="22"/>
              </w:rPr>
              <w:t>33</w:t>
            </w:r>
          </w:p>
        </w:sdtContent>
      </w:sdt>
    </w:sdtContent>
  </w:sdt>
  <w:p w14:paraId="3C74E0E1" w14:textId="77777777" w:rsidR="00761020" w:rsidRDefault="007610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913C" w14:textId="77777777" w:rsidR="007919A3" w:rsidRDefault="007919A3">
      <w:r>
        <w:separator/>
      </w:r>
    </w:p>
  </w:footnote>
  <w:footnote w:type="continuationSeparator" w:id="0">
    <w:p w14:paraId="5D6714C5" w14:textId="77777777" w:rsidR="007919A3" w:rsidRDefault="0079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717B" w14:textId="132F49F5" w:rsidR="00761020" w:rsidRDefault="00761020">
    <w:pPr>
      <w:pStyle w:val="Encabezado"/>
    </w:pPr>
  </w:p>
  <w:p w14:paraId="1834EB83" w14:textId="413BBA36" w:rsidR="00761020" w:rsidRDefault="00761020">
    <w:pPr>
      <w:pStyle w:val="Encabezado"/>
    </w:pPr>
  </w:p>
  <w:p w14:paraId="2B63773F" w14:textId="21E26642" w:rsidR="00761020" w:rsidRDefault="00761020">
    <w:pPr>
      <w:pStyle w:val="Encabezado"/>
    </w:pPr>
  </w:p>
  <w:p w14:paraId="0579B890" w14:textId="29AA23D6" w:rsidR="00761020" w:rsidRDefault="00761020">
    <w:pPr>
      <w:pStyle w:val="Encabezado"/>
    </w:pPr>
  </w:p>
  <w:p w14:paraId="7F2D9311" w14:textId="126FFA93" w:rsidR="00761020" w:rsidRDefault="00761020">
    <w:pPr>
      <w:pStyle w:val="Encabezado"/>
    </w:pPr>
  </w:p>
  <w:p w14:paraId="6CEC9591" w14:textId="4F80B786" w:rsidR="00761020" w:rsidRPr="00C37693" w:rsidRDefault="00761020" w:rsidP="00C37693">
    <w:pPr>
      <w:spacing w:after="120" w:line="276" w:lineRule="auto"/>
      <w:jc w:val="center"/>
      <w:rPr>
        <w:rFonts w:ascii="Palatino Linotype" w:hAnsi="Palatino Linotype"/>
        <w:sz w:val="22"/>
        <w:szCs w:val="22"/>
        <w:lang w:val="es-ES_tradnl"/>
      </w:rPr>
    </w:pPr>
    <w:r>
      <w:rPr>
        <w:rFonts w:ascii="Palatino Linotype" w:eastAsia="Palatino Linotype" w:hAnsi="Palatino Linotype" w:cs="Palatino Linotype"/>
        <w:b/>
        <w:sz w:val="22"/>
        <w:szCs w:val="22"/>
        <w:lang w:val="es-ES_tradnl"/>
      </w:rPr>
      <w:t>ORDENANZA METROPOLITANA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880"/>
    <w:multiLevelType w:val="multilevel"/>
    <w:tmpl w:val="89A06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BC4040"/>
    <w:multiLevelType w:val="multilevel"/>
    <w:tmpl w:val="37E0D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255856"/>
    <w:multiLevelType w:val="multilevel"/>
    <w:tmpl w:val="35F8E30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62934"/>
    <w:multiLevelType w:val="multilevel"/>
    <w:tmpl w:val="C58E6C94"/>
    <w:lvl w:ilvl="0">
      <w:start w:val="1"/>
      <w:numFmt w:val="low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AC91B0B"/>
    <w:multiLevelType w:val="multilevel"/>
    <w:tmpl w:val="78D4BF3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E30354"/>
    <w:multiLevelType w:val="hybridMultilevel"/>
    <w:tmpl w:val="9E6AF354"/>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6" w15:restartNumberingAfterBreak="0">
    <w:nsid w:val="51E51100"/>
    <w:multiLevelType w:val="multilevel"/>
    <w:tmpl w:val="A780645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D15EB4"/>
    <w:multiLevelType w:val="multilevel"/>
    <w:tmpl w:val="30440DF6"/>
    <w:lvl w:ilvl="0">
      <w:start w:val="1"/>
      <w:numFmt w:val="lowerLetter"/>
      <w:lvlText w:val="%1)"/>
      <w:lvlJc w:val="left"/>
      <w:pPr>
        <w:ind w:left="720" w:hanging="360"/>
      </w:pPr>
    </w:lvl>
    <w:lvl w:ilvl="1">
      <w:start w:val="1"/>
      <w:numFmt w:val="lowerRoman"/>
      <w:lvlText w:val="%2."/>
      <w:lvlJc w:val="right"/>
      <w:pPr>
        <w:ind w:left="1440" w:hanging="360"/>
      </w:pPr>
      <w:rPr>
        <w:rFonts w:ascii="Palatino Linotype" w:hAnsi="Palatino Linotype"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F77723"/>
    <w:multiLevelType w:val="multilevel"/>
    <w:tmpl w:val="7F0A4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B31C85"/>
    <w:multiLevelType w:val="multilevel"/>
    <w:tmpl w:val="86EEC536"/>
    <w:lvl w:ilvl="0">
      <w:start w:val="1"/>
      <w:numFmt w:val="lowerLetter"/>
      <w:lvlText w:val="%1."/>
      <w:lvlJc w:val="left"/>
      <w:pPr>
        <w:ind w:left="720" w:hanging="360"/>
      </w:pPr>
    </w:lvl>
    <w:lvl w:ilvl="1">
      <w:start w:val="1"/>
      <w:numFmt w:val="lowerRoman"/>
      <w:lvlText w:val="%2."/>
      <w:lvlJc w:val="right"/>
      <w:pPr>
        <w:ind w:left="1440" w:hanging="360"/>
      </w:pPr>
      <w:rPr>
        <w:rFonts w:ascii="Palatino Linotype" w:hAnsi="Palatino Linotype"/>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7813AF"/>
    <w:multiLevelType w:val="multilevel"/>
    <w:tmpl w:val="A93CE95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6CB93D9D"/>
    <w:multiLevelType w:val="hybridMultilevel"/>
    <w:tmpl w:val="BCA8F936"/>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12" w15:restartNumberingAfterBreak="0">
    <w:nsid w:val="77693634"/>
    <w:multiLevelType w:val="multilevel"/>
    <w:tmpl w:val="66C6203C"/>
    <w:lvl w:ilvl="0">
      <w:start w:val="1"/>
      <w:numFmt w:val="bullet"/>
      <w:lvlText w:val="●"/>
      <w:lvlJc w:val="left"/>
      <w:pPr>
        <w:ind w:left="1068" w:hanging="360"/>
      </w:pPr>
      <w:rPr>
        <w:rFonts w:ascii="Noto Sans Symbols" w:hAnsi="Noto Sans Symbols" w:cs="Noto Sans Symbols"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3" w15:restartNumberingAfterBreak="0">
    <w:nsid w:val="78C97A07"/>
    <w:multiLevelType w:val="multilevel"/>
    <w:tmpl w:val="4AE24598"/>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7A2116B2"/>
    <w:multiLevelType w:val="multilevel"/>
    <w:tmpl w:val="BA4A1E7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464EF2"/>
    <w:multiLevelType w:val="multilevel"/>
    <w:tmpl w:val="253493EC"/>
    <w:lvl w:ilvl="0">
      <w:start w:val="1"/>
      <w:numFmt w:val="lowerLetter"/>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012BB2"/>
    <w:multiLevelType w:val="multilevel"/>
    <w:tmpl w:val="003C647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8"/>
  </w:num>
  <w:num w:numId="2">
    <w:abstractNumId w:val="14"/>
  </w:num>
  <w:num w:numId="3">
    <w:abstractNumId w:val="10"/>
  </w:num>
  <w:num w:numId="4">
    <w:abstractNumId w:val="2"/>
  </w:num>
  <w:num w:numId="5">
    <w:abstractNumId w:val="15"/>
  </w:num>
  <w:num w:numId="6">
    <w:abstractNumId w:val="6"/>
  </w:num>
  <w:num w:numId="7">
    <w:abstractNumId w:val="12"/>
  </w:num>
  <w:num w:numId="8">
    <w:abstractNumId w:val="1"/>
  </w:num>
  <w:num w:numId="9">
    <w:abstractNumId w:val="7"/>
  </w:num>
  <w:num w:numId="10">
    <w:abstractNumId w:val="9"/>
  </w:num>
  <w:num w:numId="11">
    <w:abstractNumId w:val="3"/>
  </w:num>
  <w:num w:numId="12">
    <w:abstractNumId w:val="16"/>
  </w:num>
  <w:num w:numId="13">
    <w:abstractNumId w:val="4"/>
  </w:num>
  <w:num w:numId="14">
    <w:abstractNumId w:val="0"/>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07"/>
    <w:rsid w:val="00000951"/>
    <w:rsid w:val="00091C5F"/>
    <w:rsid w:val="000E2421"/>
    <w:rsid w:val="000F567D"/>
    <w:rsid w:val="00140621"/>
    <w:rsid w:val="00142E6D"/>
    <w:rsid w:val="001432CE"/>
    <w:rsid w:val="0014571E"/>
    <w:rsid w:val="001557A5"/>
    <w:rsid w:val="001A1CB4"/>
    <w:rsid w:val="001D6179"/>
    <w:rsid w:val="00216F65"/>
    <w:rsid w:val="002A7B34"/>
    <w:rsid w:val="002D5035"/>
    <w:rsid w:val="002F044D"/>
    <w:rsid w:val="0032409E"/>
    <w:rsid w:val="00333403"/>
    <w:rsid w:val="003474D4"/>
    <w:rsid w:val="003D5DCB"/>
    <w:rsid w:val="0041571A"/>
    <w:rsid w:val="00425E5E"/>
    <w:rsid w:val="00464F06"/>
    <w:rsid w:val="004707DC"/>
    <w:rsid w:val="00486007"/>
    <w:rsid w:val="00493F25"/>
    <w:rsid w:val="004E0787"/>
    <w:rsid w:val="004F2A66"/>
    <w:rsid w:val="00510768"/>
    <w:rsid w:val="005276B0"/>
    <w:rsid w:val="00535110"/>
    <w:rsid w:val="0054085F"/>
    <w:rsid w:val="005E648C"/>
    <w:rsid w:val="0061454D"/>
    <w:rsid w:val="00644047"/>
    <w:rsid w:val="00645BE7"/>
    <w:rsid w:val="006960E5"/>
    <w:rsid w:val="006C0961"/>
    <w:rsid w:val="00750380"/>
    <w:rsid w:val="00761020"/>
    <w:rsid w:val="00770474"/>
    <w:rsid w:val="007919A3"/>
    <w:rsid w:val="00796BFF"/>
    <w:rsid w:val="0079743D"/>
    <w:rsid w:val="007A28AA"/>
    <w:rsid w:val="007A2AFC"/>
    <w:rsid w:val="007E6FDC"/>
    <w:rsid w:val="007F0F36"/>
    <w:rsid w:val="00871B44"/>
    <w:rsid w:val="00873CCD"/>
    <w:rsid w:val="0089553F"/>
    <w:rsid w:val="008C1836"/>
    <w:rsid w:val="008D56B9"/>
    <w:rsid w:val="008F7229"/>
    <w:rsid w:val="00927FD9"/>
    <w:rsid w:val="00933898"/>
    <w:rsid w:val="00990A96"/>
    <w:rsid w:val="009943B3"/>
    <w:rsid w:val="00996AA6"/>
    <w:rsid w:val="00A01583"/>
    <w:rsid w:val="00A04348"/>
    <w:rsid w:val="00A45774"/>
    <w:rsid w:val="00A74958"/>
    <w:rsid w:val="00A76E63"/>
    <w:rsid w:val="00AD4505"/>
    <w:rsid w:val="00B116EB"/>
    <w:rsid w:val="00B4089D"/>
    <w:rsid w:val="00C02088"/>
    <w:rsid w:val="00C37693"/>
    <w:rsid w:val="00C42DF0"/>
    <w:rsid w:val="00C54CE2"/>
    <w:rsid w:val="00C756EB"/>
    <w:rsid w:val="00C8650A"/>
    <w:rsid w:val="00CB18D7"/>
    <w:rsid w:val="00CE28BF"/>
    <w:rsid w:val="00D227EB"/>
    <w:rsid w:val="00D4380B"/>
    <w:rsid w:val="00DC2E8B"/>
    <w:rsid w:val="00DD2B5A"/>
    <w:rsid w:val="00E02E24"/>
    <w:rsid w:val="00E83688"/>
    <w:rsid w:val="00EE7FBD"/>
    <w:rsid w:val="00F42F53"/>
    <w:rsid w:val="00F44316"/>
    <w:rsid w:val="00FA14C1"/>
  </w:rsids>
  <m:mathPr>
    <m:mathFont m:val="Cambria Math"/>
    <m:brkBin m:val="before"/>
    <m:brkBinSub m:val="--"/>
    <m:smallFrac m:val="0"/>
    <m:dispDef/>
    <m:lMargin m:val="0"/>
    <m:rMargin m:val="0"/>
    <m:defJc m:val="centerGroup"/>
    <m:wrapIndent m:val="1440"/>
    <m:intLim m:val="subSup"/>
    <m:naryLim m:val="undOvr"/>
  </m:mathPr>
  <w:themeFontLang w:val="es-EC"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07F5"/>
  <w15:docId w15:val="{473732DE-B92D-42F3-807E-F7DB018D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C"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4A"/>
    <w:rPr>
      <w:rFonts w:eastAsia="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qFormat/>
    <w:rsid w:val="00C03D4A"/>
    <w:rPr>
      <w:rFonts w:ascii="Cambria" w:eastAsia="Cambria" w:hAnsi="Cambria" w:cs="Cambria"/>
      <w:b/>
      <w:sz w:val="48"/>
      <w:szCs w:val="48"/>
    </w:rPr>
  </w:style>
  <w:style w:type="character" w:customStyle="1" w:styleId="Ttulo2Car">
    <w:name w:val="Título 2 Car"/>
    <w:basedOn w:val="Fuentedeprrafopredeter"/>
    <w:link w:val="Ttulo21"/>
    <w:qFormat/>
    <w:rsid w:val="00C03D4A"/>
    <w:rPr>
      <w:rFonts w:ascii="Cambria" w:eastAsia="Cambria" w:hAnsi="Cambria" w:cs="Cambria"/>
      <w:b/>
      <w:sz w:val="36"/>
      <w:szCs w:val="36"/>
    </w:rPr>
  </w:style>
  <w:style w:type="character" w:customStyle="1" w:styleId="Ttulo3Car">
    <w:name w:val="Título 3 Car"/>
    <w:basedOn w:val="Fuentedeprrafopredeter"/>
    <w:link w:val="Ttulo31"/>
    <w:qFormat/>
    <w:rsid w:val="00C03D4A"/>
    <w:rPr>
      <w:rFonts w:ascii="Cambria" w:eastAsia="Cambria" w:hAnsi="Cambria" w:cs="Cambria"/>
      <w:b/>
      <w:sz w:val="28"/>
      <w:szCs w:val="28"/>
    </w:rPr>
  </w:style>
  <w:style w:type="character" w:customStyle="1" w:styleId="Ttulo4Car">
    <w:name w:val="Título 4 Car"/>
    <w:basedOn w:val="Fuentedeprrafopredeter"/>
    <w:link w:val="Ttulo41"/>
    <w:qFormat/>
    <w:rsid w:val="00C03D4A"/>
    <w:rPr>
      <w:rFonts w:ascii="Cambria" w:eastAsia="Cambria" w:hAnsi="Cambria" w:cs="Cambria"/>
      <w:b/>
    </w:rPr>
  </w:style>
  <w:style w:type="character" w:customStyle="1" w:styleId="Ttulo5Car">
    <w:name w:val="Título 5 Car"/>
    <w:basedOn w:val="Fuentedeprrafopredeter"/>
    <w:link w:val="Ttulo51"/>
    <w:qFormat/>
    <w:rsid w:val="00C03D4A"/>
    <w:rPr>
      <w:rFonts w:ascii="Cambria" w:eastAsia="Cambria" w:hAnsi="Cambria" w:cs="Cambria"/>
      <w:b/>
      <w:sz w:val="22"/>
      <w:szCs w:val="22"/>
    </w:rPr>
  </w:style>
  <w:style w:type="character" w:customStyle="1" w:styleId="Ttulo6Car">
    <w:name w:val="Título 6 Car"/>
    <w:basedOn w:val="Fuentedeprrafopredeter"/>
    <w:link w:val="Ttulo61"/>
    <w:qFormat/>
    <w:rsid w:val="00C03D4A"/>
    <w:rPr>
      <w:rFonts w:ascii="Cambria" w:eastAsia="Cambria" w:hAnsi="Cambria" w:cs="Cambria"/>
      <w:b/>
      <w:sz w:val="20"/>
      <w:szCs w:val="20"/>
    </w:rPr>
  </w:style>
  <w:style w:type="character" w:customStyle="1" w:styleId="TtuloCar">
    <w:name w:val="Título Car"/>
    <w:basedOn w:val="Fuentedeprrafopredeter"/>
    <w:link w:val="Ttulo"/>
    <w:qFormat/>
    <w:rsid w:val="00C03D4A"/>
    <w:rPr>
      <w:rFonts w:ascii="Cambria" w:eastAsia="Cambria" w:hAnsi="Cambria" w:cs="Cambria"/>
      <w:b/>
      <w:sz w:val="72"/>
      <w:szCs w:val="72"/>
    </w:rPr>
  </w:style>
  <w:style w:type="character" w:customStyle="1" w:styleId="SubttuloCar">
    <w:name w:val="Subtítulo Car"/>
    <w:basedOn w:val="Fuentedeprrafopredeter"/>
    <w:link w:val="Subttulo"/>
    <w:qFormat/>
    <w:rsid w:val="00C03D4A"/>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uiPriority w:val="99"/>
    <w:semiHidden/>
    <w:qFormat/>
    <w:rsid w:val="00C03D4A"/>
    <w:rPr>
      <w:rFonts w:ascii="Cambria" w:eastAsia="Cambria" w:hAnsi="Cambria" w:cs="Cambria"/>
      <w:sz w:val="20"/>
      <w:szCs w:val="20"/>
    </w:rPr>
  </w:style>
  <w:style w:type="character" w:styleId="Refdecomentario">
    <w:name w:val="annotation reference"/>
    <w:basedOn w:val="Fuentedeprrafopredeter"/>
    <w:uiPriority w:val="99"/>
    <w:semiHidden/>
    <w:unhideWhenUsed/>
    <w:qFormat/>
    <w:rsid w:val="00C03D4A"/>
    <w:rPr>
      <w:sz w:val="16"/>
      <w:szCs w:val="16"/>
    </w:rPr>
  </w:style>
  <w:style w:type="character" w:customStyle="1" w:styleId="AsuntodelcomentarioCar">
    <w:name w:val="Asunto del comentario Car"/>
    <w:basedOn w:val="TextocomentarioCar"/>
    <w:link w:val="Asuntodelcomentario"/>
    <w:uiPriority w:val="99"/>
    <w:semiHidden/>
    <w:qFormat/>
    <w:rsid w:val="00C03D4A"/>
    <w:rPr>
      <w:rFonts w:ascii="Cambria" w:eastAsia="Cambria" w:hAnsi="Cambria" w:cs="Cambria"/>
      <w:b/>
      <w:bCs/>
      <w:sz w:val="20"/>
      <w:szCs w:val="20"/>
    </w:rPr>
  </w:style>
  <w:style w:type="character" w:customStyle="1" w:styleId="TextodegloboCar">
    <w:name w:val="Texto de globo Car"/>
    <w:basedOn w:val="Fuentedeprrafopredeter"/>
    <w:link w:val="Textodeglobo"/>
    <w:uiPriority w:val="99"/>
    <w:semiHidden/>
    <w:qFormat/>
    <w:rsid w:val="00C03D4A"/>
    <w:rPr>
      <w:rFonts w:ascii="Segoe UI" w:eastAsia="Cambria" w:hAnsi="Segoe UI" w:cs="Segoe UI"/>
      <w:sz w:val="18"/>
      <w:szCs w:val="18"/>
    </w:rPr>
  </w:style>
  <w:style w:type="character" w:customStyle="1" w:styleId="ListLabel1">
    <w:name w:val="ListLabel 1"/>
    <w:qFormat/>
    <w:rPr>
      <w:rFonts w:eastAsia="Noto Sans Symbols" w:cs="Noto Sans Symbols"/>
      <w:sz w:val="22"/>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ascii="Palatino Linotype" w:hAnsi="Palatino Linotype"/>
      <w:b w:val="0"/>
      <w:sz w:val="22"/>
    </w:rPr>
  </w:style>
  <w:style w:type="character" w:customStyle="1" w:styleId="ListLabel20">
    <w:name w:val="ListLabel 20"/>
    <w:qFormat/>
    <w:rPr>
      <w:rFonts w:cs="Noto Sans Symbols"/>
      <w:sz w:val="22"/>
    </w:rPr>
  </w:style>
  <w:style w:type="character" w:customStyle="1" w:styleId="ListLabel21">
    <w:name w:val="ListLabel 21"/>
    <w:qFormat/>
    <w:rPr>
      <w:rFonts w:cs="Courier New"/>
    </w:rPr>
  </w:style>
  <w:style w:type="character" w:customStyle="1" w:styleId="ListLabel22">
    <w:name w:val="ListLabel 22"/>
    <w:qFormat/>
    <w:rPr>
      <w:rFonts w:cs="Noto Sans Symbols"/>
    </w:rPr>
  </w:style>
  <w:style w:type="character" w:customStyle="1" w:styleId="ListLabel23">
    <w:name w:val="ListLabel 23"/>
    <w:qFormat/>
    <w:rPr>
      <w:rFonts w:cs="Noto Sans Symbols"/>
    </w:rPr>
  </w:style>
  <w:style w:type="character" w:customStyle="1" w:styleId="ListLabel24">
    <w:name w:val="ListLabel 24"/>
    <w:qFormat/>
    <w:rPr>
      <w:rFonts w:cs="Courier New"/>
    </w:rPr>
  </w:style>
  <w:style w:type="character" w:customStyle="1" w:styleId="ListLabel25">
    <w:name w:val="ListLabel 25"/>
    <w:qFormat/>
    <w:rPr>
      <w:rFonts w:cs="Noto Sans Symbols"/>
    </w:rPr>
  </w:style>
  <w:style w:type="character" w:customStyle="1" w:styleId="ListLabel26">
    <w:name w:val="ListLabel 26"/>
    <w:qFormat/>
    <w:rPr>
      <w:rFonts w:cs="Noto Sans Symbols"/>
    </w:rPr>
  </w:style>
  <w:style w:type="character" w:customStyle="1" w:styleId="ListLabel27">
    <w:name w:val="ListLabel 27"/>
    <w:qFormat/>
    <w:rPr>
      <w:rFonts w:cs="Courier New"/>
    </w:rPr>
  </w:style>
  <w:style w:type="character" w:customStyle="1" w:styleId="ListLabel28">
    <w:name w:val="ListLabel 28"/>
    <w:qFormat/>
    <w:rPr>
      <w:rFonts w:cs="Noto Sans Symbols"/>
    </w:rPr>
  </w:style>
  <w:style w:type="character" w:customStyle="1" w:styleId="ListLabel29">
    <w:name w:val="ListLabel 29"/>
    <w:qFormat/>
    <w:rPr>
      <w:rFonts w:ascii="Palatino Linotype" w:hAnsi="Palatino Linotype"/>
      <w:b w:val="0"/>
      <w:sz w:val="22"/>
    </w:rPr>
  </w:style>
  <w:style w:type="paragraph" w:styleId="Ttulo">
    <w:name w:val="Title"/>
    <w:basedOn w:val="Normal"/>
    <w:next w:val="Textoindependiente"/>
    <w:link w:val="TtuloCar"/>
    <w:qFormat/>
    <w:rsid w:val="00C03D4A"/>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1">
    <w:name w:val="Título 11"/>
    <w:basedOn w:val="Normal"/>
    <w:next w:val="Normal"/>
    <w:link w:val="Ttulo1Car"/>
    <w:qFormat/>
    <w:rsid w:val="00C03D4A"/>
    <w:pPr>
      <w:keepNext/>
      <w:keepLines/>
      <w:spacing w:before="480" w:after="120"/>
      <w:outlineLvl w:val="0"/>
    </w:pPr>
    <w:rPr>
      <w:b/>
      <w:sz w:val="48"/>
      <w:szCs w:val="48"/>
    </w:rPr>
  </w:style>
  <w:style w:type="paragraph" w:customStyle="1" w:styleId="Ttulo21">
    <w:name w:val="Título 21"/>
    <w:basedOn w:val="Normal"/>
    <w:next w:val="Normal"/>
    <w:link w:val="Ttulo2Car"/>
    <w:qFormat/>
    <w:rsid w:val="00C03D4A"/>
    <w:pPr>
      <w:keepNext/>
      <w:keepLines/>
      <w:spacing w:before="360" w:after="80"/>
      <w:outlineLvl w:val="1"/>
    </w:pPr>
    <w:rPr>
      <w:b/>
      <w:sz w:val="36"/>
      <w:szCs w:val="36"/>
    </w:rPr>
  </w:style>
  <w:style w:type="paragraph" w:customStyle="1" w:styleId="Ttulo31">
    <w:name w:val="Título 31"/>
    <w:basedOn w:val="Normal"/>
    <w:next w:val="Normal"/>
    <w:link w:val="Ttulo3Car"/>
    <w:qFormat/>
    <w:rsid w:val="00C03D4A"/>
    <w:pPr>
      <w:keepNext/>
      <w:keepLines/>
      <w:spacing w:before="280" w:after="80"/>
      <w:outlineLvl w:val="2"/>
    </w:pPr>
    <w:rPr>
      <w:b/>
      <w:sz w:val="28"/>
      <w:szCs w:val="28"/>
    </w:rPr>
  </w:style>
  <w:style w:type="paragraph" w:customStyle="1" w:styleId="Ttulo41">
    <w:name w:val="Título 41"/>
    <w:basedOn w:val="Normal"/>
    <w:next w:val="Normal"/>
    <w:link w:val="Ttulo4Car"/>
    <w:qFormat/>
    <w:rsid w:val="00C03D4A"/>
    <w:pPr>
      <w:keepNext/>
      <w:keepLines/>
      <w:spacing w:before="240" w:after="40"/>
      <w:outlineLvl w:val="3"/>
    </w:pPr>
    <w:rPr>
      <w:b/>
    </w:rPr>
  </w:style>
  <w:style w:type="paragraph" w:customStyle="1" w:styleId="Ttulo51">
    <w:name w:val="Título 51"/>
    <w:basedOn w:val="Normal"/>
    <w:next w:val="Normal"/>
    <w:link w:val="Ttulo5Car"/>
    <w:qFormat/>
    <w:rsid w:val="00C03D4A"/>
    <w:pPr>
      <w:keepNext/>
      <w:keepLines/>
      <w:spacing w:before="220" w:after="40"/>
      <w:outlineLvl w:val="4"/>
    </w:pPr>
    <w:rPr>
      <w:b/>
      <w:sz w:val="22"/>
      <w:szCs w:val="22"/>
    </w:rPr>
  </w:style>
  <w:style w:type="paragraph" w:customStyle="1" w:styleId="Ttulo61">
    <w:name w:val="Título 61"/>
    <w:basedOn w:val="Normal"/>
    <w:next w:val="Normal"/>
    <w:link w:val="Ttulo6Car"/>
    <w:qFormat/>
    <w:rsid w:val="00C03D4A"/>
    <w:pPr>
      <w:keepNext/>
      <w:keepLines/>
      <w:spacing w:before="200" w:after="40"/>
      <w:outlineLvl w:val="5"/>
    </w:pPr>
    <w:rPr>
      <w:b/>
      <w:sz w:val="20"/>
      <w:szCs w:val="20"/>
    </w:rPr>
  </w:style>
  <w:style w:type="paragraph" w:customStyle="1" w:styleId="Descripcin1">
    <w:name w:val="Descripción1"/>
    <w:basedOn w:val="Normal"/>
    <w:qFormat/>
    <w:pPr>
      <w:suppressLineNumbers/>
      <w:spacing w:before="120" w:after="120"/>
    </w:pPr>
    <w:rPr>
      <w:rFonts w:cs="Mangal"/>
      <w:i/>
      <w:iCs/>
    </w:rPr>
  </w:style>
  <w:style w:type="paragraph" w:customStyle="1" w:styleId="Normal1">
    <w:name w:val="Normal1"/>
    <w:qFormat/>
    <w:rsid w:val="00C03D4A"/>
    <w:rPr>
      <w:rFonts w:eastAsia="Cambria" w:cs="Cambria"/>
    </w:rPr>
  </w:style>
  <w:style w:type="paragraph" w:styleId="Subttulo">
    <w:name w:val="Subtitle"/>
    <w:basedOn w:val="Normal"/>
    <w:next w:val="Normal"/>
    <w:link w:val="SubttuloCar"/>
    <w:qFormat/>
    <w:rsid w:val="00C03D4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rsid w:val="00C03D4A"/>
    <w:rPr>
      <w:sz w:val="20"/>
      <w:szCs w:val="20"/>
    </w:rPr>
  </w:style>
  <w:style w:type="paragraph" w:styleId="Asuntodelcomentario">
    <w:name w:val="annotation subject"/>
    <w:basedOn w:val="Textocomentario"/>
    <w:next w:val="Textocomentario"/>
    <w:link w:val="AsuntodelcomentarioCar"/>
    <w:uiPriority w:val="99"/>
    <w:semiHidden/>
    <w:unhideWhenUsed/>
    <w:qFormat/>
    <w:rsid w:val="00C03D4A"/>
    <w:rPr>
      <w:b/>
      <w:bCs/>
    </w:rPr>
  </w:style>
  <w:style w:type="paragraph" w:styleId="Textodeglobo">
    <w:name w:val="Balloon Text"/>
    <w:basedOn w:val="Normal"/>
    <w:link w:val="TextodegloboCar"/>
    <w:uiPriority w:val="99"/>
    <w:semiHidden/>
    <w:unhideWhenUsed/>
    <w:qFormat/>
    <w:rsid w:val="00C03D4A"/>
    <w:rPr>
      <w:rFonts w:ascii="Segoe UI" w:hAnsi="Segoe UI" w:cs="Segoe UI"/>
      <w:sz w:val="18"/>
      <w:szCs w:val="18"/>
    </w:rPr>
  </w:style>
  <w:style w:type="paragraph" w:styleId="Prrafodelista">
    <w:name w:val="List Paragraph"/>
    <w:basedOn w:val="Normal"/>
    <w:uiPriority w:val="34"/>
    <w:qFormat/>
    <w:rsid w:val="00C03D4A"/>
    <w:pPr>
      <w:ind w:left="720"/>
      <w:contextualSpacing/>
    </w:pPr>
  </w:style>
  <w:style w:type="paragraph" w:styleId="NormalWeb">
    <w:name w:val="Normal (Web)"/>
    <w:basedOn w:val="Normal"/>
    <w:uiPriority w:val="99"/>
    <w:unhideWhenUsed/>
    <w:qFormat/>
    <w:rsid w:val="00C03D4A"/>
    <w:pPr>
      <w:spacing w:beforeAutospacing="1" w:afterAutospacing="1"/>
    </w:pPr>
    <w:rPr>
      <w:rFonts w:ascii="Times" w:hAnsi="Times" w:cs="Times New Roman"/>
      <w:sz w:val="20"/>
      <w:szCs w:val="20"/>
    </w:rPr>
  </w:style>
  <w:style w:type="paragraph" w:customStyle="1" w:styleId="Encabezado1">
    <w:name w:val="Encabezado1"/>
    <w:basedOn w:val="Normal"/>
    <w:qFormat/>
  </w:style>
  <w:style w:type="paragraph" w:customStyle="1" w:styleId="Piedepgina1">
    <w:name w:val="Pie de página1"/>
    <w:basedOn w:val="Normal"/>
    <w:qFormat/>
  </w:style>
  <w:style w:type="paragraph" w:styleId="Encabezado">
    <w:name w:val="header"/>
    <w:basedOn w:val="Normal"/>
  </w:style>
  <w:style w:type="paragraph" w:styleId="Piedepgina">
    <w:name w:val="footer"/>
    <w:basedOn w:val="Normal"/>
    <w:link w:val="PiedepginaCar"/>
    <w:uiPriority w:val="99"/>
  </w:style>
  <w:style w:type="table" w:customStyle="1" w:styleId="TableNormal">
    <w:name w:val="Table Normal"/>
    <w:rsid w:val="00C03D4A"/>
    <w:tblPr>
      <w:tblCellMar>
        <w:top w:w="0" w:type="dxa"/>
        <w:left w:w="0" w:type="dxa"/>
        <w:bottom w:w="0" w:type="dxa"/>
        <w:right w:w="0" w:type="dxa"/>
      </w:tblCellMar>
    </w:tblPr>
  </w:style>
  <w:style w:type="table" w:styleId="Tablaconcuadrcula">
    <w:name w:val="Table Grid"/>
    <w:basedOn w:val="Tablanormal"/>
    <w:uiPriority w:val="39"/>
    <w:rsid w:val="00340E0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C37693"/>
    <w:rPr>
      <w:rFonts w:eastAsia="Cambria" w:cs="Cambria"/>
    </w:rPr>
  </w:style>
  <w:style w:type="paragraph" w:styleId="Textosinformato">
    <w:name w:val="Plain Text"/>
    <w:basedOn w:val="Normal"/>
    <w:link w:val="TextosinformatoCar"/>
    <w:rsid w:val="00C37693"/>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37693"/>
    <w:rPr>
      <w:rFonts w:ascii="Courier New" w:eastAsia="Times New Roman" w:hAnsi="Courier New" w:cs="Times New Roman"/>
      <w:sz w:val="20"/>
      <w:szCs w:val="20"/>
      <w:lang w:val="es-ES"/>
    </w:rPr>
  </w:style>
  <w:style w:type="paragraph" w:customStyle="1" w:styleId="Textopredeterminado">
    <w:name w:val="Texto predeterminado"/>
    <w:basedOn w:val="Normal"/>
    <w:rsid w:val="00C37693"/>
    <w:rPr>
      <w:rFonts w:ascii="Times New Roman" w:eastAsia="Times New Roman" w:hAnsi="Times New Roman"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134">
      <w:bodyDiv w:val="1"/>
      <w:marLeft w:val="0"/>
      <w:marRight w:val="0"/>
      <w:marTop w:val="0"/>
      <w:marBottom w:val="0"/>
      <w:divBdr>
        <w:top w:val="none" w:sz="0" w:space="0" w:color="auto"/>
        <w:left w:val="none" w:sz="0" w:space="0" w:color="auto"/>
        <w:bottom w:val="none" w:sz="0" w:space="0" w:color="auto"/>
        <w:right w:val="none" w:sz="0" w:space="0" w:color="auto"/>
      </w:divBdr>
    </w:div>
    <w:div w:id="7459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D755-886A-461B-8BBC-1D608B49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14765</Words>
  <Characters>81208</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Diego Sebastian Cevallos Salgado</cp:lastModifiedBy>
  <cp:revision>8</cp:revision>
  <cp:lastPrinted>2019-04-29T20:43:00Z</cp:lastPrinted>
  <dcterms:created xsi:type="dcterms:W3CDTF">2019-04-26T23:00:00Z</dcterms:created>
  <dcterms:modified xsi:type="dcterms:W3CDTF">2019-04-29T20:43:00Z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