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BB2" w:rsidRPr="00A16EF4" w:rsidRDefault="00E32BB2" w:rsidP="00650520">
      <w:pPr>
        <w:spacing w:after="240"/>
        <w:jc w:val="center"/>
        <w:rPr>
          <w:rFonts w:ascii="Palatino Linotype" w:hAnsi="Palatino Linotype" w:cs="Arial"/>
          <w:b/>
          <w:bCs/>
          <w:sz w:val="22"/>
          <w:szCs w:val="22"/>
        </w:rPr>
      </w:pPr>
      <w:r w:rsidRPr="00A16EF4">
        <w:rPr>
          <w:rFonts w:ascii="Palatino Linotype" w:hAnsi="Palatino Linotype" w:cs="Arial"/>
          <w:b/>
          <w:bCs/>
          <w:sz w:val="22"/>
          <w:szCs w:val="22"/>
        </w:rPr>
        <w:t>EXPOSICIÓN DE MOTIVOS</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La Constitución de la República del Ecuador, en su artículo 264, numeral uno, dentro de las competencias exclusivas de los gobiernos municipales</w:t>
      </w:r>
      <w:r w:rsidR="00203608" w:rsidRPr="00A16EF4">
        <w:rPr>
          <w:rFonts w:ascii="Palatino Linotype" w:hAnsi="Palatino Linotype" w:cs="Arial"/>
          <w:bCs/>
          <w:sz w:val="22"/>
          <w:szCs w:val="22"/>
        </w:rPr>
        <w:t>,</w:t>
      </w:r>
      <w:r w:rsidRPr="00A16EF4">
        <w:rPr>
          <w:rFonts w:ascii="Palatino Linotype" w:hAnsi="Palatino Linotype" w:cs="Arial"/>
          <w:bCs/>
          <w:sz w:val="22"/>
          <w:szCs w:val="22"/>
        </w:rPr>
        <w:t xml:space="preserve">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 xml:space="preserve">El literal v) del artículo 87, del Código Orgánico de Organización Territorial, Autonomía y Descentralización, en lo que respecta de las atribuciones del Concejo Metropolitano </w:t>
      </w:r>
      <w:r w:rsidR="00203608" w:rsidRPr="00A16EF4">
        <w:rPr>
          <w:rFonts w:ascii="Palatino Linotype" w:hAnsi="Palatino Linotype" w:cs="Arial"/>
          <w:bCs/>
          <w:sz w:val="22"/>
          <w:szCs w:val="22"/>
        </w:rPr>
        <w:t>prevé</w:t>
      </w:r>
      <w:r w:rsidRPr="00A16EF4">
        <w:rPr>
          <w:rFonts w:ascii="Palatino Linotype" w:hAnsi="Palatino Linotype" w:cs="Arial"/>
          <w:bCs/>
          <w:sz w:val="22"/>
          <w:szCs w:val="22"/>
        </w:rPr>
        <w:t xml:space="preserve"> la </w:t>
      </w:r>
      <w:r w:rsidR="00203608" w:rsidRPr="00A16EF4">
        <w:rPr>
          <w:rFonts w:ascii="Palatino Linotype" w:hAnsi="Palatino Linotype" w:cs="Arial"/>
          <w:bCs/>
          <w:sz w:val="22"/>
          <w:szCs w:val="22"/>
        </w:rPr>
        <w:t xml:space="preserve">de </w:t>
      </w:r>
      <w:r w:rsidRPr="00A16EF4">
        <w:rPr>
          <w:rFonts w:ascii="Palatino Linotype" w:hAnsi="Palatino Linotype" w:cs="Arial"/>
          <w:bCs/>
          <w:sz w:val="22"/>
          <w:szCs w:val="22"/>
        </w:rPr>
        <w:t xml:space="preserve">regular y controlar el </w:t>
      </w:r>
      <w:r w:rsidR="00203608" w:rsidRPr="00A16EF4">
        <w:rPr>
          <w:rFonts w:ascii="Palatino Linotype" w:hAnsi="Palatino Linotype" w:cs="Arial"/>
          <w:bCs/>
          <w:sz w:val="22"/>
          <w:szCs w:val="22"/>
        </w:rPr>
        <w:t xml:space="preserve">uso </w:t>
      </w:r>
      <w:r w:rsidRPr="00A16EF4">
        <w:rPr>
          <w:rFonts w:ascii="Palatino Linotype" w:hAnsi="Palatino Linotype" w:cs="Arial"/>
          <w:bCs/>
          <w:sz w:val="22"/>
          <w:szCs w:val="22"/>
        </w:rPr>
        <w:t>de suelo en el territorio del Distrito Metropolitano, de conformidad con las leyes sobre la materia, y establecer el régimen urbanístico de la tierra.</w:t>
      </w:r>
    </w:p>
    <w:p w:rsidR="00AE02A6" w:rsidRDefault="00AE02A6" w:rsidP="00E32BB2">
      <w:pPr>
        <w:spacing w:after="240"/>
        <w:ind w:firstLine="708"/>
        <w:jc w:val="both"/>
        <w:rPr>
          <w:rFonts w:ascii="Palatino Linotype" w:hAnsi="Palatino Linotype" w:cs="Tahoma"/>
          <w:sz w:val="22"/>
          <w:szCs w:val="22"/>
        </w:rPr>
      </w:pPr>
      <w:r>
        <w:rPr>
          <w:rFonts w:ascii="Palatino Linotype" w:hAnsi="Palatino Linotype" w:cs="Tahoma"/>
          <w:sz w:val="22"/>
          <w:szCs w:val="22"/>
        </w:rPr>
        <w:t>A petición de los promotores de la Urbanización de Interés Social Progresiva Bellavista del Sur, ubicada en la Av. Simón Bolívar y Camino de El Inca, barrio Turubamba Bajo</w:t>
      </w:r>
      <w:r w:rsidR="001D31BB">
        <w:rPr>
          <w:rFonts w:ascii="Palatino Linotype" w:hAnsi="Palatino Linotype" w:cs="Tahoma"/>
          <w:sz w:val="22"/>
          <w:szCs w:val="22"/>
        </w:rPr>
        <w:t xml:space="preserve">, parroquia Chillogallo, la Administración Municipal, a través de los informes emitidos por la Administración Zonal Quitumbe y la Procuraduría Metropolitana, ha señalado la factibilidad de la sustitución de la garantía para la ejecución de obras de urbanización establecida mediante Ordenanza No. 3446, sancionada el 27 de marzo de 2003, reformada mediante Ordenanza No. 3690, de 23 de julio de 2007. </w:t>
      </w:r>
    </w:p>
    <w:p w:rsidR="00E32BB2" w:rsidRPr="00A16EF4" w:rsidRDefault="001D31BB" w:rsidP="00E32BB2">
      <w:pPr>
        <w:spacing w:after="240"/>
        <w:ind w:firstLine="708"/>
        <w:jc w:val="both"/>
        <w:rPr>
          <w:rFonts w:ascii="Palatino Linotype" w:hAnsi="Palatino Linotype" w:cs="Arial"/>
          <w:bCs/>
          <w:sz w:val="22"/>
          <w:szCs w:val="22"/>
        </w:rPr>
      </w:pPr>
      <w:r>
        <w:rPr>
          <w:rFonts w:ascii="Palatino Linotype" w:hAnsi="Palatino Linotype" w:cs="Tahoma"/>
          <w:sz w:val="22"/>
          <w:szCs w:val="22"/>
        </w:rPr>
        <w:t xml:space="preserve">En tal sentido, el presente acto normativo contiene las disposiciones tendientes a reformar las regulaciones relacionadas con la Urbanización de Interés Social Progresiva Bellavista del Sur, antes referida, en cuanto a la garantía para la ejecución de obras, permitiendo la </w:t>
      </w:r>
      <w:r>
        <w:rPr>
          <w:rFonts w:ascii="Palatino Linotype" w:hAnsi="Palatino Linotype" w:cs="Arial"/>
          <w:bCs/>
          <w:sz w:val="22"/>
          <w:szCs w:val="22"/>
        </w:rPr>
        <w:t>sustitución de la garantía de hipoteca y prohibición de enajenar, por una póliza de seguros, en los términos establecidos por la Administración Municipal en base al ordenamiento jurídico metropolitano vigente.</w:t>
      </w:r>
    </w:p>
    <w:p w:rsidR="00E32BB2" w:rsidRPr="00A16EF4" w:rsidRDefault="00E32BB2" w:rsidP="00E32BB2">
      <w:pPr>
        <w:spacing w:after="240"/>
        <w:ind w:firstLine="708"/>
        <w:jc w:val="both"/>
        <w:rPr>
          <w:rFonts w:ascii="Palatino Linotype" w:hAnsi="Palatino Linotype" w:cs="Arial"/>
          <w:bCs/>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626B9C" w:rsidP="00626B9C">
      <w:pPr>
        <w:tabs>
          <w:tab w:val="left" w:pos="1452"/>
        </w:tabs>
        <w:contextualSpacing/>
        <w:rPr>
          <w:rFonts w:ascii="Palatino Linotype" w:hAnsi="Palatino Linotype" w:cs="Tahoma"/>
          <w:b/>
          <w:sz w:val="22"/>
          <w:szCs w:val="22"/>
        </w:rPr>
      </w:pPr>
      <w:r w:rsidRPr="00A16EF4">
        <w:rPr>
          <w:rFonts w:ascii="Palatino Linotype" w:hAnsi="Palatino Linotype" w:cs="Tahoma"/>
          <w:b/>
          <w:sz w:val="22"/>
          <w:szCs w:val="22"/>
        </w:rPr>
        <w:tab/>
      </w: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203608" w:rsidRPr="00A16EF4" w:rsidRDefault="00203608" w:rsidP="00A578A7">
      <w:pPr>
        <w:contextualSpacing/>
        <w:jc w:val="center"/>
        <w:rPr>
          <w:rFonts w:ascii="Palatino Linotype" w:hAnsi="Palatino Linotype" w:cs="Tahoma"/>
          <w:b/>
          <w:sz w:val="22"/>
          <w:szCs w:val="22"/>
        </w:rPr>
        <w:sectPr w:rsidR="00203608" w:rsidRPr="00A16EF4" w:rsidSect="000B3213">
          <w:headerReference w:type="default" r:id="rId8"/>
          <w:pgSz w:w="12240" w:h="15840"/>
          <w:pgMar w:top="1418" w:right="1467" w:bottom="851" w:left="1701" w:header="709" w:footer="709" w:gutter="0"/>
          <w:cols w:space="708"/>
          <w:docGrid w:linePitch="360"/>
        </w:sectPr>
      </w:pPr>
    </w:p>
    <w:p w:rsidR="001D31BB" w:rsidRDefault="00E32BB2" w:rsidP="001D31BB">
      <w:pPr>
        <w:spacing w:after="120" w:line="276" w:lineRule="auto"/>
        <w:contextualSpacing/>
        <w:jc w:val="center"/>
        <w:rPr>
          <w:rFonts w:ascii="Palatino Linotype" w:hAnsi="Palatino Linotype" w:cs="Tahoma"/>
          <w:b/>
          <w:sz w:val="22"/>
          <w:szCs w:val="22"/>
        </w:rPr>
      </w:pPr>
      <w:r w:rsidRPr="00A16EF4">
        <w:rPr>
          <w:rFonts w:ascii="Palatino Linotype" w:hAnsi="Palatino Linotype" w:cs="Tahoma"/>
          <w:b/>
          <w:sz w:val="22"/>
          <w:szCs w:val="22"/>
        </w:rPr>
        <w:lastRenderedPageBreak/>
        <w:t>E</w:t>
      </w:r>
      <w:r w:rsidR="00A578A7" w:rsidRPr="00A16EF4">
        <w:rPr>
          <w:rFonts w:ascii="Palatino Linotype" w:hAnsi="Palatino Linotype" w:cs="Tahoma"/>
          <w:b/>
          <w:sz w:val="22"/>
          <w:szCs w:val="22"/>
        </w:rPr>
        <w:t>L CONCEJO METROPOLITANO DE QUITO</w:t>
      </w:r>
    </w:p>
    <w:p w:rsidR="003C18E3" w:rsidRPr="001D31BB" w:rsidRDefault="00A578A7" w:rsidP="001D31BB">
      <w:pPr>
        <w:spacing w:after="120" w:line="276" w:lineRule="auto"/>
        <w:contextualSpacing/>
        <w:jc w:val="both"/>
        <w:rPr>
          <w:rFonts w:ascii="Palatino Linotype" w:hAnsi="Palatino Linotype" w:cs="Tahoma"/>
          <w:b/>
          <w:sz w:val="22"/>
          <w:szCs w:val="22"/>
        </w:rPr>
      </w:pPr>
      <w:r w:rsidRPr="00A16EF4">
        <w:rPr>
          <w:rFonts w:ascii="Palatino Linotype" w:hAnsi="Palatino Linotype" w:cs="Tahoma"/>
          <w:sz w:val="22"/>
          <w:szCs w:val="22"/>
        </w:rPr>
        <w:t xml:space="preserve">Visto </w:t>
      </w:r>
      <w:r w:rsidR="00592EAE">
        <w:rPr>
          <w:rFonts w:ascii="Palatino Linotype" w:hAnsi="Palatino Linotype" w:cs="Tahoma"/>
          <w:sz w:val="22"/>
          <w:szCs w:val="22"/>
        </w:rPr>
        <w:t>e</w:t>
      </w:r>
      <w:r w:rsidR="002502E4">
        <w:rPr>
          <w:rFonts w:ascii="Palatino Linotype" w:hAnsi="Palatino Linotype" w:cs="Tahoma"/>
          <w:sz w:val="22"/>
          <w:szCs w:val="22"/>
        </w:rPr>
        <w:t xml:space="preserve">l </w:t>
      </w:r>
      <w:r w:rsidRPr="00A16EF4">
        <w:rPr>
          <w:rFonts w:ascii="Palatino Linotype" w:hAnsi="Palatino Linotype" w:cs="Tahoma"/>
          <w:sz w:val="22"/>
          <w:szCs w:val="22"/>
        </w:rPr>
        <w:t>Informe No.</w:t>
      </w:r>
      <w:r w:rsidR="00EC49B7">
        <w:rPr>
          <w:rFonts w:ascii="Palatino Linotype" w:hAnsi="Palatino Linotype" w:cs="Tahoma"/>
          <w:sz w:val="22"/>
          <w:szCs w:val="22"/>
        </w:rPr>
        <w:t xml:space="preserve"> IC-O-201</w:t>
      </w:r>
      <w:r w:rsidR="00592EAE">
        <w:rPr>
          <w:rFonts w:ascii="Palatino Linotype" w:hAnsi="Palatino Linotype" w:cs="Tahoma"/>
          <w:sz w:val="22"/>
          <w:szCs w:val="22"/>
        </w:rPr>
        <w:t>8</w:t>
      </w:r>
      <w:r w:rsidR="007A2BC2" w:rsidRPr="00A16EF4">
        <w:rPr>
          <w:rFonts w:ascii="Palatino Linotype" w:hAnsi="Palatino Linotype" w:cs="Tahoma"/>
          <w:sz w:val="22"/>
          <w:szCs w:val="22"/>
        </w:rPr>
        <w:t>-</w:t>
      </w:r>
      <w:r w:rsidR="00CF2492">
        <w:rPr>
          <w:rFonts w:ascii="Palatino Linotype" w:hAnsi="Palatino Linotype" w:cs="Tahoma"/>
          <w:sz w:val="22"/>
          <w:szCs w:val="22"/>
        </w:rPr>
        <w:t xml:space="preserve">320, </w:t>
      </w:r>
      <w:r w:rsidRPr="00A16EF4">
        <w:rPr>
          <w:rFonts w:ascii="Palatino Linotype" w:hAnsi="Palatino Linotype" w:cs="Tahoma"/>
          <w:sz w:val="22"/>
          <w:szCs w:val="22"/>
        </w:rPr>
        <w:t>de</w:t>
      </w:r>
      <w:r w:rsidR="007A2BC2" w:rsidRPr="00A16EF4">
        <w:rPr>
          <w:rFonts w:ascii="Palatino Linotype" w:hAnsi="Palatino Linotype" w:cs="Tahoma"/>
          <w:sz w:val="22"/>
          <w:szCs w:val="22"/>
        </w:rPr>
        <w:t xml:space="preserve"> </w:t>
      </w:r>
      <w:r w:rsidR="00CF2492">
        <w:rPr>
          <w:rFonts w:ascii="Palatino Linotype" w:hAnsi="Palatino Linotype" w:cs="Tahoma"/>
          <w:sz w:val="22"/>
          <w:szCs w:val="22"/>
        </w:rPr>
        <w:t>29</w:t>
      </w:r>
      <w:r w:rsidR="00592EAE">
        <w:rPr>
          <w:rFonts w:ascii="Palatino Linotype" w:hAnsi="Palatino Linotype" w:cs="Tahoma"/>
          <w:sz w:val="22"/>
          <w:szCs w:val="22"/>
        </w:rPr>
        <w:t xml:space="preserve"> de </w:t>
      </w:r>
      <w:r w:rsidR="00CF2492">
        <w:rPr>
          <w:rFonts w:ascii="Palatino Linotype" w:hAnsi="Palatino Linotype" w:cs="Tahoma"/>
          <w:sz w:val="22"/>
          <w:szCs w:val="22"/>
        </w:rPr>
        <w:t xml:space="preserve">octubre </w:t>
      </w:r>
      <w:r w:rsidR="00592EAE">
        <w:rPr>
          <w:rFonts w:ascii="Palatino Linotype" w:hAnsi="Palatino Linotype" w:cs="Tahoma"/>
          <w:sz w:val="22"/>
          <w:szCs w:val="22"/>
        </w:rPr>
        <w:t>de 2018</w:t>
      </w:r>
      <w:r w:rsidR="00203608" w:rsidRPr="00A16EF4">
        <w:rPr>
          <w:rFonts w:ascii="Palatino Linotype" w:hAnsi="Palatino Linotype" w:cs="Tahoma"/>
          <w:sz w:val="22"/>
          <w:szCs w:val="22"/>
        </w:rPr>
        <w:t>, emitido por</w:t>
      </w:r>
      <w:r w:rsidR="007A2BC2" w:rsidRPr="00A16EF4">
        <w:rPr>
          <w:rFonts w:ascii="Palatino Linotype" w:hAnsi="Palatino Linotype" w:cs="Tahoma"/>
          <w:sz w:val="22"/>
          <w:szCs w:val="22"/>
        </w:rPr>
        <w:t xml:space="preserve"> </w:t>
      </w:r>
      <w:r w:rsidRPr="00A16EF4">
        <w:rPr>
          <w:rFonts w:ascii="Palatino Linotype" w:hAnsi="Palatino Linotype" w:cs="Tahoma"/>
          <w:sz w:val="22"/>
          <w:szCs w:val="22"/>
        </w:rPr>
        <w:t>la Comisión de Uso de Suelo.</w:t>
      </w:r>
    </w:p>
    <w:p w:rsidR="00A578A7" w:rsidRDefault="00A578A7" w:rsidP="003C18E3">
      <w:pPr>
        <w:spacing w:after="120" w:line="276" w:lineRule="auto"/>
        <w:contextualSpacing/>
        <w:jc w:val="center"/>
        <w:rPr>
          <w:rFonts w:ascii="Palatino Linotype" w:hAnsi="Palatino Linotype" w:cs="Tahoma"/>
          <w:b/>
          <w:sz w:val="22"/>
          <w:szCs w:val="22"/>
        </w:rPr>
      </w:pPr>
      <w:r w:rsidRPr="00A16EF4">
        <w:rPr>
          <w:rFonts w:ascii="Palatino Linotype" w:hAnsi="Palatino Linotype" w:cs="Tahoma"/>
          <w:b/>
          <w:sz w:val="22"/>
          <w:szCs w:val="22"/>
        </w:rPr>
        <w:t>CONSIDERANDO</w:t>
      </w:r>
      <w:r w:rsidR="00203608" w:rsidRPr="00A16EF4">
        <w:rPr>
          <w:rFonts w:ascii="Palatino Linotype" w:hAnsi="Palatino Linotype" w:cs="Tahoma"/>
          <w:b/>
          <w:sz w:val="22"/>
          <w:szCs w:val="22"/>
        </w:rPr>
        <w:t>:</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Pr="00A16EF4">
        <w:rPr>
          <w:rFonts w:ascii="Palatino Linotype" w:hAnsi="Palatino Linotype" w:cs="Tahoma"/>
          <w:sz w:val="22"/>
          <w:szCs w:val="22"/>
        </w:rPr>
        <w:t xml:space="preserve"> </w:t>
      </w:r>
      <w:r w:rsidR="00021B32" w:rsidRPr="00A16EF4">
        <w:rPr>
          <w:rFonts w:ascii="Palatino Linotype" w:hAnsi="Palatino Linotype" w:cs="Tahoma"/>
          <w:sz w:val="22"/>
          <w:szCs w:val="22"/>
        </w:rPr>
        <w:tab/>
      </w:r>
      <w:r w:rsidRPr="00A16EF4">
        <w:rPr>
          <w:rFonts w:ascii="Palatino Linotype" w:hAnsi="Palatino Linotype" w:cs="Tahoma"/>
          <w:sz w:val="22"/>
          <w:szCs w:val="22"/>
        </w:rPr>
        <w:t xml:space="preserve">el artículo 240 de la Constitución de la República </w:t>
      </w:r>
      <w:r w:rsidR="008171BF" w:rsidRPr="00A16EF4">
        <w:rPr>
          <w:rFonts w:ascii="Palatino Linotype" w:hAnsi="Palatino Linotype" w:cs="Tahoma"/>
          <w:sz w:val="22"/>
          <w:szCs w:val="22"/>
        </w:rPr>
        <w:t xml:space="preserve">del Ecuador </w:t>
      </w:r>
      <w:r w:rsidRPr="00A16EF4">
        <w:rPr>
          <w:rFonts w:ascii="Palatino Linotype" w:hAnsi="Palatino Linotype" w:cs="Tahoma"/>
          <w:sz w:val="22"/>
          <w:szCs w:val="22"/>
        </w:rPr>
        <w:t>establece que: “</w:t>
      </w:r>
      <w:r w:rsidRPr="00A16EF4">
        <w:rPr>
          <w:rFonts w:ascii="Palatino Linotype" w:hAnsi="Palatino Linotype" w:cs="Tahoma"/>
          <w:i/>
          <w:sz w:val="22"/>
          <w:szCs w:val="22"/>
        </w:rPr>
        <w:t>Los gobiernos autónomos descentralizados de las regiones, distritos metropolitanos, provincias y cantones tendrán facultades legislativas en el ámbito de sus competencias y jurisdicciones territoriales (…)</w:t>
      </w:r>
      <w:r w:rsidRPr="00A16EF4">
        <w:rPr>
          <w:rFonts w:ascii="Palatino Linotype" w:hAnsi="Palatino Linotype" w:cs="Tahoma"/>
          <w:sz w:val="22"/>
          <w:szCs w:val="22"/>
        </w:rPr>
        <w:t>”;</w:t>
      </w:r>
    </w:p>
    <w:p w:rsidR="001D31BB" w:rsidRDefault="00A578A7" w:rsidP="001D31BB">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numeral </w:t>
      </w:r>
      <w:r w:rsidR="000451EA" w:rsidRPr="00A16EF4">
        <w:rPr>
          <w:rFonts w:ascii="Palatino Linotype" w:hAnsi="Palatino Linotype" w:cs="Tahoma"/>
          <w:sz w:val="22"/>
          <w:szCs w:val="22"/>
        </w:rPr>
        <w:t>1</w:t>
      </w:r>
      <w:r w:rsidRPr="00A16EF4">
        <w:rPr>
          <w:rFonts w:ascii="Palatino Linotype" w:hAnsi="Palatino Linotype" w:cs="Tahoma"/>
          <w:sz w:val="22"/>
          <w:szCs w:val="22"/>
        </w:rPr>
        <w:t xml:space="preserve"> del artículo 264 </w:t>
      </w:r>
      <w:r w:rsidR="000451EA" w:rsidRPr="00A16EF4">
        <w:rPr>
          <w:rFonts w:ascii="Palatino Linotype" w:hAnsi="Palatino Linotype" w:cs="Tahoma"/>
          <w:sz w:val="22"/>
          <w:szCs w:val="22"/>
        </w:rPr>
        <w:t>ibídem</w:t>
      </w:r>
      <w:r w:rsidRPr="00A16EF4">
        <w:rPr>
          <w:rFonts w:ascii="Palatino Linotype" w:hAnsi="Palatino Linotype" w:cs="Tahoma"/>
          <w:sz w:val="22"/>
          <w:szCs w:val="22"/>
        </w:rPr>
        <w:t xml:space="preserve"> </w:t>
      </w:r>
      <w:r w:rsidR="000451EA" w:rsidRPr="00A16EF4">
        <w:rPr>
          <w:rFonts w:ascii="Palatino Linotype" w:hAnsi="Palatino Linotype" w:cs="Tahoma"/>
          <w:bCs/>
          <w:sz w:val="22"/>
          <w:szCs w:val="22"/>
        </w:rPr>
        <w:t>dentro de las competencias exclusiv</w:t>
      </w:r>
      <w:r w:rsidR="00592EAE">
        <w:rPr>
          <w:rFonts w:ascii="Palatino Linotype" w:hAnsi="Palatino Linotype" w:cs="Tahoma"/>
          <w:bCs/>
          <w:sz w:val="22"/>
          <w:szCs w:val="22"/>
        </w:rPr>
        <w:t>as de los gobiernos municipales,</w:t>
      </w:r>
      <w:r w:rsidR="000451EA" w:rsidRPr="00A16EF4">
        <w:rPr>
          <w:rFonts w:ascii="Palatino Linotype" w:hAnsi="Palatino Linotype" w:cs="Tahoma"/>
          <w:bCs/>
          <w:sz w:val="22"/>
          <w:szCs w:val="22"/>
        </w:rPr>
        <w:t xml:space="preserve"> establece la de planificar el desarrollo cantonal y formular los correspondientes planes de ordenamiento territorial, de manera articulada con la planificación nacional, regional, provincial y parroquial, con el fin de regular el uso y la ocupación del suelo urbano y rural</w:t>
      </w:r>
      <w:r w:rsidRPr="00A16EF4">
        <w:rPr>
          <w:rFonts w:ascii="Palatino Linotype" w:hAnsi="Palatino Linotype" w:cs="Tahoma"/>
          <w:sz w:val="22"/>
          <w:szCs w:val="22"/>
        </w:rPr>
        <w:t xml:space="preserve">; </w:t>
      </w:r>
    </w:p>
    <w:p w:rsidR="008171BF" w:rsidRPr="00A16EF4" w:rsidRDefault="00A578A7" w:rsidP="001D31BB">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el literal c) del artículo 54</w:t>
      </w:r>
      <w:r w:rsidR="00592EAE">
        <w:rPr>
          <w:rFonts w:ascii="Palatino Linotype" w:hAnsi="Palatino Linotype" w:cs="Tahoma"/>
          <w:sz w:val="22"/>
          <w:szCs w:val="22"/>
        </w:rPr>
        <w:t>, en concordancia con el literal c) del artículo 84</w:t>
      </w:r>
      <w:r w:rsidRPr="00A16EF4">
        <w:rPr>
          <w:rFonts w:ascii="Palatino Linotype" w:hAnsi="Palatino Linotype" w:cs="Tahoma"/>
          <w:sz w:val="22"/>
          <w:szCs w:val="22"/>
        </w:rPr>
        <w:t xml:space="preserve"> del Código Orgánico de Organización Territorial, Autonomía y Descentralización, </w:t>
      </w:r>
      <w:r w:rsidR="00592EAE">
        <w:rPr>
          <w:rFonts w:ascii="Palatino Linotype" w:hAnsi="Palatino Linotype" w:cs="Tahoma"/>
          <w:sz w:val="22"/>
          <w:szCs w:val="22"/>
        </w:rPr>
        <w:t xml:space="preserve">señala </w:t>
      </w:r>
      <w:r w:rsidRPr="00A16EF4">
        <w:rPr>
          <w:rFonts w:ascii="Palatino Linotype" w:hAnsi="Palatino Linotype" w:cs="Tahoma"/>
          <w:sz w:val="22"/>
          <w:szCs w:val="22"/>
        </w:rPr>
        <w:t xml:space="preserve">como </w:t>
      </w:r>
      <w:r w:rsidR="00592EAE">
        <w:rPr>
          <w:rFonts w:ascii="Palatino Linotype" w:hAnsi="Palatino Linotype" w:cs="Tahoma"/>
          <w:sz w:val="22"/>
          <w:szCs w:val="22"/>
        </w:rPr>
        <w:t xml:space="preserve">una </w:t>
      </w:r>
      <w:r w:rsidRPr="00A16EF4">
        <w:rPr>
          <w:rFonts w:ascii="Palatino Linotype" w:hAnsi="Palatino Linotype" w:cs="Tahoma"/>
          <w:sz w:val="22"/>
          <w:szCs w:val="22"/>
        </w:rPr>
        <w:t xml:space="preserve">función del </w:t>
      </w:r>
      <w:r w:rsidR="00592EAE">
        <w:rPr>
          <w:rFonts w:ascii="Palatino Linotype" w:hAnsi="Palatino Linotype" w:cs="Tahoma"/>
          <w:sz w:val="22"/>
          <w:szCs w:val="22"/>
        </w:rPr>
        <w:t>g</w:t>
      </w:r>
      <w:r w:rsidRPr="00A16EF4">
        <w:rPr>
          <w:rFonts w:ascii="Palatino Linotype" w:hAnsi="Palatino Linotype" w:cs="Tahoma"/>
          <w:sz w:val="22"/>
          <w:szCs w:val="22"/>
        </w:rPr>
        <w:t xml:space="preserve">obierno </w:t>
      </w:r>
      <w:r w:rsidR="00592EAE">
        <w:rPr>
          <w:rFonts w:ascii="Palatino Linotype" w:hAnsi="Palatino Linotype" w:cs="Tahoma"/>
          <w:sz w:val="22"/>
          <w:szCs w:val="22"/>
        </w:rPr>
        <w:t>a</w:t>
      </w:r>
      <w:r w:rsidRPr="00A16EF4">
        <w:rPr>
          <w:rFonts w:ascii="Palatino Linotype" w:hAnsi="Palatino Linotype" w:cs="Tahoma"/>
          <w:sz w:val="22"/>
          <w:szCs w:val="22"/>
        </w:rPr>
        <w:t xml:space="preserve">utónomo </w:t>
      </w:r>
      <w:r w:rsidR="00592EAE">
        <w:rPr>
          <w:rFonts w:ascii="Palatino Linotype" w:hAnsi="Palatino Linotype" w:cs="Tahoma"/>
          <w:sz w:val="22"/>
          <w:szCs w:val="22"/>
        </w:rPr>
        <w:t>d</w:t>
      </w:r>
      <w:r w:rsidRPr="00A16EF4">
        <w:rPr>
          <w:rFonts w:ascii="Palatino Linotype" w:hAnsi="Palatino Linotype" w:cs="Tahoma"/>
          <w:sz w:val="22"/>
          <w:szCs w:val="22"/>
        </w:rPr>
        <w:t xml:space="preserve">escentralizado </w:t>
      </w:r>
      <w:r w:rsidR="00592EAE">
        <w:rPr>
          <w:rFonts w:ascii="Palatino Linotype" w:hAnsi="Palatino Linotype" w:cs="Tahoma"/>
          <w:sz w:val="22"/>
          <w:szCs w:val="22"/>
        </w:rPr>
        <w:t>m</w:t>
      </w:r>
      <w:r w:rsidRPr="00A16EF4">
        <w:rPr>
          <w:rFonts w:ascii="Palatino Linotype" w:hAnsi="Palatino Linotype" w:cs="Tahoma"/>
          <w:sz w:val="22"/>
          <w:szCs w:val="22"/>
        </w:rPr>
        <w:t xml:space="preserve">unicipal la de establecer el régimen de uso del suelo y urbanístico, </w:t>
      </w:r>
      <w:r w:rsidR="00592EAE">
        <w:rPr>
          <w:rFonts w:ascii="Palatino Linotype" w:hAnsi="Palatino Linotype" w:cs="Tahoma"/>
          <w:sz w:val="22"/>
          <w:szCs w:val="22"/>
        </w:rPr>
        <w:t xml:space="preserve">para lo cual </w:t>
      </w:r>
      <w:r w:rsidR="00592EAE" w:rsidRPr="007D7134">
        <w:rPr>
          <w:rFonts w:ascii="Palatino Linotype" w:hAnsi="Palatino Linotype" w:cs="Tahoma"/>
          <w:spacing w:val="8"/>
          <w:sz w:val="22"/>
          <w:szCs w:val="22"/>
        </w:rPr>
        <w:t>se debe determinar las condiciones de urbanización, parcelación, lotización, división o cualquier otra forma de fraccionamiento de conformidad con la planificación cantonal, asegurando porcentajes para zonas v</w:t>
      </w:r>
      <w:r w:rsidR="00592EAE">
        <w:rPr>
          <w:rFonts w:ascii="Palatino Linotype" w:hAnsi="Palatino Linotype" w:cs="Tahoma"/>
          <w:spacing w:val="8"/>
          <w:sz w:val="22"/>
          <w:szCs w:val="22"/>
        </w:rPr>
        <w:t>erdes y áreas comunales</w:t>
      </w:r>
      <w:r w:rsidRPr="00A16EF4">
        <w:rPr>
          <w:rFonts w:ascii="Palatino Linotype" w:hAnsi="Palatino Linotype" w:cs="Tahoma"/>
          <w:sz w:val="22"/>
          <w:szCs w:val="22"/>
        </w:rPr>
        <w:t>;</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008171BF" w:rsidRPr="00A16EF4">
        <w:rPr>
          <w:rFonts w:ascii="Palatino Linotype" w:hAnsi="Palatino Linotype" w:cs="Tahoma"/>
          <w:sz w:val="22"/>
          <w:szCs w:val="22"/>
        </w:rPr>
        <w:tab/>
      </w:r>
      <w:r w:rsidR="000451EA" w:rsidRPr="00A16EF4">
        <w:rPr>
          <w:rFonts w:ascii="Palatino Linotype" w:hAnsi="Palatino Linotype" w:cs="Tahoma"/>
          <w:sz w:val="22"/>
          <w:szCs w:val="22"/>
        </w:rPr>
        <w:t xml:space="preserve">los literales a) y x) del </w:t>
      </w:r>
      <w:r w:rsidRPr="00A16EF4">
        <w:rPr>
          <w:rFonts w:ascii="Palatino Linotype" w:hAnsi="Palatino Linotype" w:cs="Tahoma"/>
          <w:sz w:val="22"/>
          <w:szCs w:val="22"/>
        </w:rPr>
        <w:t>artículo 57 del mismo Código</w:t>
      </w:r>
      <w:r w:rsidR="000451EA" w:rsidRPr="00A16EF4">
        <w:rPr>
          <w:rFonts w:ascii="Palatino Linotype" w:hAnsi="Palatino Linotype" w:cs="Tahoma"/>
          <w:sz w:val="22"/>
          <w:szCs w:val="22"/>
        </w:rPr>
        <w:t xml:space="preserve">, respecto de las atribuciones del </w:t>
      </w:r>
      <w:r w:rsidR="00592EAE">
        <w:rPr>
          <w:rFonts w:ascii="Palatino Linotype" w:hAnsi="Palatino Linotype" w:cs="Tahoma"/>
          <w:sz w:val="22"/>
          <w:szCs w:val="22"/>
        </w:rPr>
        <w:t>concejo municipal,</w:t>
      </w:r>
      <w:r w:rsidR="000451EA" w:rsidRPr="00A16EF4">
        <w:rPr>
          <w:rFonts w:ascii="Palatino Linotype" w:hAnsi="Palatino Linotype" w:cs="Tahoma"/>
          <w:sz w:val="22"/>
          <w:szCs w:val="22"/>
        </w:rPr>
        <w:t xml:space="preserve"> </w:t>
      </w:r>
      <w:r w:rsidR="00592EAE">
        <w:rPr>
          <w:rFonts w:ascii="Palatino Linotype" w:hAnsi="Palatino Linotype" w:cs="Tahoma"/>
          <w:sz w:val="22"/>
          <w:szCs w:val="22"/>
        </w:rPr>
        <w:t>establece</w:t>
      </w:r>
      <w:r w:rsidR="000451EA" w:rsidRPr="00A16EF4">
        <w:rPr>
          <w:rFonts w:ascii="Palatino Linotype" w:hAnsi="Palatino Linotype" w:cs="Tahoma"/>
          <w:sz w:val="22"/>
          <w:szCs w:val="22"/>
        </w:rPr>
        <w:t>:</w:t>
      </w:r>
      <w:r w:rsidRPr="00A16EF4">
        <w:rPr>
          <w:rFonts w:ascii="Palatino Linotype" w:hAnsi="Palatino Linotype" w:cs="Tahoma"/>
          <w:sz w:val="22"/>
          <w:szCs w:val="22"/>
        </w:rPr>
        <w:t xml:space="preserve"> “</w:t>
      </w:r>
      <w:r w:rsidRPr="00A16EF4">
        <w:rPr>
          <w:rFonts w:ascii="Palatino Linotype" w:hAnsi="Palatino Linotype" w:cs="Tahoma"/>
          <w:i/>
          <w:sz w:val="22"/>
          <w:szCs w:val="22"/>
        </w:rPr>
        <w:t>a) El ejercicio de la facultad normativa en las materias de competencia del gobierno autónomo descentralizado municipal, mediante la expedición de ordenanzas cantonales, acuerdos y resoluciones;</w:t>
      </w:r>
      <w:r w:rsidR="000451EA" w:rsidRPr="00A16EF4">
        <w:rPr>
          <w:rFonts w:ascii="Palatino Linotype" w:hAnsi="Palatino Linotype" w:cs="Tahoma"/>
          <w:i/>
          <w:sz w:val="22"/>
          <w:szCs w:val="22"/>
        </w:rPr>
        <w:t xml:space="preserve"> y, (…)</w:t>
      </w:r>
      <w:r w:rsidRPr="00A16EF4">
        <w:rPr>
          <w:rFonts w:ascii="Palatino Linotype" w:hAnsi="Palatino Linotype" w:cs="Tahoma"/>
          <w:i/>
          <w:sz w:val="22"/>
          <w:szCs w:val="22"/>
        </w:rPr>
        <w:t xml:space="preserve"> x) Regular y controlar, mediante la normativa cantonal correspondiente, el uso del suelo en el territorio del cantón, de conformidad con las leyes sobre la materia, y establecer el régimen urbanístico de la tierra</w:t>
      </w:r>
      <w:r w:rsidRPr="00A16EF4">
        <w:rPr>
          <w:rFonts w:ascii="Palatino Linotype" w:hAnsi="Palatino Linotype" w:cs="Tahoma"/>
          <w:sz w:val="22"/>
          <w:szCs w:val="22"/>
        </w:rPr>
        <w:t>”</w:t>
      </w:r>
      <w:r w:rsidR="008171BF" w:rsidRPr="00A16EF4">
        <w:rPr>
          <w:rFonts w:ascii="Palatino Linotype" w:hAnsi="Palatino Linotype" w:cs="Tahoma"/>
          <w:sz w:val="22"/>
          <w:szCs w:val="22"/>
        </w:rPr>
        <w:t>;</w:t>
      </w:r>
    </w:p>
    <w:p w:rsidR="00592EAE" w:rsidRDefault="00A578A7" w:rsidP="00592EAE">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b/>
          <w:sz w:val="22"/>
          <w:szCs w:val="22"/>
        </w:rPr>
        <w:t xml:space="preserve"> </w:t>
      </w:r>
      <w:r w:rsidR="008171BF" w:rsidRPr="00A16EF4">
        <w:rPr>
          <w:rFonts w:ascii="Palatino Linotype" w:hAnsi="Palatino Linotype" w:cs="Tahoma"/>
          <w:b/>
          <w:sz w:val="22"/>
          <w:szCs w:val="22"/>
        </w:rPr>
        <w:tab/>
      </w:r>
      <w:r w:rsidRPr="00A16EF4">
        <w:rPr>
          <w:rFonts w:ascii="Palatino Linotype" w:hAnsi="Palatino Linotype" w:cs="Tahoma"/>
          <w:sz w:val="22"/>
          <w:szCs w:val="22"/>
        </w:rPr>
        <w:t xml:space="preserve">el artículo 322 del mismo Código establece el procedimiento para la aprobación de las </w:t>
      </w:r>
      <w:r w:rsidR="00592EAE">
        <w:rPr>
          <w:rFonts w:ascii="Palatino Linotype" w:hAnsi="Palatino Linotype" w:cs="Tahoma"/>
          <w:sz w:val="22"/>
          <w:szCs w:val="22"/>
        </w:rPr>
        <w:t>o</w:t>
      </w:r>
      <w:r w:rsidRPr="00A16EF4">
        <w:rPr>
          <w:rFonts w:ascii="Palatino Linotype" w:hAnsi="Palatino Linotype" w:cs="Tahoma"/>
          <w:sz w:val="22"/>
          <w:szCs w:val="22"/>
        </w:rPr>
        <w:t xml:space="preserve">rdenanzas </w:t>
      </w:r>
      <w:r w:rsidR="00592EAE">
        <w:rPr>
          <w:rFonts w:ascii="Palatino Linotype" w:hAnsi="Palatino Linotype" w:cs="Tahoma"/>
          <w:sz w:val="22"/>
          <w:szCs w:val="22"/>
        </w:rPr>
        <w:t>m</w:t>
      </w:r>
      <w:r w:rsidRPr="00A16EF4">
        <w:rPr>
          <w:rFonts w:ascii="Palatino Linotype" w:hAnsi="Palatino Linotype" w:cs="Tahoma"/>
          <w:sz w:val="22"/>
          <w:szCs w:val="22"/>
        </w:rPr>
        <w:t>unicipales;</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w:t>
      </w:r>
      <w:r w:rsidR="00592EAE" w:rsidRPr="00A16EF4">
        <w:rPr>
          <w:rFonts w:ascii="Palatino Linotype" w:hAnsi="Palatino Linotype" w:cs="Tahoma"/>
          <w:sz w:val="22"/>
          <w:szCs w:val="22"/>
        </w:rPr>
        <w:t xml:space="preserve">numeral 1 </w:t>
      </w:r>
      <w:r w:rsidR="00592EAE">
        <w:rPr>
          <w:rFonts w:ascii="Palatino Linotype" w:hAnsi="Palatino Linotype" w:cs="Tahoma"/>
          <w:sz w:val="22"/>
          <w:szCs w:val="22"/>
        </w:rPr>
        <w:t xml:space="preserve">del </w:t>
      </w:r>
      <w:r w:rsidRPr="00A16EF4">
        <w:rPr>
          <w:rFonts w:ascii="Palatino Linotype" w:hAnsi="Palatino Linotype" w:cs="Tahoma"/>
          <w:sz w:val="22"/>
          <w:szCs w:val="22"/>
        </w:rPr>
        <w:t xml:space="preserve">artículo 2 de la Ley de Régimen para el Distrito Metropolitano de Quito, </w:t>
      </w:r>
      <w:r w:rsidR="00592EAE">
        <w:rPr>
          <w:rFonts w:ascii="Palatino Linotype" w:hAnsi="Palatino Linotype" w:cs="Tahoma"/>
          <w:sz w:val="22"/>
          <w:szCs w:val="22"/>
        </w:rPr>
        <w:t xml:space="preserve">establece que el Municipio del Distrito Metropolitano de Quito </w:t>
      </w:r>
      <w:r w:rsidRPr="00A16EF4">
        <w:rPr>
          <w:rFonts w:ascii="Palatino Linotype" w:hAnsi="Palatino Linotype" w:cs="Tahoma"/>
          <w:sz w:val="22"/>
          <w:szCs w:val="22"/>
        </w:rPr>
        <w:t>tiene la competencia exclusiva y privativa de regular el uso y la adecuada ocupación del suelo, ejerciendo el control sobre el mismo</w:t>
      </w:r>
      <w:r w:rsidR="00592EAE">
        <w:rPr>
          <w:rFonts w:ascii="Palatino Linotype" w:hAnsi="Palatino Linotype" w:cs="Tahoma"/>
          <w:sz w:val="22"/>
          <w:szCs w:val="22"/>
        </w:rPr>
        <w:t>;</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lastRenderedPageBreak/>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el artículo 8, numeral 1 del mismo cuerpo normativo, establece que l</w:t>
      </w:r>
      <w:r w:rsidR="00592EAE">
        <w:rPr>
          <w:rFonts w:ascii="Palatino Linotype" w:hAnsi="Palatino Linotype" w:cs="Tahoma"/>
          <w:sz w:val="22"/>
          <w:szCs w:val="22"/>
        </w:rPr>
        <w:t>e</w:t>
      </w:r>
      <w:r w:rsidRPr="00A16EF4">
        <w:rPr>
          <w:rFonts w:ascii="Palatino Linotype" w:hAnsi="Palatino Linotype" w:cs="Tahoma"/>
          <w:sz w:val="22"/>
          <w:szCs w:val="22"/>
        </w:rPr>
        <w:t xml:space="preserve"> corresponde al Concejo Metropolitano, decidir mediante ordenanza, sobre los asuntos de interés general, relativos al desarrollo integral y a la ordenación urbanística del Distrito;</w:t>
      </w:r>
    </w:p>
    <w:p w:rsidR="003A43E4" w:rsidRDefault="00A578A7" w:rsidP="003A43E4">
      <w:pPr>
        <w:spacing w:after="120" w:line="276" w:lineRule="auto"/>
        <w:ind w:left="705" w:hanging="705"/>
        <w:jc w:val="both"/>
        <w:rPr>
          <w:rFonts w:ascii="Palatino Linotype" w:hAnsi="Palatino Linotype"/>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00592EAE">
        <w:rPr>
          <w:rFonts w:ascii="Palatino Linotype" w:hAnsi="Palatino Linotype" w:cs="Tahoma"/>
          <w:sz w:val="22"/>
          <w:szCs w:val="22"/>
        </w:rPr>
        <w:t xml:space="preserve">la </w:t>
      </w:r>
      <w:r w:rsidR="00592EAE" w:rsidRPr="007D7134">
        <w:rPr>
          <w:rFonts w:ascii="Palatino Linotype" w:hAnsi="Palatino Linotype" w:cs="Verdana"/>
          <w:sz w:val="22"/>
          <w:szCs w:val="22"/>
        </w:rPr>
        <w:t xml:space="preserve">Ordenanza Metropolitana </w:t>
      </w:r>
      <w:r w:rsidR="00592EAE">
        <w:rPr>
          <w:rFonts w:ascii="Palatino Linotype" w:hAnsi="Palatino Linotype" w:cs="Verdana"/>
          <w:sz w:val="22"/>
          <w:szCs w:val="22"/>
        </w:rPr>
        <w:t xml:space="preserve">No. </w:t>
      </w:r>
      <w:r w:rsidR="00592EAE" w:rsidRPr="007D7134">
        <w:rPr>
          <w:rFonts w:ascii="Palatino Linotype" w:hAnsi="Palatino Linotype" w:cs="Verdana"/>
          <w:sz w:val="22"/>
          <w:szCs w:val="22"/>
        </w:rPr>
        <w:t>172</w:t>
      </w:r>
      <w:r w:rsidR="001D31BB">
        <w:rPr>
          <w:rFonts w:ascii="Palatino Linotype" w:hAnsi="Palatino Linotype" w:cs="Verdana"/>
          <w:sz w:val="22"/>
          <w:szCs w:val="22"/>
        </w:rPr>
        <w:t>,</w:t>
      </w:r>
      <w:r w:rsidR="003A43E4">
        <w:rPr>
          <w:rFonts w:ascii="Palatino Linotype" w:hAnsi="Palatino Linotype" w:cs="Verdana"/>
          <w:sz w:val="22"/>
          <w:szCs w:val="22"/>
        </w:rPr>
        <w:t xml:space="preserve"> de 2011, que contiene el Régimen Administrativo del Suelo en el Distrito Metropolitano de Quito,</w:t>
      </w:r>
      <w:r w:rsidR="001D31BB">
        <w:rPr>
          <w:rFonts w:ascii="Palatino Linotype" w:hAnsi="Palatino Linotype" w:cs="Verdana"/>
          <w:sz w:val="22"/>
          <w:szCs w:val="22"/>
        </w:rPr>
        <w:t xml:space="preserve"> en su artículo … (69)</w:t>
      </w:r>
      <w:r w:rsidR="00592EAE" w:rsidRPr="007D7134">
        <w:rPr>
          <w:rFonts w:ascii="Palatino Linotype" w:hAnsi="Palatino Linotype" w:cs="Verdana"/>
          <w:sz w:val="22"/>
          <w:szCs w:val="22"/>
        </w:rPr>
        <w:t xml:space="preserve">, </w:t>
      </w:r>
      <w:r w:rsidR="001D31BB">
        <w:rPr>
          <w:rFonts w:ascii="Palatino Linotype" w:hAnsi="Palatino Linotype" w:cs="Verdana"/>
          <w:sz w:val="22"/>
          <w:szCs w:val="22"/>
        </w:rPr>
        <w:t xml:space="preserve">numeral 4, </w:t>
      </w:r>
      <w:r w:rsidR="00592EAE" w:rsidRPr="007D7134">
        <w:rPr>
          <w:rFonts w:ascii="Palatino Linotype" w:hAnsi="Palatino Linotype" w:cs="Verdana"/>
          <w:sz w:val="22"/>
          <w:szCs w:val="22"/>
        </w:rPr>
        <w:t>en cuanto a los proyectos de urbanizaciones</w:t>
      </w:r>
      <w:r w:rsidR="001D31BB">
        <w:rPr>
          <w:rFonts w:ascii="Palatino Linotype" w:hAnsi="Palatino Linotype" w:cs="Verdana"/>
          <w:sz w:val="22"/>
          <w:szCs w:val="22"/>
        </w:rPr>
        <w:t>, en su parte pertinente</w:t>
      </w:r>
      <w:r w:rsidR="00592EAE" w:rsidRPr="007D7134">
        <w:rPr>
          <w:rFonts w:ascii="Palatino Linotype" w:hAnsi="Palatino Linotype" w:cs="Verdana"/>
          <w:sz w:val="22"/>
          <w:szCs w:val="22"/>
        </w:rPr>
        <w:t xml:space="preserve"> </w:t>
      </w:r>
      <w:r w:rsidR="001D31BB">
        <w:rPr>
          <w:rFonts w:ascii="Palatino Linotype" w:hAnsi="Palatino Linotype" w:cs="Verdana"/>
          <w:sz w:val="22"/>
          <w:szCs w:val="22"/>
        </w:rPr>
        <w:t>establece</w:t>
      </w:r>
      <w:r w:rsidR="00592EAE" w:rsidRPr="007D7134">
        <w:rPr>
          <w:rFonts w:ascii="Palatino Linotype" w:hAnsi="Palatino Linotype" w:cs="Verdana"/>
          <w:sz w:val="22"/>
          <w:szCs w:val="22"/>
        </w:rPr>
        <w:t xml:space="preserve">: </w:t>
      </w:r>
      <w:r w:rsidR="00592EAE">
        <w:rPr>
          <w:rFonts w:ascii="Palatino Linotype" w:hAnsi="Palatino Linotype" w:cs="Verdana"/>
          <w:sz w:val="22"/>
          <w:szCs w:val="22"/>
        </w:rPr>
        <w:t>“</w:t>
      </w:r>
      <w:r w:rsidR="001D31BB">
        <w:rPr>
          <w:rFonts w:ascii="Palatino Linotype" w:hAnsi="Palatino Linotype" w:cs="Verdana"/>
          <w:i/>
          <w:sz w:val="22"/>
          <w:szCs w:val="22"/>
        </w:rPr>
        <w:t xml:space="preserve">(…) </w:t>
      </w:r>
      <w:r w:rsidR="003A43E4">
        <w:rPr>
          <w:rFonts w:ascii="Palatino Linotype" w:hAnsi="Palatino Linotype" w:cs="Verdana"/>
          <w:i/>
          <w:sz w:val="22"/>
          <w:szCs w:val="22"/>
        </w:rPr>
        <w:t xml:space="preserve">4. </w:t>
      </w:r>
      <w:r w:rsidR="003A43E4" w:rsidRPr="003A43E4">
        <w:rPr>
          <w:rFonts w:ascii="Palatino Linotype" w:hAnsi="Palatino Linotype"/>
          <w:i/>
          <w:sz w:val="22"/>
          <w:szCs w:val="22"/>
        </w:rPr>
        <w:t>Los proyectos de urbanización deberán identificar etapas de incorporación que serán ejecutadas conforme al cronograma valorado de obras. Las obras de infraestructura podrán realizarse por etapas y serán entregadas al Municipio del Distrito Metropolitano de Quito o sus empresas públicas metropolitanas una vez que se hayan concluido. La conclusión de las obras no es condición para la entrega de los títulos de propiedad. Sin embargo, como garantía de cumplimiento de las etapas en las urbanizaciones de interés social de desarrollo progresivo, los lotes serán gravados con primera hipoteca y, en casos especiales, el Municipio del Distrito Metropolitano de Quito podrá renunciar a sus derechos de primer acreedor y aceptar una segunda hipoteca o una de las garantías previstas en este Libro. En este último caso se requerirá de informe favorable de la Procuraduría Metropolitana</w:t>
      </w:r>
      <w:r w:rsidR="003A43E4">
        <w:rPr>
          <w:rFonts w:ascii="Palatino Linotype" w:hAnsi="Palatino Linotype"/>
          <w:i/>
          <w:sz w:val="22"/>
          <w:szCs w:val="22"/>
        </w:rPr>
        <w:t>.”</w:t>
      </w:r>
      <w:r w:rsidR="003A43E4">
        <w:rPr>
          <w:rFonts w:ascii="Palatino Linotype" w:hAnsi="Palatino Linotype"/>
          <w:sz w:val="22"/>
          <w:szCs w:val="22"/>
        </w:rPr>
        <w:t>;</w:t>
      </w:r>
    </w:p>
    <w:p w:rsidR="003A43E4" w:rsidRDefault="003A43E4" w:rsidP="003A43E4">
      <w:pPr>
        <w:spacing w:after="120" w:line="276" w:lineRule="auto"/>
        <w:ind w:left="705" w:hanging="705"/>
        <w:jc w:val="both"/>
        <w:rPr>
          <w:rFonts w:ascii="Palatino Linotype" w:hAnsi="Palatino Linotype"/>
          <w:sz w:val="22"/>
          <w:szCs w:val="22"/>
        </w:rPr>
      </w:pPr>
      <w:r>
        <w:rPr>
          <w:rFonts w:ascii="Palatino Linotype" w:hAnsi="Palatino Linotype" w:cs="Tahoma"/>
          <w:b/>
          <w:sz w:val="22"/>
          <w:szCs w:val="22"/>
        </w:rPr>
        <w:t xml:space="preserve">Que, </w:t>
      </w:r>
      <w:r>
        <w:rPr>
          <w:rFonts w:ascii="Palatino Linotype" w:hAnsi="Palatino Linotype" w:cs="Tahoma"/>
          <w:b/>
          <w:sz w:val="22"/>
          <w:szCs w:val="22"/>
        </w:rPr>
        <w:tab/>
      </w:r>
      <w:r>
        <w:rPr>
          <w:rFonts w:ascii="Palatino Linotype" w:hAnsi="Palatino Linotype" w:cs="Tahoma"/>
          <w:sz w:val="22"/>
          <w:szCs w:val="22"/>
        </w:rPr>
        <w:t>el artículo … (33), numeral 1, de la Ordenanza Metropolitana No. 156, de 2011, de las Licencias Metropolitanas Urbanísticas, dispone: “</w:t>
      </w:r>
      <w:r w:rsidRPr="003A43E4">
        <w:rPr>
          <w:rFonts w:ascii="Palatino Linotype" w:hAnsi="Palatino Linotype"/>
          <w:i/>
          <w:sz w:val="22"/>
          <w:szCs w:val="22"/>
        </w:rPr>
        <w:t>1. El Municipio del Distrito Metropolitano de Quito aceptará como garantías: hipotecas valoradas por la Dirección Metropolitana de Catastro, papeles fiduciarios, garantías bancarias, pólizas de seguros o depósitos en moneda en curso legal, las cuales serán entregadas a la Dirección Metropolitana Financiera quien establecerá los procedimien</w:t>
      </w:r>
      <w:r>
        <w:rPr>
          <w:rFonts w:ascii="Palatino Linotype" w:hAnsi="Palatino Linotype"/>
          <w:i/>
          <w:sz w:val="22"/>
          <w:szCs w:val="22"/>
        </w:rPr>
        <w:t>tos específicos para cada caso.”</w:t>
      </w:r>
      <w:r>
        <w:rPr>
          <w:rFonts w:ascii="Palatino Linotype" w:hAnsi="Palatino Linotype"/>
          <w:sz w:val="22"/>
          <w:szCs w:val="22"/>
        </w:rPr>
        <w:t>;</w:t>
      </w:r>
    </w:p>
    <w:p w:rsidR="003A43E4" w:rsidRDefault="003A43E4" w:rsidP="003A43E4">
      <w:pPr>
        <w:spacing w:after="120" w:line="276" w:lineRule="auto"/>
        <w:ind w:left="705" w:hanging="705"/>
        <w:jc w:val="both"/>
        <w:rPr>
          <w:rFonts w:ascii="Palatino Linotype" w:hAnsi="Palatino Linotype" w:cs="Tahoma"/>
          <w:sz w:val="22"/>
          <w:szCs w:val="22"/>
        </w:rPr>
      </w:pPr>
      <w:r>
        <w:rPr>
          <w:rFonts w:ascii="Palatino Linotype" w:hAnsi="Palatino Linotype" w:cs="Tahoma"/>
          <w:b/>
          <w:sz w:val="22"/>
          <w:szCs w:val="22"/>
        </w:rPr>
        <w:t>Que,</w:t>
      </w:r>
      <w:r>
        <w:rPr>
          <w:rFonts w:ascii="Palatino Linotype" w:hAnsi="Palatino Linotype" w:cs="Tahoma"/>
          <w:b/>
          <w:sz w:val="22"/>
          <w:szCs w:val="22"/>
        </w:rPr>
        <w:tab/>
      </w:r>
      <w:r>
        <w:rPr>
          <w:rFonts w:ascii="Palatino Linotype" w:hAnsi="Palatino Linotype" w:cs="Tahoma"/>
          <w:sz w:val="22"/>
          <w:szCs w:val="22"/>
        </w:rPr>
        <w:t xml:space="preserve">mediante Ordenanza No. 3446, de 27 de marzo de 2003, se aprueba la Urbanización de Interés Social Progresiva Bellavista del Sur, la misma que en su artículo </w:t>
      </w:r>
      <w:r w:rsidR="004C316A">
        <w:rPr>
          <w:rFonts w:ascii="Palatino Linotype" w:hAnsi="Palatino Linotype" w:cs="Tahoma"/>
          <w:sz w:val="22"/>
          <w:szCs w:val="22"/>
        </w:rPr>
        <w:t>5</w:t>
      </w:r>
      <w:r>
        <w:rPr>
          <w:rFonts w:ascii="Palatino Linotype" w:hAnsi="Palatino Linotype" w:cs="Tahoma"/>
          <w:sz w:val="22"/>
          <w:szCs w:val="22"/>
        </w:rPr>
        <w:t xml:space="preserve"> establece como garantía para la ejecución de las obras de urbanización la constitución de </w:t>
      </w:r>
      <w:r w:rsidRPr="003A43E4">
        <w:rPr>
          <w:rFonts w:ascii="Palatino Linotype" w:hAnsi="Palatino Linotype" w:cs="Tahoma"/>
          <w:sz w:val="22"/>
          <w:szCs w:val="22"/>
        </w:rPr>
        <w:t>primera, especial y preferente hipoteca</w:t>
      </w:r>
      <w:r>
        <w:rPr>
          <w:rFonts w:ascii="Palatino Linotype" w:hAnsi="Palatino Linotype" w:cs="Tahoma"/>
          <w:sz w:val="22"/>
          <w:szCs w:val="22"/>
        </w:rPr>
        <w:t xml:space="preserve"> de </w:t>
      </w:r>
      <w:r w:rsidR="004C316A">
        <w:rPr>
          <w:rFonts w:ascii="Palatino Linotype" w:hAnsi="Palatino Linotype" w:cs="Tahoma"/>
          <w:sz w:val="22"/>
          <w:szCs w:val="22"/>
        </w:rPr>
        <w:t>los</w:t>
      </w:r>
      <w:r>
        <w:rPr>
          <w:rFonts w:ascii="Palatino Linotype" w:hAnsi="Palatino Linotype" w:cs="Tahoma"/>
          <w:sz w:val="22"/>
          <w:szCs w:val="22"/>
        </w:rPr>
        <w:t xml:space="preserve"> lotes </w:t>
      </w:r>
      <w:r w:rsidR="004C316A">
        <w:rPr>
          <w:rFonts w:ascii="Palatino Linotype" w:hAnsi="Palatino Linotype" w:cs="Tahoma"/>
          <w:sz w:val="22"/>
          <w:szCs w:val="22"/>
        </w:rPr>
        <w:t>detallados en dicho artículo</w:t>
      </w:r>
      <w:r>
        <w:rPr>
          <w:rFonts w:ascii="Palatino Linotype" w:hAnsi="Palatino Linotype" w:cs="Tahoma"/>
          <w:sz w:val="22"/>
          <w:szCs w:val="22"/>
        </w:rPr>
        <w:t>, quedando</w:t>
      </w:r>
      <w:r w:rsidR="004C316A">
        <w:rPr>
          <w:rFonts w:ascii="Palatino Linotype" w:hAnsi="Palatino Linotype" w:cs="Tahoma"/>
          <w:sz w:val="22"/>
          <w:szCs w:val="22"/>
        </w:rPr>
        <w:t>,</w:t>
      </w:r>
      <w:r>
        <w:rPr>
          <w:rFonts w:ascii="Palatino Linotype" w:hAnsi="Palatino Linotype" w:cs="Tahoma"/>
          <w:sz w:val="22"/>
          <w:szCs w:val="22"/>
        </w:rPr>
        <w:t xml:space="preserve"> además</w:t>
      </w:r>
      <w:r w:rsidR="004C316A">
        <w:rPr>
          <w:rFonts w:ascii="Palatino Linotype" w:hAnsi="Palatino Linotype" w:cs="Tahoma"/>
          <w:sz w:val="22"/>
          <w:szCs w:val="22"/>
        </w:rPr>
        <w:t>,</w:t>
      </w:r>
      <w:r>
        <w:rPr>
          <w:rFonts w:ascii="Palatino Linotype" w:hAnsi="Palatino Linotype" w:cs="Tahoma"/>
          <w:sz w:val="22"/>
          <w:szCs w:val="22"/>
        </w:rPr>
        <w:t xml:space="preserve"> prohibidos de enajenar hasta la terminación total de las obras</w:t>
      </w:r>
      <w:r w:rsidR="004C316A">
        <w:rPr>
          <w:rFonts w:ascii="Palatino Linotype" w:hAnsi="Palatino Linotype" w:cs="Tahoma"/>
          <w:sz w:val="22"/>
          <w:szCs w:val="22"/>
        </w:rPr>
        <w:t xml:space="preserve"> de urbanización</w:t>
      </w:r>
      <w:r>
        <w:rPr>
          <w:rFonts w:ascii="Palatino Linotype" w:hAnsi="Palatino Linotype" w:cs="Tahoma"/>
          <w:sz w:val="22"/>
          <w:szCs w:val="22"/>
        </w:rPr>
        <w:t>;</w:t>
      </w:r>
    </w:p>
    <w:p w:rsidR="004C316A" w:rsidRDefault="003A43E4" w:rsidP="003A43E4">
      <w:pPr>
        <w:spacing w:after="120" w:line="276" w:lineRule="auto"/>
        <w:ind w:left="705" w:hanging="705"/>
        <w:jc w:val="both"/>
        <w:rPr>
          <w:rFonts w:ascii="Palatino Linotype" w:hAnsi="Palatino Linotype" w:cs="Tahoma"/>
          <w:sz w:val="22"/>
          <w:szCs w:val="22"/>
        </w:rPr>
      </w:pPr>
      <w:r>
        <w:rPr>
          <w:rFonts w:ascii="Palatino Linotype" w:hAnsi="Palatino Linotype" w:cs="Tahoma"/>
          <w:b/>
          <w:sz w:val="22"/>
          <w:szCs w:val="22"/>
        </w:rPr>
        <w:t>Que,</w:t>
      </w:r>
      <w:r>
        <w:rPr>
          <w:rFonts w:ascii="Palatino Linotype" w:hAnsi="Palatino Linotype" w:cs="Tahoma"/>
          <w:b/>
          <w:sz w:val="22"/>
          <w:szCs w:val="22"/>
        </w:rPr>
        <w:tab/>
      </w:r>
      <w:r>
        <w:rPr>
          <w:rFonts w:ascii="Palatino Linotype" w:hAnsi="Palatino Linotype" w:cs="Tahoma"/>
          <w:sz w:val="22"/>
          <w:szCs w:val="22"/>
        </w:rPr>
        <w:t xml:space="preserve">mediante Ordenanza </w:t>
      </w:r>
      <w:r w:rsidR="004C316A">
        <w:rPr>
          <w:rFonts w:ascii="Palatino Linotype" w:hAnsi="Palatino Linotype" w:cs="Tahoma"/>
          <w:sz w:val="22"/>
          <w:szCs w:val="22"/>
        </w:rPr>
        <w:t xml:space="preserve">No. 3690, de 23 de julio de 2007, se reforma la Ordenanza No. 3446, antes referida, disponiendo en su artículo 7 la incorporación de una disposición transitoria por la cual se autoriza la transferencia de dominio de los 231 lotes que son parte de la segunda etapa de la urbanización, para su posterior constitución en </w:t>
      </w:r>
      <w:r w:rsidR="004C316A">
        <w:rPr>
          <w:rFonts w:ascii="Palatino Linotype" w:hAnsi="Palatino Linotype" w:cs="Tahoma"/>
          <w:sz w:val="22"/>
          <w:szCs w:val="22"/>
        </w:rPr>
        <w:lastRenderedPageBreak/>
        <w:t>primera, especial y preferente hipoteca, así como la prohibición de enajenar de los mismos;</w:t>
      </w:r>
    </w:p>
    <w:p w:rsidR="0003417A" w:rsidRDefault="00A578A7" w:rsidP="0003417A">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0003417A">
        <w:rPr>
          <w:rFonts w:ascii="Palatino Linotype" w:hAnsi="Palatino Linotype" w:cs="Tahoma"/>
          <w:sz w:val="22"/>
          <w:szCs w:val="22"/>
        </w:rPr>
        <w:t xml:space="preserve">a petición de los promotores del proyecto en referencia, la Administración Municipal emite los informes relacionados con la posibilidad de sustituir la garantía de hipoteca y prohibición de enajenar, por una póliza de seguros, por lo que mediante oficio No. AZQ-DAJ-2018, de 20 de septiembre de 2018, la Administración Zonal Quitumbe remite su informe en el cual manifiesta que desde la perspectiva financiera no existe objeción para la sustitución, y en cuanto a la perspectiva jurídica, conforme el ordenamiento jurídico metropolitano vigente, corresponde a la Procuraduría Metropolitana emitir su informe favorable para su procedencia; y, </w:t>
      </w:r>
    </w:p>
    <w:p w:rsidR="00A578A7" w:rsidRPr="0003417A" w:rsidRDefault="0003417A" w:rsidP="0003417A">
      <w:pPr>
        <w:spacing w:after="120" w:line="276" w:lineRule="auto"/>
        <w:ind w:left="705" w:hanging="705"/>
        <w:jc w:val="both"/>
        <w:rPr>
          <w:rFonts w:ascii="Palatino Linotype" w:hAnsi="Palatino Linotype" w:cs="Tahoma"/>
          <w:sz w:val="22"/>
          <w:szCs w:val="22"/>
        </w:rPr>
      </w:pPr>
      <w:r>
        <w:rPr>
          <w:rFonts w:ascii="Palatino Linotype" w:hAnsi="Palatino Linotype" w:cs="Tahoma"/>
          <w:b/>
          <w:sz w:val="22"/>
          <w:szCs w:val="22"/>
        </w:rPr>
        <w:t xml:space="preserve">Que, </w:t>
      </w:r>
      <w:r>
        <w:rPr>
          <w:rFonts w:ascii="Palatino Linotype" w:hAnsi="Palatino Linotype" w:cs="Tahoma"/>
          <w:b/>
          <w:sz w:val="22"/>
          <w:szCs w:val="22"/>
        </w:rPr>
        <w:tab/>
      </w:r>
      <w:r w:rsidR="00592EAE" w:rsidRPr="007D7134">
        <w:rPr>
          <w:rFonts w:ascii="Palatino Linotype" w:hAnsi="Palatino Linotype" w:cs="Verdana"/>
          <w:spacing w:val="-6"/>
          <w:sz w:val="22"/>
          <w:szCs w:val="22"/>
        </w:rPr>
        <w:t xml:space="preserve">mediante </w:t>
      </w:r>
      <w:r>
        <w:rPr>
          <w:rFonts w:ascii="Palatino Linotype" w:hAnsi="Palatino Linotype" w:cs="Verdana"/>
          <w:spacing w:val="-6"/>
          <w:sz w:val="22"/>
          <w:szCs w:val="22"/>
        </w:rPr>
        <w:t>oficio, referencia expediente No. PRO-2017-0392, de 10 de octubre de 2018, la Procuraduría Metropolitana emite informe favorable para que la autorización para la sustitución de la garantía de hipoteca y prohibición de enajenar de la Urbanización de Interés Social Progresiva Bellavista del Sur, por una póliza de seguros, que cumpla como mínimo los siguientes requisitos: “</w:t>
      </w:r>
      <w:r w:rsidRPr="0003417A">
        <w:rPr>
          <w:rFonts w:ascii="Palatino Linotype" w:hAnsi="Palatino Linotype" w:cs="Verdana"/>
          <w:i/>
          <w:spacing w:val="-6"/>
          <w:sz w:val="22"/>
          <w:szCs w:val="22"/>
        </w:rPr>
        <w:t xml:space="preserve">(…) </w:t>
      </w:r>
      <w:r>
        <w:rPr>
          <w:rFonts w:ascii="Palatino Linotype" w:hAnsi="Palatino Linotype" w:cs="Verdana"/>
          <w:i/>
          <w:spacing w:val="-6"/>
          <w:sz w:val="22"/>
          <w:szCs w:val="22"/>
        </w:rPr>
        <w:t>1. Que cubra el valor total de las obras de urbanización faltantes. (…) 2. Que sea incondicional, irrevocable y de cobro inmediato con solo la notificación de la Administración Municipal, sin trámite previo</w:t>
      </w:r>
      <w:r w:rsidR="004C3980" w:rsidRPr="004C3980">
        <w:rPr>
          <w:rFonts w:ascii="Palatino Linotype" w:hAnsi="Palatino Linotype" w:cs="Tahoma"/>
          <w:sz w:val="22"/>
          <w:szCs w:val="22"/>
        </w:rPr>
        <w:t>.</w:t>
      </w:r>
      <w:r>
        <w:rPr>
          <w:rFonts w:ascii="Palatino Linotype" w:hAnsi="Palatino Linotype" w:cs="Tahoma"/>
          <w:sz w:val="22"/>
          <w:szCs w:val="22"/>
        </w:rPr>
        <w:t xml:space="preserve"> </w:t>
      </w:r>
      <w:r>
        <w:rPr>
          <w:rFonts w:ascii="Palatino Linotype" w:hAnsi="Palatino Linotype" w:cs="Tahoma"/>
          <w:i/>
          <w:sz w:val="22"/>
          <w:szCs w:val="22"/>
        </w:rPr>
        <w:t>(…) 3. Que se otorgue por todo el tiempo que se requiera hasta la entrega a satisfacción de las obras de urbanización y la obtención del certificado de conformidad de finalización de las obras.”</w:t>
      </w:r>
      <w:r>
        <w:rPr>
          <w:rFonts w:ascii="Palatino Linotype" w:hAnsi="Palatino Linotype" w:cs="Tahoma"/>
          <w:sz w:val="22"/>
          <w:szCs w:val="22"/>
        </w:rPr>
        <w:t>.</w:t>
      </w:r>
    </w:p>
    <w:p w:rsidR="00A578A7" w:rsidRPr="00A16EF4" w:rsidRDefault="00A578A7" w:rsidP="003C18E3">
      <w:pPr>
        <w:spacing w:after="120" w:line="276" w:lineRule="auto"/>
        <w:jc w:val="both"/>
        <w:rPr>
          <w:rFonts w:ascii="Palatino Linotype" w:hAnsi="Palatino Linotype" w:cs="Tahoma"/>
          <w:b/>
          <w:sz w:val="22"/>
          <w:szCs w:val="22"/>
        </w:rPr>
      </w:pPr>
      <w:r w:rsidRPr="00A16EF4">
        <w:rPr>
          <w:rFonts w:ascii="Palatino Linotype" w:hAnsi="Palatino Linotype" w:cs="Tahoma"/>
          <w:b/>
          <w:sz w:val="22"/>
          <w:szCs w:val="22"/>
        </w:rPr>
        <w:t>En ejercicio de sus atribuciones legales constantes en los artículos 240 y 264, numeral</w:t>
      </w:r>
      <w:r w:rsidR="000451EA" w:rsidRPr="00A16EF4">
        <w:rPr>
          <w:rFonts w:ascii="Palatino Linotype" w:hAnsi="Palatino Linotype" w:cs="Tahoma"/>
          <w:b/>
          <w:sz w:val="22"/>
          <w:szCs w:val="22"/>
        </w:rPr>
        <w:t>es</w:t>
      </w:r>
      <w:r w:rsidRPr="00A16EF4">
        <w:rPr>
          <w:rFonts w:ascii="Palatino Linotype" w:hAnsi="Palatino Linotype" w:cs="Tahoma"/>
          <w:b/>
          <w:sz w:val="22"/>
          <w:szCs w:val="22"/>
        </w:rPr>
        <w:t xml:space="preserve"> </w:t>
      </w:r>
      <w:r w:rsidR="000451EA" w:rsidRPr="00A16EF4">
        <w:rPr>
          <w:rFonts w:ascii="Palatino Linotype" w:hAnsi="Palatino Linotype" w:cs="Tahoma"/>
          <w:b/>
          <w:sz w:val="22"/>
          <w:szCs w:val="22"/>
        </w:rPr>
        <w:t>1</w:t>
      </w:r>
      <w:r w:rsidRPr="00A16EF4">
        <w:rPr>
          <w:rFonts w:ascii="Palatino Linotype" w:hAnsi="Palatino Linotype" w:cs="Tahoma"/>
          <w:b/>
          <w:sz w:val="22"/>
          <w:szCs w:val="22"/>
        </w:rPr>
        <w:t xml:space="preserve"> </w:t>
      </w:r>
      <w:r w:rsidR="000451EA" w:rsidRPr="00A16EF4">
        <w:rPr>
          <w:rFonts w:ascii="Palatino Linotype" w:hAnsi="Palatino Linotype" w:cs="Tahoma"/>
          <w:b/>
          <w:sz w:val="22"/>
          <w:szCs w:val="22"/>
        </w:rPr>
        <w:t xml:space="preserve">y 2 </w:t>
      </w:r>
      <w:r w:rsidRPr="00A16EF4">
        <w:rPr>
          <w:rFonts w:ascii="Palatino Linotype" w:hAnsi="Palatino Linotype" w:cs="Tahoma"/>
          <w:b/>
          <w:sz w:val="22"/>
          <w:szCs w:val="22"/>
        </w:rPr>
        <w:t>de la Constitución de la República; 54 literal c), 57 literales a), x) y 322 del Código Orgánico de Organización Territorial, Autonomía y Descentralización; 2 numeral 1, 8 numeral 1 de la Ley Orgánica del Régimen para el Distrito Metropolitano de Quito.</w:t>
      </w:r>
    </w:p>
    <w:p w:rsidR="00A578A7" w:rsidRPr="00A16EF4" w:rsidRDefault="00A578A7" w:rsidP="003C18E3">
      <w:pPr>
        <w:spacing w:after="120" w:line="276" w:lineRule="auto"/>
        <w:jc w:val="center"/>
        <w:rPr>
          <w:rFonts w:ascii="Palatino Linotype" w:hAnsi="Palatino Linotype" w:cs="Tahoma"/>
          <w:b/>
          <w:sz w:val="22"/>
          <w:szCs w:val="22"/>
        </w:rPr>
      </w:pPr>
      <w:r w:rsidRPr="00A16EF4">
        <w:rPr>
          <w:rFonts w:ascii="Palatino Linotype" w:hAnsi="Palatino Linotype" w:cs="Tahoma"/>
          <w:b/>
          <w:sz w:val="22"/>
          <w:szCs w:val="22"/>
        </w:rPr>
        <w:t>EXPIDE</w:t>
      </w:r>
      <w:r w:rsidR="00A16EF4" w:rsidRPr="00A16EF4">
        <w:rPr>
          <w:rFonts w:ascii="Palatino Linotype" w:hAnsi="Palatino Linotype" w:cs="Tahoma"/>
          <w:b/>
          <w:sz w:val="22"/>
          <w:szCs w:val="22"/>
        </w:rPr>
        <w:t xml:space="preserve"> LA SIGUIENTE</w:t>
      </w:r>
      <w:r w:rsidRPr="00A16EF4">
        <w:rPr>
          <w:rFonts w:ascii="Palatino Linotype" w:hAnsi="Palatino Linotype" w:cs="Tahoma"/>
          <w:b/>
          <w:sz w:val="22"/>
          <w:szCs w:val="22"/>
        </w:rPr>
        <w:t>:</w:t>
      </w:r>
    </w:p>
    <w:p w:rsidR="00A578A7" w:rsidRPr="00A16EF4" w:rsidRDefault="00A578A7" w:rsidP="003C18E3">
      <w:pPr>
        <w:spacing w:after="120" w:line="276" w:lineRule="auto"/>
        <w:jc w:val="center"/>
        <w:rPr>
          <w:rFonts w:ascii="Palatino Linotype" w:hAnsi="Palatino Linotype" w:cs="Tahoma"/>
          <w:b/>
          <w:sz w:val="22"/>
          <w:szCs w:val="22"/>
        </w:rPr>
      </w:pPr>
      <w:r w:rsidRPr="00A16EF4">
        <w:rPr>
          <w:rFonts w:ascii="Palatino Linotype" w:hAnsi="Palatino Linotype" w:cs="Tahoma"/>
          <w:b/>
          <w:sz w:val="22"/>
          <w:szCs w:val="22"/>
        </w:rPr>
        <w:t xml:space="preserve">ORDENANZA </w:t>
      </w:r>
      <w:r w:rsidR="00120EF7">
        <w:rPr>
          <w:rFonts w:ascii="Palatino Linotype" w:hAnsi="Palatino Linotype" w:cs="Tahoma"/>
          <w:b/>
          <w:sz w:val="22"/>
          <w:szCs w:val="22"/>
        </w:rPr>
        <w:t>REFORMATORIA</w:t>
      </w:r>
      <w:r w:rsidR="004C3980">
        <w:rPr>
          <w:rFonts w:ascii="Palatino Linotype" w:hAnsi="Palatino Linotype" w:cs="Tahoma"/>
          <w:b/>
          <w:sz w:val="22"/>
          <w:szCs w:val="22"/>
        </w:rPr>
        <w:t xml:space="preserve"> A LA ORDENANZA N</w:t>
      </w:r>
      <w:r w:rsidR="00120EF7">
        <w:rPr>
          <w:rFonts w:ascii="Palatino Linotype" w:hAnsi="Palatino Linotype" w:cs="Tahoma"/>
          <w:b/>
          <w:sz w:val="22"/>
          <w:szCs w:val="22"/>
        </w:rPr>
        <w:t>o</w:t>
      </w:r>
      <w:r w:rsidR="004C3980">
        <w:rPr>
          <w:rFonts w:ascii="Palatino Linotype" w:hAnsi="Palatino Linotype" w:cs="Tahoma"/>
          <w:b/>
          <w:sz w:val="22"/>
          <w:szCs w:val="22"/>
        </w:rPr>
        <w:t xml:space="preserve">. </w:t>
      </w:r>
      <w:r w:rsidR="0003417A">
        <w:rPr>
          <w:rFonts w:ascii="Palatino Linotype" w:hAnsi="Palatino Linotype" w:cs="Tahoma"/>
          <w:b/>
          <w:sz w:val="22"/>
          <w:szCs w:val="22"/>
        </w:rPr>
        <w:t>3446, DE 27 DE MARZO DE 2003, REFORMADA MEDIANTE ORDENANZA No. 3690, DE 23 DE JULIO DE 2007</w:t>
      </w:r>
      <w:r w:rsidR="00CF2492">
        <w:rPr>
          <w:rFonts w:ascii="Palatino Linotype" w:hAnsi="Palatino Linotype" w:cs="Tahoma"/>
          <w:b/>
          <w:sz w:val="22"/>
          <w:szCs w:val="22"/>
        </w:rPr>
        <w:t>, Y ORDENANZA No. 0199, DE 23 DE MARZO DE 2012,</w:t>
      </w:r>
      <w:r w:rsidR="004C3980">
        <w:rPr>
          <w:rFonts w:ascii="Palatino Linotype" w:hAnsi="Palatino Linotype" w:cs="Tahoma"/>
          <w:b/>
          <w:sz w:val="22"/>
          <w:szCs w:val="22"/>
        </w:rPr>
        <w:t xml:space="preserve"> </w:t>
      </w:r>
      <w:r w:rsidR="00CF2492">
        <w:rPr>
          <w:rFonts w:ascii="Palatino Linotype" w:hAnsi="Palatino Linotype" w:cs="Tahoma"/>
          <w:b/>
          <w:sz w:val="22"/>
          <w:szCs w:val="22"/>
        </w:rPr>
        <w:t>DE</w:t>
      </w:r>
      <w:r w:rsidR="0003417A">
        <w:rPr>
          <w:rFonts w:ascii="Palatino Linotype" w:hAnsi="Palatino Linotype" w:cs="Tahoma"/>
          <w:b/>
          <w:sz w:val="22"/>
          <w:szCs w:val="22"/>
        </w:rPr>
        <w:t xml:space="preserve"> </w:t>
      </w:r>
      <w:r w:rsidR="0003417A" w:rsidRPr="0003417A">
        <w:rPr>
          <w:rFonts w:ascii="Palatino Linotype" w:hAnsi="Palatino Linotype" w:cs="Tahoma"/>
          <w:b/>
          <w:sz w:val="22"/>
          <w:szCs w:val="22"/>
        </w:rPr>
        <w:t>LA URBANIZACIÓN DE INTERÉS SOCIAL PROGRESIVA BELLAVISTA DEL SUR</w:t>
      </w:r>
    </w:p>
    <w:p w:rsidR="004C3980" w:rsidRDefault="00A578A7" w:rsidP="003C18E3">
      <w:pPr>
        <w:spacing w:after="12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A16EF4" w:rsidRPr="00A16EF4">
        <w:rPr>
          <w:rFonts w:ascii="Palatino Linotype" w:hAnsi="Palatino Linotype" w:cs="Tahoma"/>
          <w:b/>
          <w:sz w:val="22"/>
          <w:szCs w:val="22"/>
        </w:rPr>
        <w:t>ículo</w:t>
      </w:r>
      <w:r w:rsidRPr="00A16EF4">
        <w:rPr>
          <w:rFonts w:ascii="Palatino Linotype" w:hAnsi="Palatino Linotype" w:cs="Tahoma"/>
          <w:b/>
          <w:sz w:val="22"/>
          <w:szCs w:val="22"/>
        </w:rPr>
        <w:t xml:space="preserve"> 1.-</w:t>
      </w:r>
      <w:r w:rsidR="004C3980">
        <w:rPr>
          <w:rFonts w:ascii="Palatino Linotype" w:hAnsi="Palatino Linotype" w:cs="Tahoma"/>
          <w:b/>
          <w:sz w:val="22"/>
          <w:szCs w:val="22"/>
        </w:rPr>
        <w:t xml:space="preserve"> </w:t>
      </w:r>
      <w:r w:rsidR="00120EF7">
        <w:rPr>
          <w:rFonts w:ascii="Palatino Linotype" w:hAnsi="Palatino Linotype" w:cs="Tahoma"/>
          <w:sz w:val="22"/>
          <w:szCs w:val="22"/>
        </w:rPr>
        <w:t xml:space="preserve">Sustitúyase el artículo </w:t>
      </w:r>
      <w:r w:rsidR="00867B20">
        <w:rPr>
          <w:rFonts w:ascii="Palatino Linotype" w:hAnsi="Palatino Linotype" w:cs="Tahoma"/>
          <w:sz w:val="22"/>
          <w:szCs w:val="22"/>
        </w:rPr>
        <w:t>5</w:t>
      </w:r>
      <w:r w:rsidR="00120EF7">
        <w:rPr>
          <w:rFonts w:ascii="Palatino Linotype" w:hAnsi="Palatino Linotype" w:cs="Tahoma"/>
          <w:sz w:val="22"/>
          <w:szCs w:val="22"/>
        </w:rPr>
        <w:t xml:space="preserve"> </w:t>
      </w:r>
      <w:r w:rsidR="004A3D4E">
        <w:rPr>
          <w:rFonts w:ascii="Palatino Linotype" w:hAnsi="Palatino Linotype" w:cs="Tahoma"/>
          <w:sz w:val="22"/>
          <w:szCs w:val="22"/>
        </w:rPr>
        <w:t xml:space="preserve">de </w:t>
      </w:r>
      <w:r w:rsidR="004C3980" w:rsidRPr="004C3980">
        <w:rPr>
          <w:rFonts w:ascii="Palatino Linotype" w:hAnsi="Palatino Linotype" w:cs="Tahoma"/>
          <w:sz w:val="22"/>
          <w:szCs w:val="22"/>
        </w:rPr>
        <w:t xml:space="preserve">la Ordenanza No. </w:t>
      </w:r>
      <w:r w:rsidR="00867B20">
        <w:rPr>
          <w:rFonts w:ascii="Palatino Linotype" w:hAnsi="Palatino Linotype" w:cs="Tahoma"/>
          <w:sz w:val="22"/>
          <w:szCs w:val="22"/>
        </w:rPr>
        <w:t>3446</w:t>
      </w:r>
      <w:r w:rsidR="00120EF7">
        <w:rPr>
          <w:rFonts w:ascii="Palatino Linotype" w:hAnsi="Palatino Linotype" w:cs="Tahoma"/>
          <w:sz w:val="22"/>
          <w:szCs w:val="22"/>
        </w:rPr>
        <w:t>,</w:t>
      </w:r>
      <w:r w:rsidR="004C3980" w:rsidRPr="004C3980">
        <w:rPr>
          <w:rFonts w:ascii="Palatino Linotype" w:hAnsi="Palatino Linotype" w:cs="Tahoma"/>
          <w:sz w:val="22"/>
          <w:szCs w:val="22"/>
        </w:rPr>
        <w:t xml:space="preserve"> sancionada el </w:t>
      </w:r>
      <w:r w:rsidR="00867B20">
        <w:rPr>
          <w:rFonts w:ascii="Palatino Linotype" w:hAnsi="Palatino Linotype" w:cs="Tahoma"/>
          <w:sz w:val="22"/>
          <w:szCs w:val="22"/>
        </w:rPr>
        <w:t>27</w:t>
      </w:r>
      <w:r w:rsidR="004C3980" w:rsidRPr="004C3980">
        <w:rPr>
          <w:rFonts w:ascii="Palatino Linotype" w:hAnsi="Palatino Linotype" w:cs="Tahoma"/>
          <w:sz w:val="22"/>
          <w:szCs w:val="22"/>
        </w:rPr>
        <w:t xml:space="preserve"> de </w:t>
      </w:r>
      <w:r w:rsidR="00867B20">
        <w:rPr>
          <w:rFonts w:ascii="Palatino Linotype" w:hAnsi="Palatino Linotype" w:cs="Tahoma"/>
          <w:sz w:val="22"/>
          <w:szCs w:val="22"/>
        </w:rPr>
        <w:t xml:space="preserve">marzo </w:t>
      </w:r>
      <w:r w:rsidR="004C3980" w:rsidRPr="004C3980">
        <w:rPr>
          <w:rFonts w:ascii="Palatino Linotype" w:hAnsi="Palatino Linotype" w:cs="Tahoma"/>
          <w:sz w:val="22"/>
          <w:szCs w:val="22"/>
        </w:rPr>
        <w:t xml:space="preserve">de </w:t>
      </w:r>
      <w:r w:rsidR="00867B20">
        <w:rPr>
          <w:rFonts w:ascii="Palatino Linotype" w:hAnsi="Palatino Linotype" w:cs="Tahoma"/>
          <w:sz w:val="22"/>
          <w:szCs w:val="22"/>
        </w:rPr>
        <w:t>2003</w:t>
      </w:r>
      <w:r w:rsidR="004C3980" w:rsidRPr="004C3980">
        <w:rPr>
          <w:rFonts w:ascii="Palatino Linotype" w:hAnsi="Palatino Linotype" w:cs="Tahoma"/>
          <w:sz w:val="22"/>
          <w:szCs w:val="22"/>
        </w:rPr>
        <w:t xml:space="preserve">, </w:t>
      </w:r>
      <w:r w:rsidR="00120EF7">
        <w:rPr>
          <w:rFonts w:ascii="Palatino Linotype" w:hAnsi="Palatino Linotype" w:cs="Tahoma"/>
          <w:sz w:val="22"/>
          <w:szCs w:val="22"/>
        </w:rPr>
        <w:t>por el siguiente</w:t>
      </w:r>
      <w:r w:rsidR="004C3980">
        <w:rPr>
          <w:rFonts w:ascii="Palatino Linotype" w:hAnsi="Palatino Linotype" w:cs="Tahoma"/>
          <w:sz w:val="22"/>
          <w:szCs w:val="22"/>
        </w:rPr>
        <w:t>:</w:t>
      </w:r>
    </w:p>
    <w:p w:rsidR="00867B20" w:rsidRDefault="004C3980" w:rsidP="00867B20">
      <w:pPr>
        <w:spacing w:after="120" w:line="276" w:lineRule="auto"/>
        <w:ind w:left="708"/>
        <w:jc w:val="both"/>
        <w:rPr>
          <w:rFonts w:ascii="Palatino Linotype" w:hAnsi="Palatino Linotype" w:cs="Verdana"/>
          <w:spacing w:val="-6"/>
          <w:sz w:val="22"/>
          <w:szCs w:val="22"/>
        </w:rPr>
      </w:pPr>
      <w:r>
        <w:rPr>
          <w:rFonts w:ascii="Palatino Linotype" w:hAnsi="Palatino Linotype" w:cs="Tahoma"/>
          <w:b/>
          <w:sz w:val="22"/>
          <w:szCs w:val="22"/>
        </w:rPr>
        <w:t>“</w:t>
      </w:r>
      <w:r w:rsidR="00592EAE" w:rsidRPr="00592EAE">
        <w:rPr>
          <w:rFonts w:ascii="Palatino Linotype" w:hAnsi="Palatino Linotype" w:cs="Tahoma"/>
          <w:b/>
          <w:bCs/>
          <w:i/>
          <w:sz w:val="22"/>
          <w:szCs w:val="22"/>
        </w:rPr>
        <w:t xml:space="preserve">Artículo </w:t>
      </w:r>
      <w:r w:rsidR="00867B20">
        <w:rPr>
          <w:rFonts w:ascii="Palatino Linotype" w:hAnsi="Palatino Linotype" w:cs="Tahoma"/>
          <w:b/>
          <w:bCs/>
          <w:i/>
          <w:sz w:val="22"/>
          <w:szCs w:val="22"/>
        </w:rPr>
        <w:t>5</w:t>
      </w:r>
      <w:r w:rsidR="00592EAE" w:rsidRPr="00592EAE">
        <w:rPr>
          <w:rFonts w:ascii="Palatino Linotype" w:hAnsi="Palatino Linotype" w:cs="Tahoma"/>
          <w:b/>
          <w:bCs/>
          <w:i/>
          <w:sz w:val="22"/>
          <w:szCs w:val="22"/>
        </w:rPr>
        <w:t xml:space="preserve">.- </w:t>
      </w:r>
      <w:r w:rsidR="00867B20">
        <w:rPr>
          <w:rFonts w:ascii="Palatino Linotype" w:hAnsi="Palatino Linotype" w:cs="Tahoma"/>
          <w:b/>
          <w:bCs/>
          <w:i/>
          <w:sz w:val="22"/>
          <w:szCs w:val="22"/>
        </w:rPr>
        <w:t xml:space="preserve">Garantía </w:t>
      </w:r>
      <w:r w:rsidR="00592EAE" w:rsidRPr="00592EAE">
        <w:rPr>
          <w:rFonts w:ascii="Palatino Linotype" w:hAnsi="Palatino Linotype" w:cs="Tahoma"/>
          <w:b/>
          <w:bCs/>
          <w:i/>
          <w:sz w:val="22"/>
          <w:szCs w:val="22"/>
        </w:rPr>
        <w:t xml:space="preserve">para la ejecución de las obras.- </w:t>
      </w:r>
      <w:r w:rsidR="00867B20">
        <w:rPr>
          <w:rFonts w:ascii="Palatino Linotype" w:hAnsi="Palatino Linotype" w:cs="Tahoma"/>
          <w:i/>
          <w:sz w:val="22"/>
          <w:szCs w:val="22"/>
        </w:rPr>
        <w:t xml:space="preserve">Los promotores del proyecto garantizarán la ejecución de las obras a través de una póliza de seguros, misma que tendrá que </w:t>
      </w:r>
      <w:r w:rsidR="00867B20">
        <w:rPr>
          <w:rFonts w:ascii="Palatino Linotype" w:hAnsi="Palatino Linotype" w:cs="Tahoma"/>
          <w:i/>
          <w:sz w:val="22"/>
          <w:szCs w:val="22"/>
        </w:rPr>
        <w:lastRenderedPageBreak/>
        <w:t xml:space="preserve">cumplir con los criterios establecidos por la Procuraduría Metropolitana mediante oficio </w:t>
      </w:r>
      <w:r w:rsidR="00867B20" w:rsidRPr="00867B20">
        <w:rPr>
          <w:rFonts w:ascii="Palatino Linotype" w:hAnsi="Palatino Linotype" w:cs="Verdana"/>
          <w:i/>
          <w:spacing w:val="-6"/>
          <w:sz w:val="22"/>
          <w:szCs w:val="22"/>
        </w:rPr>
        <w:t xml:space="preserve">referencia expediente No. PRO-2017-0392, de 10 de octubre de 2018, esto es: </w:t>
      </w:r>
    </w:p>
    <w:p w:rsidR="00867B20" w:rsidRDefault="00867B20" w:rsidP="00867B20">
      <w:pPr>
        <w:spacing w:after="120" w:line="276" w:lineRule="auto"/>
        <w:ind w:left="708"/>
        <w:jc w:val="both"/>
        <w:rPr>
          <w:rFonts w:ascii="Palatino Linotype" w:hAnsi="Palatino Linotype" w:cs="Verdana"/>
          <w:i/>
          <w:spacing w:val="-6"/>
          <w:sz w:val="22"/>
          <w:szCs w:val="22"/>
        </w:rPr>
      </w:pPr>
      <w:r>
        <w:rPr>
          <w:rFonts w:ascii="Palatino Linotype" w:hAnsi="Palatino Linotype" w:cs="Verdana"/>
          <w:i/>
          <w:spacing w:val="-6"/>
          <w:sz w:val="22"/>
          <w:szCs w:val="22"/>
        </w:rPr>
        <w:t xml:space="preserve">1. Que cubra el valor total de las obras de urbanización faltantes, para lo cual deberá considerarse lo establecido en el informe de la Administración Zonal Quitumbe, mediante oficio No. AZQ-DAJ-2018, de 20 de septiembre de 2018. </w:t>
      </w:r>
    </w:p>
    <w:p w:rsidR="00867B20" w:rsidRDefault="00867B20" w:rsidP="00867B20">
      <w:pPr>
        <w:spacing w:after="120" w:line="276" w:lineRule="auto"/>
        <w:ind w:left="708"/>
        <w:jc w:val="both"/>
        <w:rPr>
          <w:rFonts w:ascii="Palatino Linotype" w:hAnsi="Palatino Linotype" w:cs="Tahoma"/>
          <w:i/>
          <w:sz w:val="22"/>
          <w:szCs w:val="22"/>
        </w:rPr>
      </w:pPr>
      <w:r>
        <w:rPr>
          <w:rFonts w:ascii="Palatino Linotype" w:hAnsi="Palatino Linotype" w:cs="Verdana"/>
          <w:i/>
          <w:spacing w:val="-6"/>
          <w:sz w:val="22"/>
          <w:szCs w:val="22"/>
        </w:rPr>
        <w:t>2. Que sea incondicional, irrevocable y de cobro inmediato con solo la notificación de la Administración Municipal, sin trámite previo</w:t>
      </w:r>
      <w:r w:rsidRPr="004C3980">
        <w:rPr>
          <w:rFonts w:ascii="Palatino Linotype" w:hAnsi="Palatino Linotype" w:cs="Tahoma"/>
          <w:sz w:val="22"/>
          <w:szCs w:val="22"/>
        </w:rPr>
        <w:t>.</w:t>
      </w:r>
      <w:r>
        <w:rPr>
          <w:rFonts w:ascii="Palatino Linotype" w:hAnsi="Palatino Linotype" w:cs="Tahoma"/>
          <w:sz w:val="22"/>
          <w:szCs w:val="22"/>
        </w:rPr>
        <w:t xml:space="preserve"> </w:t>
      </w:r>
    </w:p>
    <w:p w:rsidR="00867B20" w:rsidRPr="00867B20" w:rsidRDefault="00867B20" w:rsidP="00867B20">
      <w:pPr>
        <w:spacing w:after="120" w:line="276" w:lineRule="auto"/>
        <w:ind w:left="708"/>
        <w:jc w:val="both"/>
        <w:rPr>
          <w:rFonts w:ascii="Palatino Linotype" w:hAnsi="Palatino Linotype" w:cs="Tahoma"/>
          <w:i/>
          <w:sz w:val="22"/>
          <w:szCs w:val="22"/>
        </w:rPr>
      </w:pPr>
      <w:r>
        <w:rPr>
          <w:rFonts w:ascii="Palatino Linotype" w:hAnsi="Palatino Linotype" w:cs="Tahoma"/>
          <w:i/>
          <w:sz w:val="22"/>
          <w:szCs w:val="22"/>
        </w:rPr>
        <w:t>3. Que se otorgue por todo el tiempo que se requiera hasta la entrega a satisfacción de las obras de urbanización y la obtención del certificado de conformidad de finalización de las obras.”</w:t>
      </w:r>
    </w:p>
    <w:p w:rsidR="00867B20" w:rsidRDefault="00867B20" w:rsidP="00867B20">
      <w:pPr>
        <w:spacing w:after="120" w:line="276" w:lineRule="auto"/>
        <w:jc w:val="both"/>
        <w:rPr>
          <w:rFonts w:ascii="Palatino Linotype" w:hAnsi="Palatino Linotype" w:cs="Tahoma"/>
          <w:sz w:val="22"/>
          <w:szCs w:val="22"/>
        </w:rPr>
      </w:pPr>
      <w:r w:rsidRPr="00A16EF4">
        <w:rPr>
          <w:rFonts w:ascii="Palatino Linotype" w:hAnsi="Palatino Linotype" w:cs="Tahoma"/>
          <w:b/>
          <w:sz w:val="22"/>
          <w:szCs w:val="22"/>
        </w:rPr>
        <w:t xml:space="preserve">Artículo </w:t>
      </w:r>
      <w:r>
        <w:rPr>
          <w:rFonts w:ascii="Palatino Linotype" w:hAnsi="Palatino Linotype" w:cs="Tahoma"/>
          <w:b/>
          <w:sz w:val="22"/>
          <w:szCs w:val="22"/>
        </w:rPr>
        <w:t>2</w:t>
      </w:r>
      <w:r w:rsidRPr="00A16EF4">
        <w:rPr>
          <w:rFonts w:ascii="Palatino Linotype" w:hAnsi="Palatino Linotype" w:cs="Tahoma"/>
          <w:b/>
          <w:sz w:val="22"/>
          <w:szCs w:val="22"/>
        </w:rPr>
        <w:t>.-</w:t>
      </w:r>
      <w:r>
        <w:rPr>
          <w:rFonts w:ascii="Palatino Linotype" w:hAnsi="Palatino Linotype" w:cs="Tahoma"/>
          <w:b/>
          <w:sz w:val="22"/>
          <w:szCs w:val="22"/>
        </w:rPr>
        <w:t xml:space="preserve"> </w:t>
      </w:r>
      <w:r>
        <w:rPr>
          <w:rFonts w:ascii="Palatino Linotype" w:hAnsi="Palatino Linotype" w:cs="Tahoma"/>
          <w:sz w:val="22"/>
          <w:szCs w:val="22"/>
        </w:rPr>
        <w:t xml:space="preserve">Elimínese el inciso final de la disposición transitoria de </w:t>
      </w:r>
      <w:r w:rsidRPr="004C3980">
        <w:rPr>
          <w:rFonts w:ascii="Palatino Linotype" w:hAnsi="Palatino Linotype" w:cs="Tahoma"/>
          <w:sz w:val="22"/>
          <w:szCs w:val="22"/>
        </w:rPr>
        <w:t xml:space="preserve">la Ordenanza No. </w:t>
      </w:r>
      <w:r>
        <w:rPr>
          <w:rFonts w:ascii="Palatino Linotype" w:hAnsi="Palatino Linotype" w:cs="Tahoma"/>
          <w:sz w:val="22"/>
          <w:szCs w:val="22"/>
        </w:rPr>
        <w:t>3446,</w:t>
      </w:r>
      <w:r w:rsidRPr="004C3980">
        <w:rPr>
          <w:rFonts w:ascii="Palatino Linotype" w:hAnsi="Palatino Linotype" w:cs="Tahoma"/>
          <w:sz w:val="22"/>
          <w:szCs w:val="22"/>
        </w:rPr>
        <w:t xml:space="preserve"> sancionada el </w:t>
      </w:r>
      <w:r>
        <w:rPr>
          <w:rFonts w:ascii="Palatino Linotype" w:hAnsi="Palatino Linotype" w:cs="Tahoma"/>
          <w:sz w:val="22"/>
          <w:szCs w:val="22"/>
        </w:rPr>
        <w:t>27</w:t>
      </w:r>
      <w:r w:rsidRPr="004C3980">
        <w:rPr>
          <w:rFonts w:ascii="Palatino Linotype" w:hAnsi="Palatino Linotype" w:cs="Tahoma"/>
          <w:sz w:val="22"/>
          <w:szCs w:val="22"/>
        </w:rPr>
        <w:t xml:space="preserve"> de </w:t>
      </w:r>
      <w:r>
        <w:rPr>
          <w:rFonts w:ascii="Palatino Linotype" w:hAnsi="Palatino Linotype" w:cs="Tahoma"/>
          <w:sz w:val="22"/>
          <w:szCs w:val="22"/>
        </w:rPr>
        <w:t xml:space="preserve">marzo </w:t>
      </w:r>
      <w:r w:rsidRPr="004C3980">
        <w:rPr>
          <w:rFonts w:ascii="Palatino Linotype" w:hAnsi="Palatino Linotype" w:cs="Tahoma"/>
          <w:sz w:val="22"/>
          <w:szCs w:val="22"/>
        </w:rPr>
        <w:t xml:space="preserve">de </w:t>
      </w:r>
      <w:r>
        <w:rPr>
          <w:rFonts w:ascii="Palatino Linotype" w:hAnsi="Palatino Linotype" w:cs="Tahoma"/>
          <w:sz w:val="22"/>
          <w:szCs w:val="22"/>
        </w:rPr>
        <w:t>2003</w:t>
      </w:r>
      <w:r w:rsidRPr="004C3980">
        <w:rPr>
          <w:rFonts w:ascii="Palatino Linotype" w:hAnsi="Palatino Linotype" w:cs="Tahoma"/>
          <w:sz w:val="22"/>
          <w:szCs w:val="22"/>
        </w:rPr>
        <w:t>,</w:t>
      </w:r>
      <w:r>
        <w:rPr>
          <w:rFonts w:ascii="Palatino Linotype" w:hAnsi="Palatino Linotype" w:cs="Tahoma"/>
          <w:sz w:val="22"/>
          <w:szCs w:val="22"/>
        </w:rPr>
        <w:t xml:space="preserve"> la cual fue incorporada mediante artículo 7 de la Ordenanza No. 3690, de 23 de julio de 2007, toda vez que se sustituye la </w:t>
      </w:r>
      <w:r>
        <w:rPr>
          <w:rFonts w:ascii="Palatino Linotype" w:hAnsi="Palatino Linotype" w:cs="Verdana"/>
          <w:spacing w:val="-6"/>
          <w:sz w:val="22"/>
          <w:szCs w:val="22"/>
        </w:rPr>
        <w:t>garantía de hipoteca y prohibición de enajenar de la Urbanización de Interés Social Progresiva Bellavista del Sur, por una póliza de seguros</w:t>
      </w:r>
      <w:r>
        <w:rPr>
          <w:rFonts w:ascii="Palatino Linotype" w:hAnsi="Palatino Linotype" w:cs="Tahoma"/>
          <w:sz w:val="22"/>
          <w:szCs w:val="22"/>
        </w:rPr>
        <w:t>, conforme lo dispuesto en el artículo precedente.</w:t>
      </w:r>
    </w:p>
    <w:p w:rsidR="00CF2492" w:rsidRDefault="00CF2492" w:rsidP="00867B20">
      <w:pPr>
        <w:spacing w:after="120" w:line="276" w:lineRule="auto"/>
        <w:jc w:val="both"/>
        <w:rPr>
          <w:rFonts w:ascii="Palatino Linotype" w:hAnsi="Palatino Linotype" w:cs="Tahoma"/>
          <w:sz w:val="22"/>
          <w:szCs w:val="22"/>
        </w:rPr>
      </w:pPr>
      <w:r w:rsidRPr="00CF2492">
        <w:rPr>
          <w:rFonts w:ascii="Palatino Linotype" w:hAnsi="Palatino Linotype" w:cs="Tahoma"/>
          <w:b/>
          <w:sz w:val="22"/>
          <w:szCs w:val="22"/>
        </w:rPr>
        <w:t xml:space="preserve">Artículo 3.- Plazo para la ejecución de obras.- </w:t>
      </w:r>
      <w:r>
        <w:rPr>
          <w:rFonts w:ascii="Palatino Linotype" w:hAnsi="Palatino Linotype" w:cs="Tahoma"/>
          <w:sz w:val="22"/>
          <w:szCs w:val="22"/>
        </w:rPr>
        <w:t>Las obras se ejecutarán en un plazo de dos años, contados a partir de la fecha de sanción de la presente ordenanza, siendo responsabilidad de la compañía BMV Inmobiliaria S.A. y del Fideicomiso Bellavista del Sur, la ejecución de las mismas.</w:t>
      </w:r>
    </w:p>
    <w:p w:rsidR="00CF2492" w:rsidRPr="00CF2492" w:rsidRDefault="00CF2492" w:rsidP="00867B20">
      <w:pPr>
        <w:spacing w:after="120" w:line="276" w:lineRule="auto"/>
        <w:jc w:val="both"/>
        <w:rPr>
          <w:rFonts w:ascii="Palatino Linotype" w:hAnsi="Palatino Linotype" w:cs="Tahoma"/>
          <w:sz w:val="22"/>
          <w:szCs w:val="22"/>
        </w:rPr>
      </w:pPr>
      <w:r>
        <w:rPr>
          <w:rFonts w:ascii="Palatino Linotype" w:hAnsi="Palatino Linotype" w:cs="Tahoma"/>
          <w:b/>
          <w:sz w:val="22"/>
          <w:szCs w:val="22"/>
        </w:rPr>
        <w:t xml:space="preserve">Artículo 4.- </w:t>
      </w:r>
      <w:r>
        <w:rPr>
          <w:rFonts w:ascii="Palatino Linotype" w:hAnsi="Palatino Linotype" w:cs="Tahoma"/>
          <w:sz w:val="22"/>
          <w:szCs w:val="22"/>
        </w:rPr>
        <w:t xml:space="preserve">Bajo la coordinación de la Empresa Pública Metropolitana de </w:t>
      </w:r>
      <w:bookmarkStart w:id="0" w:name="_GoBack"/>
      <w:bookmarkEnd w:id="0"/>
      <w:r>
        <w:rPr>
          <w:rFonts w:ascii="Palatino Linotype" w:hAnsi="Palatino Linotype" w:cs="Tahoma"/>
          <w:sz w:val="22"/>
          <w:szCs w:val="22"/>
        </w:rPr>
        <w:t>Aseo – EMASEO, el promotor inmobiliario se compromete a construir, en los espacios destinados para equipamiento, los centros de acopio de basura necesarios para el proyecto, diseñados técnicamente, con las respectivas conexiones de alcantarillado, agua potable y luz eléctrica.</w:t>
      </w:r>
    </w:p>
    <w:p w:rsidR="000B3213" w:rsidRPr="00B452F1" w:rsidRDefault="000B3213" w:rsidP="003C18E3">
      <w:pPr>
        <w:shd w:val="clear" w:color="auto" w:fill="FFFFFF"/>
        <w:spacing w:after="12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w:t>
      </w:r>
      <w:r w:rsidR="00ED25F6">
        <w:rPr>
          <w:rFonts w:ascii="Palatino Linotype" w:hAnsi="Palatino Linotype" w:cs="Arial"/>
          <w:b/>
          <w:sz w:val="22"/>
          <w:szCs w:val="22"/>
          <w:lang w:val="es-ES_tradnl"/>
        </w:rPr>
        <w:t>f</w:t>
      </w:r>
      <w:r w:rsidRPr="00B452F1">
        <w:rPr>
          <w:rFonts w:ascii="Palatino Linotype" w:hAnsi="Palatino Linotype" w:cs="Arial"/>
          <w:b/>
          <w:sz w:val="22"/>
          <w:szCs w:val="22"/>
          <w:lang w:val="es-ES_tradnl"/>
        </w:rPr>
        <w:t xml:space="preserve">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página web institucional de la Municipalidad</w:t>
      </w:r>
      <w:r w:rsidRPr="00B452F1">
        <w:rPr>
          <w:rFonts w:ascii="Palatino Linotype" w:hAnsi="Palatino Linotype" w:cs="Arial"/>
          <w:bCs/>
          <w:sz w:val="22"/>
          <w:szCs w:val="22"/>
          <w:lang w:val="es-ES_tradnl"/>
        </w:rPr>
        <w:t>.</w:t>
      </w:r>
    </w:p>
    <w:p w:rsidR="000B3213" w:rsidRPr="003843CA" w:rsidRDefault="000B3213" w:rsidP="003C18E3">
      <w:pPr>
        <w:spacing w:after="12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CF2492">
        <w:rPr>
          <w:rFonts w:ascii="Palatino Linotype" w:hAnsi="Palatino Linotype" w:cs="Arial"/>
          <w:sz w:val="22"/>
          <w:szCs w:val="22"/>
        </w:rPr>
        <w:t>1</w:t>
      </w:r>
      <w:r w:rsidR="008B0BA8">
        <w:rPr>
          <w:rFonts w:ascii="Palatino Linotype" w:hAnsi="Palatino Linotype" w:cs="Arial"/>
          <w:sz w:val="22"/>
          <w:szCs w:val="22"/>
        </w:rPr>
        <w:t>3</w:t>
      </w:r>
      <w:r w:rsidRPr="003843CA">
        <w:rPr>
          <w:rFonts w:ascii="Palatino Linotype" w:hAnsi="Palatino Linotype" w:cs="Arial"/>
          <w:sz w:val="22"/>
          <w:szCs w:val="22"/>
        </w:rPr>
        <w:t xml:space="preserve"> de </w:t>
      </w:r>
      <w:r w:rsidR="00CF2492">
        <w:rPr>
          <w:rFonts w:ascii="Palatino Linotype" w:hAnsi="Palatino Linotype" w:cs="Arial"/>
          <w:sz w:val="22"/>
          <w:szCs w:val="22"/>
        </w:rPr>
        <w:t xml:space="preserve">diciembre </w:t>
      </w:r>
      <w:r w:rsidRPr="003843CA">
        <w:rPr>
          <w:rFonts w:ascii="Palatino Linotype" w:hAnsi="Palatino Linotype" w:cs="Arial"/>
          <w:sz w:val="22"/>
          <w:szCs w:val="22"/>
        </w:rPr>
        <w:t>de 201</w:t>
      </w:r>
      <w:r w:rsidR="00592EAE">
        <w:rPr>
          <w:rFonts w:ascii="Palatino Linotype" w:hAnsi="Palatino Linotype" w:cs="Arial"/>
          <w:sz w:val="22"/>
          <w:szCs w:val="22"/>
        </w:rPr>
        <w:t>8</w:t>
      </w:r>
      <w:r w:rsidRPr="003843CA">
        <w:rPr>
          <w:rFonts w:ascii="Palatino Linotype" w:hAnsi="Palatino Linotype" w:cs="Arial"/>
          <w:sz w:val="22"/>
          <w:szCs w:val="22"/>
        </w:rPr>
        <w:t>.</w:t>
      </w:r>
    </w:p>
    <w:p w:rsidR="000B3213" w:rsidRDefault="000B3213" w:rsidP="000B3213">
      <w:pPr>
        <w:pStyle w:val="Textopredeterminado"/>
        <w:shd w:val="clear" w:color="auto" w:fill="FFFFFF"/>
        <w:jc w:val="both"/>
        <w:rPr>
          <w:rFonts w:ascii="Palatino Linotype" w:hAnsi="Palatino Linotype" w:cs="Arial"/>
          <w:sz w:val="22"/>
          <w:szCs w:val="22"/>
          <w:lang w:val="es-ES"/>
        </w:rPr>
      </w:pPr>
    </w:p>
    <w:p w:rsidR="00CF2492" w:rsidRDefault="00CF2492" w:rsidP="000B3213">
      <w:pPr>
        <w:pStyle w:val="Textopredeterminado"/>
        <w:shd w:val="clear" w:color="auto" w:fill="FFFFFF"/>
        <w:jc w:val="both"/>
        <w:rPr>
          <w:rFonts w:ascii="Palatino Linotype" w:hAnsi="Palatino Linotype" w:cs="Arial"/>
          <w:sz w:val="22"/>
          <w:szCs w:val="22"/>
          <w:lang w:val="es-ES"/>
        </w:rPr>
      </w:pPr>
    </w:p>
    <w:p w:rsidR="00CF2492" w:rsidRDefault="00CF2492" w:rsidP="000B3213">
      <w:pPr>
        <w:pStyle w:val="Textopredeterminado"/>
        <w:shd w:val="clear" w:color="auto" w:fill="FFFFFF"/>
        <w:jc w:val="both"/>
        <w:rPr>
          <w:rFonts w:ascii="Palatino Linotype" w:hAnsi="Palatino Linotype" w:cs="Arial"/>
          <w:sz w:val="22"/>
          <w:szCs w:val="22"/>
          <w:lang w:val="es-ES"/>
        </w:rPr>
      </w:pPr>
    </w:p>
    <w:p w:rsidR="00CF2492" w:rsidRPr="003843CA" w:rsidRDefault="00CF2492" w:rsidP="00CF249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CF2492" w:rsidRDefault="00CF2492" w:rsidP="00CF2492">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F2492" w:rsidRDefault="00CF2492" w:rsidP="000B3213">
      <w:pPr>
        <w:pStyle w:val="Textopredeterminado"/>
        <w:shd w:val="clear" w:color="auto" w:fill="FFFFFF"/>
        <w:jc w:val="both"/>
        <w:rPr>
          <w:rFonts w:ascii="Palatino Linotype" w:hAnsi="Palatino Linotype" w:cs="Arial"/>
          <w:sz w:val="22"/>
          <w:szCs w:val="22"/>
          <w:lang w:val="es-ES"/>
        </w:rPr>
      </w:pPr>
    </w:p>
    <w:p w:rsidR="00CF2492" w:rsidRDefault="00CF2492" w:rsidP="000B3213">
      <w:pPr>
        <w:pStyle w:val="Textopredeterminado"/>
        <w:shd w:val="clear" w:color="auto" w:fill="FFFFFF"/>
        <w:jc w:val="both"/>
        <w:rPr>
          <w:rFonts w:ascii="Palatino Linotype" w:hAnsi="Palatino Linotype" w:cs="Arial"/>
          <w:sz w:val="22"/>
          <w:szCs w:val="22"/>
          <w:lang w:val="es-ES"/>
        </w:rPr>
      </w:pPr>
    </w:p>
    <w:p w:rsidR="003C18E3" w:rsidRDefault="003C18E3" w:rsidP="000B3213">
      <w:pPr>
        <w:pStyle w:val="Textopredeterminado"/>
        <w:shd w:val="clear" w:color="auto" w:fill="FFFFFF"/>
        <w:jc w:val="both"/>
        <w:rPr>
          <w:rFonts w:ascii="Palatino Linotype" w:hAnsi="Palatino Linotype" w:cs="Arial"/>
          <w:sz w:val="22"/>
          <w:szCs w:val="22"/>
          <w:lang w:val="es-ES"/>
        </w:rPr>
      </w:pPr>
    </w:p>
    <w:tbl>
      <w:tblPr>
        <w:tblW w:w="10899" w:type="dxa"/>
        <w:jc w:val="center"/>
        <w:tblLook w:val="04A0" w:firstRow="1" w:lastRow="0" w:firstColumn="1" w:lastColumn="0" w:noHBand="0" w:noVBand="1"/>
      </w:tblPr>
      <w:tblGrid>
        <w:gridCol w:w="5575"/>
        <w:gridCol w:w="5324"/>
      </w:tblGrid>
      <w:tr w:rsidR="000B3213" w:rsidRPr="00680EAC" w:rsidTr="00243D7F">
        <w:trPr>
          <w:jc w:val="center"/>
        </w:trPr>
        <w:tc>
          <w:tcPr>
            <w:tcW w:w="5575" w:type="dxa"/>
            <w:hideMark/>
          </w:tcPr>
          <w:p w:rsidR="000B3213" w:rsidRDefault="000B3213" w:rsidP="00243D7F">
            <w:pPr>
              <w:pStyle w:val="Textopredeterminado"/>
              <w:jc w:val="center"/>
              <w:rPr>
                <w:rFonts w:ascii="Palatino Linotype" w:hAnsi="Palatino Linotype" w:cs="Arial"/>
                <w:sz w:val="19"/>
                <w:szCs w:val="19"/>
              </w:rPr>
            </w:pPr>
          </w:p>
        </w:tc>
        <w:tc>
          <w:tcPr>
            <w:tcW w:w="5324" w:type="dxa"/>
            <w:hideMark/>
          </w:tcPr>
          <w:p w:rsidR="000B3213" w:rsidRDefault="000B3213" w:rsidP="00243D7F">
            <w:pPr>
              <w:pStyle w:val="Textopredeterminado"/>
              <w:jc w:val="center"/>
              <w:rPr>
                <w:rFonts w:ascii="Palatino Linotype" w:hAnsi="Palatino Linotype" w:cs="Arial"/>
                <w:sz w:val="19"/>
                <w:szCs w:val="19"/>
              </w:rPr>
            </w:pPr>
          </w:p>
        </w:tc>
      </w:tr>
    </w:tbl>
    <w:p w:rsidR="000B3213" w:rsidRPr="003843CA" w:rsidRDefault="000B3213" w:rsidP="000B321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0B3213" w:rsidRPr="003843CA" w:rsidRDefault="000B3213" w:rsidP="000B3213">
      <w:pPr>
        <w:pStyle w:val="Textosinformato"/>
        <w:jc w:val="both"/>
        <w:rPr>
          <w:rFonts w:ascii="Palatino Linotype" w:eastAsia="MS Mincho" w:hAnsi="Palatino Linotype" w:cs="Arial"/>
          <w:sz w:val="22"/>
          <w:szCs w:val="22"/>
        </w:rPr>
      </w:pPr>
    </w:p>
    <w:p w:rsidR="000B3213" w:rsidRPr="003843CA" w:rsidRDefault="002502E4" w:rsidP="000B3213">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0B3213"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0B3213"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0B3213"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CF2492">
        <w:rPr>
          <w:rFonts w:ascii="Palatino Linotype" w:eastAsia="MS Mincho" w:hAnsi="Palatino Linotype" w:cs="Arial"/>
          <w:sz w:val="22"/>
          <w:szCs w:val="22"/>
        </w:rPr>
        <w:t>29</w:t>
      </w:r>
      <w:r>
        <w:rPr>
          <w:rFonts w:ascii="Palatino Linotype" w:eastAsia="MS Mincho" w:hAnsi="Palatino Linotype" w:cs="Arial"/>
          <w:sz w:val="22"/>
          <w:szCs w:val="22"/>
        </w:rPr>
        <w:t xml:space="preserve"> de </w:t>
      </w:r>
      <w:r w:rsidR="00CF2492">
        <w:rPr>
          <w:rFonts w:ascii="Palatino Linotype" w:eastAsia="MS Mincho" w:hAnsi="Palatino Linotype" w:cs="Arial"/>
          <w:sz w:val="22"/>
          <w:szCs w:val="22"/>
        </w:rPr>
        <w:t xml:space="preserve">noviembre </w:t>
      </w:r>
      <w:r w:rsidR="000B3213">
        <w:rPr>
          <w:rFonts w:ascii="Palatino Linotype" w:eastAsia="MS Mincho" w:hAnsi="Palatino Linotype" w:cs="Arial"/>
          <w:sz w:val="22"/>
          <w:szCs w:val="22"/>
        </w:rPr>
        <w:t xml:space="preserve">y </w:t>
      </w:r>
      <w:r w:rsidR="00CF2492">
        <w:rPr>
          <w:rFonts w:ascii="Palatino Linotype" w:eastAsia="MS Mincho" w:hAnsi="Palatino Linotype" w:cs="Arial"/>
          <w:sz w:val="22"/>
          <w:szCs w:val="22"/>
        </w:rPr>
        <w:t>13</w:t>
      </w:r>
      <w:r w:rsidR="000B3213" w:rsidRPr="003843CA">
        <w:rPr>
          <w:rFonts w:ascii="Palatino Linotype" w:eastAsia="MS Mincho" w:hAnsi="Palatino Linotype" w:cs="Arial"/>
          <w:sz w:val="22"/>
          <w:szCs w:val="22"/>
        </w:rPr>
        <w:t xml:space="preserve"> de </w:t>
      </w:r>
      <w:r w:rsidR="00CF2492">
        <w:rPr>
          <w:rFonts w:ascii="Palatino Linotype" w:eastAsia="MS Mincho" w:hAnsi="Palatino Linotype" w:cs="Arial"/>
          <w:sz w:val="22"/>
          <w:szCs w:val="22"/>
        </w:rPr>
        <w:t xml:space="preserve">diciembre </w:t>
      </w:r>
      <w:r>
        <w:rPr>
          <w:rFonts w:ascii="Palatino Linotype" w:eastAsia="MS Mincho" w:hAnsi="Palatino Linotype" w:cs="Arial"/>
          <w:sz w:val="22"/>
          <w:szCs w:val="22"/>
        </w:rPr>
        <w:t>de 201</w:t>
      </w:r>
      <w:r w:rsidR="00592EAE">
        <w:rPr>
          <w:rFonts w:ascii="Palatino Linotype" w:eastAsia="MS Mincho" w:hAnsi="Palatino Linotype" w:cs="Arial"/>
          <w:sz w:val="22"/>
          <w:szCs w:val="22"/>
        </w:rPr>
        <w:t>8</w:t>
      </w:r>
      <w:r w:rsidR="000B3213" w:rsidRPr="003843CA">
        <w:rPr>
          <w:rFonts w:ascii="Palatino Linotype" w:eastAsia="MS Mincho" w:hAnsi="Palatino Linotype" w:cs="Arial"/>
          <w:sz w:val="22"/>
          <w:szCs w:val="22"/>
        </w:rPr>
        <w:t>.- Quito,</w:t>
      </w:r>
    </w:p>
    <w:p w:rsidR="000B3213" w:rsidRDefault="000B3213" w:rsidP="000B3213">
      <w:pPr>
        <w:pStyle w:val="Textosinformato"/>
        <w:jc w:val="both"/>
        <w:rPr>
          <w:rFonts w:ascii="Palatino Linotype" w:eastAsia="MS Mincho" w:hAnsi="Palatino Linotype" w:cs="Arial"/>
          <w:sz w:val="22"/>
          <w:szCs w:val="22"/>
        </w:rPr>
      </w:pPr>
    </w:p>
    <w:p w:rsidR="00CF2492" w:rsidRDefault="00CF2492" w:rsidP="000B3213">
      <w:pPr>
        <w:pStyle w:val="Textosinformato"/>
        <w:jc w:val="both"/>
        <w:rPr>
          <w:rFonts w:ascii="Palatino Linotype" w:eastAsia="MS Mincho" w:hAnsi="Palatino Linotype" w:cs="Arial"/>
          <w:sz w:val="22"/>
          <w:szCs w:val="22"/>
        </w:rPr>
      </w:pPr>
    </w:p>
    <w:p w:rsidR="008500ED" w:rsidRDefault="008500ED" w:rsidP="000B3213">
      <w:pPr>
        <w:pStyle w:val="Textosinformato"/>
        <w:jc w:val="both"/>
        <w:rPr>
          <w:rFonts w:ascii="Palatino Linotype" w:eastAsia="MS Mincho" w:hAnsi="Palatino Linotype" w:cs="Arial"/>
          <w:sz w:val="22"/>
          <w:szCs w:val="22"/>
        </w:rPr>
      </w:pPr>
    </w:p>
    <w:p w:rsidR="000B3213" w:rsidRPr="003843CA" w:rsidRDefault="000B3213" w:rsidP="000B3213">
      <w:pPr>
        <w:pStyle w:val="Textosinformato"/>
        <w:jc w:val="both"/>
        <w:rPr>
          <w:rFonts w:ascii="Palatino Linotype" w:eastAsia="MS Mincho" w:hAnsi="Palatino Linotype" w:cs="Arial"/>
          <w:sz w:val="22"/>
          <w:szCs w:val="22"/>
        </w:rPr>
      </w:pPr>
    </w:p>
    <w:p w:rsidR="000B3213" w:rsidRPr="003843CA" w:rsidRDefault="008500ED" w:rsidP="000B321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2502E4">
        <w:rPr>
          <w:rFonts w:ascii="Palatino Linotype" w:eastAsia="MS Mincho" w:hAnsi="Palatino Linotype" w:cs="Arial"/>
          <w:sz w:val="22"/>
          <w:szCs w:val="22"/>
        </w:rPr>
        <w:t>Diego Cevallos Salgado</w:t>
      </w:r>
    </w:p>
    <w:p w:rsidR="000B3213" w:rsidRDefault="000B3213" w:rsidP="000B321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2502E4">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0B3213" w:rsidRDefault="000B3213" w:rsidP="000B3213">
      <w:pPr>
        <w:pStyle w:val="Textosinformato"/>
        <w:jc w:val="center"/>
        <w:rPr>
          <w:rFonts w:ascii="Palatino Linotype" w:eastAsia="MS Mincho" w:hAnsi="Palatino Linotype" w:cs="Arial"/>
          <w:b/>
          <w:sz w:val="22"/>
          <w:szCs w:val="22"/>
        </w:rPr>
      </w:pPr>
    </w:p>
    <w:p w:rsidR="000B3213" w:rsidRPr="003843CA" w:rsidRDefault="000B3213" w:rsidP="000B3213">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B3213" w:rsidRPr="003843CA" w:rsidRDefault="000B3213" w:rsidP="000B321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B3213" w:rsidRPr="003843CA" w:rsidRDefault="000B3213" w:rsidP="000B3213">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2502E4" w:rsidRPr="003843CA" w:rsidRDefault="002502E4" w:rsidP="002502E4">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2502E4" w:rsidRDefault="002502E4" w:rsidP="002502E4">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F2492" w:rsidRPr="00CF2492" w:rsidRDefault="00CF2492" w:rsidP="00CF2492">
      <w:pPr>
        <w:pStyle w:val="Textosinformato"/>
        <w:rPr>
          <w:rFonts w:ascii="Palatino Linotype" w:eastAsia="MS Mincho" w:hAnsi="Palatino Linotype" w:cs="Arial"/>
          <w:b/>
          <w:bCs/>
          <w:sz w:val="14"/>
          <w:szCs w:val="14"/>
        </w:rPr>
      </w:pPr>
      <w:r w:rsidRPr="00CF2492">
        <w:rPr>
          <w:rFonts w:ascii="Palatino Linotype" w:eastAsia="MS Mincho" w:hAnsi="Palatino Linotype" w:cs="Arial"/>
          <w:b/>
          <w:bCs/>
          <w:sz w:val="14"/>
          <w:szCs w:val="14"/>
        </w:rPr>
        <w:t>DSCS</w:t>
      </w:r>
    </w:p>
    <w:sectPr w:rsidR="00CF2492" w:rsidRPr="00CF2492" w:rsidSect="00ED25F6">
      <w:headerReference w:type="default" r:id="rId9"/>
      <w:footerReference w:type="default" r:id="rId10"/>
      <w:pgSz w:w="12240" w:h="15840"/>
      <w:pgMar w:top="1418" w:right="1467"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DA" w:rsidRDefault="00B42CDA" w:rsidP="007A2BC2">
      <w:r>
        <w:separator/>
      </w:r>
    </w:p>
  </w:endnote>
  <w:endnote w:type="continuationSeparator" w:id="0">
    <w:p w:rsidR="00B42CDA" w:rsidRDefault="00B42CDA" w:rsidP="007A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88439"/>
      <w:docPartObj>
        <w:docPartGallery w:val="Page Numbers (Bottom of Page)"/>
        <w:docPartUnique/>
      </w:docPartObj>
    </w:sdtPr>
    <w:sdtEndPr/>
    <w:sdtContent>
      <w:sdt>
        <w:sdtPr>
          <w:id w:val="860082579"/>
          <w:docPartObj>
            <w:docPartGallery w:val="Page Numbers (Top of Page)"/>
            <w:docPartUnique/>
          </w:docPartObj>
        </w:sdtPr>
        <w:sdtEndPr/>
        <w:sdtContent>
          <w:p w:rsidR="00203608" w:rsidRDefault="00203608">
            <w:pPr>
              <w:pStyle w:val="Piedepgina"/>
              <w:jc w:val="right"/>
            </w:pPr>
            <w:r w:rsidRPr="00203608">
              <w:rPr>
                <w:rFonts w:ascii="Palatino Linotype" w:hAnsi="Palatino Linotype"/>
                <w:sz w:val="22"/>
                <w:szCs w:val="22"/>
              </w:rPr>
              <w:t xml:space="preserve">Página </w:t>
            </w:r>
            <w:r w:rsidR="006E5E45" w:rsidRPr="00203608">
              <w:rPr>
                <w:rFonts w:ascii="Palatino Linotype" w:hAnsi="Palatino Linotype"/>
                <w:b/>
                <w:bCs/>
                <w:sz w:val="22"/>
                <w:szCs w:val="22"/>
              </w:rPr>
              <w:fldChar w:fldCharType="begin"/>
            </w:r>
            <w:r w:rsidRPr="00203608">
              <w:rPr>
                <w:rFonts w:ascii="Palatino Linotype" w:hAnsi="Palatino Linotype"/>
                <w:b/>
                <w:bCs/>
                <w:sz w:val="22"/>
                <w:szCs w:val="22"/>
              </w:rPr>
              <w:instrText>PAGE</w:instrText>
            </w:r>
            <w:r w:rsidR="006E5E45" w:rsidRPr="00203608">
              <w:rPr>
                <w:rFonts w:ascii="Palatino Linotype" w:hAnsi="Palatino Linotype"/>
                <w:b/>
                <w:bCs/>
                <w:sz w:val="22"/>
                <w:szCs w:val="22"/>
              </w:rPr>
              <w:fldChar w:fldCharType="separate"/>
            </w:r>
            <w:r w:rsidR="008B0BA8">
              <w:rPr>
                <w:rFonts w:ascii="Palatino Linotype" w:hAnsi="Palatino Linotype"/>
                <w:b/>
                <w:bCs/>
                <w:noProof/>
                <w:sz w:val="22"/>
                <w:szCs w:val="22"/>
              </w:rPr>
              <w:t>5</w:t>
            </w:r>
            <w:r w:rsidR="006E5E45" w:rsidRPr="00203608">
              <w:rPr>
                <w:rFonts w:ascii="Palatino Linotype" w:hAnsi="Palatino Linotype"/>
                <w:b/>
                <w:bCs/>
                <w:sz w:val="22"/>
                <w:szCs w:val="22"/>
              </w:rPr>
              <w:fldChar w:fldCharType="end"/>
            </w:r>
            <w:r w:rsidRPr="00203608">
              <w:rPr>
                <w:rFonts w:ascii="Palatino Linotype" w:hAnsi="Palatino Linotype"/>
                <w:sz w:val="22"/>
                <w:szCs w:val="22"/>
              </w:rPr>
              <w:t xml:space="preserve"> de </w:t>
            </w:r>
            <w:r w:rsidR="00867B20">
              <w:rPr>
                <w:rFonts w:ascii="Palatino Linotype" w:hAnsi="Palatino Linotype"/>
                <w:b/>
                <w:bCs/>
                <w:sz w:val="22"/>
                <w:szCs w:val="22"/>
              </w:rPr>
              <w:t>5</w:t>
            </w:r>
          </w:p>
        </w:sdtContent>
      </w:sdt>
    </w:sdtContent>
  </w:sdt>
  <w:p w:rsidR="00203608" w:rsidRDefault="002036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DA" w:rsidRDefault="00B42CDA" w:rsidP="007A2BC2">
      <w:r>
        <w:separator/>
      </w:r>
    </w:p>
  </w:footnote>
  <w:footnote w:type="continuationSeparator" w:id="0">
    <w:p w:rsidR="00B42CDA" w:rsidRDefault="00B42CDA" w:rsidP="007A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8171BF" w:rsidRDefault="008171BF" w:rsidP="00203608">
    <w:pPr>
      <w:spacing w:after="240"/>
      <w:jc w:val="center"/>
      <w:rPr>
        <w:rFonts w:ascii="Palatino Linotype" w:hAnsi="Palatino Linotype" w:cs="Arial"/>
        <w:b/>
        <w:bCs/>
      </w:rPr>
    </w:pPr>
  </w:p>
  <w:p w:rsidR="00203608" w:rsidRPr="00867B20" w:rsidRDefault="00203608" w:rsidP="00203608">
    <w:pPr>
      <w:spacing w:after="240"/>
      <w:jc w:val="center"/>
      <w:rPr>
        <w:rFonts w:ascii="Palatino Linotype" w:hAnsi="Palatino Linotype" w:cs="Arial"/>
        <w:b/>
        <w:bCs/>
        <w:sz w:val="22"/>
        <w:szCs w:val="22"/>
      </w:rPr>
    </w:pPr>
    <w:r w:rsidRPr="00867B20">
      <w:rPr>
        <w:rFonts w:ascii="Palatino Linotype" w:hAnsi="Palatino Linotype" w:cs="Arial"/>
        <w:b/>
        <w:bCs/>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3C18E3" w:rsidRDefault="003C18E3">
    <w:pPr>
      <w:pStyle w:val="Encabezado"/>
    </w:pPr>
  </w:p>
  <w:p w:rsidR="00203608" w:rsidRDefault="00203608">
    <w:pPr>
      <w:pStyle w:val="Encabezado"/>
    </w:pPr>
  </w:p>
  <w:p w:rsidR="00203608" w:rsidRPr="00867B20" w:rsidRDefault="00203608" w:rsidP="00203608">
    <w:pPr>
      <w:spacing w:after="240"/>
      <w:jc w:val="center"/>
      <w:rPr>
        <w:rFonts w:ascii="Palatino Linotype" w:hAnsi="Palatino Linotype" w:cs="Arial"/>
        <w:b/>
        <w:bCs/>
        <w:sz w:val="22"/>
        <w:szCs w:val="22"/>
      </w:rPr>
    </w:pPr>
    <w:r w:rsidRPr="00867B20">
      <w:rPr>
        <w:rFonts w:ascii="Palatino Linotype" w:hAnsi="Palatino Linotype" w:cs="Arial"/>
        <w:b/>
        <w:bCs/>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60D9A"/>
    <w:multiLevelType w:val="hybridMultilevel"/>
    <w:tmpl w:val="F58EDF72"/>
    <w:lvl w:ilvl="0" w:tplc="7370E89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A7"/>
    <w:rsid w:val="00021B32"/>
    <w:rsid w:val="0003417A"/>
    <w:rsid w:val="00034771"/>
    <w:rsid w:val="000451EA"/>
    <w:rsid w:val="000B3213"/>
    <w:rsid w:val="00117430"/>
    <w:rsid w:val="00120EF7"/>
    <w:rsid w:val="001C012C"/>
    <w:rsid w:val="001D31BB"/>
    <w:rsid w:val="001F5CC8"/>
    <w:rsid w:val="00203608"/>
    <w:rsid w:val="002502E4"/>
    <w:rsid w:val="003166BF"/>
    <w:rsid w:val="003A43E4"/>
    <w:rsid w:val="003C18E3"/>
    <w:rsid w:val="003D6FF9"/>
    <w:rsid w:val="004A226C"/>
    <w:rsid w:val="004A3D4E"/>
    <w:rsid w:val="004C1EB7"/>
    <w:rsid w:val="004C316A"/>
    <w:rsid w:val="004C3980"/>
    <w:rsid w:val="0051377D"/>
    <w:rsid w:val="00592EAE"/>
    <w:rsid w:val="00626B9C"/>
    <w:rsid w:val="00650520"/>
    <w:rsid w:val="00677B37"/>
    <w:rsid w:val="006C40A7"/>
    <w:rsid w:val="006E0F5F"/>
    <w:rsid w:val="006E5E45"/>
    <w:rsid w:val="007A2BC2"/>
    <w:rsid w:val="007D1BCA"/>
    <w:rsid w:val="008171BF"/>
    <w:rsid w:val="008500ED"/>
    <w:rsid w:val="00853D5B"/>
    <w:rsid w:val="00867B20"/>
    <w:rsid w:val="008A03BE"/>
    <w:rsid w:val="008B0BA8"/>
    <w:rsid w:val="00965B73"/>
    <w:rsid w:val="00A16EF4"/>
    <w:rsid w:val="00A35B69"/>
    <w:rsid w:val="00A45C6C"/>
    <w:rsid w:val="00A578A7"/>
    <w:rsid w:val="00AE02A6"/>
    <w:rsid w:val="00B27915"/>
    <w:rsid w:val="00B42CDA"/>
    <w:rsid w:val="00B67DF4"/>
    <w:rsid w:val="00B9135B"/>
    <w:rsid w:val="00BC15EE"/>
    <w:rsid w:val="00C76F80"/>
    <w:rsid w:val="00CC4A7D"/>
    <w:rsid w:val="00CF2492"/>
    <w:rsid w:val="00D10071"/>
    <w:rsid w:val="00D3459D"/>
    <w:rsid w:val="00DA19F5"/>
    <w:rsid w:val="00DC798E"/>
    <w:rsid w:val="00DF3E21"/>
    <w:rsid w:val="00E32BB2"/>
    <w:rsid w:val="00E61530"/>
    <w:rsid w:val="00E61FA2"/>
    <w:rsid w:val="00EB490C"/>
    <w:rsid w:val="00EB54E5"/>
    <w:rsid w:val="00EC49B7"/>
    <w:rsid w:val="00ED25F6"/>
    <w:rsid w:val="00F511C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3A3E"/>
  <w15:docId w15:val="{BF2C9771-6680-4A8C-9096-1D60A37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A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578A7"/>
    <w:pPr>
      <w:keepNext/>
      <w:jc w:val="both"/>
      <w:outlineLvl w:val="0"/>
    </w:pPr>
    <w:rPr>
      <w:sz w:val="24"/>
    </w:rPr>
  </w:style>
  <w:style w:type="paragraph" w:styleId="Ttulo3">
    <w:name w:val="heading 3"/>
    <w:basedOn w:val="Normal"/>
    <w:next w:val="Normal"/>
    <w:link w:val="Ttulo3Car"/>
    <w:unhideWhenUsed/>
    <w:qFormat/>
    <w:rsid w:val="00A578A7"/>
    <w:pPr>
      <w:keepNext/>
      <w:outlineLvl w:val="2"/>
    </w:pPr>
    <w:rPr>
      <w:b/>
      <w:bCs/>
      <w:sz w:val="24"/>
    </w:rPr>
  </w:style>
  <w:style w:type="paragraph" w:styleId="Ttulo4">
    <w:name w:val="heading 4"/>
    <w:basedOn w:val="Normal"/>
    <w:next w:val="Normal"/>
    <w:link w:val="Ttulo4Car"/>
    <w:unhideWhenUsed/>
    <w:qFormat/>
    <w:rsid w:val="00A578A7"/>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8A7"/>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A578A7"/>
    <w:rPr>
      <w:rFonts w:ascii="Times New Roman" w:eastAsia="Times New Roman" w:hAnsi="Times New Roman" w:cs="Times New Roman"/>
      <w:b/>
      <w:bCs/>
      <w:sz w:val="24"/>
      <w:szCs w:val="20"/>
      <w:lang w:val="es-ES" w:eastAsia="es-ES"/>
    </w:rPr>
  </w:style>
  <w:style w:type="character" w:customStyle="1" w:styleId="Ttulo4Car">
    <w:name w:val="Título 4 Car"/>
    <w:basedOn w:val="Fuentedeprrafopredeter"/>
    <w:link w:val="Ttulo4"/>
    <w:rsid w:val="00A578A7"/>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nhideWhenUsed/>
    <w:rsid w:val="00A578A7"/>
    <w:pPr>
      <w:jc w:val="both"/>
    </w:pPr>
    <w:rPr>
      <w:bCs/>
      <w:sz w:val="24"/>
    </w:rPr>
  </w:style>
  <w:style w:type="character" w:customStyle="1" w:styleId="TextoindependienteCar">
    <w:name w:val="Texto independiente Car"/>
    <w:basedOn w:val="Fuentedeprrafopredeter"/>
    <w:link w:val="Textoindependiente"/>
    <w:rsid w:val="00A578A7"/>
    <w:rPr>
      <w:rFonts w:ascii="Times New Roman" w:eastAsia="Times New Roman" w:hAnsi="Times New Roman" w:cs="Times New Roman"/>
      <w:bCs/>
      <w:sz w:val="24"/>
      <w:szCs w:val="20"/>
      <w:lang w:val="es-ES" w:eastAsia="es-ES"/>
    </w:rPr>
  </w:style>
  <w:style w:type="paragraph" w:styleId="Prrafodelista">
    <w:name w:val="List Paragraph"/>
    <w:basedOn w:val="Normal"/>
    <w:uiPriority w:val="34"/>
    <w:qFormat/>
    <w:rsid w:val="00A578A7"/>
    <w:pPr>
      <w:ind w:left="720"/>
      <w:contextualSpacing/>
    </w:pPr>
  </w:style>
  <w:style w:type="paragraph" w:styleId="Encabezado">
    <w:name w:val="header"/>
    <w:basedOn w:val="Normal"/>
    <w:link w:val="EncabezadoCar"/>
    <w:uiPriority w:val="99"/>
    <w:unhideWhenUsed/>
    <w:rsid w:val="007A2BC2"/>
    <w:pPr>
      <w:tabs>
        <w:tab w:val="center" w:pos="4419"/>
        <w:tab w:val="right" w:pos="8838"/>
      </w:tabs>
    </w:pPr>
  </w:style>
  <w:style w:type="character" w:customStyle="1" w:styleId="EncabezadoCar">
    <w:name w:val="Encabezado Car"/>
    <w:basedOn w:val="Fuentedeprrafopredeter"/>
    <w:link w:val="Encabezado"/>
    <w:uiPriority w:val="99"/>
    <w:rsid w:val="007A2BC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BC2"/>
    <w:pPr>
      <w:tabs>
        <w:tab w:val="center" w:pos="4419"/>
        <w:tab w:val="right" w:pos="8838"/>
      </w:tabs>
    </w:pPr>
  </w:style>
  <w:style w:type="character" w:customStyle="1" w:styleId="PiedepginaCar">
    <w:name w:val="Pie de página Car"/>
    <w:basedOn w:val="Fuentedeprrafopredeter"/>
    <w:link w:val="Piedepgina"/>
    <w:uiPriority w:val="99"/>
    <w:rsid w:val="007A2BC2"/>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0B3213"/>
    <w:rPr>
      <w:rFonts w:ascii="Courier New" w:hAnsi="Courier New"/>
    </w:rPr>
  </w:style>
  <w:style w:type="character" w:customStyle="1" w:styleId="TextosinformatoCar">
    <w:name w:val="Texto sin formato Car"/>
    <w:basedOn w:val="Fuentedeprrafopredeter"/>
    <w:link w:val="Textosinformato"/>
    <w:rsid w:val="000B321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0B3213"/>
    <w:rPr>
      <w:sz w:val="24"/>
      <w:lang w:val="es-ES_tradnl"/>
    </w:rPr>
  </w:style>
  <w:style w:type="paragraph" w:styleId="Textodeglobo">
    <w:name w:val="Balloon Text"/>
    <w:basedOn w:val="Normal"/>
    <w:link w:val="TextodegloboCar"/>
    <w:uiPriority w:val="99"/>
    <w:semiHidden/>
    <w:unhideWhenUsed/>
    <w:rsid w:val="008B0B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BA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7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315D-1A1B-470E-A778-9F0A9FCB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1888</Words>
  <Characters>10385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eortiz</dc:creator>
  <cp:lastModifiedBy>Diego Sebastian Cevallos Salgado</cp:lastModifiedBy>
  <cp:revision>5</cp:revision>
  <cp:lastPrinted>2018-12-13T16:09:00Z</cp:lastPrinted>
  <dcterms:created xsi:type="dcterms:W3CDTF">2018-11-15T00:00:00Z</dcterms:created>
  <dcterms:modified xsi:type="dcterms:W3CDTF">2018-12-13T16:09:00Z</dcterms:modified>
</cp:coreProperties>
</file>