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54" w:rsidRPr="00AC42FC" w:rsidRDefault="00CF1554" w:rsidP="00AC42FC">
      <w:pPr>
        <w:tabs>
          <w:tab w:val="left" w:pos="3600"/>
        </w:tabs>
        <w:spacing w:after="120" w:line="276" w:lineRule="auto"/>
        <w:jc w:val="center"/>
        <w:rPr>
          <w:rFonts w:ascii="Palatino Linotype" w:hAnsi="Palatino Linotype" w:cstheme="minorHAnsi"/>
          <w:b/>
          <w:color w:val="000000" w:themeColor="text1"/>
        </w:rPr>
      </w:pPr>
      <w:r w:rsidRPr="00AC42FC">
        <w:rPr>
          <w:rFonts w:ascii="Palatino Linotype" w:hAnsi="Palatino Linotype" w:cstheme="minorHAnsi"/>
          <w:b/>
          <w:color w:val="000000" w:themeColor="text1"/>
        </w:rPr>
        <w:t>EXPOSICIÓN DE MOTIVOS</w:t>
      </w:r>
    </w:p>
    <w:p w:rsidR="00344DA2" w:rsidRPr="00AC42FC" w:rsidRDefault="00344DA2" w:rsidP="00AC42FC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Es deber esencial del Estado </w:t>
      </w:r>
      <w:r w:rsidRPr="00AC42FC">
        <w:rPr>
          <w:rFonts w:ascii="Palatino Linotype" w:hAnsi="Palatino Linotype"/>
          <w:i/>
          <w:color w:val="000000" w:themeColor="text1"/>
          <w:sz w:val="22"/>
          <w:szCs w:val="22"/>
        </w:rPr>
        <w:t>lato sensu</w:t>
      </w:r>
      <w:r w:rsidR="00A05C0A" w:rsidRPr="00AC42FC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 </w:t>
      </w:r>
      <w:r w:rsidR="00A05C0A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garantizar </w:t>
      </w:r>
      <w:r w:rsidR="00A05C0A" w:rsidRPr="00AC42FC">
        <w:rPr>
          <w:rFonts w:ascii="Palatino Linotype" w:hAnsi="Palatino Linotype"/>
          <w:sz w:val="22"/>
          <w:szCs w:val="22"/>
        </w:rPr>
        <w:t>a las personas el derecho a una vida digna que asegure la vivienda y otros servicios sociales necesarios</w:t>
      </w:r>
      <w:r w:rsidR="00871D06" w:rsidRPr="00AC42FC">
        <w:rPr>
          <w:rFonts w:ascii="Palatino Linotype" w:hAnsi="Palatino Linotype"/>
          <w:sz w:val="22"/>
          <w:szCs w:val="22"/>
        </w:rPr>
        <w:t>.</w:t>
      </w:r>
      <w:r w:rsidR="005B345E" w:rsidRPr="00AC42FC">
        <w:rPr>
          <w:rStyle w:val="Refdenotaalpie"/>
          <w:rFonts w:ascii="Palatino Linotype" w:hAnsi="Palatino Linotype"/>
          <w:color w:val="000000" w:themeColor="text1"/>
          <w:sz w:val="22"/>
          <w:szCs w:val="22"/>
        </w:rPr>
        <w:footnoteReference w:id="1"/>
      </w:r>
    </w:p>
    <w:p w:rsidR="00AC42FC" w:rsidRDefault="003F642C" w:rsidP="00AC42FC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AC42FC">
        <w:rPr>
          <w:rFonts w:ascii="Palatino Linotype" w:hAnsi="Palatino Linotype"/>
          <w:sz w:val="22"/>
          <w:szCs w:val="22"/>
        </w:rPr>
        <w:t xml:space="preserve">Precepto que se </w:t>
      </w:r>
      <w:r w:rsidR="00871D06" w:rsidRPr="00AC42FC">
        <w:rPr>
          <w:rFonts w:ascii="Palatino Linotype" w:hAnsi="Palatino Linotype"/>
          <w:sz w:val="22"/>
          <w:szCs w:val="22"/>
        </w:rPr>
        <w:t xml:space="preserve">contempla </w:t>
      </w:r>
      <w:r w:rsidRPr="00AC42FC">
        <w:rPr>
          <w:rFonts w:ascii="Palatino Linotype" w:hAnsi="Palatino Linotype"/>
          <w:sz w:val="22"/>
          <w:szCs w:val="22"/>
        </w:rPr>
        <w:t>en el artículo 4 letra f) del Código Orgánico de Organización Territorial,</w:t>
      </w:r>
      <w:r w:rsidR="00507207" w:rsidRPr="00AC42FC">
        <w:rPr>
          <w:rFonts w:ascii="Palatino Linotype" w:hAnsi="Palatino Linotype"/>
          <w:sz w:val="22"/>
          <w:szCs w:val="22"/>
        </w:rPr>
        <w:t xml:space="preserve"> Autonomía y D</w:t>
      </w:r>
      <w:r w:rsidRPr="00AC42FC">
        <w:rPr>
          <w:rFonts w:ascii="Palatino Linotype" w:hAnsi="Palatino Linotype"/>
          <w:sz w:val="22"/>
          <w:szCs w:val="22"/>
        </w:rPr>
        <w:t>escentralización</w:t>
      </w:r>
      <w:r w:rsidR="00871D06" w:rsidRPr="00AC42FC">
        <w:rPr>
          <w:rFonts w:ascii="Palatino Linotype" w:hAnsi="Palatino Linotype"/>
          <w:sz w:val="22"/>
          <w:szCs w:val="22"/>
        </w:rPr>
        <w:t xml:space="preserve">, </w:t>
      </w:r>
      <w:r w:rsidRPr="00AC42FC">
        <w:rPr>
          <w:rFonts w:ascii="Palatino Linotype" w:hAnsi="Palatino Linotype"/>
          <w:sz w:val="22"/>
          <w:szCs w:val="22"/>
        </w:rPr>
        <w:t>que entre los fines de los gobiernos autónomos descentralizados</w:t>
      </w:r>
      <w:r w:rsidR="00871D06" w:rsidRPr="00AC42FC">
        <w:rPr>
          <w:rFonts w:ascii="Palatino Linotype" w:hAnsi="Palatino Linotype"/>
          <w:sz w:val="22"/>
          <w:szCs w:val="22"/>
        </w:rPr>
        <w:t xml:space="preserve"> dentro de sus respectivas circunscripciones territoriales,</w:t>
      </w:r>
      <w:r w:rsidRPr="00AC42FC">
        <w:rPr>
          <w:rFonts w:ascii="Palatino Linotype" w:hAnsi="Palatino Linotype"/>
          <w:sz w:val="22"/>
          <w:szCs w:val="22"/>
        </w:rPr>
        <w:t xml:space="preserve"> establece</w:t>
      </w:r>
      <w:r w:rsidR="00871D06" w:rsidRPr="00AC42FC">
        <w:rPr>
          <w:rFonts w:ascii="Palatino Linotype" w:hAnsi="Palatino Linotype"/>
          <w:sz w:val="22"/>
          <w:szCs w:val="22"/>
        </w:rPr>
        <w:t xml:space="preserve"> </w:t>
      </w:r>
      <w:r w:rsidRPr="00AC42FC">
        <w:rPr>
          <w:rFonts w:ascii="Palatino Linotype" w:hAnsi="Palatino Linotype"/>
          <w:sz w:val="22"/>
          <w:szCs w:val="22"/>
        </w:rPr>
        <w:t>la</w:t>
      </w:r>
      <w:r w:rsidR="00895D41" w:rsidRPr="00AC42FC">
        <w:rPr>
          <w:rFonts w:ascii="Palatino Linotype" w:hAnsi="Palatino Linotype"/>
          <w:sz w:val="22"/>
          <w:szCs w:val="22"/>
        </w:rPr>
        <w:t xml:space="preserve"> obtención de un hábitat seguro y saludable para los ciudadanos y la garantía de su derecho a la vivienda;</w:t>
      </w:r>
      <w:r w:rsidR="008F1F48" w:rsidRPr="00AC42FC">
        <w:rPr>
          <w:rFonts w:ascii="Palatino Linotype" w:hAnsi="Palatino Linotype"/>
          <w:sz w:val="22"/>
          <w:szCs w:val="22"/>
        </w:rPr>
        <w:t xml:space="preserve"> y en el </w:t>
      </w:r>
      <w:r w:rsidR="00507207" w:rsidRPr="00AC42FC">
        <w:rPr>
          <w:rFonts w:ascii="Palatino Linotype" w:hAnsi="Palatino Linotype"/>
          <w:sz w:val="22"/>
          <w:szCs w:val="22"/>
        </w:rPr>
        <w:t>artículo</w:t>
      </w:r>
      <w:r w:rsidR="008F1F48" w:rsidRPr="00AC42FC">
        <w:rPr>
          <w:rFonts w:ascii="Palatino Linotype" w:hAnsi="Palatino Linotype"/>
          <w:sz w:val="22"/>
          <w:szCs w:val="22"/>
        </w:rPr>
        <w:t xml:space="preserve"> 54</w:t>
      </w:r>
      <w:r w:rsidR="00507207" w:rsidRPr="00AC42FC">
        <w:rPr>
          <w:rFonts w:ascii="Palatino Linotype" w:hAnsi="Palatino Linotype"/>
          <w:sz w:val="22"/>
          <w:szCs w:val="22"/>
        </w:rPr>
        <w:t>, letra i), que entre las func</w:t>
      </w:r>
      <w:r w:rsidR="00871D06" w:rsidRPr="00AC42FC">
        <w:rPr>
          <w:rFonts w:ascii="Palatino Linotype" w:hAnsi="Palatino Linotype"/>
          <w:sz w:val="22"/>
          <w:szCs w:val="22"/>
        </w:rPr>
        <w:t>iones de l</w:t>
      </w:r>
      <w:r w:rsidR="00507207" w:rsidRPr="00AC42FC">
        <w:rPr>
          <w:rFonts w:ascii="Palatino Linotype" w:hAnsi="Palatino Linotype"/>
          <w:sz w:val="22"/>
          <w:szCs w:val="22"/>
        </w:rPr>
        <w:t>as corporaciones</w:t>
      </w:r>
      <w:r w:rsidR="00871D06" w:rsidRPr="00AC42FC">
        <w:rPr>
          <w:rFonts w:ascii="Palatino Linotype" w:hAnsi="Palatino Linotype"/>
          <w:sz w:val="22"/>
          <w:szCs w:val="22"/>
        </w:rPr>
        <w:t xml:space="preserve"> municipales</w:t>
      </w:r>
      <w:r w:rsidR="00507207" w:rsidRPr="00AC42FC">
        <w:rPr>
          <w:rFonts w:ascii="Palatino Linotype" w:hAnsi="Palatino Linotype"/>
          <w:sz w:val="22"/>
          <w:szCs w:val="22"/>
        </w:rPr>
        <w:t xml:space="preserve"> prevé la de i</w:t>
      </w:r>
      <w:r w:rsidR="008F1F48" w:rsidRPr="00AC42FC">
        <w:rPr>
          <w:rFonts w:ascii="Palatino Linotype" w:hAnsi="Palatino Linotype"/>
          <w:sz w:val="22"/>
          <w:szCs w:val="22"/>
        </w:rPr>
        <w:t>mplementar el derecho al hábitat y a la vivienda y desarrollar planes y programas de vivienda de interés s</w:t>
      </w:r>
      <w:r w:rsidR="00871D06" w:rsidRPr="00AC42FC">
        <w:rPr>
          <w:rFonts w:ascii="Palatino Linotype" w:hAnsi="Palatino Linotype"/>
          <w:sz w:val="22"/>
          <w:szCs w:val="22"/>
        </w:rPr>
        <w:t>ocial en el territorio cantonal.</w:t>
      </w:r>
      <w:r w:rsidR="00507207" w:rsidRPr="00AC42FC">
        <w:rPr>
          <w:rFonts w:ascii="Palatino Linotype" w:hAnsi="Palatino Linotype"/>
          <w:sz w:val="22"/>
          <w:szCs w:val="22"/>
        </w:rPr>
        <w:tab/>
      </w:r>
    </w:p>
    <w:p w:rsidR="00AC42FC" w:rsidRDefault="00DE13F6" w:rsidP="00AC42FC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  <w:textAlignment w:val="baseline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En concomitancia</w:t>
      </w:r>
      <w:r w:rsidR="005B345E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con </w:t>
      </w:r>
      <w:r w:rsidR="00507207" w:rsidRPr="00AC42FC">
        <w:rPr>
          <w:rFonts w:ascii="Palatino Linotype" w:hAnsi="Palatino Linotype"/>
          <w:color w:val="000000" w:themeColor="text1"/>
          <w:sz w:val="22"/>
          <w:szCs w:val="22"/>
        </w:rPr>
        <w:t>tales normas, y conforme lo previsto e</w:t>
      </w:r>
      <w:r w:rsidR="005B345E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n el </w:t>
      </w:r>
      <w:r w:rsidR="00344DA2" w:rsidRPr="00AC42FC">
        <w:rPr>
          <w:rFonts w:ascii="Palatino Linotype" w:hAnsi="Palatino Linotype"/>
          <w:color w:val="000000" w:themeColor="text1"/>
          <w:sz w:val="22"/>
          <w:szCs w:val="22"/>
        </w:rPr>
        <w:t>artículo 30 de la Ley Fundamental, que reconoce a las personas el derecho a un hábitat seguro y saludable, y a una vivienda adecuada y digna, con independencia de su situación social y económica,</w:t>
      </w:r>
      <w:r w:rsidR="007E4FED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y en</w:t>
      </w:r>
      <w:r w:rsidR="00166C54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cumplimiento de los lineamientos estratégicos</w:t>
      </w:r>
      <w:r w:rsidR="007E4FED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166C54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trazados en la Ordenanza 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No. </w:t>
      </w:r>
      <w:r w:rsidR="00166C54" w:rsidRPr="00AC42FC">
        <w:rPr>
          <w:rFonts w:ascii="Palatino Linotype" w:hAnsi="Palatino Linotype" w:cstheme="minorHAnsi"/>
          <w:sz w:val="22"/>
          <w:szCs w:val="22"/>
        </w:rPr>
        <w:t xml:space="preserve">0041, sancionada el 22 de febrero de 2015,  que aprueba el Plan Metropolitano de Desarrollo y Ordenamiento Territorial del Distrito Metropolitano de Quito, que dentro del Plan de Uso y Ocupación del suelo, en el número 1.10 contempla el uso residencial de interés social (RIS), definiéndolo como: </w:t>
      </w:r>
      <w:r w:rsidR="00166C54" w:rsidRPr="00DE13F6">
        <w:rPr>
          <w:rFonts w:ascii="Palatino Linotype" w:hAnsi="Palatino Linotype" w:cstheme="minorHAnsi"/>
          <w:i/>
          <w:sz w:val="22"/>
          <w:szCs w:val="22"/>
        </w:rPr>
        <w:t>"(...) Zonas de uso residenciales exclusivas para el desarrollo de viviendas de interés social, reubicación emergente y asentamientos humanos ubicados en áreas de riesgo no mitigable y primera vivienda, infraestructura educativa y equipamiento comunitario. (...)</w:t>
      </w:r>
      <w:r w:rsidR="00166C54" w:rsidRPr="00AC42FC">
        <w:rPr>
          <w:rFonts w:ascii="Palatino Linotype" w:hAnsi="Palatino Linotype" w:cstheme="minorHAnsi"/>
          <w:sz w:val="22"/>
          <w:szCs w:val="22"/>
        </w:rPr>
        <w:t>",</w:t>
      </w:r>
      <w:r w:rsidR="00166C54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652242" w:rsidRPr="00AC42FC">
        <w:rPr>
          <w:rFonts w:ascii="Palatino Linotype" w:hAnsi="Palatino Linotype"/>
          <w:color w:val="000000" w:themeColor="text1"/>
          <w:sz w:val="22"/>
          <w:szCs w:val="22"/>
        </w:rPr>
        <w:t>se constr</w:t>
      </w:r>
      <w:r w:rsidR="00D61A1B" w:rsidRPr="00AC42FC">
        <w:rPr>
          <w:rFonts w:ascii="Palatino Linotype" w:hAnsi="Palatino Linotype"/>
          <w:color w:val="000000" w:themeColor="text1"/>
          <w:sz w:val="22"/>
          <w:szCs w:val="22"/>
        </w:rPr>
        <w:t>uyó</w:t>
      </w:r>
      <w:r w:rsidR="002B6BBD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el Programa “Ciudad Bicentenario” como un proyecto</w:t>
      </w:r>
      <w:r w:rsidR="00D61A1B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de vivienda de interés social</w:t>
      </w:r>
      <w:r w:rsidR="00344DA2" w:rsidRPr="00AC42FC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="00D61A1B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cuyo promotor es el Municipio de</w:t>
      </w:r>
      <w:r w:rsidR="00344DA2" w:rsidRPr="00AC42FC">
        <w:rPr>
          <w:rFonts w:ascii="Palatino Linotype" w:hAnsi="Palatino Linotype"/>
          <w:color w:val="000000" w:themeColor="text1"/>
          <w:sz w:val="22"/>
          <w:szCs w:val="22"/>
        </w:rPr>
        <w:t>l Distrito Metropolitano de</w:t>
      </w:r>
      <w:r w:rsidR="00B86AC4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Quito iniciado en la administración municipal del General Paco Moncayo Gallegos,</w:t>
      </w:r>
      <w:r w:rsidR="00D61A1B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a través de</w:t>
      </w:r>
      <w:r w:rsidR="00B86AC4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la Unidad Ejecutora Ciudad Bicentenario de la Empresa de Desarrollo Urbano de Quito “EMDUQ C.E.M.”</w:t>
      </w:r>
      <w:r w:rsidR="00D61A1B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hoy</w:t>
      </w:r>
      <w:r w:rsidR="00B86AC4" w:rsidRPr="00AC42FC">
        <w:rPr>
          <w:rFonts w:ascii="Palatino Linotype" w:hAnsi="Palatino Linotype"/>
          <w:color w:val="000000" w:themeColor="text1"/>
          <w:sz w:val="22"/>
          <w:szCs w:val="22"/>
        </w:rPr>
        <w:t>, en virtud de la Ordenanza Metropolitana No. 307 sanc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ionada el 19 de marzo de 2010, </w:t>
      </w:r>
      <w:r w:rsidR="00B86AC4" w:rsidRPr="00AC42FC">
        <w:rPr>
          <w:rFonts w:ascii="Palatino Linotype" w:hAnsi="Palatino Linotype"/>
          <w:color w:val="000000" w:themeColor="text1"/>
          <w:sz w:val="22"/>
          <w:szCs w:val="22"/>
        </w:rPr>
        <w:t>ejecutado por la</w:t>
      </w:r>
      <w:r w:rsidR="00D61A1B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Empresa Pública Metropolitana de Hábitat y Vivienda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- </w:t>
      </w:r>
      <w:r w:rsidR="005B345E" w:rsidRPr="00AC42FC">
        <w:rPr>
          <w:rFonts w:ascii="Palatino Linotype" w:hAnsi="Palatino Linotype"/>
          <w:color w:val="000000" w:themeColor="text1"/>
          <w:sz w:val="22"/>
          <w:szCs w:val="22"/>
        </w:rPr>
        <w:t>EPMHV</w:t>
      </w:r>
      <w:r w:rsidR="00B86AC4" w:rsidRPr="00AC42FC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507207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:rsidR="00AC42FC" w:rsidRDefault="005B345E" w:rsidP="00AC42FC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  <w:textAlignment w:val="baseline"/>
        <w:rPr>
          <w:rFonts w:ascii="Palatino Linotype" w:hAnsi="Palatino Linotype"/>
          <w:color w:val="000000" w:themeColor="text1"/>
          <w:sz w:val="22"/>
          <w:szCs w:val="22"/>
        </w:rPr>
      </w:pP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P</w:t>
      </w:r>
      <w:r w:rsidR="00D61A1B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rograma de vivienda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que</w:t>
      </w:r>
      <w:r w:rsidR="00D61A1B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se encuentra 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situado en la H</w:t>
      </w:r>
      <w:r w:rsidR="00D61A1B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acienda Tajamar, sector de Pomasqui y actualmente</w:t>
      </w:r>
      <w:r w:rsidR="00652242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en su etapa conclusiva de consolidación, 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gracias al decidido impulso desplegado por la EPMHV, que</w:t>
      </w:r>
      <w:r w:rsidR="002B6BBD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en su ejecución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ha debido solventar una serie de </w:t>
      </w:r>
      <w:r w:rsidR="00A05C0A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complicaciones de carácter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jurídico, técnico y económico</w:t>
      </w:r>
      <w:r w:rsidR="00A05C0A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para concluir el </w:t>
      </w:r>
      <w:r w:rsidR="00652242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Proyecto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</w:t>
      </w:r>
      <w:r w:rsidR="002B6BBD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definitivamente</w:t>
      </w:r>
      <w:r w:rsidR="00652242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.</w:t>
      </w:r>
    </w:p>
    <w:p w:rsidR="00AC42FC" w:rsidRDefault="00ED1706" w:rsidP="00AC42FC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AC42FC">
        <w:rPr>
          <w:rFonts w:ascii="Palatino Linotype" w:hAnsi="Palatino Linotype" w:cstheme="minorHAnsi"/>
          <w:sz w:val="22"/>
          <w:szCs w:val="22"/>
        </w:rPr>
        <w:lastRenderedPageBreak/>
        <w:t>Programa</w:t>
      </w:r>
      <w:r w:rsidR="00652242" w:rsidRPr="00AC42FC">
        <w:rPr>
          <w:rFonts w:ascii="Palatino Linotype" w:hAnsi="Palatino Linotype" w:cstheme="minorHAnsi"/>
          <w:sz w:val="22"/>
          <w:szCs w:val="22"/>
        </w:rPr>
        <w:t xml:space="preserve"> de vivienda</w:t>
      </w:r>
      <w:r w:rsidRPr="00AC42FC">
        <w:rPr>
          <w:rFonts w:ascii="Palatino Linotype" w:hAnsi="Palatino Linotype" w:cstheme="minorHAnsi"/>
          <w:sz w:val="22"/>
          <w:szCs w:val="22"/>
        </w:rPr>
        <w:t xml:space="preserve"> que se atiene a lo dispuesto en el artículo 85 de la Ley Orgánica de Ordenamiento</w:t>
      </w:r>
      <w:r w:rsidR="00652242" w:rsidRPr="00AC42FC">
        <w:rPr>
          <w:rFonts w:ascii="Palatino Linotype" w:hAnsi="Palatino Linotype" w:cstheme="minorHAnsi"/>
          <w:sz w:val="22"/>
          <w:szCs w:val="22"/>
        </w:rPr>
        <w:t xml:space="preserve"> Territorial, Uso y Gestión de S</w:t>
      </w:r>
      <w:r w:rsidRPr="00AC42FC">
        <w:rPr>
          <w:rFonts w:ascii="Palatino Linotype" w:hAnsi="Palatino Linotype" w:cstheme="minorHAnsi"/>
          <w:sz w:val="22"/>
          <w:szCs w:val="22"/>
        </w:rPr>
        <w:t xml:space="preserve">uelo que define a la vivienda de interés social como aquella </w:t>
      </w:r>
      <w:r w:rsidRPr="00AC42FC">
        <w:rPr>
          <w:rFonts w:ascii="Palatino Linotype" w:hAnsi="Palatino Linotype"/>
          <w:sz w:val="22"/>
          <w:szCs w:val="22"/>
        </w:rPr>
        <w:t>adecuada y digna, destinada a los grupos de atención prioritaria y a la población en situación de pobreza o vulnerabilidad,  y establece que los programas de vivienda de interés social se implementarán en suelo urbano dotado de infraestructura y servicios necesarios para servir a la edificación, primordialmente los sistemas públicos de soporte necesarios, con acceso a transporte público, y promoverán la integración socio-espacial de la población mediante su localización preferente en áreas consolidadas de las ciudades.</w:t>
      </w:r>
      <w:r w:rsidR="00652242" w:rsidRPr="00AC42FC">
        <w:rPr>
          <w:rFonts w:ascii="Palatino Linotype" w:hAnsi="Palatino Linotype" w:cs="Helvetica"/>
          <w:b/>
          <w:color w:val="000000" w:themeColor="text1"/>
          <w:sz w:val="22"/>
          <w:szCs w:val="22"/>
        </w:rPr>
        <w:t xml:space="preserve"> </w:t>
      </w:r>
      <w:r w:rsidR="00B86AC4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ab/>
      </w:r>
    </w:p>
    <w:p w:rsidR="00AC42FC" w:rsidRDefault="002B6BBD" w:rsidP="00AC42FC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  <w:textAlignment w:val="baseline"/>
        <w:rPr>
          <w:rFonts w:ascii="Palatino Linotype" w:hAnsi="Palatino Linotype"/>
          <w:color w:val="000000" w:themeColor="text1"/>
          <w:sz w:val="22"/>
          <w:szCs w:val="22"/>
        </w:rPr>
      </w:pP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Ahora bien, s</w:t>
      </w:r>
      <w:r w:rsidR="00A05C0A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iempre en función de la </w:t>
      </w:r>
      <w:r w:rsidR="00690DA1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promoción de la persona humana, </w:t>
      </w:r>
      <w:r w:rsidR="00A05C0A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objetivo central </w:t>
      </w:r>
      <w:r w:rsidR="00690DA1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de la gestión corporativa</w:t>
      </w:r>
      <w:r w:rsidR="00652242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municipal</w:t>
      </w:r>
      <w:r w:rsidR="00690DA1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, en orden</w:t>
      </w:r>
      <w:r w:rsidR="00652242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</w:t>
      </w:r>
      <w:r w:rsidR="00690DA1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a brindar a los postulantes el disfrute pleno de la ciudad y de sus espacios públicos bajo 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l</w:t>
      </w:r>
      <w:r w:rsidR="00690DA1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os pr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incipios de justicia social, eq</w:t>
      </w:r>
      <w:r w:rsidR="00690DA1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uilibrio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entre lo urbano y lo rural, y considerando que a tenor de la Norma Constitucional el ejercicio del derecho a la ciudad se basa en la gestión democrática de ésta, en la función social y ambiental de la propiedad y de la ciudad, y en el ejercicio pleno de la ciudadanía:</w:t>
      </w:r>
      <w:r w:rsidRPr="00AC42FC">
        <w:rPr>
          <w:rStyle w:val="Refdenotaalpie"/>
          <w:rFonts w:ascii="Palatino Linotype" w:hAnsi="Palatino Linotype" w:cs="Helvetica"/>
          <w:color w:val="000000" w:themeColor="text1"/>
          <w:sz w:val="22"/>
          <w:szCs w:val="22"/>
        </w:rPr>
        <w:footnoteReference w:id="2"/>
      </w:r>
    </w:p>
    <w:p w:rsidR="00052D9A" w:rsidRPr="00AC42FC" w:rsidRDefault="00D61A1B" w:rsidP="00AC42FC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  <w:textAlignment w:val="baseline"/>
        <w:rPr>
          <w:rFonts w:ascii="Palatino Linotype" w:hAnsi="Palatino Linotype"/>
          <w:color w:val="000000" w:themeColor="text1"/>
          <w:sz w:val="22"/>
          <w:szCs w:val="22"/>
        </w:rPr>
      </w:pP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Dadas las </w:t>
      </w:r>
      <w:r w:rsidR="00D16978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características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actuales de ocupación del </w:t>
      </w:r>
      <w:r w:rsidR="00D16978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suelo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, el nivel de </w:t>
      </w:r>
      <w:r w:rsidR="00D16978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densificación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del programa de </w:t>
      </w:r>
      <w:r w:rsidR="00D16978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vivienda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y la necesidad </w:t>
      </w:r>
      <w:r w:rsidR="00D16978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imperiosa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de consolidar el </w:t>
      </w:r>
      <w:r w:rsidR="00D16978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equipamiento</w:t>
      </w: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que debe ser de uso público,</w:t>
      </w:r>
      <w:r w:rsidR="009852F7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a través de la Comisión de Hábitat y Vivienda del Concejo Metropolitano de Quito, se realizó con fecha 3 de marzo de 2018 una socialización para emprender una reforma a la Ordenanza vigente específicamente en el tema de equipamientos con la participación de los dirigentes de los beneficiarios del proyecto, funcionarios de la EPMHV y representantes de la Comisión de Vivienda, en la cual se conocieron, debatieron y se aprobaron las reformas planteadas por la EPMHV,</w:t>
      </w:r>
      <w:r w:rsidR="001A70FD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</w:t>
      </w:r>
      <w:r w:rsidR="00B20D2F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ya que al ser la empresa </w:t>
      </w:r>
      <w:r w:rsidR="00F2315C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la </w:t>
      </w:r>
      <w:r w:rsidR="00B20D2F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encargada de la gestión, implementación y ejecución de la Ordenanza Metropolitana 0374, y </w:t>
      </w:r>
      <w:r w:rsidR="00052D9A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del objeto de su creación </w:t>
      </w:r>
      <w:r w:rsidR="009852F7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mediante Ordenanza  </w:t>
      </w:r>
      <w:r w:rsidR="001A70FD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Metropolitana No. 307, </w:t>
      </w:r>
      <w:r w:rsidR="009852F7" w:rsidRPr="00AC42FC">
        <w:rPr>
          <w:rFonts w:ascii="Palatino Linotype" w:hAnsi="Palatino Linotype"/>
          <w:color w:val="000000" w:themeColor="text1"/>
          <w:sz w:val="22"/>
          <w:szCs w:val="22"/>
        </w:rPr>
        <w:t>sancionada el 19 de marzo de 2010,</w:t>
      </w:r>
      <w:r w:rsidR="00CF2818" w:rsidRPr="00AC42F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052D9A" w:rsidRPr="00AC42FC">
        <w:rPr>
          <w:rFonts w:ascii="Palatino Linotype" w:hAnsi="Palatino Linotype"/>
          <w:color w:val="000000" w:themeColor="text1"/>
          <w:sz w:val="22"/>
          <w:szCs w:val="22"/>
        </w:rPr>
        <w:t>que dice:</w:t>
      </w:r>
    </w:p>
    <w:p w:rsidR="009852F7" w:rsidRPr="00AC42FC" w:rsidRDefault="00052D9A" w:rsidP="00AC42FC">
      <w:pPr>
        <w:pStyle w:val="NormalWeb"/>
        <w:shd w:val="clear" w:color="auto" w:fill="FFFFFF"/>
        <w:spacing w:before="0" w:beforeAutospacing="0" w:after="120" w:afterAutospacing="0" w:line="276" w:lineRule="auto"/>
        <w:ind w:left="708"/>
        <w:jc w:val="both"/>
        <w:textAlignment w:val="baseline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  <w:r w:rsidRPr="00AC42FC">
        <w:rPr>
          <w:rFonts w:ascii="Palatino Linotype" w:hAnsi="Palatino Linotype"/>
          <w:b/>
          <w:i/>
          <w:color w:val="000000" w:themeColor="text1"/>
          <w:sz w:val="22"/>
          <w:szCs w:val="22"/>
        </w:rPr>
        <w:t>“Artículo…</w:t>
      </w:r>
      <w:r w:rsidR="001A70FD" w:rsidRPr="00AC42FC">
        <w:rPr>
          <w:rFonts w:ascii="Palatino Linotype" w:hAnsi="Palatino Linotype"/>
          <w:b/>
          <w:i/>
          <w:color w:val="000000" w:themeColor="text1"/>
          <w:sz w:val="22"/>
          <w:szCs w:val="22"/>
        </w:rPr>
        <w:t xml:space="preserve"> </w:t>
      </w:r>
      <w:r w:rsidRPr="00AC42FC">
        <w:rPr>
          <w:rFonts w:ascii="Palatino Linotype" w:hAnsi="Palatino Linotype"/>
          <w:b/>
          <w:i/>
          <w:color w:val="000000" w:themeColor="text1"/>
          <w:sz w:val="22"/>
          <w:szCs w:val="22"/>
        </w:rPr>
        <w:t>(</w:t>
      </w:r>
      <w:r w:rsidR="001A70FD" w:rsidRPr="00AC42FC">
        <w:rPr>
          <w:rFonts w:ascii="Palatino Linotype" w:hAnsi="Palatino Linotype"/>
          <w:b/>
          <w:i/>
          <w:color w:val="000000" w:themeColor="text1"/>
          <w:sz w:val="22"/>
          <w:szCs w:val="22"/>
        </w:rPr>
        <w:t>2</w:t>
      </w:r>
      <w:proofErr w:type="gramStart"/>
      <w:r w:rsidRPr="00AC42FC">
        <w:rPr>
          <w:rFonts w:ascii="Palatino Linotype" w:hAnsi="Palatino Linotype"/>
          <w:b/>
          <w:i/>
          <w:color w:val="000000" w:themeColor="text1"/>
          <w:sz w:val="22"/>
          <w:szCs w:val="22"/>
        </w:rPr>
        <w:t>)</w:t>
      </w:r>
      <w:r w:rsidR="001A70FD" w:rsidRPr="00AC42FC">
        <w:rPr>
          <w:rFonts w:ascii="Palatino Linotype" w:hAnsi="Palatino Linotype"/>
          <w:b/>
          <w:i/>
          <w:color w:val="000000" w:themeColor="text1"/>
          <w:sz w:val="22"/>
          <w:szCs w:val="22"/>
        </w:rPr>
        <w:t>.-</w:t>
      </w:r>
      <w:proofErr w:type="gramEnd"/>
      <w:r w:rsidR="001A70FD" w:rsidRPr="00AC42FC">
        <w:rPr>
          <w:rFonts w:ascii="Palatino Linotype" w:hAnsi="Palatino Linotype"/>
          <w:b/>
          <w:i/>
          <w:color w:val="000000" w:themeColor="text1"/>
          <w:sz w:val="22"/>
          <w:szCs w:val="22"/>
        </w:rPr>
        <w:t xml:space="preserve"> Objeto</w:t>
      </w:r>
      <w:r w:rsidRPr="00AC42FC">
        <w:rPr>
          <w:rFonts w:ascii="Palatino Linotype" w:hAnsi="Palatino Linotype"/>
          <w:b/>
          <w:i/>
          <w:color w:val="000000" w:themeColor="text1"/>
          <w:sz w:val="22"/>
          <w:szCs w:val="22"/>
        </w:rPr>
        <w:t>.-</w:t>
      </w:r>
      <w:r w:rsidR="001A70FD" w:rsidRPr="00AC42FC">
        <w:rPr>
          <w:rFonts w:ascii="Palatino Linotype" w:hAnsi="Palatino Linotype"/>
          <w:b/>
          <w:i/>
          <w:color w:val="000000" w:themeColor="text1"/>
          <w:sz w:val="22"/>
          <w:szCs w:val="22"/>
        </w:rPr>
        <w:t xml:space="preserve"> </w:t>
      </w:r>
    </w:p>
    <w:p w:rsidR="00052D9A" w:rsidRPr="00AC42FC" w:rsidRDefault="00052D9A" w:rsidP="00AC42FC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Palatino Linotype" w:eastAsia="Times New Roman" w:hAnsi="Palatino Linotype" w:cs="Times New Roman"/>
          <w:i/>
          <w:color w:val="000000" w:themeColor="text1"/>
          <w:lang w:eastAsia="es-EC"/>
        </w:rPr>
      </w:pPr>
      <w:r w:rsidRPr="00AC42FC">
        <w:rPr>
          <w:rFonts w:ascii="Palatino Linotype" w:eastAsia="Times New Roman" w:hAnsi="Palatino Linotype" w:cs="Times New Roman"/>
          <w:i/>
          <w:color w:val="000000" w:themeColor="text1"/>
          <w:lang w:eastAsia="es-EC"/>
        </w:rPr>
        <w:t xml:space="preserve">1. La Empresa Pública Metropolitana de Hábitat y Vivienda es la encargada de ejecutar las políticas dictadas por el Municipio del Distrito Metropolitano de Quito en materia de habilitación y oferta del suelo; urbanización y promoción de vivienda destinadas a familias o personas que necesitan su primera vivienda, familias con ingresos bajos y medios, población vulnerable o en situación de riesgo; renovación urbana; mejoramiento habitacional; vivienda nueva para propietarios de suelo en el ámbito urbano y rural, </w:t>
      </w:r>
      <w:r w:rsidRPr="00AC42FC">
        <w:rPr>
          <w:rFonts w:ascii="Palatino Linotype" w:eastAsia="Times New Roman" w:hAnsi="Palatino Linotype" w:cs="Times New Roman"/>
          <w:i/>
          <w:color w:val="000000" w:themeColor="text1"/>
          <w:lang w:eastAsia="es-EC"/>
        </w:rPr>
        <w:lastRenderedPageBreak/>
        <w:t>colaborando en la reducción del déficit de vivienda; para lo cual, cumplirá con los siguientes fines:</w:t>
      </w:r>
    </w:p>
    <w:p w:rsidR="001A70FD" w:rsidRPr="00AC42FC" w:rsidRDefault="001A70FD" w:rsidP="00AC42FC">
      <w:pPr>
        <w:pStyle w:val="NormalWeb"/>
        <w:shd w:val="clear" w:color="auto" w:fill="FFFFFF"/>
        <w:spacing w:before="0" w:beforeAutospacing="0" w:after="120" w:afterAutospacing="0" w:line="276" w:lineRule="auto"/>
        <w:ind w:left="708"/>
        <w:jc w:val="both"/>
        <w:textAlignment w:val="baseline"/>
        <w:rPr>
          <w:rFonts w:ascii="Palatino Linotype" w:hAnsi="Palatino Linotype" w:cs="Helvetica"/>
          <w:i/>
          <w:color w:val="000000" w:themeColor="text1"/>
          <w:sz w:val="22"/>
          <w:szCs w:val="22"/>
        </w:rPr>
      </w:pPr>
      <w:r w:rsidRPr="00AC42FC">
        <w:rPr>
          <w:rFonts w:ascii="Palatino Linotype" w:hAnsi="Palatino Linotype" w:cs="Helvetica"/>
          <w:i/>
          <w:color w:val="000000" w:themeColor="text1"/>
          <w:sz w:val="22"/>
          <w:szCs w:val="22"/>
        </w:rPr>
        <w:t>a) Gestionar integralmente los programas y proyectos de hábitat y vivienda con finalidad social, con énfasis en los sectores de atención prioritaria definidos en la Política Metropolitana de Hábitat y Vivienda ("PMHV");</w:t>
      </w:r>
    </w:p>
    <w:p w:rsidR="00052D9A" w:rsidRPr="00AC42FC" w:rsidRDefault="001A70FD" w:rsidP="00AC42FC">
      <w:pPr>
        <w:pStyle w:val="NormalWeb"/>
        <w:shd w:val="clear" w:color="auto" w:fill="FFFFFF"/>
        <w:spacing w:before="0" w:beforeAutospacing="0" w:after="120" w:afterAutospacing="0" w:line="276" w:lineRule="auto"/>
        <w:ind w:left="708"/>
        <w:jc w:val="both"/>
        <w:textAlignment w:val="baseline"/>
        <w:rPr>
          <w:rFonts w:ascii="Palatino Linotype" w:hAnsi="Palatino Linotype" w:cs="Helvetica"/>
          <w:i/>
          <w:color w:val="000000" w:themeColor="text1"/>
          <w:sz w:val="22"/>
          <w:szCs w:val="22"/>
        </w:rPr>
      </w:pPr>
      <w:r w:rsidRPr="00AC42FC">
        <w:rPr>
          <w:rFonts w:ascii="Palatino Linotype" w:hAnsi="Palatino Linotype" w:cs="Helvetica"/>
          <w:i/>
          <w:color w:val="000000" w:themeColor="text1"/>
          <w:sz w:val="22"/>
          <w:szCs w:val="22"/>
        </w:rPr>
        <w:t>b) Gestionar las reservas de suelo y promover su oferta para el desarrollo de vivienda bajo los criterios de ordenamiento territorial, dotación de infraestructura y equipamiento;</w:t>
      </w:r>
      <w:r w:rsidR="00DE13F6">
        <w:rPr>
          <w:rFonts w:ascii="Palatino Linotype" w:hAnsi="Palatino Linotype" w:cs="Helvetica"/>
          <w:i/>
          <w:color w:val="000000" w:themeColor="text1"/>
          <w:sz w:val="22"/>
          <w:szCs w:val="22"/>
        </w:rPr>
        <w:t xml:space="preserve"> </w:t>
      </w:r>
      <w:r w:rsidR="00AC42FC">
        <w:rPr>
          <w:rFonts w:ascii="Palatino Linotype" w:hAnsi="Palatino Linotype" w:cs="Helvetica"/>
          <w:i/>
          <w:color w:val="000000" w:themeColor="text1"/>
          <w:sz w:val="22"/>
          <w:szCs w:val="22"/>
        </w:rPr>
        <w:t>(…)</w:t>
      </w:r>
      <w:r w:rsidR="00052D9A" w:rsidRPr="00AC42FC">
        <w:rPr>
          <w:rFonts w:ascii="Palatino Linotype" w:hAnsi="Palatino Linotype" w:cs="Helvetica"/>
          <w:i/>
          <w:color w:val="000000" w:themeColor="text1"/>
          <w:sz w:val="22"/>
          <w:szCs w:val="22"/>
        </w:rPr>
        <w:t>”</w:t>
      </w:r>
    </w:p>
    <w:p w:rsidR="00AC42FC" w:rsidRDefault="001A70FD" w:rsidP="00AC42FC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  <w:textAlignment w:val="baseline"/>
        <w:rPr>
          <w:rFonts w:ascii="Palatino Linotype" w:hAnsi="Palatino Linotype" w:cs="Helvetica"/>
          <w:color w:val="000000" w:themeColor="text1"/>
          <w:sz w:val="22"/>
          <w:szCs w:val="22"/>
        </w:rPr>
      </w:pPr>
      <w:r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Se</w:t>
      </w:r>
      <w:r w:rsidR="00D61A1B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h</w:t>
      </w:r>
      <w:r w:rsidR="000948D5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ace necesario propone</w:t>
      </w:r>
      <w:r w:rsidR="00D16978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r la siguiente reforma </w:t>
      </w:r>
      <w:r w:rsidR="004D2017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a la Ordenanza Especial No. 0374, </w:t>
      </w:r>
      <w:r w:rsidR="00DE13F6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Proyecto Urbanístico Ciudad Bicentenario</w:t>
      </w:r>
      <w:r w:rsidR="004D2017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, </w:t>
      </w:r>
      <w:r w:rsidR="00907F17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que tiene como</w:t>
      </w:r>
      <w:r w:rsidR="004D2017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finalidad consolidar el espacio público de equipamiento que posteriormente será </w:t>
      </w:r>
      <w:r w:rsidR="00D16978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desarrollado por la </w:t>
      </w:r>
      <w:r w:rsidR="00DE13F6">
        <w:rPr>
          <w:rFonts w:ascii="Palatino Linotype" w:hAnsi="Palatino Linotype" w:cs="Helvetica"/>
          <w:color w:val="000000" w:themeColor="text1"/>
          <w:sz w:val="22"/>
          <w:szCs w:val="22"/>
        </w:rPr>
        <w:t>M</w:t>
      </w:r>
      <w:r w:rsidR="00D16978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unicipalidad en su calidad </w:t>
      </w:r>
      <w:r w:rsidR="00344DA2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de promotor</w:t>
      </w:r>
      <w:r w:rsidR="008C2A46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.</w:t>
      </w:r>
    </w:p>
    <w:p w:rsidR="00D16978" w:rsidRDefault="00AC42FC" w:rsidP="00AC42FC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  <w:textAlignment w:val="baseline"/>
        <w:rPr>
          <w:rFonts w:ascii="Palatino Linotype" w:hAnsi="Palatino Linotype" w:cs="Helvetica"/>
          <w:color w:val="000000" w:themeColor="text1"/>
          <w:sz w:val="22"/>
          <w:szCs w:val="22"/>
        </w:rPr>
      </w:pPr>
      <w:r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Reforma que en </w:t>
      </w:r>
      <w:r w:rsidR="004D2017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virtud de lo anotado justifica su </w:t>
      </w:r>
      <w:r w:rsidR="000948D5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diligente </w:t>
      </w:r>
      <w:r w:rsidR="004D2017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aprobación en pro de los beneficiarios de este </w:t>
      </w:r>
      <w:r w:rsidR="000948D5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importante</w:t>
      </w:r>
      <w:r w:rsidR="00907F17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</w:t>
      </w:r>
      <w:r w:rsidR="004D2017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Programa de Vivienda de Interés Social</w:t>
      </w:r>
      <w:r w:rsidR="00344DA2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 </w:t>
      </w:r>
      <w:r w:rsidR="004D2017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impulsado por el M</w:t>
      </w:r>
      <w:r w:rsidR="00DE13F6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unicipio del </w:t>
      </w:r>
      <w:r w:rsidR="000948D5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D</w:t>
      </w:r>
      <w:r w:rsidR="00DE13F6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istrito </w:t>
      </w:r>
      <w:r w:rsidR="000948D5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M</w:t>
      </w:r>
      <w:r w:rsidR="00DE13F6">
        <w:rPr>
          <w:rFonts w:ascii="Palatino Linotype" w:hAnsi="Palatino Linotype" w:cs="Helvetica"/>
          <w:color w:val="000000" w:themeColor="text1"/>
          <w:sz w:val="22"/>
          <w:szCs w:val="22"/>
        </w:rPr>
        <w:t xml:space="preserve">etropolitano de </w:t>
      </w:r>
      <w:r w:rsidR="000948D5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Q</w:t>
      </w:r>
      <w:r w:rsidR="00DE13F6">
        <w:rPr>
          <w:rFonts w:ascii="Palatino Linotype" w:hAnsi="Palatino Linotype" w:cs="Helvetica"/>
          <w:color w:val="000000" w:themeColor="text1"/>
          <w:sz w:val="22"/>
          <w:szCs w:val="22"/>
        </w:rPr>
        <w:t>uito</w:t>
      </w:r>
      <w:r w:rsidR="000948D5" w:rsidRPr="00AC42FC">
        <w:rPr>
          <w:rFonts w:ascii="Palatino Linotype" w:hAnsi="Palatino Linotype" w:cs="Helvetica"/>
          <w:color w:val="000000" w:themeColor="text1"/>
          <w:sz w:val="22"/>
          <w:szCs w:val="22"/>
        </w:rPr>
        <w:t>, cuyo tenor consta a continuación.</w:t>
      </w:r>
    </w:p>
    <w:p w:rsidR="00AC42FC" w:rsidRDefault="00AC42FC" w:rsidP="00AC42FC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  <w:textAlignment w:val="baseline"/>
        <w:rPr>
          <w:rFonts w:ascii="Palatino Linotype" w:hAnsi="Palatino Linotype" w:cs="Helvetica"/>
          <w:color w:val="000000" w:themeColor="text1"/>
          <w:sz w:val="22"/>
          <w:szCs w:val="22"/>
        </w:rPr>
        <w:sectPr w:rsidR="00AC42FC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66ED6" w:rsidRPr="00AC42FC" w:rsidRDefault="00866ED6" w:rsidP="00AC42FC">
      <w:pPr>
        <w:spacing w:after="120" w:line="276" w:lineRule="auto"/>
        <w:jc w:val="center"/>
        <w:rPr>
          <w:rFonts w:ascii="Palatino Linotype" w:hAnsi="Palatino Linotype" w:cstheme="minorHAnsi"/>
          <w:b/>
        </w:rPr>
      </w:pPr>
      <w:r w:rsidRPr="00AC42FC">
        <w:rPr>
          <w:rFonts w:ascii="Palatino Linotype" w:hAnsi="Palatino Linotype" w:cstheme="minorHAnsi"/>
          <w:b/>
        </w:rPr>
        <w:lastRenderedPageBreak/>
        <w:t>EL CONCEJO METROPOLITANO DE QUITO</w:t>
      </w:r>
    </w:p>
    <w:p w:rsidR="00A84889" w:rsidRPr="00AC42FC" w:rsidRDefault="00AC42FC" w:rsidP="00AC42FC">
      <w:pPr>
        <w:spacing w:after="120" w:line="276" w:lineRule="auto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Vistos los informes </w:t>
      </w:r>
      <w:r w:rsidR="00CD51B4">
        <w:rPr>
          <w:rFonts w:ascii="Palatino Linotype" w:hAnsi="Palatino Linotype" w:cstheme="minorHAnsi"/>
        </w:rPr>
        <w:t xml:space="preserve">de la Comisión de Vivienda y Hábitat </w:t>
      </w:r>
      <w:r>
        <w:rPr>
          <w:rFonts w:ascii="Palatino Linotype" w:hAnsi="Palatino Linotype" w:cstheme="minorHAnsi"/>
        </w:rPr>
        <w:t>Nos. IC-O-2018-139 e IC-O-2018-222, de 5 de junio y 24 de julio de 2018, respectivamente.</w:t>
      </w:r>
    </w:p>
    <w:p w:rsidR="00866ED6" w:rsidRPr="00AC42FC" w:rsidRDefault="00866ED6" w:rsidP="00AC42FC">
      <w:pPr>
        <w:spacing w:after="120" w:line="276" w:lineRule="auto"/>
        <w:jc w:val="center"/>
        <w:rPr>
          <w:rFonts w:ascii="Palatino Linotype" w:hAnsi="Palatino Linotype" w:cstheme="minorHAnsi"/>
          <w:b/>
        </w:rPr>
      </w:pPr>
      <w:r w:rsidRPr="00AC42FC">
        <w:rPr>
          <w:rFonts w:ascii="Palatino Linotype" w:hAnsi="Palatino Linotype" w:cstheme="minorHAnsi"/>
          <w:b/>
        </w:rPr>
        <w:t>CONSIDERANDO:</w:t>
      </w:r>
    </w:p>
    <w:p w:rsidR="00AC42FC" w:rsidRDefault="00C421DF" w:rsidP="00AC42FC">
      <w:pPr>
        <w:spacing w:after="120" w:line="276" w:lineRule="auto"/>
        <w:ind w:left="705" w:hanging="705"/>
        <w:jc w:val="both"/>
        <w:rPr>
          <w:rFonts w:ascii="Palatino Linotype" w:hAnsi="Palatino Linotype"/>
        </w:rPr>
      </w:pPr>
      <w:r w:rsidRPr="00AC42FC">
        <w:rPr>
          <w:rFonts w:ascii="Palatino Linotype" w:hAnsi="Palatino Linotype"/>
          <w:b/>
        </w:rPr>
        <w:t>Que</w:t>
      </w:r>
      <w:r w:rsidR="00AC42FC" w:rsidRPr="00AC42FC">
        <w:rPr>
          <w:rFonts w:ascii="Palatino Linotype" w:hAnsi="Palatino Linotype"/>
          <w:b/>
        </w:rPr>
        <w:t>,</w:t>
      </w:r>
      <w:r w:rsidRPr="00AC42FC">
        <w:rPr>
          <w:rFonts w:ascii="Palatino Linotype" w:hAnsi="Palatino Linotype"/>
        </w:rPr>
        <w:t xml:space="preserve"> </w:t>
      </w:r>
      <w:r w:rsidR="00AC42FC">
        <w:rPr>
          <w:rFonts w:ascii="Palatino Linotype" w:hAnsi="Palatino Linotype"/>
        </w:rPr>
        <w:tab/>
      </w:r>
      <w:r w:rsidRPr="00AC42FC">
        <w:rPr>
          <w:rFonts w:ascii="Palatino Linotype" w:hAnsi="Palatino Linotype"/>
        </w:rPr>
        <w:t>el artículo 23 de la Constitución de la República establece que las personas tienen derecho a acceder y participar del espacio público como ámbito de deliberación, intercambio cultural, cohesión social y promoción de la igualdad en la diversidad. El derecho a difundir en el espacio público las propias expresiones culturales se ejercerá sin más limitaciones que las que establezca la ley, con sujeción a los principios constitucionales;</w:t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  <w:b/>
        </w:rPr>
        <w:t>,</w:t>
      </w:r>
      <w:r w:rsidR="00866ED6" w:rsidRPr="00AC42FC">
        <w:rPr>
          <w:rFonts w:ascii="Palatino Linotype" w:hAnsi="Palatino Linotype" w:cstheme="minorHAnsi"/>
        </w:rPr>
        <w:t xml:space="preserve"> </w:t>
      </w:r>
      <w:r w:rsidR="007643B1" w:rsidRPr="00AC42FC">
        <w:rPr>
          <w:rFonts w:ascii="Palatino Linotype" w:hAnsi="Palatino Linotype" w:cstheme="minorHAnsi"/>
        </w:rPr>
        <w:tab/>
      </w:r>
      <w:r w:rsidR="00866ED6" w:rsidRPr="00AC42FC">
        <w:rPr>
          <w:rFonts w:ascii="Palatino Linotype" w:hAnsi="Palatino Linotype" w:cstheme="minorHAnsi"/>
        </w:rPr>
        <w:t>el artículo 30 de la Constitución de la Repúb</w:t>
      </w:r>
      <w:r w:rsidR="00D52E5E" w:rsidRPr="00AC42FC">
        <w:rPr>
          <w:rFonts w:ascii="Palatino Linotype" w:hAnsi="Palatino Linotype" w:cstheme="minorHAnsi"/>
        </w:rPr>
        <w:t xml:space="preserve">lica </w:t>
      </w:r>
      <w:r w:rsidR="00866ED6" w:rsidRPr="00AC42FC">
        <w:rPr>
          <w:rFonts w:ascii="Palatino Linotype" w:hAnsi="Palatino Linotype" w:cstheme="minorHAnsi"/>
        </w:rPr>
        <w:t>dispone que: "</w:t>
      </w:r>
      <w:r w:rsidR="00866ED6" w:rsidRPr="00AC42FC">
        <w:rPr>
          <w:rFonts w:ascii="Palatino Linotype" w:hAnsi="Palatino Linotype" w:cstheme="minorHAnsi"/>
          <w:i/>
        </w:rPr>
        <w:t>Las personas tienen derecho a un hábitat seguro y saludable, y a una</w:t>
      </w:r>
      <w:r w:rsidR="00D52E5E" w:rsidRPr="00AC42FC">
        <w:rPr>
          <w:rFonts w:ascii="Palatino Linotype" w:hAnsi="Palatino Linotype" w:cstheme="minorHAnsi"/>
          <w:i/>
        </w:rPr>
        <w:t xml:space="preserve"> </w:t>
      </w:r>
      <w:r w:rsidR="00866ED6" w:rsidRPr="00AC42FC">
        <w:rPr>
          <w:rFonts w:ascii="Palatino Linotype" w:hAnsi="Palatino Linotype" w:cstheme="minorHAnsi"/>
          <w:i/>
        </w:rPr>
        <w:t>vivienda adecuada y digna, con independencia de su sit</w:t>
      </w:r>
      <w:r w:rsidR="00907F17" w:rsidRPr="00AC42FC">
        <w:rPr>
          <w:rFonts w:ascii="Palatino Linotype" w:hAnsi="Palatino Linotype" w:cstheme="minorHAnsi"/>
          <w:i/>
        </w:rPr>
        <w:t>uación social y económica</w:t>
      </w:r>
      <w:r w:rsidR="00907F17" w:rsidRPr="00AC42FC">
        <w:rPr>
          <w:rFonts w:ascii="Palatino Linotype" w:hAnsi="Palatino Linotype" w:cstheme="minorHAnsi"/>
        </w:rPr>
        <w:t>.</w:t>
      </w:r>
      <w:r w:rsidR="00866ED6" w:rsidRPr="00AC42FC">
        <w:rPr>
          <w:rFonts w:ascii="Palatino Linotype" w:hAnsi="Palatino Linotype" w:cstheme="minorHAnsi"/>
        </w:rPr>
        <w:t>";</w:t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/>
        </w:rPr>
      </w:pPr>
      <w:r w:rsidRPr="00AC42FC">
        <w:rPr>
          <w:rFonts w:ascii="Palatino Linotype" w:hAnsi="Palatino Linotype"/>
          <w:b/>
        </w:rPr>
        <w:t>Que</w:t>
      </w:r>
      <w:r w:rsidR="00AC42FC">
        <w:rPr>
          <w:rFonts w:ascii="Palatino Linotype" w:hAnsi="Palatino Linotype"/>
          <w:b/>
        </w:rPr>
        <w:t>,</w:t>
      </w:r>
      <w:r w:rsidR="00AC42FC">
        <w:rPr>
          <w:rFonts w:ascii="Palatino Linotype" w:hAnsi="Palatino Linotype"/>
          <w:b/>
        </w:rPr>
        <w:tab/>
      </w:r>
      <w:r w:rsidRPr="00AC42FC">
        <w:rPr>
          <w:rFonts w:ascii="Palatino Linotype" w:hAnsi="Palatino Linotype"/>
        </w:rPr>
        <w:t>el artículo 31 de la Constitución de la República dispone que las personas tienen derecho al disfrute pleno de la ciudad y de sus espacios públicos, bajo los principios de sustentabilidad, justicia social, respeto a las diferentes culturas urbanas y equilibrio entre lo urbano y lo rural, y que el ejercicio del derecho a la ciudad se basa en la gestión democrática de ésta, en la función social y ambiental de la propiedad y de la ciudad, y en el ejercicio pleno de la ciudadanía;</w:t>
      </w:r>
      <w:r w:rsidR="00281B89" w:rsidRPr="00AC42FC">
        <w:rPr>
          <w:rFonts w:ascii="Palatino Linotype" w:hAnsi="Palatino Linotype"/>
        </w:rPr>
        <w:tab/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/>
        </w:rPr>
      </w:pPr>
      <w:r w:rsidRPr="00AC42FC">
        <w:rPr>
          <w:rFonts w:ascii="Palatino Linotype" w:hAnsi="Palatino Linotype"/>
          <w:b/>
        </w:rPr>
        <w:t>Que</w:t>
      </w:r>
      <w:r w:rsidR="00AC42FC">
        <w:rPr>
          <w:rFonts w:ascii="Palatino Linotype" w:hAnsi="Palatino Linotype"/>
        </w:rPr>
        <w:t>,</w:t>
      </w:r>
      <w:r w:rsidR="00281B89" w:rsidRPr="00AC42FC">
        <w:rPr>
          <w:rFonts w:ascii="Palatino Linotype" w:hAnsi="Palatino Linotype"/>
        </w:rPr>
        <w:t xml:space="preserve"> </w:t>
      </w:r>
      <w:r w:rsidR="00AC42FC">
        <w:rPr>
          <w:rFonts w:ascii="Palatino Linotype" w:hAnsi="Palatino Linotype"/>
        </w:rPr>
        <w:tab/>
      </w:r>
      <w:r w:rsidR="00281B89" w:rsidRPr="00AC42FC">
        <w:rPr>
          <w:rFonts w:ascii="Palatino Linotype" w:hAnsi="Palatino Linotype"/>
        </w:rPr>
        <w:t xml:space="preserve">el número </w:t>
      </w:r>
      <w:r w:rsidRPr="00AC42FC">
        <w:rPr>
          <w:rFonts w:ascii="Palatino Linotype" w:hAnsi="Palatino Linotype"/>
        </w:rPr>
        <w:t>2 del artículo 66 de la Constitución de la República reconoce y garantiza a las personas el derecho a una vida digna que asegure la vivienda y otros servicios sociales necesarios;</w:t>
      </w:r>
      <w:r w:rsidR="00281B89" w:rsidRPr="00AC42FC">
        <w:rPr>
          <w:rFonts w:ascii="Palatino Linotype" w:hAnsi="Palatino Linotype"/>
        </w:rPr>
        <w:tab/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/>
        </w:rPr>
      </w:pPr>
      <w:r w:rsidRPr="00AC42FC">
        <w:rPr>
          <w:rFonts w:ascii="Palatino Linotype" w:hAnsi="Palatino Linotype"/>
          <w:b/>
        </w:rPr>
        <w:t>Que</w:t>
      </w:r>
      <w:r w:rsidR="00AC42FC">
        <w:rPr>
          <w:rFonts w:ascii="Palatino Linotype" w:hAnsi="Palatino Linotype"/>
        </w:rPr>
        <w:t>,</w:t>
      </w:r>
      <w:r w:rsidR="00281B89" w:rsidRPr="00AC42FC">
        <w:rPr>
          <w:rFonts w:ascii="Palatino Linotype" w:hAnsi="Palatino Linotype"/>
        </w:rPr>
        <w:t xml:space="preserve"> </w:t>
      </w:r>
      <w:r w:rsidR="00AC42FC">
        <w:rPr>
          <w:rFonts w:ascii="Palatino Linotype" w:hAnsi="Palatino Linotype"/>
        </w:rPr>
        <w:tab/>
      </w:r>
      <w:r w:rsidR="00281B89" w:rsidRPr="00AC42FC">
        <w:rPr>
          <w:rFonts w:ascii="Palatino Linotype" w:hAnsi="Palatino Linotype"/>
        </w:rPr>
        <w:t>el número</w:t>
      </w:r>
      <w:r w:rsidRPr="00AC42FC">
        <w:rPr>
          <w:rFonts w:ascii="Palatino Linotype" w:hAnsi="Palatino Linotype"/>
        </w:rPr>
        <w:t xml:space="preserve"> 25 del artículo 66 de la Constitución de la República garantiza</w:t>
      </w:r>
      <w:r w:rsidR="00281B89" w:rsidRPr="00AC42FC">
        <w:rPr>
          <w:rFonts w:ascii="Palatino Linotype" w:hAnsi="Palatino Linotype"/>
        </w:rPr>
        <w:t xml:space="preserve"> a las personas</w:t>
      </w:r>
      <w:r w:rsidRPr="00AC42FC">
        <w:rPr>
          <w:rFonts w:ascii="Palatino Linotype" w:hAnsi="Palatino Linotype"/>
        </w:rPr>
        <w:t xml:space="preserve"> el derecho a acceder a bienes y servicios públicos y privados de calidad, con eficiencia, eficacia y buen trato, así como a recibir información adecuada y veraz sobre su contenido y características;</w:t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/>
        </w:rPr>
      </w:pPr>
      <w:r w:rsidRPr="00AC42FC">
        <w:rPr>
          <w:rFonts w:ascii="Palatino Linotype" w:hAnsi="Palatino Linotype"/>
          <w:b/>
        </w:rPr>
        <w:t>Que</w:t>
      </w:r>
      <w:r w:rsidR="00AC42FC">
        <w:rPr>
          <w:rFonts w:ascii="Palatino Linotype" w:hAnsi="Palatino Linotype"/>
        </w:rPr>
        <w:t>,</w:t>
      </w:r>
      <w:r w:rsidR="00281B89" w:rsidRPr="00AC42FC">
        <w:rPr>
          <w:rFonts w:ascii="Palatino Linotype" w:hAnsi="Palatino Linotype"/>
        </w:rPr>
        <w:t xml:space="preserve"> </w:t>
      </w:r>
      <w:r w:rsidR="00AC42FC">
        <w:rPr>
          <w:rFonts w:ascii="Palatino Linotype" w:hAnsi="Palatino Linotype"/>
        </w:rPr>
        <w:tab/>
      </w:r>
      <w:r w:rsidR="00281B89" w:rsidRPr="00AC42FC">
        <w:rPr>
          <w:rFonts w:ascii="Palatino Linotype" w:hAnsi="Palatino Linotype"/>
        </w:rPr>
        <w:t>el número</w:t>
      </w:r>
      <w:r w:rsidRPr="00AC42FC">
        <w:rPr>
          <w:rFonts w:ascii="Palatino Linotype" w:hAnsi="Palatino Linotype"/>
        </w:rPr>
        <w:t xml:space="preserve"> 26 del artículo 66 y el artículo 321 de la Constitución de la República garantizan a las personas el derecho a la propiedad en todas sus formas, con función y responsabilidad social y ambiental;</w:t>
      </w:r>
    </w:p>
    <w:p w:rsidR="00AC42FC" w:rsidRDefault="00866ED6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</w:rPr>
        <w:t>,</w:t>
      </w:r>
      <w:r w:rsidR="007643B1" w:rsidRPr="00AC42FC">
        <w:rPr>
          <w:rFonts w:ascii="Palatino Linotype" w:hAnsi="Palatino Linotype" w:cstheme="minorHAnsi"/>
        </w:rPr>
        <w:tab/>
      </w:r>
      <w:r w:rsidR="00AC42FC">
        <w:rPr>
          <w:rFonts w:ascii="Palatino Linotype" w:hAnsi="Palatino Linotype" w:cstheme="minorHAnsi"/>
        </w:rPr>
        <w:tab/>
      </w:r>
      <w:r w:rsidR="00281B89" w:rsidRPr="00AC42FC">
        <w:rPr>
          <w:rFonts w:ascii="Palatino Linotype" w:hAnsi="Palatino Linotype" w:cstheme="minorHAnsi"/>
        </w:rPr>
        <w:t>los números</w:t>
      </w:r>
      <w:r w:rsidRPr="00AC42FC">
        <w:rPr>
          <w:rFonts w:ascii="Palatino Linotype" w:hAnsi="Palatino Linotype" w:cstheme="minorHAnsi"/>
        </w:rPr>
        <w:t xml:space="preserve"> 1 y 2 del artículo 264 de la Constitución otorgan a los gobiernos</w:t>
      </w:r>
      <w:r w:rsidR="00D52E5E" w:rsidRPr="00AC42FC">
        <w:rPr>
          <w:rFonts w:ascii="Palatino Linotype" w:hAnsi="Palatino Linotype" w:cstheme="minorHAnsi"/>
        </w:rPr>
        <w:t xml:space="preserve"> </w:t>
      </w:r>
      <w:r w:rsidRPr="00AC42FC">
        <w:rPr>
          <w:rFonts w:ascii="Palatino Linotype" w:hAnsi="Palatino Linotype" w:cstheme="minorHAnsi"/>
        </w:rPr>
        <w:t>municipales las competencias exclusivas de:</w:t>
      </w:r>
      <w:r w:rsidR="00AC42FC">
        <w:rPr>
          <w:rFonts w:ascii="Palatino Linotype" w:hAnsi="Palatino Linotype" w:cstheme="minorHAnsi"/>
        </w:rPr>
        <w:t xml:space="preserve"> “</w:t>
      </w:r>
      <w:r w:rsidRPr="00AC42FC">
        <w:rPr>
          <w:rFonts w:ascii="Palatino Linotype" w:hAnsi="Palatino Linotype" w:cstheme="minorHAnsi"/>
          <w:i/>
        </w:rPr>
        <w:t xml:space="preserve">1. </w:t>
      </w:r>
      <w:r w:rsidR="00D52E5E" w:rsidRPr="00AC42FC">
        <w:rPr>
          <w:rFonts w:ascii="Palatino Linotype" w:hAnsi="Palatino Linotype" w:cstheme="minorHAnsi"/>
          <w:i/>
        </w:rPr>
        <w:t>Planificar el desarrollo cantonal y formular los correspondientes plane</w:t>
      </w:r>
      <w:r w:rsidR="00281B89" w:rsidRPr="00AC42FC">
        <w:rPr>
          <w:rFonts w:ascii="Palatino Linotype" w:hAnsi="Palatino Linotype" w:cstheme="minorHAnsi"/>
          <w:i/>
        </w:rPr>
        <w:t xml:space="preserve">s de ordenamiento territorial, </w:t>
      </w:r>
      <w:r w:rsidR="00D52E5E" w:rsidRPr="00AC42FC">
        <w:rPr>
          <w:rFonts w:ascii="Palatino Linotype" w:hAnsi="Palatino Linotype" w:cstheme="minorHAnsi"/>
          <w:i/>
        </w:rPr>
        <w:t>de manera articulada con la planificación nacional, r</w:t>
      </w:r>
      <w:r w:rsidR="00281B89" w:rsidRPr="00AC42FC">
        <w:rPr>
          <w:rFonts w:ascii="Palatino Linotype" w:hAnsi="Palatino Linotype" w:cstheme="minorHAnsi"/>
          <w:i/>
        </w:rPr>
        <w:t>egional, provincial y parroquial</w:t>
      </w:r>
      <w:r w:rsidRPr="00AC42FC">
        <w:rPr>
          <w:rFonts w:ascii="Palatino Linotype" w:hAnsi="Palatino Linotype" w:cstheme="minorHAnsi"/>
          <w:i/>
        </w:rPr>
        <w:t xml:space="preserve">, con el fin de regular el </w:t>
      </w:r>
      <w:r w:rsidRPr="00AC42FC">
        <w:rPr>
          <w:rFonts w:ascii="Palatino Linotype" w:hAnsi="Palatino Linotype" w:cstheme="minorHAnsi"/>
          <w:i/>
        </w:rPr>
        <w:lastRenderedPageBreak/>
        <w:t>uso</w:t>
      </w:r>
      <w:r w:rsidR="00D52E5E" w:rsidRPr="00AC42FC">
        <w:rPr>
          <w:rFonts w:ascii="Palatino Linotype" w:hAnsi="Palatino Linotype" w:cstheme="minorHAnsi"/>
          <w:i/>
        </w:rPr>
        <w:t xml:space="preserve"> </w:t>
      </w:r>
      <w:r w:rsidRPr="00AC42FC">
        <w:rPr>
          <w:rFonts w:ascii="Palatino Linotype" w:hAnsi="Palatino Linotype" w:cstheme="minorHAnsi"/>
          <w:i/>
        </w:rPr>
        <w:t>y la ocupación del suelo urbano y rural;</w:t>
      </w:r>
      <w:r w:rsidR="00CF28E8" w:rsidRPr="00AC42FC">
        <w:rPr>
          <w:rFonts w:ascii="Palatino Linotype" w:hAnsi="Palatino Linotype" w:cstheme="minorHAnsi"/>
          <w:i/>
        </w:rPr>
        <w:t xml:space="preserve"> y,</w:t>
      </w:r>
      <w:r w:rsidR="00AC42FC" w:rsidRPr="00AC42FC">
        <w:rPr>
          <w:rFonts w:ascii="Palatino Linotype" w:hAnsi="Palatino Linotype" w:cstheme="minorHAnsi"/>
          <w:i/>
        </w:rPr>
        <w:t xml:space="preserve"> </w:t>
      </w:r>
      <w:r w:rsidRPr="00AC42FC">
        <w:rPr>
          <w:rFonts w:ascii="Palatino Linotype" w:hAnsi="Palatino Linotype" w:cstheme="minorHAnsi"/>
          <w:i/>
        </w:rPr>
        <w:t>2. Ejercer el control sobre el uso y ocupación del</w:t>
      </w:r>
      <w:r w:rsidR="00D52E5E" w:rsidRPr="00AC42FC">
        <w:rPr>
          <w:rFonts w:ascii="Palatino Linotype" w:hAnsi="Palatino Linotype" w:cstheme="minorHAnsi"/>
          <w:i/>
        </w:rPr>
        <w:t xml:space="preserve"> </w:t>
      </w:r>
      <w:r w:rsidRPr="00AC42FC">
        <w:rPr>
          <w:rFonts w:ascii="Palatino Linotype" w:hAnsi="Palatino Linotype" w:cstheme="minorHAnsi"/>
          <w:i/>
        </w:rPr>
        <w:t>suelo en el cantón.</w:t>
      </w:r>
      <w:r w:rsidR="00AC42FC">
        <w:rPr>
          <w:rFonts w:ascii="Palatino Linotype" w:hAnsi="Palatino Linotype" w:cstheme="minorHAnsi"/>
        </w:rPr>
        <w:t>”;</w:t>
      </w:r>
      <w:r w:rsidRPr="00AC42FC">
        <w:rPr>
          <w:rFonts w:ascii="Palatino Linotype" w:hAnsi="Palatino Linotype" w:cstheme="minorHAnsi"/>
        </w:rPr>
        <w:t xml:space="preserve"> </w:t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 w:rsidRPr="00AC42FC">
        <w:rPr>
          <w:rFonts w:ascii="Palatino Linotype" w:hAnsi="Palatino Linotype" w:cstheme="minorHAnsi"/>
          <w:b/>
        </w:rPr>
        <w:t>,</w:t>
      </w:r>
      <w:r w:rsidR="00CF28E8" w:rsidRPr="00AC42FC">
        <w:rPr>
          <w:rFonts w:ascii="Palatino Linotype" w:hAnsi="Palatino Linotype" w:cstheme="minorHAnsi"/>
        </w:rPr>
        <w:t xml:space="preserve"> </w:t>
      </w:r>
      <w:r w:rsidR="00AC42FC">
        <w:rPr>
          <w:rFonts w:ascii="Palatino Linotype" w:hAnsi="Palatino Linotype" w:cstheme="minorHAnsi"/>
        </w:rPr>
        <w:tab/>
      </w:r>
      <w:r w:rsidR="00CF28E8" w:rsidRPr="00AC42FC">
        <w:rPr>
          <w:rFonts w:ascii="Palatino Linotype" w:hAnsi="Palatino Linotype" w:cstheme="minorHAnsi"/>
        </w:rPr>
        <w:t>la letra</w:t>
      </w:r>
      <w:r w:rsidR="00866ED6" w:rsidRPr="00AC42FC">
        <w:rPr>
          <w:rFonts w:ascii="Palatino Linotype" w:hAnsi="Palatino Linotype" w:cstheme="minorHAnsi"/>
        </w:rPr>
        <w:t xml:space="preserve"> i) del artículo 54 del Código Orgánico de Organización Territorial,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Autonomía y Descentralización (COOTAD)</w:t>
      </w:r>
      <w:r w:rsidR="00CF28E8" w:rsidRPr="00AC42FC">
        <w:rPr>
          <w:rFonts w:ascii="Palatino Linotype" w:hAnsi="Palatino Linotype" w:cstheme="minorHAnsi"/>
        </w:rPr>
        <w:t xml:space="preserve">, en concordancia con la letra </w:t>
      </w:r>
      <w:r w:rsidR="00866ED6" w:rsidRPr="00AC42FC">
        <w:rPr>
          <w:rFonts w:ascii="Palatino Linotype" w:hAnsi="Palatino Linotype" w:cstheme="minorHAnsi"/>
        </w:rPr>
        <w:t>i) del artículo 84 del mismo cuerpo normativo, determina que es función del gobierno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autónomo descentralizado municipal</w:t>
      </w:r>
      <w:r w:rsidR="00CF28E8" w:rsidRPr="00AC42FC">
        <w:rPr>
          <w:rFonts w:ascii="Palatino Linotype" w:hAnsi="Palatino Linotype" w:cstheme="minorHAnsi"/>
        </w:rPr>
        <w:t xml:space="preserve"> (metropolitano)</w:t>
      </w:r>
      <w:r w:rsidR="00866ED6" w:rsidRPr="00AC42FC">
        <w:rPr>
          <w:rFonts w:ascii="Palatino Linotype" w:hAnsi="Palatino Linotype" w:cstheme="minorHAnsi"/>
        </w:rPr>
        <w:t xml:space="preserve">: </w:t>
      </w:r>
      <w:r w:rsidR="00CF28E8" w:rsidRPr="00AC42FC">
        <w:rPr>
          <w:rFonts w:ascii="Palatino Linotype" w:hAnsi="Palatino Linotype" w:cstheme="minorHAnsi"/>
        </w:rPr>
        <w:t>i</w:t>
      </w:r>
      <w:r w:rsidR="00866ED6" w:rsidRPr="00AC42FC">
        <w:rPr>
          <w:rFonts w:ascii="Palatino Linotype" w:hAnsi="Palatino Linotype" w:cstheme="minorHAnsi"/>
        </w:rPr>
        <w:t>mplementar el derecho al hábitat y a la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vivienda y desarrollar planes y programas de vivienda de interés social en el territorio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cantonal</w:t>
      </w:r>
      <w:r w:rsidR="00CF28E8" w:rsidRPr="00AC42FC">
        <w:rPr>
          <w:rFonts w:ascii="Palatino Linotype" w:hAnsi="Palatino Linotype" w:cstheme="minorHAnsi"/>
        </w:rPr>
        <w:t xml:space="preserve"> (metropolitano)</w:t>
      </w:r>
      <w:r w:rsidR="00866ED6" w:rsidRPr="00AC42FC">
        <w:rPr>
          <w:rFonts w:ascii="Palatino Linotype" w:hAnsi="Palatino Linotype" w:cstheme="minorHAnsi"/>
        </w:rPr>
        <w:t>;</w:t>
      </w:r>
    </w:p>
    <w:p w:rsidR="00AC42FC" w:rsidRDefault="00AF296F" w:rsidP="00AC42FC">
      <w:pPr>
        <w:spacing w:after="120" w:line="276" w:lineRule="auto"/>
        <w:ind w:left="705" w:hanging="705"/>
        <w:jc w:val="both"/>
        <w:rPr>
          <w:rFonts w:ascii="Palatino Linotype" w:hAnsi="Palatino Linotype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</w:rPr>
        <w:t>,</w:t>
      </w:r>
      <w:r w:rsidR="00ED1706" w:rsidRPr="00AC42FC">
        <w:rPr>
          <w:rFonts w:ascii="Palatino Linotype" w:hAnsi="Palatino Linotype" w:cstheme="minorHAnsi"/>
        </w:rPr>
        <w:t xml:space="preserve"> </w:t>
      </w:r>
      <w:r w:rsidR="00AC42FC">
        <w:rPr>
          <w:rFonts w:ascii="Palatino Linotype" w:hAnsi="Palatino Linotype" w:cstheme="minorHAnsi"/>
        </w:rPr>
        <w:tab/>
      </w:r>
      <w:r w:rsidR="00ED1706" w:rsidRPr="00AC42FC">
        <w:rPr>
          <w:rFonts w:ascii="Palatino Linotype" w:hAnsi="Palatino Linotype" w:cstheme="minorHAnsi"/>
        </w:rPr>
        <w:t xml:space="preserve">el artículo 85 de la Ley Orgánica de Ordenamiento Territorial, Uso y Gestión de suelo define a la vivienda de interés social como aquella </w:t>
      </w:r>
      <w:r w:rsidRPr="00AC42FC">
        <w:rPr>
          <w:rFonts w:ascii="Palatino Linotype" w:hAnsi="Palatino Linotype"/>
        </w:rPr>
        <w:t>adecuada y digna</w:t>
      </w:r>
      <w:r w:rsidR="00ED1706" w:rsidRPr="00AC42FC">
        <w:rPr>
          <w:rFonts w:ascii="Palatino Linotype" w:hAnsi="Palatino Linotype"/>
        </w:rPr>
        <w:t>,</w:t>
      </w:r>
      <w:r w:rsidRPr="00AC42FC">
        <w:rPr>
          <w:rFonts w:ascii="Palatino Linotype" w:hAnsi="Palatino Linotype"/>
        </w:rPr>
        <w:t xml:space="preserve"> destinada a los grupos de atención prioritaria y a la población en situación de pobreza o vulnerabilidad, </w:t>
      </w:r>
      <w:r w:rsidR="00ED1706" w:rsidRPr="00AC42FC">
        <w:rPr>
          <w:rFonts w:ascii="Palatino Linotype" w:hAnsi="Palatino Linotype"/>
        </w:rPr>
        <w:t xml:space="preserve"> y establece que l</w:t>
      </w:r>
      <w:r w:rsidRPr="00AC42FC">
        <w:rPr>
          <w:rFonts w:ascii="Palatino Linotype" w:hAnsi="Palatino Linotype"/>
        </w:rPr>
        <w:t>os programas de vivienda de interés social se implementarán en suelo urbano dotado de infraestructura y servicios necesarios para servir a la edificación, primordialmente los sistemas públicos de soporte necesarios, con acceso a transporte público, y promoverán la integración socio-espacial de la población mediante su localización preferente en áre</w:t>
      </w:r>
      <w:r w:rsidR="00C1506B" w:rsidRPr="00AC42FC">
        <w:rPr>
          <w:rFonts w:ascii="Palatino Linotype" w:hAnsi="Palatino Linotype"/>
        </w:rPr>
        <w:t>as consolidadas de las ciudades;</w:t>
      </w:r>
      <w:r w:rsidR="00C1506B" w:rsidRPr="00AC42FC">
        <w:rPr>
          <w:rFonts w:ascii="Palatino Linotype" w:hAnsi="Palatino Linotype"/>
        </w:rPr>
        <w:tab/>
      </w:r>
    </w:p>
    <w:p w:rsidR="00AC42FC" w:rsidRDefault="00ED1706" w:rsidP="00AC42FC">
      <w:pPr>
        <w:spacing w:after="120" w:line="276" w:lineRule="auto"/>
        <w:ind w:left="705" w:hanging="705"/>
        <w:jc w:val="both"/>
        <w:rPr>
          <w:rFonts w:ascii="Palatino Linotype" w:hAnsi="Palatino Linotype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</w:rPr>
        <w:t>,</w:t>
      </w:r>
      <w:r w:rsidRPr="00AC42FC">
        <w:rPr>
          <w:rFonts w:ascii="Palatino Linotype" w:hAnsi="Palatino Linotype" w:cstheme="minorHAnsi"/>
        </w:rPr>
        <w:t xml:space="preserve"> </w:t>
      </w:r>
      <w:r w:rsidR="00AC42FC">
        <w:rPr>
          <w:rFonts w:ascii="Palatino Linotype" w:hAnsi="Palatino Linotype" w:cstheme="minorHAnsi"/>
        </w:rPr>
        <w:tab/>
      </w:r>
      <w:r w:rsidRPr="00AC42FC">
        <w:rPr>
          <w:rFonts w:ascii="Palatino Linotype" w:hAnsi="Palatino Linotype" w:cstheme="minorHAnsi"/>
        </w:rPr>
        <w:t xml:space="preserve">el artículo 86 Ibídem bajo el acápite </w:t>
      </w:r>
      <w:r w:rsidRPr="00AC42FC">
        <w:rPr>
          <w:rFonts w:ascii="Palatino Linotype" w:hAnsi="Palatino Linotype"/>
          <w:bCs/>
          <w:i/>
          <w:iCs/>
        </w:rPr>
        <w:t>“</w:t>
      </w:r>
      <w:r w:rsidR="00AF296F" w:rsidRPr="00AC42FC">
        <w:rPr>
          <w:rFonts w:ascii="Palatino Linotype" w:hAnsi="Palatino Linotype"/>
        </w:rPr>
        <w:t>Procedimientos administrativos para la implementación de vivienda de interés social</w:t>
      </w:r>
      <w:r w:rsidRPr="00AC42FC">
        <w:rPr>
          <w:rFonts w:ascii="Palatino Linotype" w:hAnsi="Palatino Linotype"/>
        </w:rPr>
        <w:t>” dispone  que l</w:t>
      </w:r>
      <w:r w:rsidR="00AF296F" w:rsidRPr="00AC42FC">
        <w:rPr>
          <w:rFonts w:ascii="Palatino Linotype" w:hAnsi="Palatino Linotype"/>
        </w:rPr>
        <w:t>os Gobiernos Autónomos Descentralizados municipales y metropolitanos expedirán ordenanzas de normas para los diseños urbanísticos y arquitectónicos y para el procedimiento abreviado específico y expedito de recepción de obras en programas especiales de vivienda, que incluyan el otorgamiento de permisos únicos para la habilitación del suelo, edificación y habitabilidad en</w:t>
      </w:r>
      <w:r w:rsidR="00C1506B" w:rsidRPr="00AC42FC">
        <w:rPr>
          <w:rFonts w:ascii="Palatino Linotype" w:hAnsi="Palatino Linotype"/>
        </w:rPr>
        <w:t xml:space="preserve"> un proyecto de vivienda social;</w:t>
      </w:r>
      <w:r w:rsidR="00C1506B" w:rsidRPr="00AC42FC">
        <w:rPr>
          <w:rFonts w:ascii="Palatino Linotype" w:hAnsi="Palatino Linotype"/>
        </w:rPr>
        <w:tab/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  <w:b/>
        </w:rPr>
        <w:t>,</w:t>
      </w:r>
      <w:r w:rsidR="00C1506B" w:rsidRPr="00AC42FC">
        <w:rPr>
          <w:rFonts w:ascii="Palatino Linotype" w:hAnsi="Palatino Linotype" w:cstheme="minorHAnsi"/>
        </w:rPr>
        <w:t xml:space="preserve"> </w:t>
      </w:r>
      <w:r w:rsidR="00AC42FC">
        <w:rPr>
          <w:rFonts w:ascii="Palatino Linotype" w:hAnsi="Palatino Linotype" w:cstheme="minorHAnsi"/>
        </w:rPr>
        <w:tab/>
      </w:r>
      <w:r w:rsidR="00C1506B" w:rsidRPr="00AC42FC">
        <w:rPr>
          <w:rFonts w:ascii="Palatino Linotype" w:hAnsi="Palatino Linotype" w:cstheme="minorHAnsi"/>
        </w:rPr>
        <w:t>las letras</w:t>
      </w:r>
      <w:r w:rsidR="00866ED6" w:rsidRPr="00AC42FC">
        <w:rPr>
          <w:rFonts w:ascii="Palatino Linotype" w:hAnsi="Palatino Linotype" w:cstheme="minorHAnsi"/>
        </w:rPr>
        <w:t xml:space="preserve"> a), w) y</w:t>
      </w:r>
      <w:r w:rsidR="00C1506B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 xml:space="preserve"> x) del artículo 57 del </w:t>
      </w:r>
      <w:r w:rsidR="00C1506B" w:rsidRPr="00AC42FC">
        <w:rPr>
          <w:rFonts w:ascii="Palatino Linotype" w:hAnsi="Palatino Linotype" w:cstheme="minorHAnsi"/>
        </w:rPr>
        <w:t xml:space="preserve">COOTAD, en concordancia con las letras </w:t>
      </w:r>
      <w:r w:rsidR="00866ED6" w:rsidRPr="00AC42FC">
        <w:rPr>
          <w:rFonts w:ascii="Palatino Linotype" w:hAnsi="Palatino Linotype" w:cstheme="minorHAnsi"/>
        </w:rPr>
        <w:t>a), u) y v) del artículo 87 del mismo cuerpo normativo, establecen que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605DDB" w:rsidRPr="00AC42FC">
        <w:rPr>
          <w:rFonts w:ascii="Palatino Linotype" w:hAnsi="Palatino Linotype" w:cstheme="minorHAnsi"/>
        </w:rPr>
        <w:t>son atribuciones</w:t>
      </w:r>
      <w:r w:rsidR="00866ED6" w:rsidRPr="00AC42FC">
        <w:rPr>
          <w:rFonts w:ascii="Palatino Linotype" w:hAnsi="Palatino Linotype" w:cstheme="minorHAnsi"/>
        </w:rPr>
        <w:t xml:space="preserve"> del Concejo Municipal</w:t>
      </w:r>
      <w:r w:rsidR="005A6EFF" w:rsidRPr="00AC42FC">
        <w:rPr>
          <w:rFonts w:ascii="Palatino Linotype" w:hAnsi="Palatino Linotype" w:cstheme="minorHAnsi"/>
        </w:rPr>
        <w:t xml:space="preserve"> (Metropolitano)</w:t>
      </w:r>
      <w:r w:rsidR="00866ED6" w:rsidRPr="00AC42FC">
        <w:rPr>
          <w:rFonts w:ascii="Palatino Linotype" w:hAnsi="Palatino Linotype" w:cstheme="minorHAnsi"/>
        </w:rPr>
        <w:t>:</w:t>
      </w:r>
      <w:r w:rsidR="005A6EFF" w:rsidRPr="00AC42FC">
        <w:rPr>
          <w:rFonts w:ascii="Palatino Linotype" w:hAnsi="Palatino Linotype" w:cstheme="minorHAnsi"/>
        </w:rPr>
        <w:t xml:space="preserve"> ejercer</w:t>
      </w:r>
      <w:r w:rsidR="00866ED6" w:rsidRPr="00AC42FC">
        <w:rPr>
          <w:rFonts w:ascii="Palatino Linotype" w:hAnsi="Palatino Linotype" w:cstheme="minorHAnsi"/>
        </w:rPr>
        <w:t xml:space="preserve"> la facultad normativa en las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materias de competencia del gobierno autónomo descentralizado municipal, mediante la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 xml:space="preserve">expedición de ordenanzas cantonales, </w:t>
      </w:r>
      <w:r w:rsidR="00AF296F" w:rsidRPr="00AC42FC">
        <w:rPr>
          <w:rFonts w:ascii="Palatino Linotype" w:hAnsi="Palatino Linotype" w:cstheme="minorHAnsi"/>
        </w:rPr>
        <w:t xml:space="preserve">acuerdos y resoluciones; </w:t>
      </w:r>
      <w:r w:rsidR="005A6EFF" w:rsidRPr="00AC42FC">
        <w:rPr>
          <w:rFonts w:ascii="Palatino Linotype" w:hAnsi="Palatino Linotype" w:cstheme="minorHAnsi"/>
        </w:rPr>
        <w:t>e</w:t>
      </w:r>
      <w:r w:rsidR="00866ED6" w:rsidRPr="00AC42FC">
        <w:rPr>
          <w:rFonts w:ascii="Palatino Linotype" w:hAnsi="Palatino Linotype" w:cstheme="minorHAnsi"/>
        </w:rPr>
        <w:t>xpedir la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ordenanza de construcciones que comprenda las especificaciones y normas técnicas y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legales por las cuales deban regirse en el cantón la construcción, reparación,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transformación y demolición de edificios y de sus instalaciones;</w:t>
      </w:r>
      <w:r w:rsidR="005A6EFF" w:rsidRPr="00AC42FC">
        <w:rPr>
          <w:rFonts w:ascii="Palatino Linotype" w:hAnsi="Palatino Linotype" w:cstheme="minorHAnsi"/>
        </w:rPr>
        <w:t xml:space="preserve"> r</w:t>
      </w:r>
      <w:r w:rsidR="00866ED6" w:rsidRPr="00AC42FC">
        <w:rPr>
          <w:rFonts w:ascii="Palatino Linotype" w:hAnsi="Palatino Linotype" w:cstheme="minorHAnsi"/>
        </w:rPr>
        <w:t>egular y controlar,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 xml:space="preserve">mediante la normativa cantonal </w:t>
      </w:r>
      <w:r w:rsidR="00866ED6" w:rsidRPr="00AC42FC">
        <w:rPr>
          <w:rFonts w:ascii="Palatino Linotype" w:hAnsi="Palatino Linotype" w:cstheme="minorHAnsi"/>
        </w:rPr>
        <w:lastRenderedPageBreak/>
        <w:t>correspondiente, el uso del suelo en el territorio del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cantón, de conformidad con las leyes sobre la materia, y establecer el régimen urbanístico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de la tierra;</w:t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</w:rPr>
        <w:t>,</w:t>
      </w:r>
      <w:r w:rsidR="00866ED6" w:rsidRPr="00AC42FC">
        <w:rPr>
          <w:rFonts w:ascii="Palatino Linotype" w:hAnsi="Palatino Linotype" w:cstheme="minorHAnsi"/>
        </w:rPr>
        <w:t xml:space="preserve"> </w:t>
      </w:r>
      <w:r w:rsidR="00AC42FC">
        <w:rPr>
          <w:rFonts w:ascii="Palatino Linotype" w:hAnsi="Palatino Linotype" w:cstheme="minorHAnsi"/>
        </w:rPr>
        <w:tab/>
      </w:r>
      <w:r w:rsidR="00866ED6" w:rsidRPr="00AC42FC">
        <w:rPr>
          <w:rFonts w:ascii="Palatino Linotype" w:hAnsi="Palatino Linotype" w:cstheme="minorHAnsi"/>
        </w:rPr>
        <w:t>el artículo 186 del COOTAD, en concordancia con l</w:t>
      </w:r>
      <w:r w:rsidR="005A6EFF" w:rsidRPr="00AC42FC">
        <w:rPr>
          <w:rFonts w:ascii="Palatino Linotype" w:hAnsi="Palatino Linotype" w:cstheme="minorHAnsi"/>
        </w:rPr>
        <w:t>as letras</w:t>
      </w:r>
      <w:r w:rsidR="005A6F65" w:rsidRPr="00AC42FC">
        <w:rPr>
          <w:rFonts w:ascii="Palatino Linotype" w:hAnsi="Palatino Linotype" w:cstheme="minorHAnsi"/>
        </w:rPr>
        <w:t xml:space="preserve"> c) de los artículos </w:t>
      </w:r>
      <w:r w:rsidR="00866ED6" w:rsidRPr="00AC42FC">
        <w:rPr>
          <w:rFonts w:ascii="Palatino Linotype" w:hAnsi="Palatino Linotype" w:cstheme="minorHAnsi"/>
        </w:rPr>
        <w:t>57 y 87 del mismo cue</w:t>
      </w:r>
      <w:r w:rsidR="005A6EFF" w:rsidRPr="00AC42FC">
        <w:rPr>
          <w:rFonts w:ascii="Palatino Linotype" w:hAnsi="Palatino Linotype" w:cstheme="minorHAnsi"/>
        </w:rPr>
        <w:t>rpo normativo, determina que l</w:t>
      </w:r>
      <w:r w:rsidR="00866ED6" w:rsidRPr="00AC42FC">
        <w:rPr>
          <w:rFonts w:ascii="Palatino Linotype" w:hAnsi="Palatino Linotype" w:cstheme="minorHAnsi"/>
        </w:rPr>
        <w:t>os gobiernos</w:t>
      </w:r>
      <w:r w:rsidR="00AC42FC">
        <w:rPr>
          <w:rFonts w:ascii="Palatino Linotype" w:hAnsi="Palatino Linotype" w:cstheme="minorHAnsi"/>
        </w:rPr>
        <w:t xml:space="preserve"> autónomos descentralizados</w:t>
      </w:r>
      <w:r w:rsidR="00866ED6" w:rsidRPr="00AC42FC">
        <w:rPr>
          <w:rFonts w:ascii="Palatino Linotype" w:hAnsi="Palatino Linotype" w:cstheme="minorHAnsi"/>
        </w:rPr>
        <w:t xml:space="preserve"> municip</w:t>
      </w:r>
      <w:r w:rsidR="00AC42FC">
        <w:rPr>
          <w:rFonts w:ascii="Palatino Linotype" w:hAnsi="Palatino Linotype" w:cstheme="minorHAnsi"/>
        </w:rPr>
        <w:t>ales y distritos metropolitanos</w:t>
      </w:r>
      <w:r w:rsidR="005A6EFF" w:rsidRPr="00AC42FC">
        <w:rPr>
          <w:rFonts w:ascii="Palatino Linotype" w:hAnsi="Palatino Linotype" w:cstheme="minorHAnsi"/>
        </w:rPr>
        <w:t xml:space="preserve"> mediante ordenanza podrán </w:t>
      </w:r>
      <w:r w:rsidR="00866ED6" w:rsidRPr="00AC42FC">
        <w:rPr>
          <w:rFonts w:ascii="Palatino Linotype" w:hAnsi="Palatino Linotype" w:cstheme="minorHAnsi"/>
        </w:rPr>
        <w:t>crear, modificar, exonerar o suprimir</w:t>
      </w:r>
      <w:r w:rsidR="00217D3B" w:rsidRPr="00AC42FC">
        <w:rPr>
          <w:rFonts w:ascii="Palatino Linotype" w:hAnsi="Palatino Linotype" w:cstheme="minorHAnsi"/>
        </w:rPr>
        <w:t xml:space="preserve">, tasas </w:t>
      </w:r>
      <w:r w:rsidR="00866ED6" w:rsidRPr="00AC42FC">
        <w:rPr>
          <w:rFonts w:ascii="Palatino Linotype" w:hAnsi="Palatino Linotype" w:cstheme="minorHAnsi"/>
        </w:rPr>
        <w:t>y contribuciones especiales de mejoras generales o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especificas;</w:t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  <w:b/>
        </w:rPr>
        <w:t>,</w:t>
      </w:r>
      <w:r w:rsidRPr="00AC42FC">
        <w:rPr>
          <w:rFonts w:ascii="Palatino Linotype" w:hAnsi="Palatino Linotype" w:cstheme="minorHAnsi"/>
        </w:rPr>
        <w:t xml:space="preserve"> </w:t>
      </w:r>
      <w:r w:rsidR="00AC42FC">
        <w:rPr>
          <w:rFonts w:ascii="Palatino Linotype" w:hAnsi="Palatino Linotype" w:cstheme="minorHAnsi"/>
        </w:rPr>
        <w:tab/>
      </w:r>
      <w:r w:rsidR="00611E5C" w:rsidRPr="00AC42FC">
        <w:rPr>
          <w:rFonts w:ascii="Palatino Linotype" w:hAnsi="Palatino Linotype" w:cstheme="minorHAnsi"/>
        </w:rPr>
        <w:t>los artículos 510 letra c) y 534 letra</w:t>
      </w:r>
      <w:r w:rsidR="00866ED6" w:rsidRPr="00AC42FC">
        <w:rPr>
          <w:rFonts w:ascii="Palatino Linotype" w:hAnsi="Palatino Linotype" w:cstheme="minorHAnsi"/>
        </w:rPr>
        <w:t xml:space="preserve"> </w:t>
      </w:r>
      <w:r w:rsidR="007643B1" w:rsidRPr="00AC42FC">
        <w:rPr>
          <w:rFonts w:ascii="Palatino Linotype" w:hAnsi="Palatino Linotype" w:cstheme="minorHAnsi"/>
        </w:rPr>
        <w:t>b) del COOTAD determinan</w:t>
      </w:r>
      <w:r w:rsidR="00611E5C" w:rsidRPr="00AC42FC">
        <w:rPr>
          <w:rFonts w:ascii="Palatino Linotype" w:hAnsi="Palatino Linotype" w:cstheme="minorHAnsi"/>
        </w:rPr>
        <w:t xml:space="preserve"> la exención temporal </w:t>
      </w:r>
      <w:r w:rsidR="00866ED6" w:rsidRPr="00AC42FC">
        <w:rPr>
          <w:rFonts w:ascii="Palatino Linotype" w:hAnsi="Palatino Linotype" w:cstheme="minorHAnsi"/>
        </w:rPr>
        <w:t>del pago del imp</w:t>
      </w:r>
      <w:r w:rsidR="005A6F65" w:rsidRPr="00AC42FC">
        <w:rPr>
          <w:rFonts w:ascii="Palatino Linotype" w:hAnsi="Palatino Linotype" w:cstheme="minorHAnsi"/>
        </w:rPr>
        <w:t xml:space="preserve">uesto a los predios urbanos los </w:t>
      </w:r>
      <w:r w:rsidR="00866ED6" w:rsidRPr="00AC42FC">
        <w:rPr>
          <w:rFonts w:ascii="Palatino Linotype" w:hAnsi="Palatino Linotype" w:cstheme="minorHAnsi"/>
        </w:rPr>
        <w:t>edificios que se construyan para viviendas populares; y, el impuesto de alcabala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a la venta o transferencia de dominio de inmuebles destinados a cumplir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programas de vivienda de interés social;</w:t>
      </w:r>
      <w:r w:rsidR="00E34169" w:rsidRPr="00AC42FC">
        <w:rPr>
          <w:rFonts w:ascii="Palatino Linotype" w:hAnsi="Palatino Linotype" w:cstheme="minorHAnsi"/>
        </w:rPr>
        <w:t xml:space="preserve"> </w:t>
      </w:r>
      <w:r w:rsidR="00F06626" w:rsidRPr="00AC42FC">
        <w:rPr>
          <w:rFonts w:ascii="Palatino Linotype" w:hAnsi="Palatino Linotype" w:cstheme="minorHAnsi"/>
        </w:rPr>
        <w:tab/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  <w:b/>
        </w:rPr>
        <w:t>,</w:t>
      </w:r>
      <w:r w:rsidR="00AC42FC">
        <w:rPr>
          <w:rFonts w:ascii="Palatino Linotype" w:hAnsi="Palatino Linotype" w:cstheme="minorHAnsi"/>
        </w:rPr>
        <w:tab/>
      </w:r>
      <w:r w:rsidR="00611E5C" w:rsidRPr="00AC42FC">
        <w:rPr>
          <w:rFonts w:ascii="Palatino Linotype" w:hAnsi="Palatino Linotype" w:cstheme="minorHAnsi"/>
        </w:rPr>
        <w:t>mediante Ordenanza M</w:t>
      </w:r>
      <w:r w:rsidR="00866ED6" w:rsidRPr="00AC42FC">
        <w:rPr>
          <w:rFonts w:ascii="Palatino Linotype" w:hAnsi="Palatino Linotype" w:cstheme="minorHAnsi"/>
        </w:rPr>
        <w:t>etropolitana No. 0267, sa</w:t>
      </w:r>
      <w:r w:rsidR="005A6F65" w:rsidRPr="00AC42FC">
        <w:rPr>
          <w:rFonts w:ascii="Palatino Linotype" w:hAnsi="Palatino Linotype" w:cstheme="minorHAnsi"/>
        </w:rPr>
        <w:t xml:space="preserve">ncionada el 16 de septiembre de </w:t>
      </w:r>
      <w:r w:rsidR="00611E5C" w:rsidRPr="00AC42FC">
        <w:rPr>
          <w:rFonts w:ascii="Palatino Linotype" w:hAnsi="Palatino Linotype" w:cstheme="minorHAnsi"/>
        </w:rPr>
        <w:t>2008, se expidió</w:t>
      </w:r>
      <w:r w:rsidR="00866ED6" w:rsidRPr="00AC42FC">
        <w:rPr>
          <w:rFonts w:ascii="Palatino Linotype" w:hAnsi="Palatino Linotype" w:cstheme="minorHAnsi"/>
        </w:rPr>
        <w:t xml:space="preserve"> los lineamientos sobre la promoción de suelo y vivienda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611E5C" w:rsidRPr="00AC42FC">
        <w:rPr>
          <w:rFonts w:ascii="Palatino Linotype" w:hAnsi="Palatino Linotype" w:cstheme="minorHAnsi"/>
        </w:rPr>
        <w:t>nueva de interés social, en los que</w:t>
      </w:r>
      <w:r w:rsidR="00866ED6" w:rsidRPr="00AC42FC">
        <w:rPr>
          <w:rFonts w:ascii="Palatino Linotype" w:hAnsi="Palatino Linotype" w:cstheme="minorHAnsi"/>
        </w:rPr>
        <w:t xml:space="preserve"> se determina la exención total del pago del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impuesto de alcabala en la transferencia de dominio de los bienes inmuebles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destinados a este fin;</w:t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</w:rPr>
        <w:t>,</w:t>
      </w:r>
      <w:r w:rsidR="00866ED6" w:rsidRPr="00AC42FC">
        <w:rPr>
          <w:rFonts w:ascii="Palatino Linotype" w:hAnsi="Palatino Linotype" w:cstheme="minorHAnsi"/>
        </w:rPr>
        <w:t xml:space="preserve"> </w:t>
      </w:r>
      <w:r w:rsidR="00AC42FC">
        <w:rPr>
          <w:rFonts w:ascii="Palatino Linotype" w:hAnsi="Palatino Linotype" w:cstheme="minorHAnsi"/>
        </w:rPr>
        <w:tab/>
      </w:r>
      <w:r w:rsidR="00866ED6" w:rsidRPr="00AC42FC">
        <w:rPr>
          <w:rFonts w:ascii="Palatino Linotype" w:hAnsi="Palatino Linotype" w:cstheme="minorHAnsi"/>
        </w:rPr>
        <w:t xml:space="preserve">mediante </w:t>
      </w:r>
      <w:r w:rsidR="00611E5C" w:rsidRPr="00AC42FC">
        <w:rPr>
          <w:rFonts w:ascii="Palatino Linotype" w:hAnsi="Palatino Linotype" w:cstheme="minorHAnsi"/>
        </w:rPr>
        <w:t>Ordenanza Metro</w:t>
      </w:r>
      <w:r w:rsidR="00866ED6" w:rsidRPr="00AC42FC">
        <w:rPr>
          <w:rFonts w:ascii="Palatino Linotype" w:hAnsi="Palatino Linotype" w:cstheme="minorHAnsi"/>
        </w:rPr>
        <w:t>politana No. 0014, sa</w:t>
      </w:r>
      <w:r w:rsidR="005A6F65" w:rsidRPr="00AC42FC">
        <w:rPr>
          <w:rFonts w:ascii="Palatino Linotype" w:hAnsi="Palatino Linotype" w:cstheme="minorHAnsi"/>
        </w:rPr>
        <w:t>ncionada el 29 de mayo de 2009</w:t>
      </w:r>
      <w:r w:rsidR="00CD51B4">
        <w:rPr>
          <w:rFonts w:ascii="Palatino Linotype" w:hAnsi="Palatino Linotype" w:cstheme="minorHAnsi"/>
        </w:rPr>
        <w:t>,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CD51B4">
        <w:rPr>
          <w:rFonts w:ascii="Palatino Linotype" w:hAnsi="Palatino Linotype" w:cstheme="minorHAnsi"/>
        </w:rPr>
        <w:t>se sustituyó la O</w:t>
      </w:r>
      <w:r w:rsidR="00866ED6" w:rsidRPr="00AC42FC">
        <w:rPr>
          <w:rFonts w:ascii="Palatino Linotype" w:hAnsi="Palatino Linotype" w:cstheme="minorHAnsi"/>
        </w:rPr>
        <w:t xml:space="preserve">rdenanza </w:t>
      </w:r>
      <w:r w:rsidR="00CD51B4">
        <w:rPr>
          <w:rFonts w:ascii="Palatino Linotype" w:hAnsi="Palatino Linotype" w:cstheme="minorHAnsi"/>
        </w:rPr>
        <w:t>E</w:t>
      </w:r>
      <w:r w:rsidR="00866ED6" w:rsidRPr="00AC42FC">
        <w:rPr>
          <w:rFonts w:ascii="Palatino Linotype" w:hAnsi="Palatino Linotype" w:cstheme="minorHAnsi"/>
        </w:rPr>
        <w:t xml:space="preserve">special </w:t>
      </w:r>
      <w:r w:rsidR="00CD51B4">
        <w:rPr>
          <w:rFonts w:ascii="Palatino Linotype" w:hAnsi="Palatino Linotype" w:cstheme="minorHAnsi"/>
        </w:rPr>
        <w:t>S</w:t>
      </w:r>
      <w:r w:rsidR="00866ED6" w:rsidRPr="00AC42FC">
        <w:rPr>
          <w:rFonts w:ascii="Palatino Linotype" w:hAnsi="Palatino Linotype" w:cstheme="minorHAnsi"/>
        </w:rPr>
        <w:t>ustitutiva No. 012, sancionada el 16 de marzo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de 2007, que aprobó el Proyecto Urbanístico Ciudad Bicentenario;</w:t>
      </w:r>
      <w:r w:rsidR="005A6F65" w:rsidRPr="00AC42FC">
        <w:rPr>
          <w:rFonts w:ascii="Palatino Linotype" w:hAnsi="Palatino Linotype" w:cstheme="minorHAnsi"/>
        </w:rPr>
        <w:t xml:space="preserve"> </w:t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  <w:b/>
        </w:rPr>
        <w:t>,</w:t>
      </w:r>
      <w:r w:rsidR="00AC42FC">
        <w:rPr>
          <w:rFonts w:ascii="Palatino Linotype" w:hAnsi="Palatino Linotype" w:cstheme="minorHAnsi"/>
          <w:b/>
        </w:rPr>
        <w:tab/>
      </w:r>
      <w:r w:rsidR="00866ED6" w:rsidRPr="00AC42FC">
        <w:rPr>
          <w:rFonts w:ascii="Palatino Linotype" w:hAnsi="Palatino Linotype" w:cstheme="minorHAnsi"/>
        </w:rPr>
        <w:t>el C</w:t>
      </w:r>
      <w:r w:rsidR="00E34169" w:rsidRPr="00AC42FC">
        <w:rPr>
          <w:rFonts w:ascii="Palatino Linotype" w:hAnsi="Palatino Linotype" w:cstheme="minorHAnsi"/>
        </w:rPr>
        <w:t>oncejo Metropolitano, mediante R</w:t>
      </w:r>
      <w:r w:rsidR="00866ED6" w:rsidRPr="00AC42FC">
        <w:rPr>
          <w:rFonts w:ascii="Palatino Linotype" w:hAnsi="Palatino Linotype" w:cstheme="minorHAnsi"/>
        </w:rPr>
        <w:t>esolución No. C 0094 de 4 de marzo de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2010, aprobó la Política Metropolitana de Hábitat y Vivienda (PMHV) en la que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constan los mecanismos de aplicación del principio del Buen Vivir y demás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lineamientos que dirigen la gestión en vivienda social, con énfasis en los sectores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de atención prioritaria, favoreciendo el desarrollo comunitario integral, la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autogestión comunitaria y el sistema de economía solidaria;</w:t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 xml:space="preserve">Que </w:t>
      </w:r>
      <w:r w:rsidR="00AC42FC" w:rsidRPr="00AC42FC">
        <w:rPr>
          <w:rFonts w:ascii="Palatino Linotype" w:hAnsi="Palatino Linotype" w:cstheme="minorHAnsi"/>
          <w:b/>
        </w:rPr>
        <w:t>,</w:t>
      </w:r>
      <w:r w:rsidR="00AC42FC">
        <w:rPr>
          <w:rFonts w:ascii="Palatino Linotype" w:hAnsi="Palatino Linotype" w:cstheme="minorHAnsi"/>
        </w:rPr>
        <w:tab/>
      </w:r>
      <w:r w:rsidR="00866ED6" w:rsidRPr="00AC42FC">
        <w:rPr>
          <w:rFonts w:ascii="Palatino Linotype" w:hAnsi="Palatino Linotype" w:cstheme="minorHAnsi"/>
        </w:rPr>
        <w:t xml:space="preserve">mediante </w:t>
      </w:r>
      <w:r w:rsidR="003859D2" w:rsidRPr="00AC42FC">
        <w:rPr>
          <w:rFonts w:ascii="Palatino Linotype" w:hAnsi="Palatino Linotype" w:cstheme="minorHAnsi"/>
        </w:rPr>
        <w:t>Ordenanza Metropolitana No.</w:t>
      </w:r>
      <w:r w:rsidR="00866ED6" w:rsidRPr="00AC42FC">
        <w:rPr>
          <w:rFonts w:ascii="Palatino Linotype" w:hAnsi="Palatino Linotype" w:cstheme="minorHAnsi"/>
        </w:rPr>
        <w:t xml:space="preserve"> 307, san</w:t>
      </w:r>
      <w:r w:rsidR="005A6F65" w:rsidRPr="00AC42FC">
        <w:rPr>
          <w:rFonts w:ascii="Palatino Linotype" w:hAnsi="Palatino Linotype" w:cstheme="minorHAnsi"/>
        </w:rPr>
        <w:t xml:space="preserve">cionada el 19 de marzo de 2010, </w:t>
      </w:r>
      <w:r w:rsidR="00866ED6" w:rsidRPr="00AC42FC">
        <w:rPr>
          <w:rFonts w:ascii="Palatino Linotype" w:hAnsi="Palatino Linotype" w:cstheme="minorHAnsi"/>
        </w:rPr>
        <w:t>se creó la Empresa Pública Metropolitana de Hábitat y Vivienda (EPMHV) con el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fin de ejecutar las políticas dictadas por el Municipio del Distrito Metropolitano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de Quito en materia de</w:t>
      </w:r>
      <w:r w:rsidR="003859D2" w:rsidRPr="00AC42FC">
        <w:rPr>
          <w:rFonts w:ascii="Palatino Linotype" w:hAnsi="Palatino Linotype" w:cstheme="minorHAnsi"/>
        </w:rPr>
        <w:t xml:space="preserve"> habilitación y oferta del suelo;</w:t>
      </w:r>
      <w:r w:rsidR="00866ED6" w:rsidRPr="00AC42FC">
        <w:rPr>
          <w:rFonts w:ascii="Palatino Linotype" w:hAnsi="Palatino Linotype" w:cstheme="minorHAnsi"/>
        </w:rPr>
        <w:t xml:space="preserve"> urbanización y promoción de vivienda destinada</w:t>
      </w:r>
      <w:r w:rsidR="003859D2" w:rsidRPr="00AC42FC">
        <w:rPr>
          <w:rFonts w:ascii="Palatino Linotype" w:hAnsi="Palatino Linotype" w:cstheme="minorHAnsi"/>
        </w:rPr>
        <w:t>s</w:t>
      </w:r>
      <w:r w:rsidR="00866ED6" w:rsidRPr="00AC42FC">
        <w:rPr>
          <w:rFonts w:ascii="Palatino Linotype" w:hAnsi="Palatino Linotype" w:cstheme="minorHAnsi"/>
        </w:rPr>
        <w:t xml:space="preserve"> a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familias</w:t>
      </w:r>
      <w:r w:rsidR="003859D2" w:rsidRPr="00AC42FC">
        <w:rPr>
          <w:rFonts w:ascii="Palatino Linotype" w:hAnsi="Palatino Linotype" w:cstheme="minorHAnsi"/>
        </w:rPr>
        <w:t xml:space="preserve"> o personas que necesitan su primera vivienda, familias con </w:t>
      </w:r>
      <w:r w:rsidR="00866ED6" w:rsidRPr="00AC42FC">
        <w:rPr>
          <w:rFonts w:ascii="Palatino Linotype" w:hAnsi="Palatino Linotype" w:cstheme="minorHAnsi"/>
        </w:rPr>
        <w:t>ingresos bajos y medios,</w:t>
      </w:r>
      <w:r w:rsidR="003859D2" w:rsidRPr="00AC42FC">
        <w:rPr>
          <w:rFonts w:ascii="Palatino Linotype" w:hAnsi="Palatino Linotype" w:cstheme="minorHAnsi"/>
        </w:rPr>
        <w:t xml:space="preserve"> población vulnerable o en situación de riesgo; renovación urbana; mejoramiento habitacional; vivienda nueva para propietarios de suelo en el ámbito urbano y rural, colaborando en la reducción del déficit de vivienda</w:t>
      </w:r>
      <w:r w:rsidR="00866ED6" w:rsidRPr="00AC42FC">
        <w:rPr>
          <w:rFonts w:ascii="Palatino Linotype" w:hAnsi="Palatino Linotype" w:cstheme="minorHAnsi"/>
        </w:rPr>
        <w:t>;</w:t>
      </w:r>
      <w:r w:rsidR="005A6F65" w:rsidRPr="00AC42FC">
        <w:rPr>
          <w:rFonts w:ascii="Palatino Linotype" w:hAnsi="Palatino Linotype" w:cstheme="minorHAnsi"/>
        </w:rPr>
        <w:t xml:space="preserve"> </w:t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lastRenderedPageBreak/>
        <w:t>Que</w:t>
      </w:r>
      <w:r w:rsidR="00AC42FC" w:rsidRPr="00AC42FC">
        <w:rPr>
          <w:rFonts w:ascii="Palatino Linotype" w:hAnsi="Palatino Linotype" w:cstheme="minorHAnsi"/>
          <w:b/>
        </w:rPr>
        <w:t>,</w:t>
      </w:r>
      <w:r w:rsidR="00866ED6" w:rsidRPr="00AC42FC">
        <w:rPr>
          <w:rFonts w:ascii="Palatino Linotype" w:hAnsi="Palatino Linotype" w:cstheme="minorHAnsi"/>
        </w:rPr>
        <w:t xml:space="preserve"> </w:t>
      </w:r>
      <w:r w:rsidR="00AC42FC">
        <w:rPr>
          <w:rFonts w:ascii="Palatino Linotype" w:hAnsi="Palatino Linotype" w:cstheme="minorHAnsi"/>
        </w:rPr>
        <w:tab/>
      </w:r>
      <w:r w:rsidR="00866ED6" w:rsidRPr="00AC42FC">
        <w:rPr>
          <w:rFonts w:ascii="Palatino Linotype" w:hAnsi="Palatino Linotype" w:cstheme="minorHAnsi"/>
        </w:rPr>
        <w:t xml:space="preserve">mediante </w:t>
      </w:r>
      <w:r w:rsidR="00D52E5E" w:rsidRPr="00AC42FC">
        <w:rPr>
          <w:rFonts w:ascii="Palatino Linotype" w:hAnsi="Palatino Linotype" w:cstheme="minorHAnsi"/>
        </w:rPr>
        <w:t>Ordenanza Metropolitana No. 0041,</w:t>
      </w:r>
      <w:r w:rsidR="00073FBB" w:rsidRPr="00AC42FC">
        <w:rPr>
          <w:rFonts w:ascii="Palatino Linotype" w:hAnsi="Palatino Linotype" w:cstheme="minorHAnsi"/>
        </w:rPr>
        <w:t xml:space="preserve"> sanci</w:t>
      </w:r>
      <w:r w:rsidR="00CD51B4">
        <w:rPr>
          <w:rFonts w:ascii="Palatino Linotype" w:hAnsi="Palatino Linotype" w:cstheme="minorHAnsi"/>
        </w:rPr>
        <w:t xml:space="preserve">onada el 22 de febrero de 2015, </w:t>
      </w:r>
      <w:r w:rsidR="00D52E5E" w:rsidRPr="00AC42FC">
        <w:rPr>
          <w:rFonts w:ascii="Palatino Linotype" w:hAnsi="Palatino Linotype" w:cstheme="minorHAnsi"/>
        </w:rPr>
        <w:t>que a</w:t>
      </w:r>
      <w:r w:rsidR="005A6F65" w:rsidRPr="00AC42FC">
        <w:rPr>
          <w:rFonts w:ascii="Palatino Linotype" w:hAnsi="Palatino Linotype" w:cstheme="minorHAnsi"/>
        </w:rPr>
        <w:t xml:space="preserve">prueba el Plan Metropolitano de </w:t>
      </w:r>
      <w:r w:rsidR="00D52E5E" w:rsidRPr="00AC42FC">
        <w:rPr>
          <w:rFonts w:ascii="Palatino Linotype" w:hAnsi="Palatino Linotype" w:cstheme="minorHAnsi"/>
        </w:rPr>
        <w:t>Desarrollo y Ordenamiento Territorial del Distrito Metropolitano de Quito,</w:t>
      </w:r>
      <w:r w:rsidR="00073FBB" w:rsidRPr="00AC42FC">
        <w:rPr>
          <w:rFonts w:ascii="Palatino Linotype" w:hAnsi="Palatino Linotype" w:cstheme="minorHAnsi"/>
        </w:rPr>
        <w:t xml:space="preserve"> dentro del Plan de Uso y Ocupación del suelo, en el número 1.10 contempla el uso residencial de interés social (RIS), </w:t>
      </w:r>
      <w:r w:rsidR="00866ED6" w:rsidRPr="00AC42FC">
        <w:rPr>
          <w:rFonts w:ascii="Palatino Linotype" w:hAnsi="Palatino Linotype" w:cstheme="minorHAnsi"/>
        </w:rPr>
        <w:t xml:space="preserve">definiéndolo como: </w:t>
      </w:r>
      <w:r w:rsidR="00866ED6" w:rsidRPr="00AC42FC">
        <w:rPr>
          <w:rFonts w:ascii="Palatino Linotype" w:hAnsi="Palatino Linotype" w:cstheme="minorHAnsi"/>
          <w:i/>
        </w:rPr>
        <w:t>"(...) Zonas de uso</w:t>
      </w:r>
      <w:r w:rsidR="005A6F65" w:rsidRPr="00AC42FC">
        <w:rPr>
          <w:rFonts w:ascii="Palatino Linotype" w:hAnsi="Palatino Linotype" w:cstheme="minorHAnsi"/>
          <w:i/>
        </w:rPr>
        <w:t xml:space="preserve"> </w:t>
      </w:r>
      <w:r w:rsidR="00866ED6" w:rsidRPr="00AC42FC">
        <w:rPr>
          <w:rFonts w:ascii="Palatino Linotype" w:hAnsi="Palatino Linotype" w:cstheme="minorHAnsi"/>
          <w:i/>
        </w:rPr>
        <w:t>residenciales exclusivas para el desarrollo de viviendas de interés social, reubicación</w:t>
      </w:r>
      <w:r w:rsidR="005A6F65" w:rsidRPr="00AC42FC">
        <w:rPr>
          <w:rFonts w:ascii="Palatino Linotype" w:hAnsi="Palatino Linotype" w:cstheme="minorHAnsi"/>
          <w:i/>
        </w:rPr>
        <w:t xml:space="preserve"> </w:t>
      </w:r>
      <w:r w:rsidR="00866ED6" w:rsidRPr="00AC42FC">
        <w:rPr>
          <w:rFonts w:ascii="Palatino Linotype" w:hAnsi="Palatino Linotype" w:cstheme="minorHAnsi"/>
          <w:i/>
        </w:rPr>
        <w:t>emergente y asentamientos humanos ubicados en áreas de riesgo no mitigable y primera</w:t>
      </w:r>
      <w:r w:rsidR="005A6F65" w:rsidRPr="00AC42FC">
        <w:rPr>
          <w:rFonts w:ascii="Palatino Linotype" w:hAnsi="Palatino Linotype" w:cstheme="minorHAnsi"/>
          <w:i/>
        </w:rPr>
        <w:t xml:space="preserve"> </w:t>
      </w:r>
      <w:r w:rsidR="00866ED6" w:rsidRPr="00AC42FC">
        <w:rPr>
          <w:rFonts w:ascii="Palatino Linotype" w:hAnsi="Palatino Linotype" w:cstheme="minorHAnsi"/>
          <w:i/>
        </w:rPr>
        <w:t>vivienda, infraestructura educativa y equipamiento comunitario. (...)"</w:t>
      </w:r>
      <w:r w:rsidR="00866ED6" w:rsidRPr="00AC42FC">
        <w:rPr>
          <w:rFonts w:ascii="Palatino Linotype" w:hAnsi="Palatino Linotype" w:cstheme="minorHAnsi"/>
        </w:rPr>
        <w:t>;</w:t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  <w:b/>
        </w:rPr>
        <w:t>,</w:t>
      </w:r>
      <w:r w:rsidRPr="00AC42FC">
        <w:rPr>
          <w:rFonts w:ascii="Palatino Linotype" w:hAnsi="Palatino Linotype" w:cstheme="minorHAnsi"/>
          <w:b/>
        </w:rPr>
        <w:t xml:space="preserve"> </w:t>
      </w:r>
      <w:r w:rsidR="00AC42FC">
        <w:rPr>
          <w:rFonts w:ascii="Palatino Linotype" w:hAnsi="Palatino Linotype" w:cstheme="minorHAnsi"/>
          <w:b/>
        </w:rPr>
        <w:tab/>
      </w:r>
      <w:r w:rsidR="00DE12E5" w:rsidRPr="00AC42FC">
        <w:rPr>
          <w:rFonts w:ascii="Palatino Linotype" w:hAnsi="Palatino Linotype" w:cstheme="minorHAnsi"/>
        </w:rPr>
        <w:t>el número 2 del artículo 26 de la Ordenanza M</w:t>
      </w:r>
      <w:r w:rsidR="00866ED6" w:rsidRPr="00AC42FC">
        <w:rPr>
          <w:rFonts w:ascii="Palatino Linotype" w:hAnsi="Palatino Linotype" w:cstheme="minorHAnsi"/>
        </w:rPr>
        <w:t xml:space="preserve">etropolitana No. </w:t>
      </w:r>
      <w:r w:rsidR="00DE12E5" w:rsidRPr="00AC42FC">
        <w:rPr>
          <w:rFonts w:ascii="Palatino Linotype" w:hAnsi="Palatino Linotype" w:cstheme="minorHAnsi"/>
        </w:rPr>
        <w:t>172, publicada en el Registro Oficial Suplemento 328 de 11 de septiembre de 2012, reformada con Ordenanza Metropolitana No. 432</w:t>
      </w:r>
      <w:r w:rsidR="00866ED6" w:rsidRPr="00AC42FC">
        <w:rPr>
          <w:rFonts w:ascii="Palatino Linotype" w:hAnsi="Palatino Linotype" w:cstheme="minorHAnsi"/>
        </w:rPr>
        <w:t>, sancion</w:t>
      </w:r>
      <w:r w:rsidR="005A6F65" w:rsidRPr="00AC42FC">
        <w:rPr>
          <w:rFonts w:ascii="Palatino Linotype" w:hAnsi="Palatino Linotype" w:cstheme="minorHAnsi"/>
        </w:rPr>
        <w:t xml:space="preserve">ada el </w:t>
      </w:r>
      <w:r w:rsidR="00D52E5E" w:rsidRPr="00AC42FC">
        <w:rPr>
          <w:rFonts w:ascii="Palatino Linotype" w:hAnsi="Palatino Linotype" w:cstheme="minorHAnsi"/>
        </w:rPr>
        <w:t>20 de septiembre</w:t>
      </w:r>
      <w:r w:rsidR="00866ED6" w:rsidRPr="00AC42FC">
        <w:rPr>
          <w:rFonts w:ascii="Palatino Linotype" w:hAnsi="Palatino Linotype" w:cstheme="minorHAnsi"/>
        </w:rPr>
        <w:t xml:space="preserve"> de 201</w:t>
      </w:r>
      <w:r w:rsidR="00D52E5E" w:rsidRPr="00AC42FC">
        <w:rPr>
          <w:rFonts w:ascii="Palatino Linotype" w:hAnsi="Palatino Linotype" w:cstheme="minorHAnsi"/>
        </w:rPr>
        <w:t>3</w:t>
      </w:r>
      <w:r w:rsidR="00866ED6" w:rsidRPr="00AC42FC">
        <w:rPr>
          <w:rFonts w:ascii="Palatino Linotype" w:hAnsi="Palatino Linotype" w:cstheme="minorHAnsi"/>
        </w:rPr>
        <w:t>, define como proyectos urbanísticos</w:t>
      </w:r>
      <w:r w:rsidR="00D52E5E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arquitectónicos especiales a aquellos instrumentos de planificación urbanística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arquitectónica de iniciativa pública o privada, susceptibles de implementarse en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predios que reúnan ciertas características específicas; y que se desarrollarán en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concertación con la Municipalidad y podrán contar con determinaciones de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ocupación y edificabilidad d</w:t>
      </w:r>
      <w:r w:rsidR="00B34D5D" w:rsidRPr="00AC42FC">
        <w:rPr>
          <w:rFonts w:ascii="Palatino Linotype" w:hAnsi="Palatino Linotype" w:cstheme="minorHAnsi"/>
        </w:rPr>
        <w:t>iferentes a las establecidas en</w:t>
      </w:r>
      <w:r w:rsidR="00866ED6" w:rsidRPr="00AC42FC">
        <w:rPr>
          <w:rFonts w:ascii="Palatino Linotype" w:hAnsi="Palatino Linotype" w:cstheme="minorHAnsi"/>
        </w:rPr>
        <w:t xml:space="preserve"> el PUOS, siempre que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constituyan aportes urbanísticos, que mejoren las contribuciones de áreas verdes</w:t>
      </w:r>
      <w:r w:rsidR="005A6F65" w:rsidRPr="00AC42FC">
        <w:rPr>
          <w:rFonts w:ascii="Palatino Linotype" w:hAnsi="Palatino Linotype" w:cstheme="minorHAnsi"/>
        </w:rPr>
        <w:t xml:space="preserve"> </w:t>
      </w:r>
      <w:r w:rsidR="00866ED6" w:rsidRPr="00AC42FC">
        <w:rPr>
          <w:rFonts w:ascii="Palatino Linotype" w:hAnsi="Palatino Linotype" w:cstheme="minorHAnsi"/>
        </w:rPr>
        <w:t>y espacios públicos, la imagen urbana</w:t>
      </w:r>
      <w:r w:rsidR="005A6F65" w:rsidRPr="00AC42FC">
        <w:rPr>
          <w:rFonts w:ascii="Palatino Linotype" w:hAnsi="Palatino Linotype" w:cstheme="minorHAnsi"/>
        </w:rPr>
        <w:t xml:space="preserve"> y el paisaje, y contribuyan al </w:t>
      </w:r>
      <w:r w:rsidR="00866ED6" w:rsidRPr="00AC42FC">
        <w:rPr>
          <w:rFonts w:ascii="Palatino Linotype" w:hAnsi="Palatino Linotype" w:cstheme="minorHAnsi"/>
        </w:rPr>
        <w:t>mantenimiento de áreas naturales;</w:t>
      </w:r>
    </w:p>
    <w:p w:rsid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  <w:b/>
        </w:rPr>
        <w:t>,</w:t>
      </w:r>
      <w:r w:rsidR="00866ED6" w:rsidRPr="00AC42FC">
        <w:rPr>
          <w:rFonts w:ascii="Palatino Linotype" w:hAnsi="Palatino Linotype" w:cstheme="minorHAnsi"/>
        </w:rPr>
        <w:t xml:space="preserve"> </w:t>
      </w:r>
      <w:r w:rsidR="00AC42FC">
        <w:rPr>
          <w:rFonts w:ascii="Palatino Linotype" w:hAnsi="Palatino Linotype" w:cstheme="minorHAnsi"/>
        </w:rPr>
        <w:tab/>
      </w:r>
      <w:r w:rsidR="00866ED6" w:rsidRPr="00AC42FC">
        <w:rPr>
          <w:rFonts w:ascii="Palatino Linotype" w:hAnsi="Palatino Linotype" w:cstheme="minorHAnsi"/>
        </w:rPr>
        <w:t xml:space="preserve">se hace necesaria la </w:t>
      </w:r>
      <w:r w:rsidR="003A79BE" w:rsidRPr="00AC42FC">
        <w:rPr>
          <w:rFonts w:ascii="Palatino Linotype" w:hAnsi="Palatino Linotype" w:cstheme="minorHAnsi"/>
        </w:rPr>
        <w:t>reforma</w:t>
      </w:r>
      <w:r w:rsidR="00183242" w:rsidRPr="00AC42FC">
        <w:rPr>
          <w:rFonts w:ascii="Palatino Linotype" w:hAnsi="Palatino Linotype" w:cstheme="minorHAnsi"/>
        </w:rPr>
        <w:t xml:space="preserve"> </w:t>
      </w:r>
      <w:r w:rsidR="00D52E5E" w:rsidRPr="00AC42FC">
        <w:rPr>
          <w:rFonts w:ascii="Palatino Linotype" w:hAnsi="Palatino Linotype" w:cstheme="minorHAnsi"/>
        </w:rPr>
        <w:t>de la Ordenan</w:t>
      </w:r>
      <w:r w:rsidR="003151B1" w:rsidRPr="00AC42FC">
        <w:rPr>
          <w:rFonts w:ascii="Palatino Linotype" w:hAnsi="Palatino Linotype" w:cstheme="minorHAnsi"/>
        </w:rPr>
        <w:t>za</w:t>
      </w:r>
      <w:r w:rsidR="00183242" w:rsidRPr="00AC42FC">
        <w:rPr>
          <w:rFonts w:ascii="Palatino Linotype" w:hAnsi="Palatino Linotype" w:cstheme="minorHAnsi"/>
        </w:rPr>
        <w:t xml:space="preserve"> Especial No. </w:t>
      </w:r>
      <w:r w:rsidR="00D52E5E" w:rsidRPr="00AC42FC">
        <w:rPr>
          <w:rFonts w:ascii="Palatino Linotype" w:hAnsi="Palatino Linotype" w:cstheme="minorHAnsi"/>
        </w:rPr>
        <w:t>0374,</w:t>
      </w:r>
      <w:r w:rsidR="00183242" w:rsidRPr="00AC42FC">
        <w:rPr>
          <w:rFonts w:ascii="Palatino Linotype" w:hAnsi="Palatino Linotype" w:cstheme="minorHAnsi"/>
        </w:rPr>
        <w:t xml:space="preserve"> Proyecto Urbanístico Ciudad Bicentenario</w:t>
      </w:r>
      <w:r w:rsidR="00CD51B4">
        <w:rPr>
          <w:rFonts w:ascii="Palatino Linotype" w:hAnsi="Palatino Linotype" w:cstheme="minorHAnsi"/>
        </w:rPr>
        <w:t>,</w:t>
      </w:r>
      <w:r w:rsidR="00D52E5E" w:rsidRPr="00AC42FC">
        <w:rPr>
          <w:rFonts w:ascii="Palatino Linotype" w:hAnsi="Palatino Linotype" w:cstheme="minorHAnsi"/>
        </w:rPr>
        <w:t xml:space="preserve"> con el fin de consolidar las zonas de equipamiento con predios que sean de uso público</w:t>
      </w:r>
      <w:r w:rsidR="00AC42FC">
        <w:rPr>
          <w:rFonts w:ascii="Palatino Linotype" w:hAnsi="Palatino Linotype" w:cstheme="minorHAnsi"/>
        </w:rPr>
        <w:t>;</w:t>
      </w:r>
    </w:p>
    <w:p w:rsidR="005A6F65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</w:rPr>
        <w:t>,</w:t>
      </w:r>
      <w:r w:rsidRPr="00AC42FC">
        <w:rPr>
          <w:rFonts w:ascii="Palatino Linotype" w:hAnsi="Palatino Linotype" w:cstheme="minorHAnsi"/>
        </w:rPr>
        <w:t xml:space="preserve"> </w:t>
      </w:r>
      <w:r w:rsidR="00AC42FC">
        <w:rPr>
          <w:rFonts w:ascii="Palatino Linotype" w:hAnsi="Palatino Linotype" w:cstheme="minorHAnsi"/>
        </w:rPr>
        <w:tab/>
      </w:r>
      <w:r w:rsidR="00A801E0" w:rsidRPr="00AC42FC">
        <w:rPr>
          <w:rFonts w:ascii="Palatino Linotype" w:hAnsi="Palatino Linotype" w:cstheme="minorHAnsi"/>
        </w:rPr>
        <w:t>el Secretario</w:t>
      </w:r>
      <w:r w:rsidR="00866ED6" w:rsidRPr="00AC42FC">
        <w:rPr>
          <w:rFonts w:ascii="Palatino Linotype" w:hAnsi="Palatino Linotype" w:cstheme="minorHAnsi"/>
        </w:rPr>
        <w:t xml:space="preserve"> de Territorio, Hábitat </w:t>
      </w:r>
      <w:r w:rsidR="005A6F65" w:rsidRPr="00AC42FC">
        <w:rPr>
          <w:rFonts w:ascii="Palatino Linotype" w:hAnsi="Palatino Linotype" w:cstheme="minorHAnsi"/>
        </w:rPr>
        <w:t>y Vivienda, mediante oficio No</w:t>
      </w:r>
      <w:r w:rsidR="00A801E0" w:rsidRPr="00AC42FC">
        <w:rPr>
          <w:rFonts w:ascii="Palatino Linotype" w:hAnsi="Palatino Linotype" w:cstheme="minorHAnsi"/>
        </w:rPr>
        <w:t>. STHV-D</w:t>
      </w:r>
      <w:r w:rsidRPr="00AC42FC">
        <w:rPr>
          <w:rFonts w:ascii="Palatino Linotype" w:hAnsi="Palatino Linotype" w:cstheme="minorHAnsi"/>
        </w:rPr>
        <w:t>MPPS-2543, emite</w:t>
      </w:r>
      <w:r w:rsidR="00866ED6" w:rsidRPr="00AC42FC">
        <w:rPr>
          <w:rFonts w:ascii="Palatino Linotype" w:hAnsi="Palatino Linotype" w:cstheme="minorHAnsi"/>
        </w:rPr>
        <w:t xml:space="preserve"> informe técnico favorable para</w:t>
      </w:r>
      <w:r w:rsidR="00A801E0" w:rsidRPr="00AC42FC">
        <w:rPr>
          <w:rFonts w:ascii="Palatino Linotype" w:hAnsi="Palatino Linotype" w:cstheme="minorHAnsi"/>
        </w:rPr>
        <w:t xml:space="preserve"> que se continúe con el proyecto normativo reformatorio de la Ordenanza Especial No. 0374, Proyecto Urbanístico Ciudad Bicentenario;</w:t>
      </w:r>
      <w:r w:rsidR="00AC42FC">
        <w:rPr>
          <w:rFonts w:ascii="Palatino Linotype" w:hAnsi="Palatino Linotype" w:cstheme="minorHAnsi"/>
        </w:rPr>
        <w:t xml:space="preserve"> y,</w:t>
      </w:r>
    </w:p>
    <w:p w:rsidR="0020173B" w:rsidRPr="00AC42FC" w:rsidRDefault="004D2017" w:rsidP="00AC42FC">
      <w:pPr>
        <w:spacing w:after="120" w:line="276" w:lineRule="auto"/>
        <w:ind w:left="705" w:hanging="705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Que</w:t>
      </w:r>
      <w:r w:rsidR="00AC42FC">
        <w:rPr>
          <w:rFonts w:ascii="Palatino Linotype" w:hAnsi="Palatino Linotype" w:cstheme="minorHAnsi"/>
        </w:rPr>
        <w:t>,</w:t>
      </w:r>
      <w:r w:rsidR="00A801E0" w:rsidRPr="00AC42FC">
        <w:rPr>
          <w:rFonts w:ascii="Palatino Linotype" w:hAnsi="Palatino Linotype" w:cstheme="minorHAnsi"/>
        </w:rPr>
        <w:t xml:space="preserve"> </w:t>
      </w:r>
      <w:r w:rsidR="00AC42FC">
        <w:rPr>
          <w:rFonts w:ascii="Palatino Linotype" w:hAnsi="Palatino Linotype" w:cstheme="minorHAnsi"/>
        </w:rPr>
        <w:tab/>
      </w:r>
      <w:r w:rsidR="00A801E0" w:rsidRPr="00AC42FC">
        <w:rPr>
          <w:rFonts w:ascii="Palatino Linotype" w:hAnsi="Palatino Linotype" w:cstheme="minorHAnsi"/>
        </w:rPr>
        <w:t xml:space="preserve">el Procurador Metropolitano (e), con </w:t>
      </w:r>
      <w:r w:rsidR="00AC42FC">
        <w:rPr>
          <w:rFonts w:ascii="Palatino Linotype" w:hAnsi="Palatino Linotype" w:cstheme="minorHAnsi"/>
        </w:rPr>
        <w:t>O</w:t>
      </w:r>
      <w:r w:rsidR="00A801E0" w:rsidRPr="00AC42FC">
        <w:rPr>
          <w:rFonts w:ascii="Palatino Linotype" w:hAnsi="Palatino Linotype" w:cstheme="minorHAnsi"/>
        </w:rPr>
        <w:t>ficio GDOC No. 2018-063743, expediente P.M.:</w:t>
      </w:r>
      <w:r w:rsidR="00183242" w:rsidRPr="00AC42FC">
        <w:rPr>
          <w:rFonts w:ascii="Palatino Linotype" w:hAnsi="Palatino Linotype" w:cstheme="minorHAnsi"/>
        </w:rPr>
        <w:t xml:space="preserve"> </w:t>
      </w:r>
      <w:r w:rsidR="00A801E0" w:rsidRPr="00AC42FC">
        <w:rPr>
          <w:rFonts w:ascii="Palatino Linotype" w:hAnsi="Palatino Linotype" w:cstheme="minorHAnsi"/>
        </w:rPr>
        <w:t xml:space="preserve">2018-01723 de 30 de mayo de 2018, emite criterio jurídico favorable al proyecto de Ordenanza reformatoria de la </w:t>
      </w:r>
      <w:r w:rsidR="00AC42FC">
        <w:rPr>
          <w:rFonts w:ascii="Palatino Linotype" w:hAnsi="Palatino Linotype" w:cstheme="minorHAnsi"/>
        </w:rPr>
        <w:t>Ordenanza Especial No. 0374.</w:t>
      </w:r>
    </w:p>
    <w:p w:rsidR="0020173B" w:rsidRPr="00AC42FC" w:rsidRDefault="006A4610" w:rsidP="00AC42FC">
      <w:pPr>
        <w:spacing w:after="120" w:line="276" w:lineRule="auto"/>
        <w:jc w:val="both"/>
        <w:rPr>
          <w:rFonts w:ascii="Palatino Linotype" w:hAnsi="Palatino Linotype" w:cstheme="minorHAnsi"/>
          <w:b/>
        </w:rPr>
      </w:pPr>
      <w:r w:rsidRPr="00AC42FC">
        <w:rPr>
          <w:rFonts w:ascii="Palatino Linotype" w:hAnsi="Palatino Linotype" w:cstheme="minorHAnsi"/>
          <w:b/>
        </w:rPr>
        <w:t>En ejercicio de la</w:t>
      </w:r>
      <w:r w:rsidR="00866ED6" w:rsidRPr="00AC42FC">
        <w:rPr>
          <w:rFonts w:ascii="Palatino Linotype" w:hAnsi="Palatino Linotype" w:cstheme="minorHAnsi"/>
          <w:b/>
        </w:rPr>
        <w:t>s atribuciones</w:t>
      </w:r>
      <w:r w:rsidRPr="00AC42FC">
        <w:rPr>
          <w:rFonts w:ascii="Palatino Linotype" w:hAnsi="Palatino Linotype" w:cstheme="minorHAnsi"/>
          <w:b/>
        </w:rPr>
        <w:t xml:space="preserve"> que le confieren los</w:t>
      </w:r>
      <w:r w:rsidR="00183242" w:rsidRPr="00AC42FC">
        <w:rPr>
          <w:rFonts w:ascii="Palatino Linotype" w:hAnsi="Palatino Linotype" w:cstheme="minorHAnsi"/>
          <w:b/>
        </w:rPr>
        <w:t xml:space="preserve"> artículos 264 números</w:t>
      </w:r>
      <w:r w:rsidR="00866ED6" w:rsidRPr="00AC42FC">
        <w:rPr>
          <w:rFonts w:ascii="Palatino Linotype" w:hAnsi="Palatino Linotype" w:cstheme="minorHAnsi"/>
          <w:b/>
        </w:rPr>
        <w:t xml:space="preserve"> 1 y 2,</w:t>
      </w:r>
      <w:r w:rsidR="0020173B" w:rsidRPr="00AC42FC">
        <w:rPr>
          <w:rFonts w:ascii="Palatino Linotype" w:hAnsi="Palatino Linotype" w:cstheme="minorHAnsi"/>
          <w:b/>
        </w:rPr>
        <w:t xml:space="preserve"> </w:t>
      </w:r>
      <w:r w:rsidR="00183242" w:rsidRPr="00AC42FC">
        <w:rPr>
          <w:rFonts w:ascii="Palatino Linotype" w:hAnsi="Palatino Linotype" w:cstheme="minorHAnsi"/>
          <w:b/>
        </w:rPr>
        <w:t xml:space="preserve">375 número </w:t>
      </w:r>
      <w:r w:rsidR="00866ED6" w:rsidRPr="00AC42FC">
        <w:rPr>
          <w:rFonts w:ascii="Palatino Linotype" w:hAnsi="Palatino Linotype" w:cstheme="minorHAnsi"/>
          <w:b/>
        </w:rPr>
        <w:t>5 de la Constitución de la República; y, 54, 57, 186, 510 y 534 del Código</w:t>
      </w:r>
      <w:r w:rsidR="0020173B" w:rsidRPr="00AC42FC">
        <w:rPr>
          <w:rFonts w:ascii="Palatino Linotype" w:hAnsi="Palatino Linotype" w:cstheme="minorHAnsi"/>
          <w:b/>
        </w:rPr>
        <w:t xml:space="preserve"> </w:t>
      </w:r>
      <w:r w:rsidR="00866ED6" w:rsidRPr="00AC42FC">
        <w:rPr>
          <w:rFonts w:ascii="Palatino Linotype" w:hAnsi="Palatino Linotype" w:cstheme="minorHAnsi"/>
          <w:b/>
        </w:rPr>
        <w:t>Orgánico de Organización Territorial,</w:t>
      </w:r>
      <w:r w:rsidRPr="00AC42FC">
        <w:rPr>
          <w:rFonts w:ascii="Palatino Linotype" w:hAnsi="Palatino Linotype" w:cstheme="minorHAnsi"/>
          <w:b/>
        </w:rPr>
        <w:t xml:space="preserve"> Autonomía y Descentralización,</w:t>
      </w:r>
    </w:p>
    <w:p w:rsidR="0020173B" w:rsidRPr="00AC42FC" w:rsidRDefault="00050B67" w:rsidP="00AC42FC">
      <w:pPr>
        <w:spacing w:after="120" w:line="276" w:lineRule="auto"/>
        <w:jc w:val="center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EXPIDE LA SIGUIENTE:</w:t>
      </w:r>
    </w:p>
    <w:p w:rsidR="0020173B" w:rsidRPr="00AC42FC" w:rsidRDefault="00866ED6" w:rsidP="00050B67">
      <w:pPr>
        <w:spacing w:after="120" w:line="276" w:lineRule="auto"/>
        <w:jc w:val="center"/>
        <w:rPr>
          <w:rFonts w:ascii="Palatino Linotype" w:hAnsi="Palatino Linotype" w:cstheme="minorHAnsi"/>
          <w:b/>
        </w:rPr>
      </w:pPr>
      <w:r w:rsidRPr="00AC42FC">
        <w:rPr>
          <w:rFonts w:ascii="Palatino Linotype" w:hAnsi="Palatino Linotype" w:cstheme="minorHAnsi"/>
          <w:b/>
        </w:rPr>
        <w:lastRenderedPageBreak/>
        <w:t xml:space="preserve">ORDENANZA ESPECIAL </w:t>
      </w:r>
      <w:r w:rsidR="005A6F65" w:rsidRPr="00AC42FC">
        <w:rPr>
          <w:rFonts w:ascii="Palatino Linotype" w:hAnsi="Palatino Linotype" w:cstheme="minorHAnsi"/>
          <w:b/>
        </w:rPr>
        <w:t xml:space="preserve">REFORMATORIA </w:t>
      </w:r>
      <w:r w:rsidRPr="00AC42FC">
        <w:rPr>
          <w:rFonts w:ascii="Palatino Linotype" w:hAnsi="Palatino Linotype" w:cstheme="minorHAnsi"/>
          <w:b/>
        </w:rPr>
        <w:t xml:space="preserve">DE LA </w:t>
      </w:r>
      <w:r w:rsidR="0020173B" w:rsidRPr="00AC42FC">
        <w:rPr>
          <w:rFonts w:ascii="Palatino Linotype" w:hAnsi="Palatino Linotype" w:cstheme="minorHAnsi"/>
          <w:b/>
        </w:rPr>
        <w:t xml:space="preserve">ORDENANZA ESPECIAL No. </w:t>
      </w:r>
      <w:r w:rsidR="005A6F65" w:rsidRPr="00AC42FC">
        <w:rPr>
          <w:rFonts w:ascii="Palatino Linotype" w:hAnsi="Palatino Linotype" w:cstheme="minorHAnsi"/>
          <w:b/>
        </w:rPr>
        <w:t>0374</w:t>
      </w:r>
      <w:r w:rsidRPr="00AC42FC">
        <w:rPr>
          <w:rFonts w:ascii="Palatino Linotype" w:hAnsi="Palatino Linotype" w:cstheme="minorHAnsi"/>
          <w:b/>
        </w:rPr>
        <w:t>, SANCIONADA EL 2</w:t>
      </w:r>
      <w:r w:rsidR="005A6F65" w:rsidRPr="00AC42FC">
        <w:rPr>
          <w:rFonts w:ascii="Palatino Linotype" w:hAnsi="Palatino Linotype" w:cstheme="minorHAnsi"/>
          <w:b/>
        </w:rPr>
        <w:t>2 DE MARZO DEL 2013</w:t>
      </w:r>
      <w:r w:rsidR="005E04A7">
        <w:rPr>
          <w:rFonts w:ascii="Palatino Linotype" w:hAnsi="Palatino Linotype" w:cstheme="minorHAnsi"/>
          <w:b/>
        </w:rPr>
        <w:t>,</w:t>
      </w:r>
      <w:r w:rsidR="005A6F65" w:rsidRPr="00AC42FC">
        <w:rPr>
          <w:rFonts w:ascii="Palatino Linotype" w:hAnsi="Palatino Linotype" w:cstheme="minorHAnsi"/>
          <w:b/>
        </w:rPr>
        <w:t xml:space="preserve"> </w:t>
      </w:r>
      <w:r w:rsidRPr="00AC42FC">
        <w:rPr>
          <w:rFonts w:ascii="Palatino Linotype" w:hAnsi="Palatino Linotype" w:cstheme="minorHAnsi"/>
          <w:b/>
        </w:rPr>
        <w:t xml:space="preserve">QUE APROBÓ EL PROYECTO URBANÍSTICO </w:t>
      </w:r>
      <w:r w:rsidR="008C2A46" w:rsidRPr="00AC42FC">
        <w:rPr>
          <w:rFonts w:ascii="Palatino Linotype" w:hAnsi="Palatino Linotype" w:cstheme="minorHAnsi"/>
          <w:b/>
        </w:rPr>
        <w:t>“</w:t>
      </w:r>
      <w:r w:rsidRPr="00AC42FC">
        <w:rPr>
          <w:rFonts w:ascii="Palatino Linotype" w:hAnsi="Palatino Linotype" w:cstheme="minorHAnsi"/>
          <w:b/>
        </w:rPr>
        <w:t>CIUDAD BICENTENARIO</w:t>
      </w:r>
    </w:p>
    <w:p w:rsidR="0020173B" w:rsidRPr="00AC42FC" w:rsidRDefault="00866ED6" w:rsidP="00AC42FC">
      <w:pPr>
        <w:spacing w:after="120" w:line="276" w:lineRule="auto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 xml:space="preserve">Artículo 1.- </w:t>
      </w:r>
      <w:r w:rsidR="005A6F65" w:rsidRPr="00AC42FC">
        <w:rPr>
          <w:rFonts w:ascii="Palatino Linotype" w:hAnsi="Palatino Linotype" w:cstheme="minorHAnsi"/>
          <w:b/>
        </w:rPr>
        <w:t>Objeto.</w:t>
      </w:r>
      <w:r w:rsidR="00CD51B4">
        <w:rPr>
          <w:rFonts w:ascii="Palatino Linotype" w:hAnsi="Palatino Linotype" w:cstheme="minorHAnsi"/>
        </w:rPr>
        <w:t xml:space="preserve"> - Esta O</w:t>
      </w:r>
      <w:r w:rsidR="005A6F65" w:rsidRPr="00AC42FC">
        <w:rPr>
          <w:rFonts w:ascii="Palatino Linotype" w:hAnsi="Palatino Linotype" w:cstheme="minorHAnsi"/>
        </w:rPr>
        <w:t>rdenanza reforma</w:t>
      </w:r>
      <w:r w:rsidRPr="00AC42FC">
        <w:rPr>
          <w:rFonts w:ascii="Palatino Linotype" w:hAnsi="Palatino Linotype" w:cstheme="minorHAnsi"/>
        </w:rPr>
        <w:t xml:space="preserve"> expresame</w:t>
      </w:r>
      <w:r w:rsidR="00050B67">
        <w:rPr>
          <w:rFonts w:ascii="Palatino Linotype" w:hAnsi="Palatino Linotype" w:cstheme="minorHAnsi"/>
        </w:rPr>
        <w:t>nte a la O</w:t>
      </w:r>
      <w:r w:rsidR="003A503C" w:rsidRPr="00AC42FC">
        <w:rPr>
          <w:rFonts w:ascii="Palatino Linotype" w:hAnsi="Palatino Linotype" w:cstheme="minorHAnsi"/>
        </w:rPr>
        <w:t xml:space="preserve">rdenanza </w:t>
      </w:r>
      <w:r w:rsidR="00050B67">
        <w:rPr>
          <w:rFonts w:ascii="Palatino Linotype" w:hAnsi="Palatino Linotype" w:cstheme="minorHAnsi"/>
        </w:rPr>
        <w:t>E</w:t>
      </w:r>
      <w:r w:rsidR="003A503C" w:rsidRPr="00AC42FC">
        <w:rPr>
          <w:rFonts w:ascii="Palatino Linotype" w:hAnsi="Palatino Linotype" w:cstheme="minorHAnsi"/>
        </w:rPr>
        <w:t>special No.</w:t>
      </w:r>
      <w:r w:rsidRPr="00AC42FC">
        <w:rPr>
          <w:rFonts w:ascii="Palatino Linotype" w:hAnsi="Palatino Linotype" w:cstheme="minorHAnsi"/>
        </w:rPr>
        <w:t>0</w:t>
      </w:r>
      <w:r w:rsidR="005A6F65" w:rsidRPr="00AC42FC">
        <w:rPr>
          <w:rFonts w:ascii="Palatino Linotype" w:hAnsi="Palatino Linotype" w:cstheme="minorHAnsi"/>
        </w:rPr>
        <w:t>374</w:t>
      </w:r>
      <w:r w:rsidRPr="00AC42FC">
        <w:rPr>
          <w:rFonts w:ascii="Palatino Linotype" w:hAnsi="Palatino Linotype" w:cstheme="minorHAnsi"/>
        </w:rPr>
        <w:t xml:space="preserve">, sancionada el </w:t>
      </w:r>
      <w:r w:rsidR="00CD51B4">
        <w:rPr>
          <w:rFonts w:ascii="Palatino Linotype" w:hAnsi="Palatino Linotype" w:cstheme="minorHAnsi"/>
        </w:rPr>
        <w:t>22 de marzo de</w:t>
      </w:r>
      <w:r w:rsidR="005A6F65" w:rsidRPr="00AC42FC">
        <w:rPr>
          <w:rFonts w:ascii="Palatino Linotype" w:hAnsi="Palatino Linotype" w:cstheme="minorHAnsi"/>
        </w:rPr>
        <w:t xml:space="preserve"> 2013</w:t>
      </w:r>
      <w:r w:rsidRPr="00AC42FC">
        <w:rPr>
          <w:rFonts w:ascii="Palatino Linotype" w:hAnsi="Palatino Linotype" w:cstheme="minorHAnsi"/>
        </w:rPr>
        <w:t>, que aprobó</w:t>
      </w:r>
      <w:r w:rsidR="003A503C" w:rsidRPr="00AC42FC">
        <w:rPr>
          <w:rFonts w:ascii="Palatino Linotype" w:hAnsi="Palatino Linotype" w:cstheme="minorHAnsi"/>
        </w:rPr>
        <w:t xml:space="preserve"> el Proyecto Urbanístico Ciudad </w:t>
      </w:r>
      <w:r w:rsidRPr="00AC42FC">
        <w:rPr>
          <w:rFonts w:ascii="Palatino Linotype" w:hAnsi="Palatino Linotype" w:cstheme="minorHAnsi"/>
        </w:rPr>
        <w:t xml:space="preserve">Bicentenario (en adelante </w:t>
      </w:r>
      <w:r w:rsidR="00050B67">
        <w:rPr>
          <w:rFonts w:ascii="Palatino Linotype" w:hAnsi="Palatino Linotype" w:cstheme="minorHAnsi"/>
        </w:rPr>
        <w:t>“</w:t>
      </w:r>
      <w:r w:rsidRPr="00AC42FC">
        <w:rPr>
          <w:rFonts w:ascii="Palatino Linotype" w:hAnsi="Palatino Linotype" w:cstheme="minorHAnsi"/>
        </w:rPr>
        <w:t>El Proyecto</w:t>
      </w:r>
      <w:r w:rsidR="00050B67">
        <w:rPr>
          <w:rFonts w:ascii="Palatino Linotype" w:hAnsi="Palatino Linotype" w:cstheme="minorHAnsi"/>
        </w:rPr>
        <w:t>”</w:t>
      </w:r>
      <w:r w:rsidRPr="00AC42FC">
        <w:rPr>
          <w:rFonts w:ascii="Palatino Linotype" w:hAnsi="Palatino Linotype" w:cstheme="minorHAnsi"/>
        </w:rPr>
        <w:t>).</w:t>
      </w:r>
    </w:p>
    <w:p w:rsidR="00050B67" w:rsidRDefault="00866ED6" w:rsidP="00AC42FC">
      <w:pPr>
        <w:spacing w:after="120" w:line="276" w:lineRule="auto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Artículo 2.-</w:t>
      </w:r>
      <w:r w:rsidRPr="00AC42FC">
        <w:rPr>
          <w:rFonts w:ascii="Palatino Linotype" w:hAnsi="Palatino Linotype" w:cstheme="minorHAnsi"/>
        </w:rPr>
        <w:t xml:space="preserve"> </w:t>
      </w:r>
      <w:r w:rsidR="00355B68" w:rsidRPr="00AC42FC">
        <w:rPr>
          <w:rFonts w:ascii="Palatino Linotype" w:hAnsi="Palatino Linotype" w:cstheme="minorHAnsi"/>
        </w:rPr>
        <w:t>Sustitúyase el artí</w:t>
      </w:r>
      <w:r w:rsidR="005A6F65" w:rsidRPr="00AC42FC">
        <w:rPr>
          <w:rFonts w:ascii="Palatino Linotype" w:hAnsi="Palatino Linotype" w:cstheme="minorHAnsi"/>
        </w:rPr>
        <w:t xml:space="preserve">culo 3 por el siguiente: </w:t>
      </w:r>
    </w:p>
    <w:p w:rsidR="00866ED6" w:rsidRPr="00AC42FC" w:rsidRDefault="005A6F65" w:rsidP="00050B67">
      <w:pPr>
        <w:spacing w:after="120" w:line="276" w:lineRule="auto"/>
        <w:ind w:left="708"/>
        <w:jc w:val="both"/>
        <w:rPr>
          <w:rFonts w:ascii="Palatino Linotype" w:hAnsi="Palatino Linotype" w:cstheme="minorHAnsi"/>
          <w:i/>
        </w:rPr>
      </w:pPr>
      <w:r w:rsidRPr="00AC42FC">
        <w:rPr>
          <w:rFonts w:ascii="Palatino Linotype" w:hAnsi="Palatino Linotype" w:cstheme="minorHAnsi"/>
          <w:i/>
        </w:rPr>
        <w:t>“</w:t>
      </w:r>
      <w:r w:rsidR="00866ED6" w:rsidRPr="00AC42FC">
        <w:rPr>
          <w:rFonts w:ascii="Palatino Linotype" w:hAnsi="Palatino Linotype" w:cstheme="minorHAnsi"/>
          <w:b/>
          <w:i/>
        </w:rPr>
        <w:t xml:space="preserve">Artículo 3.- Órgano </w:t>
      </w:r>
      <w:r w:rsidR="00355B68" w:rsidRPr="00AC42FC">
        <w:rPr>
          <w:rFonts w:ascii="Palatino Linotype" w:hAnsi="Palatino Linotype" w:cstheme="minorHAnsi"/>
          <w:b/>
          <w:i/>
        </w:rPr>
        <w:t>responsable. -</w:t>
      </w:r>
      <w:r w:rsidR="00866ED6" w:rsidRPr="00AC42FC">
        <w:rPr>
          <w:rFonts w:ascii="Palatino Linotype" w:hAnsi="Palatino Linotype" w:cstheme="minorHAnsi"/>
          <w:i/>
        </w:rPr>
        <w:t xml:space="preserve"> Se encarga la gestión, implementación y ejecución de</w:t>
      </w:r>
      <w:r w:rsidRPr="00AC42FC">
        <w:rPr>
          <w:rFonts w:ascii="Palatino Linotype" w:hAnsi="Palatino Linotype" w:cstheme="minorHAnsi"/>
          <w:i/>
        </w:rPr>
        <w:t xml:space="preserve"> </w:t>
      </w:r>
      <w:r w:rsidR="00866ED6" w:rsidRPr="00AC42FC">
        <w:rPr>
          <w:rFonts w:ascii="Palatino Linotype" w:hAnsi="Palatino Linotype" w:cstheme="minorHAnsi"/>
          <w:i/>
        </w:rPr>
        <w:t>la presente ordenanza a la Empresa Pública Metropolitana de Hábitat y Vivienda</w:t>
      </w:r>
      <w:r w:rsidRPr="00AC42FC">
        <w:rPr>
          <w:rFonts w:ascii="Palatino Linotype" w:hAnsi="Palatino Linotype" w:cstheme="minorHAnsi"/>
          <w:i/>
        </w:rPr>
        <w:t xml:space="preserve"> </w:t>
      </w:r>
      <w:r w:rsidR="00866ED6" w:rsidRPr="00AC42FC">
        <w:rPr>
          <w:rFonts w:ascii="Palatino Linotype" w:hAnsi="Palatino Linotype" w:cstheme="minorHAnsi"/>
          <w:i/>
        </w:rPr>
        <w:t>(EPMHV).</w:t>
      </w:r>
    </w:p>
    <w:p w:rsidR="00866ED6" w:rsidRPr="00AC42FC" w:rsidRDefault="00866ED6" w:rsidP="00050B67">
      <w:pPr>
        <w:spacing w:after="120" w:line="276" w:lineRule="auto"/>
        <w:ind w:left="708"/>
        <w:jc w:val="both"/>
        <w:rPr>
          <w:rFonts w:ascii="Palatino Linotype" w:hAnsi="Palatino Linotype" w:cstheme="minorHAnsi"/>
          <w:i/>
        </w:rPr>
      </w:pPr>
      <w:r w:rsidRPr="00AC42FC">
        <w:rPr>
          <w:rFonts w:ascii="Palatino Linotype" w:hAnsi="Palatino Linotype" w:cstheme="minorHAnsi"/>
          <w:i/>
        </w:rPr>
        <w:t xml:space="preserve">La planificación del equipamiento estará a cargo de la </w:t>
      </w:r>
      <w:r w:rsidR="00F82294" w:rsidRPr="00AC42FC">
        <w:rPr>
          <w:rFonts w:ascii="Palatino Linotype" w:hAnsi="Palatino Linotype" w:cstheme="minorHAnsi"/>
          <w:i/>
        </w:rPr>
        <w:t>Empresa Pública Metropolitana de Hábitat y Vivienda (EPMHV),</w:t>
      </w:r>
      <w:r w:rsidRPr="00AC42FC">
        <w:rPr>
          <w:rFonts w:ascii="Palatino Linotype" w:hAnsi="Palatino Linotype" w:cstheme="minorHAnsi"/>
          <w:i/>
        </w:rPr>
        <w:t xml:space="preserve"> en coordinación con las entidades competentes.</w:t>
      </w:r>
    </w:p>
    <w:p w:rsidR="00866ED6" w:rsidRPr="00AC42FC" w:rsidRDefault="00866ED6" w:rsidP="00050B67">
      <w:pPr>
        <w:spacing w:after="120" w:line="276" w:lineRule="auto"/>
        <w:ind w:left="708"/>
        <w:jc w:val="both"/>
        <w:rPr>
          <w:rFonts w:ascii="Palatino Linotype" w:hAnsi="Palatino Linotype" w:cstheme="minorHAnsi"/>
          <w:i/>
        </w:rPr>
      </w:pPr>
      <w:r w:rsidRPr="00AC42FC">
        <w:rPr>
          <w:rFonts w:ascii="Palatino Linotype" w:hAnsi="Palatino Linotype" w:cstheme="minorHAnsi"/>
          <w:i/>
        </w:rPr>
        <w:t>Las áreas de equipamiento que no se construyan inmediatamente, estarán a cargo de la</w:t>
      </w:r>
      <w:r w:rsidR="0020173B" w:rsidRPr="00AC42FC">
        <w:rPr>
          <w:rFonts w:ascii="Palatino Linotype" w:hAnsi="Palatino Linotype" w:cstheme="minorHAnsi"/>
          <w:i/>
        </w:rPr>
        <w:t xml:space="preserve"> </w:t>
      </w:r>
      <w:r w:rsidRPr="00AC42FC">
        <w:rPr>
          <w:rFonts w:ascii="Palatino Linotype" w:hAnsi="Palatino Linotype" w:cstheme="minorHAnsi"/>
          <w:i/>
        </w:rPr>
        <w:t>Gerencia de Espacio Público de la Empresa Pública Metropolitana de Movilidad y Obras</w:t>
      </w:r>
      <w:r w:rsidR="0020173B" w:rsidRPr="00AC42FC">
        <w:rPr>
          <w:rFonts w:ascii="Palatino Linotype" w:hAnsi="Palatino Linotype" w:cstheme="minorHAnsi"/>
          <w:i/>
        </w:rPr>
        <w:t xml:space="preserve"> </w:t>
      </w:r>
      <w:r w:rsidRPr="00AC42FC">
        <w:rPr>
          <w:rFonts w:ascii="Palatino Linotype" w:hAnsi="Palatino Linotype" w:cstheme="minorHAnsi"/>
          <w:i/>
        </w:rPr>
        <w:t>Públicas (EPMMOP), para su adecuación y mantenimient</w:t>
      </w:r>
      <w:r w:rsidR="0020173B" w:rsidRPr="00AC42FC">
        <w:rPr>
          <w:rFonts w:ascii="Palatino Linotype" w:hAnsi="Palatino Linotype" w:cstheme="minorHAnsi"/>
          <w:i/>
        </w:rPr>
        <w:t xml:space="preserve">o, lo cual se llevará a cabo en </w:t>
      </w:r>
      <w:r w:rsidRPr="00AC42FC">
        <w:rPr>
          <w:rFonts w:ascii="Palatino Linotype" w:hAnsi="Palatino Linotype" w:cstheme="minorHAnsi"/>
          <w:i/>
        </w:rPr>
        <w:t>coordinación con la gestión de obras de la EPMHV.</w:t>
      </w:r>
      <w:r w:rsidR="0020173B" w:rsidRPr="00AC42FC">
        <w:rPr>
          <w:rFonts w:ascii="Palatino Linotype" w:hAnsi="Palatino Linotype" w:cstheme="minorHAnsi"/>
          <w:i/>
        </w:rPr>
        <w:t>”</w:t>
      </w:r>
    </w:p>
    <w:p w:rsidR="00A02388" w:rsidRPr="00AC42FC" w:rsidRDefault="00A02388" w:rsidP="00AC42FC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eastAsia="Times New Roman" w:hAnsi="Palatino Linotype" w:cs="Helvetica"/>
          <w:color w:val="26282A"/>
          <w:lang w:eastAsia="es-EC"/>
        </w:rPr>
      </w:pPr>
      <w:r w:rsidRPr="00AC42FC">
        <w:rPr>
          <w:rFonts w:ascii="Palatino Linotype" w:eastAsia="Times New Roman" w:hAnsi="Palatino Linotype" w:cs="Helvetica"/>
          <w:b/>
          <w:color w:val="26282A"/>
          <w:lang w:eastAsia="es-EC"/>
        </w:rPr>
        <w:t xml:space="preserve">Artículo </w:t>
      </w:r>
      <w:r w:rsidR="008C2A46" w:rsidRPr="00AC42FC">
        <w:rPr>
          <w:rFonts w:ascii="Palatino Linotype" w:eastAsia="Times New Roman" w:hAnsi="Palatino Linotype" w:cs="Helvetica"/>
          <w:b/>
          <w:color w:val="26282A"/>
          <w:lang w:eastAsia="es-EC"/>
        </w:rPr>
        <w:t>3</w:t>
      </w:r>
      <w:r w:rsidRPr="00AC42FC">
        <w:rPr>
          <w:rFonts w:ascii="Palatino Linotype" w:eastAsia="Times New Roman" w:hAnsi="Palatino Linotype" w:cs="Helvetica"/>
          <w:b/>
          <w:color w:val="26282A"/>
          <w:lang w:eastAsia="es-EC"/>
        </w:rPr>
        <w:t>.-</w:t>
      </w:r>
      <w:r w:rsidRPr="00AC42FC">
        <w:rPr>
          <w:rFonts w:ascii="Palatino Linotype" w:eastAsia="Times New Roman" w:hAnsi="Palatino Linotype" w:cs="Helvetica"/>
          <w:color w:val="26282A"/>
          <w:lang w:eastAsia="es-EC"/>
        </w:rPr>
        <w:t xml:space="preserve"> Refórmese el inciso cuarto del literal c) del artículo 12 Trama vial, por lo siguiente:</w:t>
      </w:r>
    </w:p>
    <w:p w:rsidR="00A02388" w:rsidRPr="005E04A7" w:rsidRDefault="00A02388" w:rsidP="005E04A7">
      <w:pPr>
        <w:shd w:val="clear" w:color="auto" w:fill="FFFFFF"/>
        <w:spacing w:after="120" w:line="276" w:lineRule="auto"/>
        <w:ind w:left="708"/>
        <w:jc w:val="both"/>
        <w:textAlignment w:val="baseline"/>
        <w:rPr>
          <w:rFonts w:ascii="Palatino Linotype" w:eastAsia="Times New Roman" w:hAnsi="Palatino Linotype" w:cs="Helvetica"/>
          <w:i/>
          <w:color w:val="26282A"/>
          <w:lang w:eastAsia="es-EC"/>
        </w:rPr>
      </w:pPr>
      <w:r w:rsidRPr="005E04A7">
        <w:rPr>
          <w:rFonts w:ascii="Palatino Linotype" w:eastAsia="Times New Roman" w:hAnsi="Palatino Linotype" w:cs="Helvetica"/>
          <w:i/>
          <w:color w:val="26282A"/>
          <w:lang w:eastAsia="es-EC"/>
        </w:rPr>
        <w:t>“Vía interna de un carril (Calles 4 (parcial), 6, 8, 10</w:t>
      </w:r>
      <w:r w:rsidR="00FD4121" w:rsidRPr="005E04A7">
        <w:rPr>
          <w:rFonts w:ascii="Palatino Linotype" w:eastAsia="Times New Roman" w:hAnsi="Palatino Linotype" w:cs="Helvetica"/>
          <w:i/>
          <w:color w:val="26282A"/>
          <w:lang w:eastAsia="es-EC"/>
        </w:rPr>
        <w:t xml:space="preserve">, </w:t>
      </w:r>
      <w:r w:rsidRPr="005E04A7">
        <w:rPr>
          <w:rFonts w:ascii="Palatino Linotype" w:eastAsia="Times New Roman" w:hAnsi="Palatino Linotype" w:cs="Helvetica"/>
          <w:i/>
          <w:color w:val="26282A"/>
          <w:lang w:eastAsia="es-EC"/>
        </w:rPr>
        <w:t xml:space="preserve">de 12 metros de ancho, calzada de 6 metros, un sentido, carril de estacionamiento lateral en banda diferenciada discontinua de 2 metros, aceras de 3 metros combinadas (piso duro 50% y césped 50%) arborizadas cada 6 metros máximo, excepto en aquellos tramos de vía que son considerados como curvas de retorno (Pasajes) que deberán ser de doble sentido.  Ver </w:t>
      </w:r>
      <w:r w:rsidR="005E34A4" w:rsidRPr="005E04A7">
        <w:rPr>
          <w:rFonts w:ascii="Palatino Linotype" w:eastAsia="Times New Roman" w:hAnsi="Palatino Linotype" w:cs="Helvetica"/>
          <w:i/>
          <w:color w:val="26282A"/>
          <w:lang w:eastAsia="es-EC"/>
        </w:rPr>
        <w:t>LAMINA</w:t>
      </w:r>
      <w:r w:rsidRPr="005E04A7">
        <w:rPr>
          <w:rFonts w:ascii="Palatino Linotype" w:eastAsia="Times New Roman" w:hAnsi="Palatino Linotype" w:cs="Helvetica"/>
          <w:i/>
          <w:color w:val="26282A"/>
          <w:lang w:eastAsia="es-EC"/>
        </w:rPr>
        <w:t xml:space="preserve"> P-0</w:t>
      </w:r>
      <w:r w:rsidR="0064184F" w:rsidRPr="005E04A7">
        <w:rPr>
          <w:rFonts w:ascii="Palatino Linotype" w:eastAsia="Times New Roman" w:hAnsi="Palatino Linotype" w:cs="Helvetica"/>
          <w:i/>
          <w:color w:val="26282A"/>
          <w:lang w:eastAsia="es-EC"/>
        </w:rPr>
        <w:t>5</w:t>
      </w:r>
      <w:r w:rsidR="005E04A7" w:rsidRPr="005E04A7">
        <w:rPr>
          <w:rFonts w:ascii="Palatino Linotype" w:eastAsia="Times New Roman" w:hAnsi="Palatino Linotype" w:cs="Helvetica"/>
          <w:i/>
          <w:color w:val="26282A"/>
          <w:lang w:eastAsia="es-EC"/>
        </w:rPr>
        <w:t>.</w:t>
      </w:r>
      <w:r w:rsidRPr="005E04A7">
        <w:rPr>
          <w:rFonts w:ascii="Palatino Linotype" w:eastAsia="Times New Roman" w:hAnsi="Palatino Linotype" w:cs="Helvetica"/>
          <w:i/>
          <w:color w:val="26282A"/>
          <w:lang w:eastAsia="es-EC"/>
        </w:rPr>
        <w:t>”</w:t>
      </w:r>
    </w:p>
    <w:p w:rsidR="006813EB" w:rsidRPr="00AC42FC" w:rsidRDefault="006813EB" w:rsidP="00AC42FC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eastAsia="Times New Roman" w:hAnsi="Palatino Linotype" w:cs="Helvetica"/>
          <w:color w:val="26282A"/>
          <w:lang w:eastAsia="es-EC"/>
        </w:rPr>
      </w:pPr>
      <w:r w:rsidRPr="00AC42FC">
        <w:rPr>
          <w:rFonts w:ascii="Palatino Linotype" w:eastAsia="Times New Roman" w:hAnsi="Palatino Linotype" w:cs="Helvetica"/>
          <w:b/>
          <w:color w:val="26282A"/>
          <w:lang w:eastAsia="es-EC"/>
        </w:rPr>
        <w:t xml:space="preserve">Artículo </w:t>
      </w:r>
      <w:r w:rsidR="008C2A46" w:rsidRPr="00AC42FC">
        <w:rPr>
          <w:rFonts w:ascii="Palatino Linotype" w:eastAsia="Times New Roman" w:hAnsi="Palatino Linotype" w:cs="Helvetica"/>
          <w:b/>
          <w:color w:val="26282A"/>
          <w:lang w:eastAsia="es-EC"/>
        </w:rPr>
        <w:t>4</w:t>
      </w:r>
      <w:r w:rsidRPr="00AC42FC">
        <w:rPr>
          <w:rFonts w:ascii="Palatino Linotype" w:eastAsia="Times New Roman" w:hAnsi="Palatino Linotype" w:cs="Helvetica"/>
          <w:b/>
          <w:color w:val="26282A"/>
          <w:lang w:eastAsia="es-EC"/>
        </w:rPr>
        <w:t>.-</w:t>
      </w:r>
      <w:r w:rsidRPr="00AC42FC">
        <w:rPr>
          <w:rFonts w:ascii="Palatino Linotype" w:eastAsia="Times New Roman" w:hAnsi="Palatino Linotype" w:cs="Helvetica"/>
          <w:color w:val="26282A"/>
          <w:lang w:eastAsia="es-EC"/>
        </w:rPr>
        <w:t xml:space="preserve"> Sustitúyase el literal f) del artículo 12 por el siguiente: </w:t>
      </w:r>
    </w:p>
    <w:p w:rsidR="00A02388" w:rsidRPr="00AC42FC" w:rsidRDefault="006813EB" w:rsidP="005E04A7">
      <w:pPr>
        <w:shd w:val="clear" w:color="auto" w:fill="FFFFFF"/>
        <w:spacing w:after="120" w:line="276" w:lineRule="auto"/>
        <w:ind w:left="708"/>
        <w:jc w:val="both"/>
        <w:textAlignment w:val="baseline"/>
        <w:rPr>
          <w:rFonts w:ascii="Palatino Linotype" w:eastAsia="Times New Roman" w:hAnsi="Palatino Linotype" w:cs="Helvetica"/>
          <w:i/>
          <w:iCs/>
          <w:color w:val="26282A"/>
          <w:lang w:eastAsia="es-EC"/>
        </w:rPr>
      </w:pPr>
      <w:r w:rsidRPr="00AC42FC">
        <w:rPr>
          <w:rFonts w:ascii="Palatino Linotype" w:eastAsia="Times New Roman" w:hAnsi="Palatino Linotype" w:cs="Helvetica"/>
          <w:b/>
          <w:i/>
          <w:color w:val="26282A"/>
          <w:lang w:eastAsia="es-EC"/>
        </w:rPr>
        <w:t xml:space="preserve">“f) </w:t>
      </w:r>
      <w:r w:rsidRPr="00AC42FC">
        <w:rPr>
          <w:rFonts w:ascii="Palatino Linotype" w:eastAsia="Times New Roman" w:hAnsi="Palatino Linotype" w:cs="Helvetica"/>
          <w:b/>
          <w:bCs/>
          <w:i/>
          <w:iCs/>
          <w:color w:val="26282A"/>
          <w:lang w:eastAsia="es-EC"/>
        </w:rPr>
        <w:t>Transporte público. - </w:t>
      </w:r>
      <w:r w:rsidRPr="00AC42FC">
        <w:rPr>
          <w:rFonts w:ascii="Palatino Linotype" w:eastAsia="Times New Roman" w:hAnsi="Palatino Linotype" w:cs="Helvetica"/>
          <w:i/>
          <w:iCs/>
          <w:color w:val="26282A"/>
          <w:lang w:eastAsia="es-EC"/>
        </w:rPr>
        <w:t>Tanto los recorridos, como las paradas del transporte público de pasajeros que preste servicio en Ciudad Bicentenario, responderán a las definiciones que la Entidad Administradora del Sistema de Transporte establezca, para lo cual deberán realizarse los respectivos estudios técnicos y los procesos de socialización con los moradore</w:t>
      </w:r>
      <w:r w:rsidR="00A02388" w:rsidRPr="00AC42FC">
        <w:rPr>
          <w:rFonts w:ascii="Palatino Linotype" w:eastAsia="Times New Roman" w:hAnsi="Palatino Linotype" w:cs="Helvetica"/>
          <w:i/>
          <w:iCs/>
          <w:color w:val="26282A"/>
          <w:lang w:eastAsia="es-EC"/>
        </w:rPr>
        <w:t>s.</w:t>
      </w:r>
    </w:p>
    <w:p w:rsidR="008C2A46" w:rsidRPr="00AC42FC" w:rsidRDefault="00A02388" w:rsidP="005E04A7">
      <w:pPr>
        <w:shd w:val="clear" w:color="auto" w:fill="FFFFFF"/>
        <w:spacing w:after="120" w:line="276" w:lineRule="auto"/>
        <w:ind w:left="708"/>
        <w:jc w:val="both"/>
        <w:textAlignment w:val="baseline"/>
        <w:rPr>
          <w:rFonts w:ascii="Palatino Linotype" w:eastAsia="Times New Roman" w:hAnsi="Palatino Linotype" w:cs="Helvetica"/>
          <w:i/>
          <w:iCs/>
          <w:color w:val="26282A"/>
          <w:lang w:eastAsia="es-EC"/>
        </w:rPr>
      </w:pPr>
      <w:r w:rsidRPr="00AC42FC">
        <w:rPr>
          <w:rFonts w:ascii="Palatino Linotype" w:eastAsia="Times New Roman" w:hAnsi="Palatino Linotype" w:cs="Helvetica"/>
          <w:i/>
          <w:iCs/>
          <w:color w:val="26282A"/>
          <w:lang w:eastAsia="es-EC"/>
        </w:rPr>
        <w:t>La Secretaría responsable de la Movilidad planificará con la antelación pertinente la prestación de servicio en el área de influencia</w:t>
      </w:r>
      <w:r w:rsidR="006813EB" w:rsidRPr="00AC42FC">
        <w:rPr>
          <w:rFonts w:ascii="Palatino Linotype" w:eastAsia="Times New Roman" w:hAnsi="Palatino Linotype" w:cs="Helvetica"/>
          <w:i/>
          <w:iCs/>
          <w:color w:val="26282A"/>
          <w:lang w:eastAsia="es-EC"/>
        </w:rPr>
        <w:t>".</w:t>
      </w:r>
    </w:p>
    <w:p w:rsidR="005E04A7" w:rsidRDefault="008C2A46" w:rsidP="00AC42FC">
      <w:pPr>
        <w:spacing w:after="120" w:line="276" w:lineRule="auto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Artículo 5.-</w:t>
      </w:r>
      <w:r w:rsidRPr="00AC42FC">
        <w:rPr>
          <w:rFonts w:ascii="Palatino Linotype" w:hAnsi="Palatino Linotype" w:cstheme="minorHAnsi"/>
        </w:rPr>
        <w:t xml:space="preserve"> Sustitúyase el artículo 32, por el siguiente: </w:t>
      </w:r>
    </w:p>
    <w:p w:rsidR="008C2A46" w:rsidRPr="00AC42FC" w:rsidRDefault="008C2A46" w:rsidP="005E04A7">
      <w:pPr>
        <w:spacing w:after="120" w:line="276" w:lineRule="auto"/>
        <w:ind w:left="708"/>
        <w:jc w:val="both"/>
        <w:rPr>
          <w:rFonts w:ascii="Palatino Linotype" w:hAnsi="Palatino Linotype" w:cstheme="minorHAnsi"/>
          <w:i/>
        </w:rPr>
      </w:pPr>
      <w:r w:rsidRPr="00AC42FC">
        <w:rPr>
          <w:rFonts w:ascii="Palatino Linotype" w:hAnsi="Palatino Linotype" w:cstheme="minorHAnsi"/>
          <w:i/>
        </w:rPr>
        <w:lastRenderedPageBreak/>
        <w:t>“</w:t>
      </w:r>
      <w:r w:rsidRPr="00AC42FC">
        <w:rPr>
          <w:rFonts w:ascii="Palatino Linotype" w:hAnsi="Palatino Linotype" w:cstheme="minorHAnsi"/>
          <w:b/>
          <w:i/>
        </w:rPr>
        <w:t>Artículo 32.- Asignación de suelo no residencial. -</w:t>
      </w:r>
      <w:r w:rsidRPr="00AC42FC">
        <w:rPr>
          <w:rFonts w:ascii="Palatino Linotype" w:hAnsi="Palatino Linotype" w:cstheme="minorHAnsi"/>
          <w:i/>
        </w:rPr>
        <w:t xml:space="preserve"> Las áreas que se asignan al equipamiento u</w:t>
      </w:r>
      <w:r w:rsidR="00CF4D21" w:rsidRPr="00AC42FC">
        <w:rPr>
          <w:rFonts w:ascii="Palatino Linotype" w:hAnsi="Palatino Linotype" w:cstheme="minorHAnsi"/>
          <w:i/>
        </w:rPr>
        <w:t>rbano, seg</w:t>
      </w:r>
      <w:r w:rsidR="005E04A7">
        <w:rPr>
          <w:rFonts w:ascii="Palatino Linotype" w:hAnsi="Palatino Linotype" w:cstheme="minorHAnsi"/>
          <w:i/>
        </w:rPr>
        <w:t>ún el cuadro No. 1 de la lámina</w:t>
      </w:r>
      <w:r w:rsidRPr="00AC42FC">
        <w:rPr>
          <w:rFonts w:ascii="Palatino Linotype" w:hAnsi="Palatino Linotype" w:cstheme="minorHAnsi"/>
          <w:i/>
        </w:rPr>
        <w:t xml:space="preserve"> P-14 adjunto a la presente ordenanza, son:</w:t>
      </w:r>
    </w:p>
    <w:p w:rsidR="008C2A46" w:rsidRPr="00AC42FC" w:rsidRDefault="008C2A46" w:rsidP="005E04A7">
      <w:pPr>
        <w:spacing w:after="120" w:line="276" w:lineRule="auto"/>
        <w:ind w:left="708"/>
        <w:jc w:val="both"/>
        <w:rPr>
          <w:rFonts w:ascii="Palatino Linotype" w:hAnsi="Palatino Linotype" w:cstheme="minorHAnsi"/>
          <w:i/>
        </w:rPr>
      </w:pPr>
      <w:r w:rsidRPr="00AC42FC">
        <w:rPr>
          <w:rFonts w:ascii="Palatino Linotype" w:hAnsi="Palatino Linotype" w:cstheme="minorHAnsi"/>
          <w:i/>
        </w:rPr>
        <w:t>• Suelo para equipamiento social y público, constituido por el aporte que establecen las Normas de Arquitectura y Urbanismo. Estos terrenos serán transferidos a favor de la Municipalidad en calidad de bienes municipales de dominio público, y se destinarán a los equipamientos establecidos en el Plano</w:t>
      </w:r>
      <w:r w:rsidR="00C22D17" w:rsidRPr="00AC42FC">
        <w:rPr>
          <w:rFonts w:ascii="Palatino Linotype" w:hAnsi="Palatino Linotype" w:cstheme="minorHAnsi"/>
          <w:i/>
        </w:rPr>
        <w:t xml:space="preserve"> de la lámina </w:t>
      </w:r>
      <w:r w:rsidRPr="00AC42FC">
        <w:rPr>
          <w:rFonts w:ascii="Palatino Linotype" w:hAnsi="Palatino Linotype" w:cstheme="minorHAnsi"/>
          <w:i/>
        </w:rPr>
        <w:t>P-12 Usos de Suelo y reservas para equipamientos y en el cuadro</w:t>
      </w:r>
      <w:r w:rsidR="00F1388E" w:rsidRPr="00AC42FC">
        <w:rPr>
          <w:rFonts w:ascii="Palatino Linotype" w:hAnsi="Palatino Linotype" w:cstheme="minorHAnsi"/>
          <w:i/>
        </w:rPr>
        <w:t xml:space="preserve"> No. 1</w:t>
      </w:r>
      <w:r w:rsidRPr="00AC42FC">
        <w:rPr>
          <w:rFonts w:ascii="Palatino Linotype" w:hAnsi="Palatino Linotype" w:cstheme="minorHAnsi"/>
          <w:i/>
        </w:rPr>
        <w:t xml:space="preserve"> de</w:t>
      </w:r>
      <w:r w:rsidR="00F1388E" w:rsidRPr="00AC42FC">
        <w:rPr>
          <w:rFonts w:ascii="Palatino Linotype" w:hAnsi="Palatino Linotype" w:cstheme="minorHAnsi"/>
          <w:i/>
        </w:rPr>
        <w:t xml:space="preserve"> </w:t>
      </w:r>
      <w:r w:rsidRPr="00AC42FC">
        <w:rPr>
          <w:rFonts w:ascii="Palatino Linotype" w:hAnsi="Palatino Linotype" w:cstheme="minorHAnsi"/>
          <w:i/>
        </w:rPr>
        <w:t>l</w:t>
      </w:r>
      <w:r w:rsidR="00F1388E" w:rsidRPr="00AC42FC">
        <w:rPr>
          <w:rFonts w:ascii="Palatino Linotype" w:hAnsi="Palatino Linotype" w:cstheme="minorHAnsi"/>
          <w:i/>
        </w:rPr>
        <w:t>a</w:t>
      </w:r>
      <w:r w:rsidRPr="00AC42FC">
        <w:rPr>
          <w:rFonts w:ascii="Palatino Linotype" w:hAnsi="Palatino Linotype" w:cstheme="minorHAnsi"/>
          <w:i/>
        </w:rPr>
        <w:t xml:space="preserve"> </w:t>
      </w:r>
      <w:r w:rsidR="00F1388E" w:rsidRPr="00AC42FC">
        <w:rPr>
          <w:rFonts w:ascii="Palatino Linotype" w:hAnsi="Palatino Linotype" w:cstheme="minorHAnsi"/>
          <w:i/>
        </w:rPr>
        <w:t>lámina</w:t>
      </w:r>
      <w:r w:rsidRPr="00AC42FC">
        <w:rPr>
          <w:rFonts w:ascii="Palatino Linotype" w:hAnsi="Palatino Linotype" w:cstheme="minorHAnsi"/>
          <w:i/>
        </w:rPr>
        <w:t xml:space="preserve"> P-14 Refer</w:t>
      </w:r>
      <w:r w:rsidR="00F1388E" w:rsidRPr="00AC42FC">
        <w:rPr>
          <w:rFonts w:ascii="Palatino Linotype" w:hAnsi="Palatino Linotype" w:cstheme="minorHAnsi"/>
          <w:i/>
        </w:rPr>
        <w:t>en</w:t>
      </w:r>
      <w:r w:rsidRPr="00AC42FC">
        <w:rPr>
          <w:rFonts w:ascii="Palatino Linotype" w:hAnsi="Palatino Linotype" w:cstheme="minorHAnsi"/>
          <w:i/>
        </w:rPr>
        <w:t>te al Equipamiento.</w:t>
      </w:r>
    </w:p>
    <w:p w:rsidR="008C2A46" w:rsidRPr="00AC42FC" w:rsidRDefault="008C2A46" w:rsidP="005E04A7">
      <w:pPr>
        <w:spacing w:after="120" w:line="276" w:lineRule="auto"/>
        <w:ind w:left="708"/>
        <w:jc w:val="both"/>
        <w:rPr>
          <w:rFonts w:ascii="Palatino Linotype" w:hAnsi="Palatino Linotype" w:cstheme="minorHAnsi"/>
          <w:i/>
        </w:rPr>
      </w:pPr>
      <w:r w:rsidRPr="00AC42FC">
        <w:rPr>
          <w:rFonts w:ascii="Palatino Linotype" w:hAnsi="Palatino Linotype" w:cstheme="minorHAnsi"/>
          <w:i/>
        </w:rPr>
        <w:t xml:space="preserve">En el caso de que existan áreas de equipamiento adicionales a las requeridas por la norma </w:t>
      </w:r>
      <w:r w:rsidR="003B748D" w:rsidRPr="00AC42FC">
        <w:rPr>
          <w:rFonts w:ascii="Palatino Linotype" w:hAnsi="Palatino Linotype" w:cstheme="minorHAnsi"/>
          <w:i/>
        </w:rPr>
        <w:t>serán</w:t>
      </w:r>
      <w:r w:rsidRPr="00AC42FC">
        <w:rPr>
          <w:rFonts w:ascii="Palatino Linotype" w:hAnsi="Palatino Linotype" w:cstheme="minorHAnsi"/>
          <w:i/>
        </w:rPr>
        <w:t xml:space="preserve"> bienes de uso público, sumándose a las ya existentes.</w:t>
      </w:r>
    </w:p>
    <w:p w:rsidR="008C2A46" w:rsidRPr="00AC42FC" w:rsidRDefault="008C2A46" w:rsidP="005E04A7">
      <w:pPr>
        <w:spacing w:after="120" w:line="276" w:lineRule="auto"/>
        <w:ind w:left="708"/>
        <w:jc w:val="both"/>
        <w:rPr>
          <w:rFonts w:ascii="Palatino Linotype" w:hAnsi="Palatino Linotype" w:cstheme="minorHAnsi"/>
          <w:i/>
        </w:rPr>
      </w:pPr>
      <w:r w:rsidRPr="00AC42FC">
        <w:rPr>
          <w:rFonts w:ascii="Palatino Linotype" w:hAnsi="Palatino Linotype" w:cstheme="minorHAnsi"/>
          <w:i/>
        </w:rPr>
        <w:t>En relación a las manz</w:t>
      </w:r>
      <w:r w:rsidR="003B748D" w:rsidRPr="00AC42FC">
        <w:rPr>
          <w:rFonts w:ascii="Palatino Linotype" w:hAnsi="Palatino Linotype" w:cstheme="minorHAnsi"/>
          <w:i/>
        </w:rPr>
        <w:t>anas de equipamiento</w:t>
      </w:r>
      <w:r w:rsidRPr="00AC42FC">
        <w:rPr>
          <w:rFonts w:ascii="Palatino Linotype" w:hAnsi="Palatino Linotype" w:cstheme="minorHAnsi"/>
          <w:i/>
        </w:rPr>
        <w:t xml:space="preserve"> M</w:t>
      </w:r>
      <w:r w:rsidR="005F14A5" w:rsidRPr="00AC42FC">
        <w:rPr>
          <w:rFonts w:ascii="Palatino Linotype" w:hAnsi="Palatino Linotype" w:cstheme="minorHAnsi"/>
          <w:i/>
        </w:rPr>
        <w:t>E</w:t>
      </w:r>
      <w:r w:rsidRPr="00AC42FC">
        <w:rPr>
          <w:rFonts w:ascii="Palatino Linotype" w:hAnsi="Palatino Linotype" w:cstheme="minorHAnsi"/>
          <w:i/>
        </w:rPr>
        <w:t>Q</w:t>
      </w:r>
      <w:r w:rsidR="009B0368" w:rsidRPr="00AC42FC">
        <w:rPr>
          <w:rFonts w:ascii="Palatino Linotype" w:hAnsi="Palatino Linotype" w:cstheme="minorHAnsi"/>
          <w:i/>
        </w:rPr>
        <w:t>-</w:t>
      </w:r>
      <w:r w:rsidRPr="00AC42FC">
        <w:rPr>
          <w:rFonts w:ascii="Palatino Linotype" w:hAnsi="Palatino Linotype" w:cstheme="minorHAnsi"/>
          <w:i/>
        </w:rPr>
        <w:t>12</w:t>
      </w:r>
      <w:r w:rsidR="009B0368" w:rsidRPr="00AC42FC">
        <w:rPr>
          <w:rFonts w:ascii="Palatino Linotype" w:hAnsi="Palatino Linotype" w:cstheme="minorHAnsi"/>
          <w:i/>
        </w:rPr>
        <w:t>; MEQ</w:t>
      </w:r>
      <w:r w:rsidRPr="00AC42FC">
        <w:rPr>
          <w:rFonts w:ascii="Palatino Linotype" w:hAnsi="Palatino Linotype" w:cstheme="minorHAnsi"/>
          <w:i/>
        </w:rPr>
        <w:t xml:space="preserve">-13 donde se implanta el Colegio Réplica </w:t>
      </w:r>
      <w:r w:rsidR="00E47DC3" w:rsidRPr="00AC42FC">
        <w:rPr>
          <w:rFonts w:ascii="Palatino Linotype" w:hAnsi="Palatino Linotype" w:cstheme="minorHAnsi"/>
          <w:i/>
        </w:rPr>
        <w:t>Montufar</w:t>
      </w:r>
      <w:r w:rsidRPr="00AC42FC">
        <w:rPr>
          <w:rFonts w:ascii="Palatino Linotype" w:hAnsi="Palatino Linotype" w:cstheme="minorHAnsi"/>
          <w:i/>
        </w:rPr>
        <w:t>, se mant</w:t>
      </w:r>
      <w:r w:rsidR="003B748D" w:rsidRPr="00AC42FC">
        <w:rPr>
          <w:rFonts w:ascii="Palatino Linotype" w:hAnsi="Palatino Linotype" w:cstheme="minorHAnsi"/>
          <w:i/>
        </w:rPr>
        <w:t>iene</w:t>
      </w:r>
      <w:r w:rsidRPr="00AC42FC">
        <w:rPr>
          <w:rFonts w:ascii="Palatino Linotype" w:hAnsi="Palatino Linotype" w:cstheme="minorHAnsi"/>
          <w:i/>
        </w:rPr>
        <w:t xml:space="preserve"> el estado actual </w:t>
      </w:r>
      <w:r w:rsidR="003B748D" w:rsidRPr="00AC42FC">
        <w:rPr>
          <w:rFonts w:ascii="Palatino Linotype" w:hAnsi="Palatino Linotype" w:cstheme="minorHAnsi"/>
          <w:i/>
        </w:rPr>
        <w:t xml:space="preserve">al igual que </w:t>
      </w:r>
      <w:r w:rsidRPr="00AC42FC">
        <w:rPr>
          <w:rFonts w:ascii="Palatino Linotype" w:hAnsi="Palatino Linotype" w:cstheme="minorHAnsi"/>
          <w:i/>
        </w:rPr>
        <w:t>la manzana M</w:t>
      </w:r>
      <w:r w:rsidR="005F14A5" w:rsidRPr="00AC42FC">
        <w:rPr>
          <w:rFonts w:ascii="Palatino Linotype" w:hAnsi="Palatino Linotype" w:cstheme="minorHAnsi"/>
          <w:i/>
        </w:rPr>
        <w:t>E</w:t>
      </w:r>
      <w:r w:rsidRPr="00AC42FC">
        <w:rPr>
          <w:rFonts w:ascii="Palatino Linotype" w:hAnsi="Palatino Linotype" w:cstheme="minorHAnsi"/>
          <w:i/>
        </w:rPr>
        <w:t>Q-14 destina</w:t>
      </w:r>
      <w:r w:rsidR="005F14A5" w:rsidRPr="00AC42FC">
        <w:rPr>
          <w:rFonts w:ascii="Palatino Linotype" w:hAnsi="Palatino Linotype" w:cstheme="minorHAnsi"/>
          <w:i/>
        </w:rPr>
        <w:t>do</w:t>
      </w:r>
      <w:r w:rsidRPr="00AC42FC">
        <w:rPr>
          <w:rFonts w:ascii="Palatino Linotype" w:hAnsi="Palatino Linotype" w:cstheme="minorHAnsi"/>
          <w:i/>
        </w:rPr>
        <w:t xml:space="preserve"> a educación, esto a fin de consolidar los servicios </w:t>
      </w:r>
      <w:r w:rsidR="00BD1735" w:rsidRPr="00AC42FC">
        <w:rPr>
          <w:rFonts w:ascii="Palatino Linotype" w:hAnsi="Palatino Linotype" w:cstheme="minorHAnsi"/>
          <w:i/>
        </w:rPr>
        <w:t>educativos</w:t>
      </w:r>
      <w:r w:rsidRPr="00AC42FC">
        <w:rPr>
          <w:rFonts w:ascii="Palatino Linotype" w:hAnsi="Palatino Linotype" w:cstheme="minorHAnsi"/>
          <w:i/>
        </w:rPr>
        <w:t>.</w:t>
      </w:r>
      <w:r w:rsidR="005E04A7">
        <w:rPr>
          <w:rFonts w:ascii="Palatino Linotype" w:hAnsi="Palatino Linotype" w:cstheme="minorHAnsi"/>
          <w:i/>
        </w:rPr>
        <w:t>”</w:t>
      </w:r>
    </w:p>
    <w:p w:rsidR="00866ED6" w:rsidRPr="00AC42FC" w:rsidRDefault="005E04A7" w:rsidP="00AC42FC">
      <w:pPr>
        <w:spacing w:after="120" w:line="276" w:lineRule="auto"/>
        <w:jc w:val="both"/>
        <w:rPr>
          <w:rFonts w:ascii="Palatino Linotype" w:hAnsi="Palatino Linotype" w:cstheme="minorHAnsi"/>
          <w:b/>
        </w:rPr>
      </w:pPr>
      <w:r w:rsidRPr="00AC42FC">
        <w:rPr>
          <w:rFonts w:ascii="Palatino Linotype" w:hAnsi="Palatino Linotype" w:cstheme="minorHAnsi"/>
          <w:b/>
        </w:rPr>
        <w:t>Disposiciones Generales</w:t>
      </w:r>
      <w:r w:rsidR="00355B68" w:rsidRPr="00AC42FC">
        <w:rPr>
          <w:rFonts w:ascii="Palatino Linotype" w:hAnsi="Palatino Linotype" w:cstheme="minorHAnsi"/>
          <w:b/>
        </w:rPr>
        <w:t>. -</w:t>
      </w:r>
    </w:p>
    <w:p w:rsidR="00355B68" w:rsidRPr="00AC42FC" w:rsidRDefault="00355B68" w:rsidP="00AC42FC">
      <w:pPr>
        <w:spacing w:after="120" w:line="276" w:lineRule="auto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Primera. -</w:t>
      </w:r>
      <w:r w:rsidR="00866ED6" w:rsidRPr="00AC42FC">
        <w:rPr>
          <w:rFonts w:ascii="Palatino Linotype" w:hAnsi="Palatino Linotype" w:cstheme="minorHAnsi"/>
          <w:b/>
        </w:rPr>
        <w:t xml:space="preserve"> </w:t>
      </w:r>
      <w:r w:rsidRPr="00AC42FC">
        <w:rPr>
          <w:rFonts w:ascii="Palatino Linotype" w:hAnsi="Palatino Linotype" w:cstheme="minorHAnsi"/>
        </w:rPr>
        <w:t xml:space="preserve">La reforma dispuesta mediante la presente Ordenanza Metropolitana tiene efecto únicamente en lo referente a los </w:t>
      </w:r>
      <w:r w:rsidR="007643B1" w:rsidRPr="00AC42FC">
        <w:rPr>
          <w:rFonts w:ascii="Palatino Linotype" w:hAnsi="Palatino Linotype" w:cstheme="minorHAnsi"/>
        </w:rPr>
        <w:t>artículos</w:t>
      </w:r>
      <w:r w:rsidRPr="00AC42FC">
        <w:rPr>
          <w:rFonts w:ascii="Palatino Linotype" w:hAnsi="Palatino Linotype" w:cstheme="minorHAnsi"/>
        </w:rPr>
        <w:t xml:space="preserve"> reformados, por consiguiente, la</w:t>
      </w:r>
      <w:r w:rsidR="006813EB" w:rsidRPr="00AC42FC">
        <w:rPr>
          <w:rFonts w:ascii="Palatino Linotype" w:hAnsi="Palatino Linotype" w:cstheme="minorHAnsi"/>
        </w:rPr>
        <w:t xml:space="preserve"> </w:t>
      </w:r>
      <w:r w:rsidRPr="00AC42FC">
        <w:rPr>
          <w:rFonts w:ascii="Palatino Linotype" w:hAnsi="Palatino Linotype" w:cstheme="minorHAnsi"/>
        </w:rPr>
        <w:t xml:space="preserve">Ordenanza Metropolitana No. </w:t>
      </w:r>
      <w:r w:rsidR="007643B1" w:rsidRPr="00AC42FC">
        <w:rPr>
          <w:rFonts w:ascii="Palatino Linotype" w:hAnsi="Palatino Linotype" w:cstheme="minorHAnsi"/>
        </w:rPr>
        <w:t>0374</w:t>
      </w:r>
      <w:r w:rsidRPr="00AC42FC">
        <w:rPr>
          <w:rFonts w:ascii="Palatino Linotype" w:hAnsi="Palatino Linotype" w:cstheme="minorHAnsi"/>
        </w:rPr>
        <w:t xml:space="preserve"> sancionada el </w:t>
      </w:r>
      <w:r w:rsidR="007643B1" w:rsidRPr="00AC42FC">
        <w:rPr>
          <w:rFonts w:ascii="Palatino Linotype" w:hAnsi="Palatino Linotype" w:cstheme="minorHAnsi"/>
        </w:rPr>
        <w:t>22 de marzo del 2013, en todo lo que no se hay</w:t>
      </w:r>
      <w:r w:rsidR="00113061" w:rsidRPr="00AC42FC">
        <w:rPr>
          <w:rFonts w:ascii="Palatino Linotype" w:hAnsi="Palatino Linotype" w:cstheme="minorHAnsi"/>
        </w:rPr>
        <w:t>a</w:t>
      </w:r>
      <w:r w:rsidR="007643B1" w:rsidRPr="00AC42FC">
        <w:rPr>
          <w:rFonts w:ascii="Palatino Linotype" w:hAnsi="Palatino Linotype" w:cstheme="minorHAnsi"/>
        </w:rPr>
        <w:t xml:space="preserve"> reformado, </w:t>
      </w:r>
      <w:r w:rsidRPr="00AC42FC">
        <w:rPr>
          <w:rFonts w:ascii="Palatino Linotype" w:hAnsi="Palatino Linotype" w:cstheme="minorHAnsi"/>
        </w:rPr>
        <w:t>tiene plena validez y vigencia.</w:t>
      </w:r>
    </w:p>
    <w:p w:rsidR="007643B1" w:rsidRPr="00AC42FC" w:rsidRDefault="006813EB" w:rsidP="00AC42FC">
      <w:pPr>
        <w:spacing w:after="120" w:line="276" w:lineRule="auto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>Segunda</w:t>
      </w:r>
      <w:r w:rsidR="007643B1" w:rsidRPr="00AC42FC">
        <w:rPr>
          <w:rFonts w:ascii="Palatino Linotype" w:hAnsi="Palatino Linotype" w:cstheme="minorHAnsi"/>
          <w:b/>
        </w:rPr>
        <w:t>. -</w:t>
      </w:r>
      <w:r w:rsidR="007643B1" w:rsidRPr="00AC42FC">
        <w:rPr>
          <w:rFonts w:ascii="Palatino Linotype" w:hAnsi="Palatino Linotype" w:cstheme="minorHAnsi"/>
        </w:rPr>
        <w:t xml:space="preserve"> En todo lo no previsto en esta ordenanza se estará a lo dispuesto en las ordenanzas metropolitanas vigentes, las Normas de Arquitectura y Urbanismo, el Código Ecuatoriano de la Construcción y el Código Orgánico de Organización Territorial, Autonomía y Descentralización.</w:t>
      </w:r>
    </w:p>
    <w:p w:rsidR="00355B68" w:rsidRPr="00AC42FC" w:rsidRDefault="00355B68" w:rsidP="00AC42FC">
      <w:pPr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  <w:b/>
        </w:rPr>
        <w:t xml:space="preserve">Disposición </w:t>
      </w:r>
      <w:r w:rsidR="007643B1" w:rsidRPr="00AC42FC">
        <w:rPr>
          <w:rFonts w:ascii="Palatino Linotype" w:hAnsi="Palatino Linotype" w:cstheme="minorHAnsi"/>
          <w:b/>
        </w:rPr>
        <w:t>final. -</w:t>
      </w:r>
      <w:r w:rsidRPr="00AC42FC">
        <w:rPr>
          <w:rFonts w:ascii="Palatino Linotype" w:hAnsi="Palatino Linotype" w:cstheme="minorHAnsi"/>
        </w:rPr>
        <w:t xml:space="preserve"> Esta Ordenanza entrará en vigencia</w:t>
      </w:r>
      <w:r w:rsidR="00FD4121" w:rsidRPr="00AC42FC">
        <w:rPr>
          <w:rFonts w:ascii="Palatino Linotype" w:hAnsi="Palatino Linotype" w:cstheme="minorHAnsi"/>
        </w:rPr>
        <w:t xml:space="preserve"> a partir de su sanción, sin perjuicio de su publicación en la Gaceta Oficial y la página web institucional.</w:t>
      </w:r>
    </w:p>
    <w:p w:rsidR="005E04A7" w:rsidRPr="00F420E6" w:rsidRDefault="005E04A7" w:rsidP="005E04A7">
      <w:pPr>
        <w:pStyle w:val="Cuadrculaclara-nfasis31"/>
        <w:tabs>
          <w:tab w:val="left" w:pos="2410"/>
        </w:tabs>
        <w:suppressAutoHyphens w:val="0"/>
        <w:spacing w:after="120"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F420E6">
        <w:rPr>
          <w:rFonts w:ascii="Palatino Linotype" w:hAnsi="Palatino Linotype"/>
          <w:sz w:val="22"/>
          <w:szCs w:val="22"/>
        </w:rPr>
        <w:t>Dada, en la Sala de Sesiones del Concejo Metropolitano de Quito, el 2</w:t>
      </w:r>
      <w:r>
        <w:rPr>
          <w:rFonts w:ascii="Palatino Linotype" w:hAnsi="Palatino Linotype"/>
          <w:sz w:val="22"/>
          <w:szCs w:val="22"/>
        </w:rPr>
        <w:t>3</w:t>
      </w:r>
      <w:r w:rsidRPr="00F420E6">
        <w:rPr>
          <w:rFonts w:ascii="Palatino Linotype" w:hAnsi="Palatino Linotype"/>
          <w:sz w:val="22"/>
          <w:szCs w:val="22"/>
        </w:rPr>
        <w:t xml:space="preserve"> de </w:t>
      </w:r>
      <w:r>
        <w:rPr>
          <w:rFonts w:ascii="Palatino Linotype" w:hAnsi="Palatino Linotype"/>
          <w:sz w:val="22"/>
          <w:szCs w:val="22"/>
        </w:rPr>
        <w:t xml:space="preserve">agosto </w:t>
      </w:r>
      <w:r w:rsidRPr="00F420E6">
        <w:rPr>
          <w:rFonts w:ascii="Palatino Linotype" w:hAnsi="Palatino Linotype"/>
          <w:sz w:val="22"/>
          <w:szCs w:val="22"/>
        </w:rPr>
        <w:t>de 2018.</w:t>
      </w:r>
    </w:p>
    <w:p w:rsidR="005E04A7" w:rsidRPr="00F420E6" w:rsidRDefault="005E04A7" w:rsidP="005E04A7">
      <w:pPr>
        <w:pStyle w:val="Textopredeterminado"/>
        <w:shd w:val="clear" w:color="auto" w:fill="FFFFFF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5E04A7" w:rsidRPr="00F420E6" w:rsidRDefault="005E04A7" w:rsidP="005E04A7">
      <w:pPr>
        <w:pStyle w:val="Textopredeterminado"/>
        <w:shd w:val="clear" w:color="auto" w:fill="FFFFFF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tbl>
      <w:tblPr>
        <w:tblW w:w="10949" w:type="dxa"/>
        <w:jc w:val="center"/>
        <w:tblLook w:val="04A0" w:firstRow="1" w:lastRow="0" w:firstColumn="1" w:lastColumn="0" w:noHBand="0" w:noVBand="1"/>
      </w:tblPr>
      <w:tblGrid>
        <w:gridCol w:w="5601"/>
        <w:gridCol w:w="5348"/>
      </w:tblGrid>
      <w:tr w:rsidR="005E04A7" w:rsidRPr="00F420E6" w:rsidTr="00031C35">
        <w:trPr>
          <w:trHeight w:val="706"/>
          <w:jc w:val="center"/>
        </w:trPr>
        <w:tc>
          <w:tcPr>
            <w:tcW w:w="5601" w:type="dxa"/>
            <w:hideMark/>
          </w:tcPr>
          <w:p w:rsidR="005E04A7" w:rsidRPr="00F420E6" w:rsidRDefault="005E04A7" w:rsidP="00031C35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F420E6">
              <w:rPr>
                <w:rFonts w:ascii="Palatino Linotype" w:hAnsi="Palatino Linotype" w:cs="Arial"/>
                <w:sz w:val="19"/>
                <w:szCs w:val="19"/>
              </w:rPr>
              <w:t>Abg. Eduardo Del Pozo</w:t>
            </w:r>
          </w:p>
          <w:p w:rsidR="005E04A7" w:rsidRPr="00F420E6" w:rsidRDefault="005E04A7" w:rsidP="00031C35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F420E6">
              <w:rPr>
                <w:rFonts w:ascii="Palatino Linotype" w:hAnsi="Palatino Linotype" w:cs="Arial"/>
                <w:b/>
                <w:sz w:val="19"/>
                <w:szCs w:val="19"/>
              </w:rPr>
              <w:t>Primer Vicepresidente del Concejo Metropolitano de Quito</w:t>
            </w:r>
          </w:p>
        </w:tc>
        <w:tc>
          <w:tcPr>
            <w:tcW w:w="5348" w:type="dxa"/>
            <w:hideMark/>
          </w:tcPr>
          <w:p w:rsidR="005E04A7" w:rsidRPr="00F420E6" w:rsidRDefault="005E04A7" w:rsidP="00031C35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F420E6">
              <w:rPr>
                <w:rFonts w:ascii="Palatino Linotype" w:hAnsi="Palatino Linotype" w:cs="Arial"/>
                <w:sz w:val="19"/>
                <w:szCs w:val="19"/>
              </w:rPr>
              <w:t>Abg. Diego Cevallos Salgado</w:t>
            </w:r>
          </w:p>
          <w:p w:rsidR="005E04A7" w:rsidRPr="00F420E6" w:rsidRDefault="005E04A7" w:rsidP="00031C35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F420E6">
              <w:rPr>
                <w:rFonts w:ascii="Palatino Linotype" w:hAnsi="Palatino Linotype" w:cs="Arial"/>
                <w:b/>
                <w:sz w:val="19"/>
                <w:szCs w:val="19"/>
              </w:rPr>
              <w:t>Secretario General del Concejo Metropolitano de Quito</w:t>
            </w:r>
          </w:p>
          <w:p w:rsidR="005E04A7" w:rsidRDefault="005E04A7" w:rsidP="00031C35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5E04A7" w:rsidRDefault="005E04A7" w:rsidP="00031C35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5E04A7" w:rsidRDefault="005E04A7" w:rsidP="00031C35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5E04A7" w:rsidRDefault="005E04A7" w:rsidP="00031C35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5E04A7" w:rsidRPr="00F420E6" w:rsidRDefault="005E04A7" w:rsidP="00031C35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5E04A7" w:rsidRPr="00F420E6" w:rsidRDefault="005E04A7" w:rsidP="005E04A7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F420E6">
        <w:rPr>
          <w:rFonts w:ascii="Palatino Linotype" w:eastAsia="MS Mincho" w:hAnsi="Palatino Linotype" w:cs="Arial"/>
          <w:b/>
          <w:bCs/>
          <w:sz w:val="22"/>
          <w:szCs w:val="22"/>
        </w:rPr>
        <w:lastRenderedPageBreak/>
        <w:t>CERTIFICADO DE DISCUSIÓN</w:t>
      </w:r>
    </w:p>
    <w:p w:rsidR="005E04A7" w:rsidRPr="00F420E6" w:rsidRDefault="005E04A7" w:rsidP="005E04A7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5E04A7" w:rsidRPr="00F420E6" w:rsidRDefault="005E04A7" w:rsidP="005E04A7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F420E6">
        <w:rPr>
          <w:rFonts w:ascii="Palatino Linotype" w:eastAsia="MS Mincho" w:hAnsi="Palatino Linotype" w:cs="Arial"/>
          <w:sz w:val="22"/>
          <w:szCs w:val="22"/>
        </w:rPr>
        <w:t xml:space="preserve">El infrascrito Secretario General del Concejo Metropolitano de Quito, certifica que la presente ordenanza fue discutida y aprobada en dos debates, en sesiones de </w:t>
      </w:r>
      <w:r>
        <w:rPr>
          <w:rFonts w:ascii="Palatino Linotype" w:eastAsia="MS Mincho" w:hAnsi="Palatino Linotype" w:cs="Arial"/>
          <w:sz w:val="22"/>
          <w:szCs w:val="22"/>
        </w:rPr>
        <w:t>12</w:t>
      </w:r>
      <w:r>
        <w:rPr>
          <w:rFonts w:ascii="Palatino Linotype" w:eastAsia="MS Mincho" w:hAnsi="Palatino Linotype" w:cs="Arial"/>
          <w:sz w:val="22"/>
          <w:szCs w:val="22"/>
        </w:rPr>
        <w:t xml:space="preserve"> de </w:t>
      </w:r>
      <w:r>
        <w:rPr>
          <w:rFonts w:ascii="Palatino Linotype" w:eastAsia="MS Mincho" w:hAnsi="Palatino Linotype" w:cs="Arial"/>
          <w:sz w:val="22"/>
          <w:szCs w:val="22"/>
        </w:rPr>
        <w:t xml:space="preserve">julio </w:t>
      </w:r>
      <w:r w:rsidRPr="00F420E6">
        <w:rPr>
          <w:rFonts w:ascii="Palatino Linotype" w:eastAsia="MS Mincho" w:hAnsi="Palatino Linotype" w:cs="Arial"/>
          <w:sz w:val="22"/>
          <w:szCs w:val="22"/>
        </w:rPr>
        <w:t xml:space="preserve">y </w:t>
      </w:r>
      <w:r>
        <w:rPr>
          <w:rFonts w:ascii="Palatino Linotype" w:eastAsia="MS Mincho" w:hAnsi="Palatino Linotype" w:cs="Arial"/>
          <w:sz w:val="22"/>
          <w:szCs w:val="22"/>
        </w:rPr>
        <w:t>23</w:t>
      </w:r>
      <w:r w:rsidRPr="00F420E6">
        <w:rPr>
          <w:rFonts w:ascii="Palatino Linotype" w:eastAsia="MS Mincho" w:hAnsi="Palatino Linotype" w:cs="Arial"/>
          <w:sz w:val="22"/>
          <w:szCs w:val="22"/>
        </w:rPr>
        <w:t xml:space="preserve"> de </w:t>
      </w:r>
      <w:r>
        <w:rPr>
          <w:rFonts w:ascii="Palatino Linotype" w:eastAsia="MS Mincho" w:hAnsi="Palatino Linotype" w:cs="Arial"/>
          <w:sz w:val="22"/>
          <w:szCs w:val="22"/>
        </w:rPr>
        <w:t xml:space="preserve">agosto </w:t>
      </w:r>
      <w:r w:rsidRPr="00F420E6">
        <w:rPr>
          <w:rFonts w:ascii="Palatino Linotype" w:eastAsia="MS Mincho" w:hAnsi="Palatino Linotype" w:cs="Arial"/>
          <w:sz w:val="22"/>
          <w:szCs w:val="22"/>
        </w:rPr>
        <w:t>de 2018.- Quito,</w:t>
      </w: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E04A7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F420E6">
        <w:rPr>
          <w:rFonts w:ascii="Palatino Linotype" w:eastAsia="MS Mincho" w:hAnsi="Palatino Linotype" w:cs="Arial"/>
          <w:sz w:val="22"/>
          <w:szCs w:val="22"/>
        </w:rPr>
        <w:t>Abg. Diego Cevallos Salgado</w:t>
      </w: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F420E6">
        <w:rPr>
          <w:rFonts w:ascii="Palatino Linotype" w:eastAsia="MS Mincho" w:hAnsi="Palatino Linotype" w:cs="Arial"/>
          <w:b/>
          <w:bCs/>
          <w:sz w:val="22"/>
          <w:szCs w:val="22"/>
        </w:rPr>
        <w:t>SECRETARIO GENERAL DEL CONCEJO METROPOLITANO DE QUITO</w:t>
      </w: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F420E6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</w:t>
      </w:r>
      <w:r w:rsidRPr="00F420E6">
        <w:rPr>
          <w:rFonts w:ascii="Palatino Linotype" w:eastAsia="MS Mincho" w:hAnsi="Palatino Linotype" w:cs="Arial"/>
          <w:sz w:val="22"/>
          <w:szCs w:val="22"/>
        </w:rPr>
        <w:t>Distrito Metropolitano de Quito,</w:t>
      </w: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F420E6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F420E6">
        <w:rPr>
          <w:rFonts w:ascii="Palatino Linotype" w:eastAsia="MS Mincho" w:hAnsi="Palatino Linotype" w:cs="Arial"/>
          <w:sz w:val="22"/>
          <w:szCs w:val="22"/>
        </w:rPr>
        <w:t>Dr. Mauricio Rodas Espinel</w:t>
      </w: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F420E6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5E04A7" w:rsidRPr="00F420E6" w:rsidRDefault="005E04A7" w:rsidP="005E04A7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b/>
          <w:bCs/>
          <w:sz w:val="22"/>
          <w:szCs w:val="22"/>
        </w:rPr>
      </w:pPr>
    </w:p>
    <w:p w:rsidR="005E04A7" w:rsidRPr="00F420E6" w:rsidRDefault="005E04A7" w:rsidP="005E04A7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F420E6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F420E6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M</w:t>
      </w:r>
      <w:r>
        <w:rPr>
          <w:rFonts w:ascii="Palatino Linotype" w:eastAsia="MS Mincho" w:hAnsi="Palatino Linotype" w:cs="Arial"/>
          <w:sz w:val="22"/>
          <w:szCs w:val="22"/>
        </w:rPr>
        <w:t xml:space="preserve">auricio Rodas Espinel, Alcalde </w:t>
      </w:r>
      <w:r w:rsidRPr="00F420E6">
        <w:rPr>
          <w:rFonts w:ascii="Palatino Linotype" w:eastAsia="MS Mincho" w:hAnsi="Palatino Linotype" w:cs="Arial"/>
          <w:sz w:val="22"/>
          <w:szCs w:val="22"/>
        </w:rPr>
        <w:t>del Distrito Metropolitano de Quito, el</w:t>
      </w:r>
    </w:p>
    <w:p w:rsidR="005E04A7" w:rsidRPr="00F420E6" w:rsidRDefault="005E04A7" w:rsidP="005E04A7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proofErr w:type="gramStart"/>
      <w:r w:rsidRPr="00F420E6">
        <w:rPr>
          <w:rFonts w:ascii="Palatino Linotype" w:eastAsia="MS Mincho" w:hAnsi="Palatino Linotype" w:cs="Arial"/>
          <w:sz w:val="22"/>
          <w:szCs w:val="22"/>
        </w:rPr>
        <w:t>.-</w:t>
      </w:r>
      <w:proofErr w:type="gramEnd"/>
      <w:r w:rsidRPr="00F420E6">
        <w:rPr>
          <w:rFonts w:ascii="Palatino Linotype" w:eastAsia="MS Mincho" w:hAnsi="Palatino Linotype" w:cs="Arial"/>
          <w:sz w:val="22"/>
          <w:szCs w:val="22"/>
        </w:rPr>
        <w:t xml:space="preserve"> Distrito Metropolitano de Quito,</w:t>
      </w: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F420E6">
        <w:rPr>
          <w:rFonts w:ascii="Palatino Linotype" w:eastAsia="MS Mincho" w:hAnsi="Palatino Linotype" w:cs="Arial"/>
          <w:sz w:val="22"/>
          <w:szCs w:val="22"/>
        </w:rPr>
        <w:t>Abg. Diego Cevallos Salgado</w:t>
      </w:r>
    </w:p>
    <w:p w:rsidR="005E04A7" w:rsidRPr="00F420E6" w:rsidRDefault="005E04A7" w:rsidP="005E04A7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F420E6">
        <w:rPr>
          <w:rFonts w:ascii="Palatino Linotype" w:eastAsia="MS Mincho" w:hAnsi="Palatino Linotype" w:cs="Arial"/>
          <w:b/>
          <w:bCs/>
          <w:sz w:val="22"/>
          <w:szCs w:val="22"/>
        </w:rPr>
        <w:t>SECRETARIO GENERAL DEL CONCEJO METROPOLITANO DE QUITO</w:t>
      </w:r>
    </w:p>
    <w:p w:rsidR="005E04A7" w:rsidRPr="00F420E6" w:rsidRDefault="005E04A7" w:rsidP="005E04A7">
      <w:pPr>
        <w:pStyle w:val="Cuerpodeltexto0"/>
        <w:shd w:val="clear" w:color="auto" w:fill="auto"/>
        <w:spacing w:after="300" w:line="322" w:lineRule="exact"/>
        <w:ind w:right="100" w:firstLine="0"/>
        <w:jc w:val="both"/>
        <w:rPr>
          <w:rFonts w:ascii="Palatino Linotype" w:hAnsi="Palatino Linotype"/>
          <w:sz w:val="22"/>
          <w:szCs w:val="22"/>
        </w:rPr>
      </w:pPr>
      <w:r w:rsidRPr="00F420E6">
        <w:rPr>
          <w:rFonts w:ascii="Palatino Linotype" w:eastAsia="MS Mincho" w:hAnsi="Palatino Linotype" w:cs="Arial"/>
          <w:b w:val="0"/>
          <w:bCs w:val="0"/>
          <w:sz w:val="16"/>
          <w:szCs w:val="16"/>
          <w:lang w:val="es-ES"/>
        </w:rPr>
        <w:t>DSCS</w:t>
      </w:r>
    </w:p>
    <w:p w:rsidR="007643B1" w:rsidRPr="00AC42FC" w:rsidRDefault="007643B1" w:rsidP="00AC42FC">
      <w:pPr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theme="minorHAnsi"/>
        </w:rPr>
      </w:pPr>
    </w:p>
    <w:p w:rsidR="003A503C" w:rsidRPr="00AC42FC" w:rsidRDefault="003A503C" w:rsidP="00AC42FC">
      <w:pPr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theme="minorHAnsi"/>
        </w:rPr>
      </w:pPr>
    </w:p>
    <w:p w:rsidR="00507207" w:rsidRPr="00AC42FC" w:rsidRDefault="003E72D7" w:rsidP="00AC42FC">
      <w:pPr>
        <w:spacing w:after="120" w:line="276" w:lineRule="auto"/>
        <w:jc w:val="both"/>
        <w:rPr>
          <w:rFonts w:ascii="Palatino Linotype" w:hAnsi="Palatino Linotype" w:cstheme="minorHAnsi"/>
        </w:rPr>
      </w:pPr>
      <w:r w:rsidRPr="00AC42FC">
        <w:rPr>
          <w:rFonts w:ascii="Palatino Linotype" w:hAnsi="Palatino Linotype" w:cstheme="minorHAnsi"/>
        </w:rPr>
        <w:t>..</w:t>
      </w:r>
      <w:bookmarkStart w:id="0" w:name="_GoBack"/>
      <w:bookmarkEnd w:id="0"/>
    </w:p>
    <w:sectPr w:rsidR="00507207" w:rsidRPr="00AC42FC" w:rsidSect="00050B6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B7" w:rsidRDefault="00367EB7" w:rsidP="005B345E">
      <w:pPr>
        <w:spacing w:after="0" w:line="240" w:lineRule="auto"/>
      </w:pPr>
      <w:r>
        <w:separator/>
      </w:r>
    </w:p>
  </w:endnote>
  <w:endnote w:type="continuationSeparator" w:id="0">
    <w:p w:rsidR="00367EB7" w:rsidRDefault="00367EB7" w:rsidP="005B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67" w:rsidRDefault="00050B67">
    <w:pPr>
      <w:pStyle w:val="Piedepgina"/>
      <w:jc w:val="right"/>
    </w:pPr>
  </w:p>
  <w:p w:rsidR="00E00963" w:rsidRDefault="00E009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094541"/>
      <w:docPartObj>
        <w:docPartGallery w:val="Page Numbers (Bottom of Page)"/>
        <w:docPartUnique/>
      </w:docPartObj>
    </w:sdtPr>
    <w:sdtContent>
      <w:sdt>
        <w:sdtPr>
          <w:id w:val="-783726266"/>
          <w:docPartObj>
            <w:docPartGallery w:val="Page Numbers (Top of Page)"/>
            <w:docPartUnique/>
          </w:docPartObj>
        </w:sdtPr>
        <w:sdtContent>
          <w:p w:rsidR="005E04A7" w:rsidRDefault="005E04A7">
            <w:pPr>
              <w:pStyle w:val="Piedepgina"/>
              <w:jc w:val="right"/>
            </w:pPr>
            <w:r w:rsidRPr="00050B67">
              <w:rPr>
                <w:rFonts w:ascii="Palatino Linotype" w:hAnsi="Palatino Linotype"/>
                <w:lang w:val="es-ES"/>
              </w:rPr>
              <w:t xml:space="preserve">Página </w:t>
            </w:r>
            <w:r w:rsidRPr="00050B67">
              <w:rPr>
                <w:rFonts w:ascii="Palatino Linotype" w:hAnsi="Palatino Linotype"/>
                <w:b/>
                <w:bCs/>
              </w:rPr>
              <w:fldChar w:fldCharType="begin"/>
            </w:r>
            <w:r w:rsidRPr="00050B67">
              <w:rPr>
                <w:rFonts w:ascii="Palatino Linotype" w:hAnsi="Palatino Linotype"/>
                <w:b/>
                <w:bCs/>
              </w:rPr>
              <w:instrText>PAGE</w:instrText>
            </w:r>
            <w:r w:rsidRPr="00050B67">
              <w:rPr>
                <w:rFonts w:ascii="Palatino Linotype" w:hAnsi="Palatino Linotype"/>
                <w:b/>
                <w:bCs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</w:rPr>
              <w:t>7</w:t>
            </w:r>
            <w:r w:rsidRPr="00050B67">
              <w:rPr>
                <w:rFonts w:ascii="Palatino Linotype" w:hAnsi="Palatino Linotype"/>
                <w:b/>
                <w:bCs/>
              </w:rPr>
              <w:fldChar w:fldCharType="end"/>
            </w:r>
            <w:r w:rsidRPr="00050B67">
              <w:rPr>
                <w:rFonts w:ascii="Palatino Linotype" w:hAnsi="Palatino Linotype"/>
                <w:lang w:val="es-ES"/>
              </w:rPr>
              <w:t xml:space="preserve"> de </w:t>
            </w:r>
            <w:r>
              <w:rPr>
                <w:rFonts w:ascii="Palatino Linotype" w:hAnsi="Palatino Linotype"/>
                <w:b/>
                <w:bCs/>
              </w:rPr>
              <w:t>7</w:t>
            </w:r>
          </w:p>
        </w:sdtContent>
      </w:sdt>
    </w:sdtContent>
  </w:sdt>
  <w:p w:rsidR="005E04A7" w:rsidRDefault="005E04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B7" w:rsidRDefault="00367EB7" w:rsidP="005B345E">
      <w:pPr>
        <w:spacing w:after="0" w:line="240" w:lineRule="auto"/>
      </w:pPr>
      <w:r>
        <w:separator/>
      </w:r>
    </w:p>
  </w:footnote>
  <w:footnote w:type="continuationSeparator" w:id="0">
    <w:p w:rsidR="00367EB7" w:rsidRDefault="00367EB7" w:rsidP="005B345E">
      <w:pPr>
        <w:spacing w:after="0" w:line="240" w:lineRule="auto"/>
      </w:pPr>
      <w:r>
        <w:continuationSeparator/>
      </w:r>
    </w:p>
  </w:footnote>
  <w:footnote w:id="1">
    <w:p w:rsidR="005B345E" w:rsidRPr="00DE13F6" w:rsidRDefault="005B345E">
      <w:pPr>
        <w:pStyle w:val="Textonotapie"/>
        <w:rPr>
          <w:rFonts w:ascii="Palatino Linotype" w:hAnsi="Palatino Linotype"/>
          <w:sz w:val="18"/>
          <w:szCs w:val="18"/>
        </w:rPr>
      </w:pPr>
      <w:r w:rsidRPr="00DE13F6">
        <w:rPr>
          <w:rStyle w:val="Refdenotaalpie"/>
          <w:rFonts w:ascii="Palatino Linotype" w:hAnsi="Palatino Linotype"/>
          <w:sz w:val="18"/>
          <w:szCs w:val="18"/>
        </w:rPr>
        <w:footnoteRef/>
      </w:r>
      <w:r w:rsidRPr="00DE13F6">
        <w:rPr>
          <w:rFonts w:ascii="Palatino Linotype" w:hAnsi="Palatino Linotype"/>
          <w:sz w:val="18"/>
          <w:szCs w:val="18"/>
        </w:rPr>
        <w:t xml:space="preserve"> Así lo dispone el artículo 66, número 2 de la Constitución de la República</w:t>
      </w:r>
      <w:r w:rsidR="00DE13F6">
        <w:rPr>
          <w:rFonts w:ascii="Palatino Linotype" w:hAnsi="Palatino Linotype"/>
          <w:sz w:val="18"/>
          <w:szCs w:val="18"/>
        </w:rPr>
        <w:t xml:space="preserve"> del Ecuador</w:t>
      </w:r>
      <w:r w:rsidR="00871D06" w:rsidRPr="00DE13F6">
        <w:rPr>
          <w:rFonts w:ascii="Palatino Linotype" w:hAnsi="Palatino Linotype"/>
          <w:sz w:val="18"/>
          <w:szCs w:val="18"/>
        </w:rPr>
        <w:t>.</w:t>
      </w:r>
    </w:p>
  </w:footnote>
  <w:footnote w:id="2">
    <w:p w:rsidR="002B6BBD" w:rsidRPr="00DE13F6" w:rsidRDefault="002B6BBD">
      <w:pPr>
        <w:pStyle w:val="Textonotapie"/>
        <w:rPr>
          <w:rFonts w:ascii="Palatino Linotype" w:hAnsi="Palatino Linotype"/>
          <w:sz w:val="18"/>
          <w:szCs w:val="18"/>
        </w:rPr>
      </w:pPr>
      <w:r w:rsidRPr="00DE13F6">
        <w:rPr>
          <w:rStyle w:val="Refdenotaalpie"/>
          <w:rFonts w:ascii="Palatino Linotype" w:hAnsi="Palatino Linotype"/>
          <w:sz w:val="18"/>
          <w:szCs w:val="18"/>
        </w:rPr>
        <w:footnoteRef/>
      </w:r>
      <w:r w:rsidRPr="00DE13F6">
        <w:rPr>
          <w:rFonts w:ascii="Palatino Linotype" w:hAnsi="Palatino Linotype"/>
          <w:sz w:val="18"/>
          <w:szCs w:val="18"/>
        </w:rPr>
        <w:t xml:space="preserve"> Artículo 31 </w:t>
      </w:r>
      <w:r w:rsidR="00B0686F" w:rsidRPr="00DE13F6">
        <w:rPr>
          <w:rFonts w:ascii="Palatino Linotype" w:hAnsi="Palatino Linotype"/>
          <w:sz w:val="18"/>
          <w:szCs w:val="18"/>
        </w:rPr>
        <w:t>de la Constitución de la República</w:t>
      </w:r>
      <w:r w:rsidR="00DE13F6">
        <w:rPr>
          <w:rFonts w:ascii="Palatino Linotype" w:hAnsi="Palatino Linotype"/>
          <w:sz w:val="18"/>
          <w:szCs w:val="18"/>
        </w:rPr>
        <w:t xml:space="preserve"> del Ecuador.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FC" w:rsidRDefault="00AC42FC">
    <w:pPr>
      <w:pStyle w:val="Encabezado"/>
    </w:pPr>
  </w:p>
  <w:p w:rsidR="00AC42FC" w:rsidRDefault="00AC42FC">
    <w:pPr>
      <w:pStyle w:val="Encabezado"/>
    </w:pPr>
  </w:p>
  <w:p w:rsidR="00AC42FC" w:rsidRDefault="00AC42FC">
    <w:pPr>
      <w:pStyle w:val="Encabezado"/>
    </w:pPr>
  </w:p>
  <w:p w:rsidR="00AC42FC" w:rsidRDefault="00AC42FC">
    <w:pPr>
      <w:pStyle w:val="Encabezado"/>
    </w:pPr>
  </w:p>
  <w:p w:rsidR="00AC42FC" w:rsidRDefault="00AC42FC">
    <w:pPr>
      <w:pStyle w:val="Encabezado"/>
    </w:pPr>
  </w:p>
  <w:p w:rsidR="00AC42FC" w:rsidRDefault="00AC42FC">
    <w:pPr>
      <w:pStyle w:val="Encabezado"/>
    </w:pPr>
  </w:p>
  <w:p w:rsidR="00AC42FC" w:rsidRPr="00AC42FC" w:rsidRDefault="00AC42FC" w:rsidP="00AC42FC">
    <w:pPr>
      <w:spacing w:after="120" w:line="276" w:lineRule="auto"/>
      <w:jc w:val="center"/>
      <w:rPr>
        <w:rFonts w:ascii="Palatino Linotype" w:hAnsi="Palatino Linotype" w:cstheme="minorHAnsi"/>
        <w:b/>
        <w:color w:val="000000" w:themeColor="text1"/>
      </w:rPr>
    </w:pPr>
    <w:r>
      <w:rPr>
        <w:rFonts w:ascii="Palatino Linotype" w:hAnsi="Palatino Linotype" w:cstheme="minorHAnsi"/>
        <w:b/>
        <w:color w:val="000000" w:themeColor="text1"/>
      </w:rPr>
      <w:t>ORDENANZA METROPOLITANA No.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FC" w:rsidRDefault="00AC42FC">
    <w:pPr>
      <w:pStyle w:val="Encabezado"/>
    </w:pPr>
  </w:p>
  <w:p w:rsidR="00AC42FC" w:rsidRDefault="00AC42FC">
    <w:pPr>
      <w:pStyle w:val="Encabezado"/>
    </w:pPr>
  </w:p>
  <w:p w:rsidR="00AC42FC" w:rsidRDefault="00AC42FC">
    <w:pPr>
      <w:pStyle w:val="Encabezado"/>
    </w:pPr>
  </w:p>
  <w:p w:rsidR="00AC42FC" w:rsidRDefault="00AC42FC">
    <w:pPr>
      <w:pStyle w:val="Encabezado"/>
    </w:pPr>
  </w:p>
  <w:p w:rsidR="00AC42FC" w:rsidRDefault="00AC42FC">
    <w:pPr>
      <w:pStyle w:val="Encabezado"/>
    </w:pPr>
  </w:p>
  <w:p w:rsidR="00AC42FC" w:rsidRDefault="00AC42FC">
    <w:pPr>
      <w:pStyle w:val="Encabezado"/>
    </w:pPr>
  </w:p>
  <w:p w:rsidR="00AC42FC" w:rsidRPr="00AC42FC" w:rsidRDefault="00AC42FC" w:rsidP="00AC42FC">
    <w:pPr>
      <w:spacing w:after="120" w:line="276" w:lineRule="auto"/>
      <w:jc w:val="center"/>
      <w:rPr>
        <w:rFonts w:ascii="Palatino Linotype" w:hAnsi="Palatino Linotype" w:cstheme="minorHAnsi"/>
        <w:b/>
        <w:color w:val="000000" w:themeColor="text1"/>
      </w:rPr>
    </w:pPr>
    <w:r>
      <w:rPr>
        <w:rFonts w:ascii="Palatino Linotype" w:hAnsi="Palatino Linotype" w:cstheme="minorHAnsi"/>
        <w:b/>
        <w:color w:val="000000" w:themeColor="text1"/>
      </w:rPr>
      <w:t>ORDENANZA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hybridMultilevel"/>
    <w:tmpl w:val="00000030"/>
    <w:lvl w:ilvl="0" w:tplc="2B749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0102C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FECF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365D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C437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A402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7AFA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225E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9C64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6"/>
    <w:rsid w:val="00050B67"/>
    <w:rsid w:val="00052D9A"/>
    <w:rsid w:val="00070BFA"/>
    <w:rsid w:val="00073FBB"/>
    <w:rsid w:val="00091CC0"/>
    <w:rsid w:val="000948D5"/>
    <w:rsid w:val="000C271C"/>
    <w:rsid w:val="00113061"/>
    <w:rsid w:val="0012364F"/>
    <w:rsid w:val="00166C54"/>
    <w:rsid w:val="00183242"/>
    <w:rsid w:val="001A70FD"/>
    <w:rsid w:val="001B31B1"/>
    <w:rsid w:val="001C33D0"/>
    <w:rsid w:val="0020173B"/>
    <w:rsid w:val="00217D3B"/>
    <w:rsid w:val="00260E9D"/>
    <w:rsid w:val="00281B89"/>
    <w:rsid w:val="002B6BBD"/>
    <w:rsid w:val="002D5C04"/>
    <w:rsid w:val="003151B1"/>
    <w:rsid w:val="00344DA2"/>
    <w:rsid w:val="00355B68"/>
    <w:rsid w:val="00367EB7"/>
    <w:rsid w:val="003859D2"/>
    <w:rsid w:val="003A503C"/>
    <w:rsid w:val="003A79BE"/>
    <w:rsid w:val="003B748D"/>
    <w:rsid w:val="003E72D7"/>
    <w:rsid w:val="003F642C"/>
    <w:rsid w:val="00424366"/>
    <w:rsid w:val="004D2017"/>
    <w:rsid w:val="00507207"/>
    <w:rsid w:val="005A1A18"/>
    <w:rsid w:val="005A6EFF"/>
    <w:rsid w:val="005A6F65"/>
    <w:rsid w:val="005B345E"/>
    <w:rsid w:val="005E04A7"/>
    <w:rsid w:val="005E34A4"/>
    <w:rsid w:val="005F14A5"/>
    <w:rsid w:val="005F1D47"/>
    <w:rsid w:val="00605DDB"/>
    <w:rsid w:val="00611E5C"/>
    <w:rsid w:val="0064184F"/>
    <w:rsid w:val="00652242"/>
    <w:rsid w:val="00677974"/>
    <w:rsid w:val="006813EB"/>
    <w:rsid w:val="00690DA1"/>
    <w:rsid w:val="006A4610"/>
    <w:rsid w:val="007643B1"/>
    <w:rsid w:val="007B207A"/>
    <w:rsid w:val="007E4FED"/>
    <w:rsid w:val="00866D7B"/>
    <w:rsid w:val="00866ED6"/>
    <w:rsid w:val="00871D06"/>
    <w:rsid w:val="00895D41"/>
    <w:rsid w:val="008A5A11"/>
    <w:rsid w:val="008B7883"/>
    <w:rsid w:val="008C2A46"/>
    <w:rsid w:val="008F1F48"/>
    <w:rsid w:val="00903CD8"/>
    <w:rsid w:val="00907F17"/>
    <w:rsid w:val="0095075C"/>
    <w:rsid w:val="009852F7"/>
    <w:rsid w:val="009B0368"/>
    <w:rsid w:val="009E59ED"/>
    <w:rsid w:val="00A02388"/>
    <w:rsid w:val="00A05C0A"/>
    <w:rsid w:val="00A0621E"/>
    <w:rsid w:val="00A43AB3"/>
    <w:rsid w:val="00A50BCF"/>
    <w:rsid w:val="00A6506F"/>
    <w:rsid w:val="00A801E0"/>
    <w:rsid w:val="00A84889"/>
    <w:rsid w:val="00AC42FC"/>
    <w:rsid w:val="00AF296F"/>
    <w:rsid w:val="00B0686F"/>
    <w:rsid w:val="00B20D2F"/>
    <w:rsid w:val="00B34D5D"/>
    <w:rsid w:val="00B86AC4"/>
    <w:rsid w:val="00BD1735"/>
    <w:rsid w:val="00C1506B"/>
    <w:rsid w:val="00C16711"/>
    <w:rsid w:val="00C22D17"/>
    <w:rsid w:val="00C33500"/>
    <w:rsid w:val="00C421DF"/>
    <w:rsid w:val="00C5108C"/>
    <w:rsid w:val="00C8634B"/>
    <w:rsid w:val="00CD51B4"/>
    <w:rsid w:val="00CF1554"/>
    <w:rsid w:val="00CF2818"/>
    <w:rsid w:val="00CF28E8"/>
    <w:rsid w:val="00CF4D21"/>
    <w:rsid w:val="00D16978"/>
    <w:rsid w:val="00D52E5E"/>
    <w:rsid w:val="00D61A1B"/>
    <w:rsid w:val="00DA38E6"/>
    <w:rsid w:val="00DE12E5"/>
    <w:rsid w:val="00DE13F6"/>
    <w:rsid w:val="00DE72C4"/>
    <w:rsid w:val="00E00963"/>
    <w:rsid w:val="00E34169"/>
    <w:rsid w:val="00E47DC3"/>
    <w:rsid w:val="00E6644B"/>
    <w:rsid w:val="00ED0B77"/>
    <w:rsid w:val="00ED1706"/>
    <w:rsid w:val="00F06626"/>
    <w:rsid w:val="00F1388E"/>
    <w:rsid w:val="00F22D5B"/>
    <w:rsid w:val="00F2315C"/>
    <w:rsid w:val="00F82294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96B6"/>
  <w15:docId w15:val="{15634AB1-BBF3-4733-A856-B5719BD8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D61A1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DA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34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34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34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00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963"/>
  </w:style>
  <w:style w:type="paragraph" w:styleId="Piedepgina">
    <w:name w:val="footer"/>
    <w:basedOn w:val="Normal"/>
    <w:link w:val="PiedepginaCar"/>
    <w:uiPriority w:val="99"/>
    <w:unhideWhenUsed/>
    <w:rsid w:val="00E00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963"/>
  </w:style>
  <w:style w:type="paragraph" w:styleId="Textosinformato">
    <w:name w:val="Plain Text"/>
    <w:basedOn w:val="Normal"/>
    <w:link w:val="TextosinformatoCar"/>
    <w:rsid w:val="005E04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E04A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5E0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Cuerpodeltexto">
    <w:name w:val="Cuerpo del texto_"/>
    <w:link w:val="Cuerpodeltexto0"/>
    <w:rsid w:val="005E04A7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E04A7"/>
    <w:pPr>
      <w:widowControl w:val="0"/>
      <w:shd w:val="clear" w:color="auto" w:fill="FFFFFF"/>
      <w:spacing w:after="0" w:line="269" w:lineRule="exact"/>
      <w:ind w:hanging="680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Cuadrculaclara-nfasis31">
    <w:name w:val="Cuadrícula clara - Énfasis 31"/>
    <w:basedOn w:val="Normal"/>
    <w:link w:val="Cuadrculaclara-nfasis3Car"/>
    <w:uiPriority w:val="34"/>
    <w:qFormat/>
    <w:rsid w:val="005E04A7"/>
    <w:pPr>
      <w:suppressAutoHyphens/>
      <w:spacing w:after="0" w:line="100" w:lineRule="atLeast"/>
      <w:ind w:left="708"/>
    </w:pPr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  <w:style w:type="character" w:customStyle="1" w:styleId="Cuadrculaclara-nfasis3Car">
    <w:name w:val="Cuadrícula clara - Énfasis 3 Car"/>
    <w:link w:val="Cuadrculaclara-nfasis31"/>
    <w:uiPriority w:val="34"/>
    <w:rsid w:val="005E04A7"/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A943-05A3-4D22-94A2-FAFAC35F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3248</Words>
  <Characters>17867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del Carmen Sandoval Campoverde</dc:creator>
  <cp:lastModifiedBy>Diego Sebastian Cevallos Salgado</cp:lastModifiedBy>
  <cp:revision>4</cp:revision>
  <cp:lastPrinted>2018-07-23T20:32:00Z</cp:lastPrinted>
  <dcterms:created xsi:type="dcterms:W3CDTF">2018-08-23T16:04:00Z</dcterms:created>
  <dcterms:modified xsi:type="dcterms:W3CDTF">2018-08-23T16:17:00Z</dcterms:modified>
</cp:coreProperties>
</file>