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88C36" w14:textId="26C68C0F" w:rsidR="00694D76" w:rsidRPr="00FD0B23" w:rsidRDefault="00694D76" w:rsidP="00E85F30">
      <w:pPr>
        <w:spacing w:after="120"/>
        <w:ind w:left="567" w:hanging="567"/>
        <w:jc w:val="center"/>
        <w:rPr>
          <w:rFonts w:ascii="Palatino Linotype" w:hAnsi="Palatino Linotype" w:cs="Times New Roman"/>
          <w:b/>
        </w:rPr>
      </w:pPr>
      <w:bookmarkStart w:id="0" w:name="_GoBack"/>
      <w:bookmarkEnd w:id="0"/>
      <w:r w:rsidRPr="00FD0B23">
        <w:rPr>
          <w:rFonts w:ascii="Palatino Linotype" w:hAnsi="Palatino Linotype" w:cs="Times New Roman"/>
          <w:b/>
        </w:rPr>
        <w:t>EXPOSICIÓN DE MOTIVOS</w:t>
      </w:r>
    </w:p>
    <w:p w14:paraId="4DB3CF84" w14:textId="2BC1337F" w:rsidR="00E85F30" w:rsidRPr="00FD0B23" w:rsidRDefault="00E85F30" w:rsidP="00E85F30">
      <w:pPr>
        <w:spacing w:after="120"/>
        <w:ind w:firstLine="567"/>
        <w:rPr>
          <w:rFonts w:ascii="Palatino Linotype" w:hAnsi="Palatino Linotype" w:cstheme="minorHAnsi"/>
        </w:rPr>
      </w:pPr>
      <w:r w:rsidRPr="00FD0B23">
        <w:rPr>
          <w:rFonts w:ascii="Palatino Linotype" w:hAnsi="Palatino Linotype" w:cstheme="minorHAnsi"/>
        </w:rPr>
        <w:t xml:space="preserve">La </w:t>
      </w:r>
      <w:r w:rsidRPr="00FD0B23">
        <w:rPr>
          <w:rFonts w:ascii="Palatino Linotype" w:hAnsi="Palatino Linotype" w:cstheme="minorHAnsi"/>
        </w:rPr>
        <w:t>O</w:t>
      </w:r>
      <w:r w:rsidRPr="00FD0B23">
        <w:rPr>
          <w:rFonts w:ascii="Palatino Linotype" w:hAnsi="Palatino Linotype" w:cstheme="minorHAnsi"/>
        </w:rPr>
        <w:t>rdenanza Metropolitana No. 172 que establece el Régimen Administrativo del Suelo para el Distrito Metropolit</w:t>
      </w:r>
      <w:r w:rsidRPr="00FD0B23">
        <w:rPr>
          <w:rFonts w:ascii="Palatino Linotype" w:hAnsi="Palatino Linotype" w:cstheme="minorHAnsi"/>
        </w:rPr>
        <w:t xml:space="preserve">ano de Quito, en su artículo </w:t>
      </w:r>
      <w:r w:rsidRPr="00FD0B23">
        <w:rPr>
          <w:rFonts w:ascii="Palatino Linotype" w:hAnsi="Palatino Linotype" w:cstheme="minorHAnsi"/>
        </w:rPr>
        <w:t>26 establece que los Proyectos Urbanísticos Arquitectónicos Especiales (PUAE) son instrumentos de planificación urbanística arquitectónica de iniciativa pública o privada, susceptibles de implementarse en lotes con superficie a partir de 10.000 m</w:t>
      </w:r>
      <w:r w:rsidRPr="00FD0B23">
        <w:rPr>
          <w:rFonts w:ascii="Palatino Linotype" w:hAnsi="Palatino Linotype" w:cstheme="minorHAnsi"/>
          <w:vertAlign w:val="superscript"/>
        </w:rPr>
        <w:t>2</w:t>
      </w:r>
      <w:r w:rsidRPr="00FD0B23">
        <w:rPr>
          <w:rFonts w:ascii="Palatino Linotype" w:hAnsi="Palatino Linotype" w:cstheme="minorHAnsi"/>
        </w:rPr>
        <w:t xml:space="preserve"> o en lotes ubicados en áreas de centralidades según el PMDOT, con extensiones a partir de 3.000 m</w:t>
      </w:r>
      <w:r w:rsidRPr="00FD0B23">
        <w:rPr>
          <w:rFonts w:ascii="Palatino Linotype" w:hAnsi="Palatino Linotype" w:cstheme="minorHAnsi"/>
          <w:vertAlign w:val="superscript"/>
        </w:rPr>
        <w:t>2</w:t>
      </w:r>
      <w:r w:rsidRPr="00FD0B23">
        <w:rPr>
          <w:rFonts w:ascii="Palatino Linotype" w:hAnsi="Palatino Linotype" w:cstheme="minorHAnsi"/>
        </w:rPr>
        <w:t xml:space="preserve">. En la misma ordenanza, en el artículo 22, numeral 4, se establece que el PUOS podrá ser actualizado mediante proyectos especiales aprobados por el Concejo Metropolitano.  </w:t>
      </w:r>
    </w:p>
    <w:p w14:paraId="2257C4B9" w14:textId="77777777" w:rsidR="00E85F30" w:rsidRPr="00FD0B23" w:rsidRDefault="00E85F30" w:rsidP="00E85F30">
      <w:pPr>
        <w:spacing w:after="120"/>
        <w:ind w:firstLine="567"/>
        <w:rPr>
          <w:rFonts w:ascii="Palatino Linotype" w:hAnsi="Palatino Linotype" w:cstheme="minorHAnsi"/>
        </w:rPr>
      </w:pPr>
      <w:r w:rsidRPr="00FD0B23">
        <w:rPr>
          <w:rFonts w:ascii="Palatino Linotype" w:hAnsi="Palatino Linotype" w:cstheme="minorHAnsi"/>
        </w:rPr>
        <w:t xml:space="preserve">Al amparo de esta normativa, el </w:t>
      </w:r>
      <w:r w:rsidRPr="00FD0B23">
        <w:rPr>
          <w:rFonts w:ascii="Palatino Linotype" w:hAnsi="Palatino Linotype" w:cs="Arial"/>
        </w:rPr>
        <w:t xml:space="preserve">Fideicomiso </w:t>
      </w:r>
      <w:r w:rsidRPr="00FD0B23">
        <w:rPr>
          <w:rFonts w:ascii="Palatino Linotype" w:hAnsi="Palatino Linotype" w:cstheme="minorHAnsi"/>
        </w:rPr>
        <w:t>Mercantil Hotel Aeropuerto Quito</w:t>
      </w:r>
      <w:r w:rsidRPr="00FD0B23">
        <w:rPr>
          <w:rFonts w:ascii="Palatino Linotype" w:hAnsi="Palatino Linotype" w:cs="Arial"/>
        </w:rPr>
        <w:t xml:space="preserve"> presenta el Proyecto Urbanístico Arquitectónico Especial denominado </w:t>
      </w:r>
      <w:r w:rsidRPr="00FD0B23">
        <w:rPr>
          <w:rFonts w:ascii="Palatino Linotype" w:hAnsi="Palatino Linotype" w:cs="Arial"/>
        </w:rPr>
        <w:t xml:space="preserve">Hotel </w:t>
      </w:r>
      <w:proofErr w:type="spellStart"/>
      <w:r w:rsidRPr="00FD0B23">
        <w:rPr>
          <w:rFonts w:ascii="Palatino Linotype" w:hAnsi="Palatino Linotype" w:cs="Arial"/>
        </w:rPr>
        <w:t>Holiday</w:t>
      </w:r>
      <w:proofErr w:type="spellEnd"/>
      <w:r w:rsidRPr="00FD0B23">
        <w:rPr>
          <w:rFonts w:ascii="Palatino Linotype" w:hAnsi="Palatino Linotype" w:cs="Arial"/>
        </w:rPr>
        <w:t xml:space="preserve"> </w:t>
      </w:r>
      <w:proofErr w:type="spellStart"/>
      <w:r w:rsidRPr="00FD0B23">
        <w:rPr>
          <w:rFonts w:ascii="Palatino Linotype" w:hAnsi="Palatino Linotype" w:cs="Arial"/>
        </w:rPr>
        <w:t>Inn</w:t>
      </w:r>
      <w:proofErr w:type="spellEnd"/>
      <w:r w:rsidRPr="00FD0B23">
        <w:rPr>
          <w:rFonts w:ascii="Palatino Linotype" w:hAnsi="Palatino Linotype" w:cs="Arial"/>
        </w:rPr>
        <w:t xml:space="preserve"> Quito </w:t>
      </w:r>
      <w:proofErr w:type="spellStart"/>
      <w:r w:rsidRPr="00FD0B23">
        <w:rPr>
          <w:rFonts w:ascii="Palatino Linotype" w:hAnsi="Palatino Linotype" w:cs="Arial"/>
        </w:rPr>
        <w:t>Airport</w:t>
      </w:r>
      <w:proofErr w:type="spellEnd"/>
      <w:r w:rsidRPr="00FD0B23">
        <w:rPr>
          <w:rFonts w:ascii="Palatino Linotype" w:hAnsi="Palatino Linotype" w:cs="Arial"/>
        </w:rPr>
        <w:t>, proyecto hotelero que conlleva determinaciones específicas de uso y ocupación de suelo en el predio No. 5785946 y que igualmente modifica las determinaciones del PUOS en materia vial.</w:t>
      </w:r>
      <w:r w:rsidRPr="00FD0B23">
        <w:rPr>
          <w:rFonts w:ascii="Palatino Linotype" w:hAnsi="Palatino Linotype" w:cstheme="minorHAnsi"/>
        </w:rPr>
        <w:t xml:space="preserve"> Este proyecto se encuentra ubicado en la Parroquia de Tababela, en el sector denominado “Empleados DAC”, en un terreno con un área de 13.000,99 m</w:t>
      </w:r>
      <w:r w:rsidRPr="00FD0B23">
        <w:rPr>
          <w:rFonts w:ascii="Palatino Linotype" w:hAnsi="Palatino Linotype" w:cstheme="minorHAnsi"/>
          <w:vertAlign w:val="superscript"/>
        </w:rPr>
        <w:t>2</w:t>
      </w:r>
      <w:r w:rsidRPr="00FD0B23">
        <w:rPr>
          <w:rFonts w:ascii="Palatino Linotype" w:hAnsi="Palatino Linotype" w:cstheme="minorHAnsi"/>
        </w:rPr>
        <w:t>.</w:t>
      </w:r>
    </w:p>
    <w:p w14:paraId="54955E6D" w14:textId="77777777" w:rsidR="00E85F30" w:rsidRPr="00FD0B23" w:rsidRDefault="00E85F30" w:rsidP="00E85F30">
      <w:pPr>
        <w:spacing w:after="120"/>
        <w:ind w:firstLine="567"/>
        <w:rPr>
          <w:rFonts w:ascii="Palatino Linotype" w:hAnsi="Palatino Linotype" w:cstheme="minorHAnsi"/>
        </w:rPr>
      </w:pPr>
      <w:r w:rsidRPr="00FD0B23">
        <w:rPr>
          <w:rFonts w:ascii="Palatino Linotype" w:hAnsi="Palatino Linotype" w:cstheme="minorHAnsi"/>
        </w:rPr>
        <w:t xml:space="preserve">El proyecto Hotel </w:t>
      </w:r>
      <w:proofErr w:type="spellStart"/>
      <w:r w:rsidRPr="00FD0B23">
        <w:rPr>
          <w:rFonts w:ascii="Palatino Linotype" w:hAnsi="Palatino Linotype" w:cstheme="minorHAnsi"/>
        </w:rPr>
        <w:t>Holiday</w:t>
      </w:r>
      <w:proofErr w:type="spellEnd"/>
      <w:r w:rsidRPr="00FD0B23">
        <w:rPr>
          <w:rFonts w:ascii="Palatino Linotype" w:hAnsi="Palatino Linotype" w:cstheme="minorHAnsi"/>
        </w:rPr>
        <w:t xml:space="preserve"> </w:t>
      </w:r>
      <w:proofErr w:type="spellStart"/>
      <w:r w:rsidRPr="00FD0B23">
        <w:rPr>
          <w:rFonts w:ascii="Palatino Linotype" w:hAnsi="Palatino Linotype" w:cstheme="minorHAnsi"/>
        </w:rPr>
        <w:t>Inn</w:t>
      </w:r>
      <w:proofErr w:type="spellEnd"/>
      <w:r w:rsidRPr="00FD0B23">
        <w:rPr>
          <w:rFonts w:ascii="Palatino Linotype" w:hAnsi="Palatino Linotype" w:cstheme="minorHAnsi"/>
        </w:rPr>
        <w:t xml:space="preserve"> Quito </w:t>
      </w:r>
      <w:proofErr w:type="spellStart"/>
      <w:r w:rsidRPr="00FD0B23">
        <w:rPr>
          <w:rFonts w:ascii="Palatino Linotype" w:hAnsi="Palatino Linotype" w:cstheme="minorHAnsi"/>
        </w:rPr>
        <w:t>Airport</w:t>
      </w:r>
      <w:proofErr w:type="spellEnd"/>
      <w:r w:rsidRPr="00FD0B23">
        <w:rPr>
          <w:rFonts w:ascii="Palatino Linotype" w:hAnsi="Palatino Linotype" w:cstheme="minorHAnsi"/>
        </w:rPr>
        <w:t xml:space="preserve">, es de interés para la ciudad según lo establecido en el eje estratégico denominado “Ciudad de Oportunidades” del Plan de Desarrollo y Ordenamiento Territorial del Distrito Metropolitano de Quito 2015-2025, mismo que señala: </w:t>
      </w:r>
    </w:p>
    <w:p w14:paraId="34305C8E" w14:textId="77777777" w:rsidR="00E85F30" w:rsidRPr="00FD0B23" w:rsidRDefault="00E85F30" w:rsidP="00250512">
      <w:pPr>
        <w:pStyle w:val="Prrafodelista"/>
        <w:numPr>
          <w:ilvl w:val="0"/>
          <w:numId w:val="22"/>
        </w:numPr>
        <w:tabs>
          <w:tab w:val="left" w:pos="426"/>
        </w:tabs>
        <w:spacing w:after="120"/>
        <w:rPr>
          <w:rFonts w:ascii="Palatino Linotype" w:hAnsi="Palatino Linotype" w:cstheme="minorHAnsi"/>
          <w:i/>
        </w:rPr>
      </w:pPr>
      <w:r w:rsidRPr="00FD0B23">
        <w:rPr>
          <w:rFonts w:ascii="Palatino Linotype" w:hAnsi="Palatino Linotype" w:cstheme="minorHAnsi"/>
          <w:i/>
        </w:rPr>
        <w:t>“Convertir a Quito en una ciudad de oportunidades, con un entorno que estimule la inversión, el emprendimiento, la innovación y el desarrollo productivo.</w:t>
      </w:r>
    </w:p>
    <w:p w14:paraId="3E5B8F86" w14:textId="77777777" w:rsidR="00E85F30" w:rsidRPr="00FD0B23" w:rsidRDefault="00E85F30" w:rsidP="00250512">
      <w:pPr>
        <w:pStyle w:val="Prrafodelista"/>
        <w:numPr>
          <w:ilvl w:val="0"/>
          <w:numId w:val="22"/>
        </w:numPr>
        <w:tabs>
          <w:tab w:val="left" w:pos="426"/>
        </w:tabs>
        <w:spacing w:after="120"/>
        <w:rPr>
          <w:rFonts w:ascii="Palatino Linotype" w:hAnsi="Palatino Linotype" w:cstheme="minorHAnsi"/>
          <w:i/>
        </w:rPr>
      </w:pPr>
      <w:r w:rsidRPr="00FD0B23">
        <w:rPr>
          <w:rFonts w:ascii="Palatino Linotype" w:hAnsi="Palatino Linotype" w:cstheme="minorHAnsi"/>
          <w:i/>
        </w:rPr>
        <w:t xml:space="preserve">Particular atención tendrá el apoyo a la industria del turismo, convencidos que </w:t>
      </w:r>
      <w:proofErr w:type="gramStart"/>
      <w:r w:rsidRPr="00FD0B23">
        <w:rPr>
          <w:rFonts w:ascii="Palatino Linotype" w:hAnsi="Palatino Linotype" w:cstheme="minorHAnsi"/>
          <w:i/>
        </w:rPr>
        <w:t>las maravillas de Quito tiene</w:t>
      </w:r>
      <w:proofErr w:type="gramEnd"/>
      <w:r w:rsidRPr="00FD0B23">
        <w:rPr>
          <w:rFonts w:ascii="Palatino Linotype" w:hAnsi="Palatino Linotype" w:cstheme="minorHAnsi"/>
          <w:i/>
        </w:rPr>
        <w:t xml:space="preserve"> para ofrecer deben traducirse en un mayor número de turistas que estimulen la economía de la Ciudad y generen mayor bienestar para miles de quiteños”.</w:t>
      </w:r>
    </w:p>
    <w:p w14:paraId="702EE4D2" w14:textId="77777777" w:rsidR="00E85F30" w:rsidRPr="00FD0B23" w:rsidRDefault="00E85F30" w:rsidP="00E85F30">
      <w:pPr>
        <w:spacing w:after="120"/>
        <w:ind w:firstLine="567"/>
        <w:rPr>
          <w:rFonts w:ascii="Palatino Linotype" w:hAnsi="Palatino Linotype"/>
        </w:rPr>
      </w:pPr>
      <w:r w:rsidRPr="00FD0B23">
        <w:rPr>
          <w:rFonts w:ascii="Palatino Linotype" w:hAnsi="Palatino Linotype" w:cstheme="minorHAnsi"/>
        </w:rPr>
        <w:t>De idéntica manera, en</w:t>
      </w:r>
      <w:r w:rsidRPr="00FD0B23">
        <w:rPr>
          <w:rFonts w:ascii="Palatino Linotype" w:hAnsi="Palatino Linotype"/>
        </w:rPr>
        <w:t xml:space="preserve"> la territorialización de la política No.1 de escala global del referido documento, se establece al sector de Tababela como atractor de inversión con carácter logístico y empresarial.</w:t>
      </w:r>
    </w:p>
    <w:p w14:paraId="2A99E683" w14:textId="77777777" w:rsidR="00E85F30" w:rsidRPr="00FD0B23" w:rsidRDefault="00E85F30" w:rsidP="00E85F30">
      <w:pPr>
        <w:spacing w:after="120"/>
        <w:ind w:firstLine="567"/>
        <w:rPr>
          <w:rFonts w:ascii="Palatino Linotype" w:hAnsi="Palatino Linotype"/>
        </w:rPr>
      </w:pPr>
      <w:r w:rsidRPr="00FD0B23">
        <w:rPr>
          <w:rFonts w:ascii="Palatino Linotype" w:hAnsi="Palatino Linotype"/>
        </w:rPr>
        <w:t>El Aeropuerto Internacional de Quito Mar</w:t>
      </w:r>
      <w:r w:rsidRPr="00FD0B23">
        <w:rPr>
          <w:rFonts w:ascii="Palatino Linotype" w:hAnsi="Palatino Linotype"/>
        </w:rPr>
        <w:t>iscal Sucre está ubicado en la p</w:t>
      </w:r>
      <w:r w:rsidRPr="00FD0B23">
        <w:rPr>
          <w:rFonts w:ascii="Palatino Linotype" w:hAnsi="Palatino Linotype"/>
        </w:rPr>
        <w:t xml:space="preserve">arroquia Tababela, la cual no posee una infraestructura hotelera suficiente para satisfacer la nueva demanda generada por el desarrollo del aeropuerto. Los usuarios de esta infraestructura de escala regional que requieren de alojamiento cercano al aeropuerto, actualmente no poseen mayores alternativas de hospedaje, aun considerando los dos proyectos hoteleros que actualmente se encuentran en el sector como son el Hotel </w:t>
      </w:r>
      <w:proofErr w:type="spellStart"/>
      <w:r w:rsidRPr="00FD0B23">
        <w:rPr>
          <w:rFonts w:ascii="Palatino Linotype" w:hAnsi="Palatino Linotype"/>
        </w:rPr>
        <w:t>Wyndham</w:t>
      </w:r>
      <w:proofErr w:type="spellEnd"/>
      <w:r w:rsidRPr="00FD0B23">
        <w:rPr>
          <w:rFonts w:ascii="Palatino Linotype" w:hAnsi="Palatino Linotype"/>
        </w:rPr>
        <w:t xml:space="preserve"> Grand Cóndor, con una capacidad de 140 habitaciones, que se encuentra dentro del Aeropuerto Internacional Quito y del Proyecto Urbanístico Arquitectónico Especial Hotel </w:t>
      </w:r>
      <w:proofErr w:type="spellStart"/>
      <w:r w:rsidRPr="00FD0B23">
        <w:rPr>
          <w:rFonts w:ascii="Palatino Linotype" w:hAnsi="Palatino Linotype"/>
        </w:rPr>
        <w:t>Eurobuilding</w:t>
      </w:r>
      <w:proofErr w:type="spellEnd"/>
      <w:r w:rsidRPr="00FD0B23">
        <w:rPr>
          <w:rFonts w:ascii="Palatino Linotype" w:hAnsi="Palatino Linotype"/>
        </w:rPr>
        <w:t>, que posee una capacidad de 216 habitaciones, y está ubicado al extremo sur del conector Alpachaca.</w:t>
      </w:r>
    </w:p>
    <w:p w14:paraId="548A8A23" w14:textId="77777777" w:rsidR="00E85F30" w:rsidRPr="00FD0B23" w:rsidRDefault="00E85F30" w:rsidP="00E85F30">
      <w:pPr>
        <w:spacing w:after="120"/>
        <w:ind w:firstLine="567"/>
        <w:rPr>
          <w:rFonts w:ascii="Palatino Linotype" w:hAnsi="Palatino Linotype"/>
        </w:rPr>
      </w:pPr>
      <w:r w:rsidRPr="00FD0B23">
        <w:rPr>
          <w:rFonts w:ascii="Palatino Linotype" w:hAnsi="Palatino Linotype"/>
        </w:rPr>
        <w:lastRenderedPageBreak/>
        <w:t xml:space="preserve">Según datos del Instituto Nacional de Estadísticas y Censos (INEC) el medio de transporte con mayor número de entradas y salidas de visitantes nacionales y extranjeros al Ecuador es el aéreo, teniendo la cuidad de Quito el mayor número de registros, razón por la cual se hace necesario ampliar la infraestructura de hospedaje actual que posee la parroquia de Tababela. </w:t>
      </w:r>
    </w:p>
    <w:p w14:paraId="3649BC96" w14:textId="77777777" w:rsidR="00E85F30" w:rsidRPr="00FD0B23" w:rsidRDefault="00E85F30" w:rsidP="00E85F30">
      <w:pPr>
        <w:spacing w:after="120"/>
        <w:ind w:firstLine="567"/>
        <w:rPr>
          <w:rFonts w:ascii="Palatino Linotype" w:hAnsi="Palatino Linotype"/>
        </w:rPr>
      </w:pPr>
      <w:r w:rsidRPr="00FD0B23">
        <w:rPr>
          <w:rFonts w:ascii="Palatino Linotype" w:hAnsi="Palatino Linotype"/>
        </w:rPr>
        <w:t xml:space="preserve">La cadena hotelera </w:t>
      </w:r>
      <w:proofErr w:type="spellStart"/>
      <w:r w:rsidRPr="00FD0B23">
        <w:rPr>
          <w:rFonts w:ascii="Palatino Linotype" w:hAnsi="Palatino Linotype"/>
        </w:rPr>
        <w:t>Holiday</w:t>
      </w:r>
      <w:proofErr w:type="spellEnd"/>
      <w:r w:rsidRPr="00FD0B23">
        <w:rPr>
          <w:rFonts w:ascii="Palatino Linotype" w:hAnsi="Palatino Linotype"/>
        </w:rPr>
        <w:t xml:space="preserve"> </w:t>
      </w:r>
      <w:proofErr w:type="spellStart"/>
      <w:r w:rsidRPr="00FD0B23">
        <w:rPr>
          <w:rFonts w:ascii="Palatino Linotype" w:hAnsi="Palatino Linotype"/>
        </w:rPr>
        <w:t>Inn</w:t>
      </w:r>
      <w:proofErr w:type="spellEnd"/>
      <w:r w:rsidRPr="00FD0B23">
        <w:rPr>
          <w:rFonts w:ascii="Palatino Linotype" w:hAnsi="Palatino Linotype"/>
        </w:rPr>
        <w:t xml:space="preserve"> es parte del portafolio de marcas de la cadena Intercontinental Hotel </w:t>
      </w:r>
      <w:proofErr w:type="spellStart"/>
      <w:r w:rsidRPr="00FD0B23">
        <w:rPr>
          <w:rFonts w:ascii="Palatino Linotype" w:hAnsi="Palatino Linotype"/>
        </w:rPr>
        <w:t>Group</w:t>
      </w:r>
      <w:proofErr w:type="spellEnd"/>
      <w:r w:rsidRPr="00FD0B23">
        <w:rPr>
          <w:rFonts w:ascii="Palatino Linotype" w:hAnsi="Palatino Linotype"/>
        </w:rPr>
        <w:t xml:space="preserve"> (IHG), siendo el conglomerado más grande del mundo con 687 mil habitaciones en 4.700 hoteles distribuidos en 100 países en los 5 continentes.</w:t>
      </w:r>
    </w:p>
    <w:p w14:paraId="5849270F" w14:textId="502FFF06" w:rsidR="00E85F30" w:rsidRPr="00FD0B23" w:rsidRDefault="00E85F30" w:rsidP="00E85F30">
      <w:pPr>
        <w:spacing w:after="120"/>
        <w:ind w:firstLine="567"/>
        <w:rPr>
          <w:rFonts w:ascii="Palatino Linotype" w:hAnsi="Palatino Linotype"/>
        </w:rPr>
      </w:pPr>
      <w:r w:rsidRPr="00FD0B23">
        <w:rPr>
          <w:rFonts w:ascii="Palatino Linotype" w:hAnsi="Palatino Linotype"/>
        </w:rPr>
        <w:t>Esta cadena hotelera ha confirmado su interés en desarrollar un hotel de 4 estrellas</w:t>
      </w:r>
      <w:r w:rsidRPr="00FD0B23">
        <w:rPr>
          <w:rFonts w:ascii="Palatino Linotype" w:hAnsi="Palatino Linotype"/>
        </w:rPr>
        <w:t xml:space="preserve"> en la p</w:t>
      </w:r>
      <w:r w:rsidRPr="00FD0B23">
        <w:rPr>
          <w:rFonts w:ascii="Palatino Linotype" w:hAnsi="Palatino Linotype"/>
        </w:rPr>
        <w:t>arroquia Tababela, con el objeto de atender la demanda que se genera por:</w:t>
      </w:r>
    </w:p>
    <w:p w14:paraId="096C5021" w14:textId="77777777" w:rsidR="00E85F30" w:rsidRPr="00FD0B23" w:rsidRDefault="00E85F30" w:rsidP="00250512">
      <w:pPr>
        <w:pStyle w:val="Prrafodelista"/>
        <w:numPr>
          <w:ilvl w:val="0"/>
          <w:numId w:val="23"/>
        </w:numPr>
        <w:spacing w:after="120"/>
        <w:rPr>
          <w:rFonts w:ascii="Palatino Linotype" w:hAnsi="Palatino Linotype"/>
        </w:rPr>
      </w:pPr>
      <w:r w:rsidRPr="00FD0B23">
        <w:rPr>
          <w:rFonts w:ascii="Palatino Linotype" w:hAnsi="Palatino Linotype"/>
        </w:rPr>
        <w:t>La proximidad al Aeropuerto Internacional de Quito Mariscal Sucre.</w:t>
      </w:r>
    </w:p>
    <w:p w14:paraId="1B4AC820" w14:textId="77777777" w:rsidR="00E85F30" w:rsidRPr="00FD0B23" w:rsidRDefault="00E85F30" w:rsidP="00250512">
      <w:pPr>
        <w:pStyle w:val="Prrafodelista"/>
        <w:numPr>
          <w:ilvl w:val="0"/>
          <w:numId w:val="23"/>
        </w:numPr>
        <w:spacing w:after="120"/>
        <w:rPr>
          <w:rFonts w:ascii="Palatino Linotype" w:hAnsi="Palatino Linotype"/>
        </w:rPr>
      </w:pPr>
      <w:r w:rsidRPr="00FD0B23">
        <w:rPr>
          <w:rFonts w:ascii="Palatino Linotype" w:hAnsi="Palatino Linotype"/>
        </w:rPr>
        <w:t>La distancia hacia el centro de Quito que hoy en día conlleva tiempos inferiores a 60 minutos.</w:t>
      </w:r>
    </w:p>
    <w:p w14:paraId="1EEC27B4" w14:textId="77777777" w:rsidR="00E85F30" w:rsidRPr="00FD0B23" w:rsidRDefault="00E85F30" w:rsidP="00250512">
      <w:pPr>
        <w:pStyle w:val="Prrafodelista"/>
        <w:numPr>
          <w:ilvl w:val="0"/>
          <w:numId w:val="23"/>
        </w:numPr>
        <w:spacing w:after="120"/>
        <w:rPr>
          <w:rFonts w:ascii="Palatino Linotype" w:hAnsi="Palatino Linotype"/>
        </w:rPr>
      </w:pPr>
      <w:r w:rsidRPr="00FD0B23">
        <w:rPr>
          <w:rFonts w:ascii="Palatino Linotype" w:hAnsi="Palatino Linotype"/>
        </w:rPr>
        <w:t>El aumento en la tasa de crecimiento de visitantes no residentes en la ciudad Quito.</w:t>
      </w:r>
    </w:p>
    <w:p w14:paraId="64BBE115" w14:textId="77777777" w:rsidR="00E85F30" w:rsidRPr="00FD0B23" w:rsidRDefault="00E85F30" w:rsidP="00250512">
      <w:pPr>
        <w:pStyle w:val="Prrafodelista"/>
        <w:numPr>
          <w:ilvl w:val="0"/>
          <w:numId w:val="23"/>
        </w:numPr>
        <w:spacing w:after="120"/>
        <w:rPr>
          <w:rFonts w:ascii="Palatino Linotype" w:hAnsi="Palatino Linotype"/>
        </w:rPr>
      </w:pPr>
      <w:r w:rsidRPr="00FD0B23">
        <w:rPr>
          <w:rFonts w:ascii="Palatino Linotype" w:hAnsi="Palatino Linotype"/>
        </w:rPr>
        <w:t xml:space="preserve">La provincia de Pichincha concentra el 63.38% de la demanda de turismo internacional. </w:t>
      </w:r>
      <w:r w:rsidRPr="00FD0B23">
        <w:rPr>
          <w:rFonts w:ascii="Palatino Linotype" w:hAnsi="Palatino Linotype"/>
          <w:i/>
        </w:rPr>
        <w:t xml:space="preserve">Fuente: Estudio integral de turismo internacional en el Ecuador 2012-2013, MINTUR. </w:t>
      </w:r>
    </w:p>
    <w:p w14:paraId="363728FF" w14:textId="77777777"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t xml:space="preserve">Respecto a la demanda hotelera, los datos que arroja el estudio de mercado realizado para el presente proyecto señalan que “la plaza de Quito está dominada por el segmento corporativo en un 50% y en 35% por el segmento de turismo. Estas condiciones son muy favorables para </w:t>
      </w:r>
      <w:proofErr w:type="gramStart"/>
      <w:r w:rsidRPr="00FD0B23">
        <w:rPr>
          <w:rFonts w:ascii="Palatino Linotype" w:hAnsi="Palatino Linotype" w:cs="Arial"/>
        </w:rPr>
        <w:t>la hotelería</w:t>
      </w:r>
      <w:proofErr w:type="gramEnd"/>
      <w:r w:rsidRPr="00FD0B23">
        <w:rPr>
          <w:rFonts w:ascii="Palatino Linotype" w:hAnsi="Palatino Linotype" w:cs="Arial"/>
        </w:rPr>
        <w:t>,</w:t>
      </w:r>
      <w:r w:rsidRPr="00FD0B23">
        <w:rPr>
          <w:rFonts w:ascii="Palatino Linotype" w:hAnsi="Palatino Linotype" w:cs="Arial"/>
        </w:rPr>
        <w:t xml:space="preserve"> ya que le permite a los establecimientos una mejor comercialización de sus servicios y una mejor tarifa promedio.</w:t>
      </w:r>
    </w:p>
    <w:p w14:paraId="14794FE3" w14:textId="77777777"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t>A raíz de la construcción y apertura del Aeropuerto Internacional de Quito Mariscal Sucre, se generó una demanda importante de servicios complementarios en la zona. A pocos meses de la inauguración del Aeropuerto Internacional Mariscal Sucre, se construyó el edificio de oficinas y patio de comidas (centro de negocios del aeropuerto), el cual ha servido para satisfacer en un porcentaje a las necesidades de los usuarios del aeropuerto.</w:t>
      </w:r>
    </w:p>
    <w:p w14:paraId="44EC2405" w14:textId="77777777"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t xml:space="preserve">Sin embargo, en materia hotelera, la provisión de habitaciones cercanas al Aeropuerto es escasa. En el 2016, el Hotel </w:t>
      </w:r>
      <w:proofErr w:type="spellStart"/>
      <w:r w:rsidRPr="00FD0B23">
        <w:rPr>
          <w:rFonts w:ascii="Palatino Linotype" w:hAnsi="Palatino Linotype" w:cs="Arial"/>
        </w:rPr>
        <w:t>Wyndham</w:t>
      </w:r>
      <w:proofErr w:type="spellEnd"/>
      <w:r w:rsidRPr="00FD0B23">
        <w:rPr>
          <w:rFonts w:ascii="Palatino Linotype" w:hAnsi="Palatino Linotype" w:cs="Arial"/>
        </w:rPr>
        <w:t xml:space="preserve"> Gran Cóndor con 150 habitaciones inauguró sus instalaciones. Adicionalmente, hace pocos meses abrió el Hotel </w:t>
      </w:r>
      <w:proofErr w:type="spellStart"/>
      <w:r w:rsidRPr="00FD0B23">
        <w:rPr>
          <w:rFonts w:ascii="Palatino Linotype" w:hAnsi="Palatino Linotype" w:cs="Arial"/>
        </w:rPr>
        <w:t>Eurobuilding</w:t>
      </w:r>
      <w:proofErr w:type="spellEnd"/>
      <w:r w:rsidRPr="00FD0B23">
        <w:rPr>
          <w:rFonts w:ascii="Palatino Linotype" w:hAnsi="Palatino Linotype" w:cs="Arial"/>
        </w:rPr>
        <w:t xml:space="preserve"> con 147 habitaciones. Ambos hoteles cuentan con salones, bar, restaurante, gimnasio entre otras amenidades.</w:t>
      </w:r>
    </w:p>
    <w:p w14:paraId="182967CF" w14:textId="77777777"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t xml:space="preserve">Una vez que los 3 hoteles estén operativos, la oferta de habitaciones será de 423 unidades para un mercado cautivo generado principalmente por el Aeropuerto y por el pujante desarrollo residencial y comercial de la zona de los Valles. Esta oferta de habitaciones, comparando con lo </w:t>
      </w:r>
      <w:r w:rsidRPr="00FD0B23">
        <w:rPr>
          <w:rFonts w:ascii="Palatino Linotype" w:hAnsi="Palatino Linotype" w:cs="Arial"/>
        </w:rPr>
        <w:lastRenderedPageBreak/>
        <w:t xml:space="preserve">existente en otras ciudades que tienen Aeropuertos alejados de su casco comercial, nos permite colegir que dicha oferta se encuentra por debajo de lo que usualmente se demanda. </w:t>
      </w:r>
    </w:p>
    <w:p w14:paraId="673BB89B" w14:textId="7080CC45"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t>De la demanda insatisfecha se han obtenido los siguientes datos:</w:t>
      </w:r>
    </w:p>
    <w:p w14:paraId="40626E26" w14:textId="77777777"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Salvo a lo experimentado en el 2015 y 2016, años que evidencian una desaceleración económica, el comportamiento de la actividad turística se ha mantenido en constante crecimiento incluso por encima de la economía en general.</w:t>
      </w:r>
    </w:p>
    <w:p w14:paraId="1B287210" w14:textId="77777777"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Los resultados registrados en el 2017 reflejan una recuperación evidente del sector hotelero en Quito.</w:t>
      </w:r>
    </w:p>
    <w:p w14:paraId="79AC8383" w14:textId="2B8F4630"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El crecimiento de la actividad turística a nivel nacional en los últimos 3 años ha sido de 9% (</w:t>
      </w:r>
      <w:r w:rsidRPr="00FD0B23">
        <w:rPr>
          <w:rFonts w:ascii="Palatino Linotype" w:hAnsi="Palatino Linotype" w:cs="Arial"/>
        </w:rPr>
        <w:t>alojamiento y alimentos &amp; bebidas).</w:t>
      </w:r>
    </w:p>
    <w:p w14:paraId="6A3E1F2A" w14:textId="77777777"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El promedio anual de crecimiento en arribos ha sido de 8% en los últimos 4 años a nivel nacional.</w:t>
      </w:r>
    </w:p>
    <w:p w14:paraId="6C3E81B8" w14:textId="77777777"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El crecimiento de arribos ha sido de 7,68% anual en los últimos 9 años en la ciudad de Quito.</w:t>
      </w:r>
    </w:p>
    <w:p w14:paraId="35036C87" w14:textId="77777777"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Las ventas hoteleras contabilizadas en noches, han tenido un crecimiento del 6% en los últimos 9 años.</w:t>
      </w:r>
    </w:p>
    <w:p w14:paraId="5F67341C" w14:textId="5512BB71"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La tarifa promedio de hoteles han t</w:t>
      </w:r>
      <w:r w:rsidRPr="00FD0B23">
        <w:rPr>
          <w:rFonts w:ascii="Palatino Linotype" w:hAnsi="Palatino Linotype" w:cs="Arial"/>
        </w:rPr>
        <w:t>enido un crecimiento anual de 5,</w:t>
      </w:r>
      <w:r w:rsidRPr="00FD0B23">
        <w:rPr>
          <w:rFonts w:ascii="Palatino Linotype" w:hAnsi="Palatino Linotype" w:cs="Arial"/>
        </w:rPr>
        <w:t>7% en los últimos 9 años.</w:t>
      </w:r>
    </w:p>
    <w:p w14:paraId="1546F170" w14:textId="2E63287E"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Sin embargo, el crecimiento anual en los últimos 9 años de las habitaciones dis</w:t>
      </w:r>
      <w:r w:rsidRPr="00FD0B23">
        <w:rPr>
          <w:rFonts w:ascii="Palatino Linotype" w:hAnsi="Palatino Linotype" w:cs="Arial"/>
        </w:rPr>
        <w:t>ponibles ha sido solamente de 0,</w:t>
      </w:r>
      <w:r w:rsidRPr="00FD0B23">
        <w:rPr>
          <w:rFonts w:ascii="Palatino Linotype" w:hAnsi="Palatino Linotype" w:cs="Arial"/>
        </w:rPr>
        <w:t>33%.</w:t>
      </w:r>
    </w:p>
    <w:p w14:paraId="5DA9124E" w14:textId="77777777" w:rsidR="00E85F30" w:rsidRPr="00FD0B23" w:rsidRDefault="00E85F30" w:rsidP="00250512">
      <w:pPr>
        <w:pStyle w:val="Prrafodelista"/>
        <w:numPr>
          <w:ilvl w:val="0"/>
          <w:numId w:val="24"/>
        </w:numPr>
        <w:spacing w:after="120"/>
        <w:rPr>
          <w:rFonts w:ascii="Palatino Linotype" w:hAnsi="Palatino Linotype" w:cs="Arial"/>
        </w:rPr>
      </w:pPr>
      <w:r w:rsidRPr="00FD0B23">
        <w:rPr>
          <w:rFonts w:ascii="Palatino Linotype" w:hAnsi="Palatino Linotype" w:cs="Arial"/>
        </w:rPr>
        <w:t>Por lo tanto, se evidencia que la demanda de habitaciones en los últimos 9 años ha crecido a un ritmo de 18 veces más que la oferta de nuevas habitaciones”.</w:t>
      </w:r>
    </w:p>
    <w:p w14:paraId="2D336501" w14:textId="77777777"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t xml:space="preserve">El objetivo de la ordenanza es establecer las regulaciones aplicables al citado predio que acogerá un proyecto que aumenta la oferta hotelera, generando una solución urbana y arquitectónica que se integra adecuadamente al sector logístico proyectado, el mismo que deberá tener una vocación concordante con las previsiones de crecimiento y consolidación de una “Ciudad Aeroportuaria” que, más allá del predio del aeropuerto, integre a las parroquias de Tababela, </w:t>
      </w:r>
      <w:proofErr w:type="spellStart"/>
      <w:r w:rsidRPr="00FD0B23">
        <w:rPr>
          <w:rFonts w:ascii="Palatino Linotype" w:hAnsi="Palatino Linotype" w:cs="Arial"/>
        </w:rPr>
        <w:t>Puembo</w:t>
      </w:r>
      <w:proofErr w:type="spellEnd"/>
      <w:r w:rsidRPr="00FD0B23">
        <w:rPr>
          <w:rFonts w:ascii="Palatino Linotype" w:hAnsi="Palatino Linotype" w:cs="Arial"/>
        </w:rPr>
        <w:t xml:space="preserve">, </w:t>
      </w:r>
      <w:proofErr w:type="spellStart"/>
      <w:r w:rsidRPr="00FD0B23">
        <w:rPr>
          <w:rFonts w:ascii="Palatino Linotype" w:hAnsi="Palatino Linotype" w:cs="Arial"/>
        </w:rPr>
        <w:t>Pifo</w:t>
      </w:r>
      <w:proofErr w:type="spellEnd"/>
      <w:r w:rsidRPr="00FD0B23">
        <w:rPr>
          <w:rFonts w:ascii="Palatino Linotype" w:hAnsi="Palatino Linotype" w:cs="Arial"/>
        </w:rPr>
        <w:t xml:space="preserve"> y Checa, en una planificación territorial de mediano y largo plazo, que fije las pautas de un desarrollo urbanístico, capaz de acoger las dinámicas económicas, ambientales, sociales y de movilidad implicadas en la evolución del polo de desarrollo aeroportuario.</w:t>
      </w:r>
    </w:p>
    <w:p w14:paraId="0E3E0C0E" w14:textId="77777777"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t>Por tanto, el proyecto consolida el sistema de centralidades del Distrito Metropolitano de Quito y particularmente la centralidad Aeroportuaria, de acuerdo a lo establecido en el Plan Metropolitano de Desarrollo y Ordenamiento Territorial del Distrito Metropolitano de Quito sancionado mediante Ordenanza Metropolitana No. 041</w:t>
      </w:r>
      <w:r w:rsidRPr="00FD0B23">
        <w:rPr>
          <w:rFonts w:ascii="Palatino Linotype" w:hAnsi="Palatino Linotype" w:cs="Arial"/>
        </w:rPr>
        <w:t>,</w:t>
      </w:r>
      <w:r w:rsidRPr="00FD0B23">
        <w:rPr>
          <w:rFonts w:ascii="Palatino Linotype" w:hAnsi="Palatino Linotype" w:cs="Arial"/>
        </w:rPr>
        <w:t xml:space="preserve"> de fecha 22 de febrero de 2015,  incrementando posibilidades de servicios, trabajo y localización empresarial en un entorno de potencial desarrollo económico y crecimiento urbano.</w:t>
      </w:r>
    </w:p>
    <w:p w14:paraId="66FDED1F" w14:textId="77777777" w:rsidR="00E85F30" w:rsidRPr="00FD0B23" w:rsidRDefault="00E85F30" w:rsidP="00E85F30">
      <w:pPr>
        <w:spacing w:after="120"/>
        <w:ind w:firstLine="708"/>
        <w:rPr>
          <w:rFonts w:ascii="Palatino Linotype" w:hAnsi="Palatino Linotype" w:cs="Arial"/>
        </w:rPr>
      </w:pPr>
      <w:r w:rsidRPr="00FD0B23">
        <w:rPr>
          <w:rFonts w:ascii="Palatino Linotype" w:hAnsi="Palatino Linotype" w:cs="Arial"/>
        </w:rPr>
        <w:lastRenderedPageBreak/>
        <w:t xml:space="preserve">Otro valor agregado del proyecto es la incorporación de elementos de diseño y construcción sustentable, producto de las políticas ambientales que posee la firma hotelera, en concertación con los lineamientos establecidos por la Mesa Técnica de PUAE. </w:t>
      </w:r>
    </w:p>
    <w:p w14:paraId="6F42C11A" w14:textId="24C76AB7" w:rsidR="00E85F30" w:rsidRDefault="00E85F30" w:rsidP="00E85F30">
      <w:pPr>
        <w:spacing w:after="120"/>
        <w:ind w:firstLine="708"/>
        <w:rPr>
          <w:rFonts w:ascii="Palatino Linotype" w:hAnsi="Palatino Linotype" w:cs="Arial"/>
        </w:rPr>
      </w:pPr>
      <w:r w:rsidRPr="00FD0B23">
        <w:rPr>
          <w:rFonts w:ascii="Palatino Linotype" w:hAnsi="Palatino Linotype" w:cs="Arial"/>
        </w:rPr>
        <w:t xml:space="preserve">El proyecto genera, por concepto de Concesión Onerosa de Derechos (COD) por edificabilidad, un monto </w:t>
      </w:r>
      <w:r w:rsidRPr="00FD0B23">
        <w:rPr>
          <w:rFonts w:ascii="Palatino Linotype" w:hAnsi="Palatino Linotype" w:cs="Arial"/>
        </w:rPr>
        <w:t>de USD.</w:t>
      </w:r>
      <w:r w:rsidRPr="00FD0B23">
        <w:rPr>
          <w:rFonts w:ascii="Palatino Linotype" w:hAnsi="Palatino Linotype" w:cs="Arial"/>
        </w:rPr>
        <w:t xml:space="preserve"> 451.590,86 (cuatrocientos cincuenta y un mil quinientos noventa dólares y ochenta y seis centavos)  a favor del Municipio del Distrito Metropolitano de Quito, en base al artículo 13 de la Ordenanza </w:t>
      </w:r>
      <w:r w:rsidR="00FD0B23">
        <w:rPr>
          <w:rFonts w:ascii="Palatino Linotype" w:hAnsi="Palatino Linotype" w:cs="Arial"/>
        </w:rPr>
        <w:t xml:space="preserve">No. </w:t>
      </w:r>
      <w:r w:rsidRPr="00FD0B23">
        <w:rPr>
          <w:rFonts w:ascii="Palatino Linotype" w:hAnsi="Palatino Linotype" w:cs="Arial"/>
        </w:rPr>
        <w:t>183, la forma de pago de este valor será a través del pago en especie, mediante el diseño y construcción de infraestructura vial de la calle Cotopaxi</w:t>
      </w:r>
      <w:r w:rsidRPr="00FD0B23">
        <w:rPr>
          <w:rFonts w:ascii="Palatino Linotype" w:hAnsi="Palatino Linotype" w:cs="Arial"/>
        </w:rPr>
        <w:t>,</w:t>
      </w:r>
      <w:r w:rsidRPr="00FD0B23">
        <w:rPr>
          <w:rFonts w:ascii="Palatino Linotype" w:hAnsi="Palatino Linotype" w:cs="Arial"/>
        </w:rPr>
        <w:t xml:space="preserve"> cuya sección propuesta es de 26 m y su jerarquía vial será de una vía colectora, ubicada al occidente del proyecto, finalmente en caso de aplicar, el saldo resultante entre el valor por </w:t>
      </w:r>
      <w:r w:rsidRPr="00FD0B23">
        <w:rPr>
          <w:rFonts w:ascii="Palatino Linotype" w:hAnsi="Palatino Linotype" w:cs="Arial"/>
        </w:rPr>
        <w:t xml:space="preserve">concesión onerosa de derechos </w:t>
      </w:r>
      <w:r w:rsidRPr="00FD0B23">
        <w:rPr>
          <w:rFonts w:ascii="Palatino Linotype" w:hAnsi="Palatino Linotype" w:cs="Arial"/>
        </w:rPr>
        <w:t>y el valor del pago en especie, se lo realizará mediante el pago monetario conforme a las condiciones establecidas en la presente ordenanza.</w:t>
      </w:r>
      <w:r w:rsidRPr="00E85F30">
        <w:rPr>
          <w:rFonts w:ascii="Palatino Linotype" w:hAnsi="Palatino Linotype" w:cs="Arial"/>
        </w:rPr>
        <w:t xml:space="preserve"> </w:t>
      </w:r>
    </w:p>
    <w:p w14:paraId="3ACCDE2A" w14:textId="77777777" w:rsidR="00E85F30" w:rsidRDefault="00E85F30" w:rsidP="00E85F30">
      <w:pPr>
        <w:spacing w:after="120"/>
        <w:ind w:firstLine="708"/>
        <w:rPr>
          <w:rFonts w:ascii="Palatino Linotype" w:hAnsi="Palatino Linotype" w:cs="Arial"/>
          <w:i/>
        </w:rPr>
      </w:pPr>
      <w:r w:rsidRPr="00E85F30">
        <w:rPr>
          <w:rFonts w:ascii="Palatino Linotype" w:hAnsi="Palatino Linotype" w:cs="Arial"/>
        </w:rPr>
        <w:t>Este aporte en infraestructura es necesario para consolidar el acceso hacia la Zona Especial de Desarrollo Económico (ZEDE), ubicada en el sector sur del Aeropuerto Internacional Mariscal Sucre. Cabe recalcar que el proyecto ZEDE se encuentra contemplado en el Plan Metropolitano de Desarrollo y Ordenamiento Territorial (PMDOT 2015 – 2025) del Distrito Metropolitano de Quito, en el Objetivo 5.1 de la política No. 05 del Eje de desarrollo económico, productivo y competitividad: Quito Ciudad de oportunidades, el cual literalmente señala:</w:t>
      </w:r>
      <w:r w:rsidRPr="00E85F30">
        <w:rPr>
          <w:rFonts w:ascii="Palatino Linotype" w:hAnsi="Palatino Linotype" w:cs="Arial"/>
          <w:i/>
        </w:rPr>
        <w:t xml:space="preserve"> “Quito, es una ciudad articulada logísticamente a nivel nacional y regional, y cuenta con una infraestructura adecuada para la producción”.</w:t>
      </w:r>
    </w:p>
    <w:p w14:paraId="2BE506B5" w14:textId="77777777" w:rsidR="00FD0B23" w:rsidRPr="00FD0B23" w:rsidRDefault="00E85F30" w:rsidP="00FD0B23">
      <w:pPr>
        <w:spacing w:after="120"/>
        <w:ind w:firstLine="708"/>
        <w:rPr>
          <w:rFonts w:ascii="Palatino Linotype" w:hAnsi="Palatino Linotype" w:cs="Arial"/>
        </w:rPr>
      </w:pPr>
      <w:r w:rsidRPr="00E85F30">
        <w:rPr>
          <w:rFonts w:ascii="Palatino Linotype" w:hAnsi="Palatino Linotype" w:cs="Arial"/>
        </w:rPr>
        <w:t xml:space="preserve">Además del ingreso hacia la ZEDE, la calle Cotopaxi prevé desarrollar el potencial urbanístico del sector, por lo cual su construcción deberá complementarse con otras inversiones públicas y privadas tendientes a consolidar la estructura urbana de la meseta oriental de Tababela, concebida como el territorio de expansión urbana inmediata hacia el sur del complejo </w:t>
      </w:r>
      <w:r w:rsidRPr="00FD0B23">
        <w:rPr>
          <w:rFonts w:ascii="Palatino Linotype" w:hAnsi="Palatino Linotype" w:cs="Arial"/>
        </w:rPr>
        <w:t>aeroportuario.</w:t>
      </w:r>
    </w:p>
    <w:p w14:paraId="6EC76B33" w14:textId="77777777" w:rsidR="00FD0B23" w:rsidRPr="00FD0B23" w:rsidRDefault="00E85F30" w:rsidP="00FD0B23">
      <w:pPr>
        <w:spacing w:after="120"/>
        <w:ind w:firstLine="708"/>
        <w:rPr>
          <w:rFonts w:ascii="Palatino Linotype" w:hAnsi="Palatino Linotype" w:cs="Arial"/>
        </w:rPr>
      </w:pPr>
      <w:r w:rsidRPr="00FD0B23">
        <w:rPr>
          <w:rFonts w:ascii="Palatino Linotype" w:hAnsi="Palatino Linotype" w:cs="Arial"/>
        </w:rPr>
        <w:t xml:space="preserve">El Concejo Metropolitano deja en claro que la aprobación de la ordenanza del PUAE Hotel </w:t>
      </w:r>
      <w:proofErr w:type="spellStart"/>
      <w:r w:rsidRPr="00FD0B23">
        <w:rPr>
          <w:rFonts w:ascii="Palatino Linotype" w:hAnsi="Palatino Linotype" w:cs="Arial"/>
        </w:rPr>
        <w:t>Holiday</w:t>
      </w:r>
      <w:proofErr w:type="spellEnd"/>
      <w:r w:rsidRPr="00FD0B23">
        <w:rPr>
          <w:rFonts w:ascii="Palatino Linotype" w:hAnsi="Palatino Linotype" w:cs="Arial"/>
        </w:rPr>
        <w:t xml:space="preserve"> </w:t>
      </w:r>
      <w:proofErr w:type="spellStart"/>
      <w:r w:rsidRPr="00FD0B23">
        <w:rPr>
          <w:rFonts w:ascii="Palatino Linotype" w:hAnsi="Palatino Linotype" w:cs="Arial"/>
        </w:rPr>
        <w:t>Inn</w:t>
      </w:r>
      <w:proofErr w:type="spellEnd"/>
      <w:r w:rsidRPr="00FD0B23">
        <w:rPr>
          <w:rFonts w:ascii="Palatino Linotype" w:hAnsi="Palatino Linotype" w:cs="Arial"/>
        </w:rPr>
        <w:t xml:space="preserve"> Quito </w:t>
      </w:r>
      <w:proofErr w:type="spellStart"/>
      <w:r w:rsidRPr="00FD0B23">
        <w:rPr>
          <w:rFonts w:ascii="Palatino Linotype" w:hAnsi="Palatino Linotype" w:cs="Arial"/>
        </w:rPr>
        <w:t>Airport</w:t>
      </w:r>
      <w:proofErr w:type="spellEnd"/>
      <w:r w:rsidRPr="00FD0B23">
        <w:rPr>
          <w:rFonts w:ascii="Palatino Linotype" w:hAnsi="Palatino Linotype" w:cs="Arial"/>
        </w:rPr>
        <w:t xml:space="preserve"> no conlleva la extinción de los expedientes sancionadores que estuvieren vigentes o pendientes de resolver para el lote donde se desarrolla este proyecto.</w:t>
      </w:r>
    </w:p>
    <w:p w14:paraId="17FF0AB7" w14:textId="77777777" w:rsidR="00FD0B23" w:rsidRPr="00FD0B23" w:rsidRDefault="00E85F30" w:rsidP="00FD0B23">
      <w:pPr>
        <w:spacing w:after="120"/>
        <w:ind w:firstLine="708"/>
        <w:rPr>
          <w:rFonts w:ascii="Palatino Linotype" w:hAnsi="Palatino Linotype" w:cs="Arial"/>
        </w:rPr>
      </w:pPr>
      <w:r w:rsidRPr="00FD0B23">
        <w:rPr>
          <w:rFonts w:ascii="Palatino Linotype" w:hAnsi="Palatino Linotype" w:cs="Arial"/>
        </w:rPr>
        <w:t xml:space="preserve">A partir de la aprobación de la presente ordenanza el promotor deberá iniciar el proceso conducente a la obtención de la respectiva licencia metropolitana urbanística (LMU-20), en base a lo establecido en este cuerpo normativo y a las regulaciones generales instituidas para el efecto. </w:t>
      </w:r>
    </w:p>
    <w:p w14:paraId="48323670" w14:textId="08E017D5" w:rsidR="00E85F30" w:rsidRPr="00E85F30" w:rsidRDefault="00E85F30" w:rsidP="00FD0B23">
      <w:pPr>
        <w:spacing w:after="120"/>
        <w:ind w:firstLine="708"/>
        <w:rPr>
          <w:rFonts w:ascii="Palatino Linotype" w:hAnsi="Palatino Linotype" w:cs="Arial"/>
        </w:rPr>
      </w:pPr>
      <w:r w:rsidRPr="00FD0B23">
        <w:rPr>
          <w:rFonts w:ascii="Palatino Linotype" w:hAnsi="Palatino Linotype" w:cs="Arial"/>
        </w:rPr>
        <w:t xml:space="preserve">Este proyecto cuenta con la viabilidad de la Mesa Técnica de PUAE desde el 8 de septiembre de 2014, además cuenta con una Licencia LMU-20 simplificada para intervenciones constructivas menores obtenida el 15 de agosto de 2014, así como con los informes de las Secretarías de Territorio, </w:t>
      </w:r>
      <w:r w:rsidRPr="00FD0B23">
        <w:rPr>
          <w:rFonts w:ascii="Palatino Linotype" w:hAnsi="Palatino Linotype" w:cs="Arial"/>
        </w:rPr>
        <w:lastRenderedPageBreak/>
        <w:t>Hábitat y Vivienda, Movilidad y Ambiente, cumpliendo con los parámetros y las condiciones técnicas exigidas a un Proyecto Urbanístico Arquitectónico Especial que, en su conjunto, representa un aporte al desarrollo del Distrito.</w:t>
      </w:r>
    </w:p>
    <w:p w14:paraId="495F3570" w14:textId="77777777" w:rsidR="00E85F30" w:rsidRDefault="00E85F30" w:rsidP="00E85F30"/>
    <w:p w14:paraId="29F7EC73" w14:textId="77777777" w:rsidR="00E85F30" w:rsidRDefault="00E85F30" w:rsidP="00694D76">
      <w:pPr>
        <w:spacing w:after="120"/>
        <w:ind w:left="567" w:hanging="567"/>
        <w:jc w:val="center"/>
        <w:rPr>
          <w:rFonts w:ascii="Palatino Linotype" w:hAnsi="Palatino Linotype" w:cs="Times New Roman"/>
          <w:b/>
        </w:rPr>
      </w:pPr>
    </w:p>
    <w:p w14:paraId="01B84EF4" w14:textId="16B9A9DB" w:rsidR="00694D76" w:rsidRDefault="00694D76" w:rsidP="00694D76">
      <w:pPr>
        <w:spacing w:after="120"/>
        <w:ind w:left="567" w:hanging="567"/>
        <w:jc w:val="center"/>
        <w:rPr>
          <w:rFonts w:ascii="Palatino Linotype" w:hAnsi="Palatino Linotype" w:cs="Times New Roman"/>
          <w:b/>
        </w:rPr>
      </w:pPr>
    </w:p>
    <w:p w14:paraId="2C049ADB" w14:textId="77777777" w:rsidR="00694D76" w:rsidRDefault="00694D76" w:rsidP="00694D76">
      <w:pPr>
        <w:spacing w:after="120"/>
        <w:ind w:left="567" w:hanging="567"/>
        <w:jc w:val="center"/>
        <w:rPr>
          <w:rFonts w:ascii="Palatino Linotype" w:hAnsi="Palatino Linotype" w:cs="Times New Roman"/>
          <w:b/>
        </w:rPr>
        <w:sectPr w:rsidR="00694D76" w:rsidSect="00CD209B">
          <w:headerReference w:type="default" r:id="rId8"/>
          <w:footerReference w:type="default" r:id="rId9"/>
          <w:pgSz w:w="11907" w:h="16840" w:code="9"/>
          <w:pgMar w:top="1440" w:right="1080" w:bottom="1440" w:left="1080" w:header="709" w:footer="709" w:gutter="0"/>
          <w:cols w:space="708"/>
          <w:docGrid w:linePitch="360"/>
        </w:sectPr>
      </w:pPr>
    </w:p>
    <w:p w14:paraId="0BFDD373" w14:textId="241277BE" w:rsidR="00DD2F5C" w:rsidRPr="00694D76" w:rsidRDefault="00694D76" w:rsidP="00694D76">
      <w:pPr>
        <w:spacing w:after="120"/>
        <w:ind w:left="567" w:hanging="567"/>
        <w:jc w:val="center"/>
        <w:rPr>
          <w:rFonts w:ascii="Palatino Linotype" w:hAnsi="Palatino Linotype" w:cs="Times New Roman"/>
          <w:b/>
        </w:rPr>
      </w:pPr>
      <w:r w:rsidRPr="00694D76">
        <w:rPr>
          <w:rFonts w:ascii="Palatino Linotype" w:hAnsi="Palatino Linotype" w:cs="Times New Roman"/>
          <w:b/>
        </w:rPr>
        <w:lastRenderedPageBreak/>
        <w:t>EL CONCEJO METROPOLITANO DE QUITO</w:t>
      </w:r>
    </w:p>
    <w:p w14:paraId="241D1ACB" w14:textId="68B8C7E9" w:rsidR="00A92645" w:rsidRPr="00694D76" w:rsidRDefault="00A92645" w:rsidP="00694D76">
      <w:pPr>
        <w:spacing w:after="120"/>
        <w:ind w:right="-1"/>
        <w:rPr>
          <w:rFonts w:ascii="Palatino Linotype" w:hAnsi="Palatino Linotype" w:cs="Arial"/>
        </w:rPr>
      </w:pPr>
      <w:r w:rsidRPr="00694D76">
        <w:rPr>
          <w:rFonts w:ascii="Palatino Linotype" w:hAnsi="Palatino Linotype" w:cs="Arial"/>
        </w:rPr>
        <w:t>Visto el Informe N</w:t>
      </w:r>
      <w:r w:rsidR="00694D76">
        <w:rPr>
          <w:rFonts w:ascii="Palatino Linotype" w:hAnsi="Palatino Linotype" w:cs="Arial"/>
        </w:rPr>
        <w:t xml:space="preserve">o. IC-O-2018-392, </w:t>
      </w:r>
      <w:r w:rsidRPr="00694D76">
        <w:rPr>
          <w:rFonts w:ascii="Palatino Linotype" w:hAnsi="Palatino Linotype" w:cs="Arial"/>
        </w:rPr>
        <w:t xml:space="preserve">de </w:t>
      </w:r>
      <w:r w:rsidR="00694D76">
        <w:rPr>
          <w:rFonts w:ascii="Palatino Linotype" w:hAnsi="Palatino Linotype" w:cs="Arial"/>
        </w:rPr>
        <w:t xml:space="preserve">3 </w:t>
      </w:r>
      <w:r w:rsidRPr="00694D76">
        <w:rPr>
          <w:rFonts w:ascii="Palatino Linotype" w:hAnsi="Palatino Linotype" w:cs="Arial"/>
        </w:rPr>
        <w:t>de</w:t>
      </w:r>
      <w:r w:rsidR="00694D76">
        <w:rPr>
          <w:rFonts w:ascii="Palatino Linotype" w:hAnsi="Palatino Linotype" w:cs="Arial"/>
        </w:rPr>
        <w:t xml:space="preserve"> diciembre de</w:t>
      </w:r>
      <w:r w:rsidRPr="00694D76">
        <w:rPr>
          <w:rFonts w:ascii="Palatino Linotype" w:hAnsi="Palatino Linotype" w:cs="Arial"/>
        </w:rPr>
        <w:t xml:space="preserve"> 201</w:t>
      </w:r>
      <w:r w:rsidR="00521349" w:rsidRPr="00694D76">
        <w:rPr>
          <w:rFonts w:ascii="Palatino Linotype" w:hAnsi="Palatino Linotype" w:cs="Arial"/>
        </w:rPr>
        <w:t>8</w:t>
      </w:r>
      <w:r w:rsidRPr="00694D76">
        <w:rPr>
          <w:rFonts w:ascii="Palatino Linotype" w:hAnsi="Palatino Linotype" w:cs="Arial"/>
        </w:rPr>
        <w:t xml:space="preserve">, </w:t>
      </w:r>
      <w:r w:rsidR="00694D76">
        <w:rPr>
          <w:rFonts w:ascii="Palatino Linotype" w:hAnsi="Palatino Linotype" w:cs="Arial"/>
        </w:rPr>
        <w:t>emitido por</w:t>
      </w:r>
      <w:r w:rsidRPr="00694D76">
        <w:rPr>
          <w:rFonts w:ascii="Palatino Linotype" w:hAnsi="Palatino Linotype" w:cs="Arial"/>
        </w:rPr>
        <w:t xml:space="preserve"> la Comisión de</w:t>
      </w:r>
      <w:r w:rsidR="000169B1" w:rsidRPr="00694D76">
        <w:rPr>
          <w:rFonts w:ascii="Palatino Linotype" w:hAnsi="Palatino Linotype" w:cs="Arial"/>
        </w:rPr>
        <w:t xml:space="preserve"> Uso de</w:t>
      </w:r>
      <w:r w:rsidRPr="00694D76">
        <w:rPr>
          <w:rFonts w:ascii="Palatino Linotype" w:hAnsi="Palatino Linotype" w:cs="Arial"/>
        </w:rPr>
        <w:t xml:space="preserve"> Suelo.</w:t>
      </w:r>
    </w:p>
    <w:p w14:paraId="20FFBFDE" w14:textId="3EEB6CC6" w:rsidR="00DD2F5C" w:rsidRPr="00694D76" w:rsidRDefault="00DD2F5C" w:rsidP="00694D76">
      <w:pPr>
        <w:spacing w:after="120"/>
        <w:ind w:left="567" w:hanging="567"/>
        <w:jc w:val="center"/>
        <w:rPr>
          <w:rFonts w:ascii="Palatino Linotype" w:hAnsi="Palatino Linotype" w:cs="Times New Roman"/>
          <w:b/>
        </w:rPr>
      </w:pPr>
      <w:r w:rsidRPr="00694D76">
        <w:rPr>
          <w:rFonts w:ascii="Palatino Linotype" w:hAnsi="Palatino Linotype" w:cs="Times New Roman"/>
          <w:b/>
        </w:rPr>
        <w:t>CONSIDERANDO</w:t>
      </w:r>
      <w:r w:rsidR="00694D76" w:rsidRPr="00694D76">
        <w:rPr>
          <w:rFonts w:ascii="Palatino Linotype" w:hAnsi="Palatino Linotype" w:cs="Times New Roman"/>
          <w:b/>
        </w:rPr>
        <w:t>:</w:t>
      </w:r>
    </w:p>
    <w:p w14:paraId="0A4D2ACE" w14:textId="337C0C96" w:rsidR="000169B1" w:rsidRPr="00694D76" w:rsidRDefault="000169B1" w:rsidP="00694D76">
      <w:pPr>
        <w:suppressAutoHyphens/>
        <w:spacing w:after="120"/>
        <w:ind w:left="567" w:hanging="567"/>
        <w:rPr>
          <w:rFonts w:ascii="Palatino Linotype" w:hAnsi="Palatino Linotype" w:cs="Times New Roman"/>
          <w:i/>
        </w:rPr>
      </w:pPr>
      <w:r w:rsidRPr="00694D76">
        <w:rPr>
          <w:rFonts w:ascii="Palatino Linotype" w:hAnsi="Palatino Linotype" w:cs="Times New Roman"/>
          <w:b/>
        </w:rPr>
        <w:t>Que,</w:t>
      </w:r>
      <w:r w:rsidRPr="00694D76">
        <w:rPr>
          <w:rFonts w:ascii="Palatino Linotype" w:hAnsi="Palatino Linotype" w:cs="Times New Roman"/>
        </w:rPr>
        <w:tab/>
        <w:t>los numerales 1 y 2 del artículo 264 de la Constitución de la República del Ecuador establece</w:t>
      </w:r>
      <w:r w:rsidR="002E740E" w:rsidRPr="00694D76">
        <w:rPr>
          <w:rFonts w:ascii="Palatino Linotype" w:hAnsi="Palatino Linotype" w:cs="Times New Roman"/>
        </w:rPr>
        <w:t xml:space="preserve">n </w:t>
      </w:r>
      <w:r w:rsidRPr="00694D76">
        <w:rPr>
          <w:rFonts w:ascii="Palatino Linotype" w:hAnsi="Palatino Linotype" w:cs="Times New Roman"/>
        </w:rPr>
        <w:t>entre las competencias exclusivas de los gobiernos municipales las siguientes: “</w:t>
      </w:r>
      <w:r w:rsidRPr="00694D76">
        <w:rPr>
          <w:rFonts w:ascii="Palatino Linotype" w:hAnsi="Palatino Linotype" w:cs="Times New Roman"/>
          <w:i/>
        </w:rPr>
        <w:t>1. Planificar el desarrollo cantonal y formular los correspondientes planes de ordenamiento territorial, de manera articulada con la planificación nacional, regional, provincial y parroquial, a fin de regular el uso y la ocupación del suelo urbano y rural. 2. Ejercer el control sobre el uso y ocupación del suelo en el cantón”</w:t>
      </w:r>
      <w:r w:rsidR="00694D76">
        <w:rPr>
          <w:rFonts w:ascii="Palatino Linotype" w:hAnsi="Palatino Linotype" w:cs="Times New Roman"/>
          <w:i/>
        </w:rPr>
        <w:t>;</w:t>
      </w:r>
    </w:p>
    <w:p w14:paraId="572527BE" w14:textId="35FDAF01" w:rsidR="000169B1" w:rsidRPr="00694D76" w:rsidRDefault="000169B1"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Que,</w:t>
      </w:r>
      <w:r w:rsidR="00694D76">
        <w:rPr>
          <w:rFonts w:ascii="Palatino Linotype" w:hAnsi="Palatino Linotype" w:cs="Times New Roman"/>
        </w:rPr>
        <w:tab/>
      </w:r>
      <w:r w:rsidRPr="00694D76">
        <w:rPr>
          <w:rFonts w:ascii="Palatino Linotype" w:hAnsi="Palatino Linotype" w:cs="Times New Roman"/>
        </w:rPr>
        <w:t>los literales a) y b) del artículo 55 del Código Orgánico de Organización</w:t>
      </w:r>
      <w:r w:rsidR="002E740E" w:rsidRPr="00694D76">
        <w:rPr>
          <w:rFonts w:ascii="Palatino Linotype" w:hAnsi="Palatino Linotype" w:cs="Times New Roman"/>
        </w:rPr>
        <w:t xml:space="preserve"> Territorial</w:t>
      </w:r>
      <w:r w:rsidRPr="00694D76">
        <w:rPr>
          <w:rFonts w:ascii="Palatino Linotype" w:hAnsi="Palatino Linotype" w:cs="Times New Roman"/>
        </w:rPr>
        <w:t xml:space="preserve">, </w:t>
      </w:r>
      <w:r w:rsidR="002E740E" w:rsidRPr="00694D76">
        <w:rPr>
          <w:rFonts w:ascii="Palatino Linotype" w:hAnsi="Palatino Linotype" w:cs="Times New Roman"/>
        </w:rPr>
        <w:t xml:space="preserve">Autonomía y Descentralización, </w:t>
      </w:r>
      <w:r w:rsidRPr="00694D76">
        <w:rPr>
          <w:rFonts w:ascii="Palatino Linotype" w:hAnsi="Palatino Linotype" w:cs="Times New Roman"/>
        </w:rPr>
        <w:t>en adelante COOTAD</w:t>
      </w:r>
      <w:r w:rsidR="002E740E" w:rsidRPr="00694D76">
        <w:rPr>
          <w:rFonts w:ascii="Palatino Linotype" w:hAnsi="Palatino Linotype" w:cs="Times New Roman"/>
        </w:rPr>
        <w:t>,</w:t>
      </w:r>
      <w:r w:rsidRPr="00694D76">
        <w:rPr>
          <w:rFonts w:ascii="Palatino Linotype" w:hAnsi="Palatino Linotype" w:cs="Times New Roman"/>
        </w:rPr>
        <w:t xml:space="preserve"> establece como competencias exclusivas de los gobiernos autónomos descentralizados municipales, las siguientes: </w:t>
      </w:r>
      <w:r w:rsidRPr="00694D76">
        <w:rPr>
          <w:rFonts w:ascii="Palatino Linotype" w:hAnsi="Palatino Linotype" w:cs="Times New Roman"/>
          <w:i/>
        </w:rPr>
        <w:t>“a)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b) Ejercer el control sobre el uso y la oc</w:t>
      </w:r>
      <w:r w:rsidR="00694D76">
        <w:rPr>
          <w:rFonts w:ascii="Palatino Linotype" w:hAnsi="Palatino Linotype" w:cs="Times New Roman"/>
          <w:i/>
        </w:rPr>
        <w:t>upación del suelo en el cantón”</w:t>
      </w:r>
      <w:r w:rsidR="00694D76" w:rsidRPr="00694D76">
        <w:rPr>
          <w:rFonts w:ascii="Palatino Linotype" w:hAnsi="Palatino Linotype" w:cs="Times New Roman"/>
        </w:rPr>
        <w:t>;</w:t>
      </w:r>
    </w:p>
    <w:p w14:paraId="0D818267" w14:textId="0AD486BF" w:rsidR="00CB7D2C" w:rsidRPr="00694D76" w:rsidRDefault="00CB7D2C"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Que,</w:t>
      </w:r>
      <w:r w:rsidR="00694D76">
        <w:rPr>
          <w:rFonts w:ascii="Palatino Linotype" w:hAnsi="Palatino Linotype" w:cs="Times New Roman"/>
        </w:rPr>
        <w:tab/>
      </w:r>
      <w:r w:rsidR="002E6F00" w:rsidRPr="00694D76">
        <w:rPr>
          <w:rFonts w:ascii="Palatino Linotype" w:hAnsi="Palatino Linotype" w:cs="Times New Roman"/>
        </w:rPr>
        <w:t>l</w:t>
      </w:r>
      <w:r w:rsidRPr="00694D76">
        <w:rPr>
          <w:rFonts w:ascii="Palatino Linotype" w:hAnsi="Palatino Linotype" w:cs="Times New Roman"/>
        </w:rPr>
        <w:t>os literal</w:t>
      </w:r>
      <w:r w:rsidR="0064128A" w:rsidRPr="00694D76">
        <w:rPr>
          <w:rFonts w:ascii="Palatino Linotype" w:hAnsi="Palatino Linotype" w:cs="Times New Roman"/>
        </w:rPr>
        <w:t>es</w:t>
      </w:r>
      <w:r w:rsidR="002E2CA2" w:rsidRPr="00694D76">
        <w:rPr>
          <w:rFonts w:ascii="Palatino Linotype" w:hAnsi="Palatino Linotype" w:cs="Times New Roman"/>
        </w:rPr>
        <w:t xml:space="preserve"> a)</w:t>
      </w:r>
      <w:r w:rsidRPr="00694D76">
        <w:rPr>
          <w:rFonts w:ascii="Palatino Linotype" w:hAnsi="Palatino Linotype" w:cs="Times New Roman"/>
        </w:rPr>
        <w:t xml:space="preserve"> y x) del artículo 57 del </w:t>
      </w:r>
      <w:r w:rsidR="000169B1" w:rsidRPr="00694D76">
        <w:rPr>
          <w:rFonts w:ascii="Palatino Linotype" w:hAnsi="Palatino Linotype" w:cs="Times New Roman"/>
        </w:rPr>
        <w:t>COOTAD</w:t>
      </w:r>
      <w:r w:rsidR="00AD2440" w:rsidRPr="00694D76">
        <w:rPr>
          <w:rFonts w:ascii="Palatino Linotype" w:hAnsi="Palatino Linotype" w:cs="Times New Roman"/>
        </w:rPr>
        <w:t>, en concordancia con los literales a</w:t>
      </w:r>
      <w:r w:rsidR="002E2CA2" w:rsidRPr="00694D76">
        <w:rPr>
          <w:rFonts w:ascii="Palatino Linotype" w:hAnsi="Palatino Linotype" w:cs="Times New Roman"/>
        </w:rPr>
        <w:t xml:space="preserve">) </w:t>
      </w:r>
      <w:r w:rsidR="00AD2440" w:rsidRPr="00694D76">
        <w:rPr>
          <w:rFonts w:ascii="Palatino Linotype" w:hAnsi="Palatino Linotype" w:cs="Times New Roman"/>
        </w:rPr>
        <w:t xml:space="preserve">y v) del artículo 87 del mismo cuerpo normativo, establecen que son </w:t>
      </w:r>
      <w:r w:rsidR="000169B1" w:rsidRPr="00694D76">
        <w:rPr>
          <w:rFonts w:ascii="Palatino Linotype" w:hAnsi="Palatino Linotype" w:cs="Times New Roman"/>
        </w:rPr>
        <w:t>atribuciones</w:t>
      </w:r>
      <w:r w:rsidR="00AD2440" w:rsidRPr="00694D76">
        <w:rPr>
          <w:rFonts w:ascii="Palatino Linotype" w:hAnsi="Palatino Linotype" w:cs="Times New Roman"/>
        </w:rPr>
        <w:t xml:space="preserve"> del Concejo Municipal</w:t>
      </w:r>
      <w:r w:rsidR="0064128A" w:rsidRPr="00694D76">
        <w:rPr>
          <w:rFonts w:ascii="Palatino Linotype" w:hAnsi="Palatino Linotype" w:cs="Times New Roman"/>
        </w:rPr>
        <w:t>:</w:t>
      </w:r>
      <w:r w:rsidR="00AD2440" w:rsidRPr="00694D76">
        <w:rPr>
          <w:rFonts w:ascii="Palatino Linotype" w:hAnsi="Palatino Linotype" w:cs="Times New Roman"/>
        </w:rPr>
        <w:t xml:space="preserve"> “</w:t>
      </w:r>
      <w:r w:rsidR="00AD2440" w:rsidRPr="00694D76">
        <w:rPr>
          <w:rFonts w:ascii="Palatino Linotype" w:hAnsi="Palatino Linotype" w:cs="Times New Roman"/>
          <w:i/>
        </w:rPr>
        <w:t xml:space="preserve">a) El ejercicio de la facultad normativa en las materias de competencia del gobierno autónomo descentralizado municipal, mediante la  expedición de ordenanzas cantonales, acuerdos y resoluciones;  w) Expedir la ordenanza de construcciones que comprenda las especificaciones y normas técnicas y legales por las cuales deban regirse en el cantón la construcción, reparación, transformación y demolición de edificios y de sus instalaciones; </w:t>
      </w:r>
      <w:r w:rsidR="00694D76">
        <w:rPr>
          <w:rFonts w:ascii="Palatino Linotype" w:hAnsi="Palatino Linotype" w:cs="Times New Roman"/>
          <w:i/>
        </w:rPr>
        <w:t xml:space="preserve">(…) </w:t>
      </w:r>
      <w:r w:rsidR="00AD2440" w:rsidRPr="00694D76">
        <w:rPr>
          <w:rFonts w:ascii="Palatino Linotype" w:hAnsi="Palatino Linotype" w:cs="Times New Roman"/>
          <w:i/>
        </w:rPr>
        <w:t>x) Regular y controlar, mediante normativa cantonal correspondiente, el uso del suelo en el territorio del cantón, de conformidad con las leyes</w:t>
      </w:r>
      <w:r w:rsidR="004E6FFC" w:rsidRPr="00694D76">
        <w:rPr>
          <w:rFonts w:ascii="Palatino Linotype" w:hAnsi="Palatino Linotype" w:cs="Times New Roman"/>
          <w:i/>
        </w:rPr>
        <w:t xml:space="preserve"> sobre la materia, y establecer el régimen urbanístico de la tierra</w:t>
      </w:r>
      <w:r w:rsidR="00694D76">
        <w:rPr>
          <w:rFonts w:ascii="Palatino Linotype" w:hAnsi="Palatino Linotype" w:cs="Times New Roman"/>
        </w:rPr>
        <w:t>”;</w:t>
      </w:r>
    </w:p>
    <w:p w14:paraId="4DE670B3" w14:textId="77777777" w:rsidR="00694D76" w:rsidRDefault="004D6B70"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Que,</w:t>
      </w:r>
      <w:r w:rsidR="00694D76" w:rsidRPr="00694D76">
        <w:rPr>
          <w:rFonts w:ascii="Palatino Linotype" w:hAnsi="Palatino Linotype" w:cs="Times New Roman"/>
        </w:rPr>
        <w:tab/>
      </w:r>
      <w:r w:rsidRPr="00694D76">
        <w:rPr>
          <w:rFonts w:ascii="Palatino Linotype" w:hAnsi="Palatino Linotype" w:cs="Times New Roman"/>
        </w:rPr>
        <w:t>la Ley Orgánica de Régimen para el Distrito Metropoli</w:t>
      </w:r>
      <w:r w:rsidR="00694D76" w:rsidRPr="00694D76">
        <w:rPr>
          <w:rFonts w:ascii="Palatino Linotype" w:hAnsi="Palatino Linotype" w:cs="Times New Roman"/>
        </w:rPr>
        <w:t xml:space="preserve">tano de Quito en el artículo 2 </w:t>
      </w:r>
      <w:r w:rsidRPr="00694D76">
        <w:rPr>
          <w:rFonts w:ascii="Palatino Linotype" w:hAnsi="Palatino Linotype" w:cs="Times New Roman"/>
        </w:rPr>
        <w:t>establece como finalidades del Municipio del Distrito Metropolitano de Quito: “</w:t>
      </w:r>
      <w:r w:rsidRPr="00694D76">
        <w:rPr>
          <w:rFonts w:ascii="Palatino Linotype" w:hAnsi="Palatino Linotype" w:cs="Times New Roman"/>
          <w:i/>
        </w:rPr>
        <w:t>1) Regular el uso y la adecuada ocupación del suelo y ejercer control sobre el mismo con competencia exclusiva y privativa las construcciones o edificaciones, su estado, utilización y condiciones</w:t>
      </w:r>
      <w:r w:rsidRPr="00694D76">
        <w:rPr>
          <w:rFonts w:ascii="Palatino Linotype" w:hAnsi="Palatino Linotype" w:cs="Times New Roman"/>
        </w:rPr>
        <w:t>”</w:t>
      </w:r>
      <w:r w:rsidR="00694D76" w:rsidRPr="00694D76">
        <w:rPr>
          <w:rFonts w:ascii="Palatino Linotype" w:hAnsi="Palatino Linotype" w:cs="Times New Roman"/>
        </w:rPr>
        <w:t>;</w:t>
      </w:r>
    </w:p>
    <w:p w14:paraId="56227A1D" w14:textId="6C9AE684" w:rsidR="003B528C" w:rsidRPr="00694D76" w:rsidRDefault="00A4433A"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Que,</w:t>
      </w:r>
      <w:r w:rsidR="002E6F00" w:rsidRPr="00694D76">
        <w:rPr>
          <w:rFonts w:ascii="Palatino Linotype" w:hAnsi="Palatino Linotype" w:cs="Times New Roman"/>
        </w:rPr>
        <w:tab/>
      </w:r>
      <w:r w:rsidR="003B7EB8" w:rsidRPr="00694D76">
        <w:rPr>
          <w:rFonts w:ascii="Palatino Linotype" w:hAnsi="Palatino Linotype" w:cs="Times New Roman"/>
        </w:rPr>
        <w:t>l</w:t>
      </w:r>
      <w:r w:rsidR="002E6F00" w:rsidRPr="00694D76">
        <w:rPr>
          <w:rFonts w:ascii="Palatino Linotype" w:hAnsi="Palatino Linotype" w:cs="Times New Roman"/>
        </w:rPr>
        <w:t xml:space="preserve">os artículos </w:t>
      </w:r>
      <w:r w:rsidRPr="00694D76">
        <w:rPr>
          <w:rFonts w:ascii="Palatino Linotype" w:hAnsi="Palatino Linotype" w:cs="Times New Roman"/>
        </w:rPr>
        <w:t xml:space="preserve">71, 72 y 73 de la </w:t>
      </w:r>
      <w:r w:rsidR="003B7EB8" w:rsidRPr="00694D76">
        <w:rPr>
          <w:rFonts w:ascii="Palatino Linotype" w:hAnsi="Palatino Linotype" w:cs="Times New Roman"/>
        </w:rPr>
        <w:t xml:space="preserve">Ley </w:t>
      </w:r>
      <w:proofErr w:type="spellStart"/>
      <w:r w:rsidR="003B7EB8" w:rsidRPr="00694D76">
        <w:rPr>
          <w:rFonts w:ascii="Palatino Linotype" w:hAnsi="Palatino Linotype" w:cs="Times New Roman"/>
        </w:rPr>
        <w:t>Orgánica</w:t>
      </w:r>
      <w:proofErr w:type="spellEnd"/>
      <w:r w:rsidR="003B7EB8" w:rsidRPr="00694D76">
        <w:rPr>
          <w:rFonts w:ascii="Palatino Linotype" w:hAnsi="Palatino Linotype" w:cs="Times New Roman"/>
        </w:rPr>
        <w:t xml:space="preserve"> de Ordenamiento Territorial, Uso y </w:t>
      </w:r>
      <w:proofErr w:type="spellStart"/>
      <w:r w:rsidR="003B7EB8" w:rsidRPr="00694D76">
        <w:rPr>
          <w:rFonts w:ascii="Palatino Linotype" w:hAnsi="Palatino Linotype" w:cs="Times New Roman"/>
        </w:rPr>
        <w:t>Gestión</w:t>
      </w:r>
      <w:proofErr w:type="spellEnd"/>
      <w:r w:rsidR="003B7EB8" w:rsidRPr="00694D76">
        <w:rPr>
          <w:rFonts w:ascii="Palatino Linotype" w:hAnsi="Palatino Linotype" w:cs="Times New Roman"/>
        </w:rPr>
        <w:t xml:space="preserve"> de S</w:t>
      </w:r>
      <w:r w:rsidR="002E6F00" w:rsidRPr="00694D76">
        <w:rPr>
          <w:rFonts w:ascii="Palatino Linotype" w:hAnsi="Palatino Linotype" w:cs="Times New Roman"/>
        </w:rPr>
        <w:t>uelo</w:t>
      </w:r>
      <w:r w:rsidR="002E740E" w:rsidRPr="00694D76">
        <w:rPr>
          <w:rFonts w:ascii="Palatino Linotype" w:hAnsi="Palatino Linotype" w:cs="Times New Roman"/>
        </w:rPr>
        <w:t xml:space="preserve">, </w:t>
      </w:r>
      <w:r w:rsidR="009E02B7" w:rsidRPr="00694D76">
        <w:rPr>
          <w:rFonts w:ascii="Palatino Linotype" w:hAnsi="Palatino Linotype" w:cs="Times New Roman"/>
        </w:rPr>
        <w:t xml:space="preserve">en adelante </w:t>
      </w:r>
      <w:r w:rsidRPr="00694D76">
        <w:rPr>
          <w:rFonts w:ascii="Palatino Linotype" w:hAnsi="Palatino Linotype" w:cs="Times New Roman"/>
        </w:rPr>
        <w:t>LOOTUGS</w:t>
      </w:r>
      <w:r w:rsidR="002E6F00" w:rsidRPr="00694D76">
        <w:rPr>
          <w:rFonts w:ascii="Palatino Linotype" w:hAnsi="Palatino Linotype" w:cs="Times New Roman"/>
        </w:rPr>
        <w:t xml:space="preserve">, establecen los </w:t>
      </w:r>
      <w:r w:rsidR="003B7EB8" w:rsidRPr="00694D76">
        <w:rPr>
          <w:rFonts w:ascii="Palatino Linotype" w:hAnsi="Palatino Linotype" w:cs="Times New Roman"/>
        </w:rPr>
        <w:t>instrumentos de financiamiento del desarrollo urbano</w:t>
      </w:r>
      <w:r w:rsidR="003B528C" w:rsidRPr="00694D76">
        <w:rPr>
          <w:rFonts w:ascii="Palatino Linotype" w:hAnsi="Palatino Linotype" w:cs="Times New Roman"/>
        </w:rPr>
        <w:t xml:space="preserve"> y</w:t>
      </w:r>
      <w:r w:rsidR="003B7EB8" w:rsidRPr="00694D76">
        <w:rPr>
          <w:rFonts w:ascii="Palatino Linotype" w:hAnsi="Palatino Linotype" w:cs="Times New Roman"/>
        </w:rPr>
        <w:t xml:space="preserve"> </w:t>
      </w:r>
      <w:r w:rsidR="003B528C" w:rsidRPr="00694D76">
        <w:rPr>
          <w:rFonts w:ascii="Palatino Linotype" w:hAnsi="Palatino Linotype" w:cs="Times New Roman"/>
        </w:rPr>
        <w:t>los definen como</w:t>
      </w:r>
      <w:r w:rsidR="003B7EB8" w:rsidRPr="00694D76">
        <w:rPr>
          <w:rFonts w:ascii="Palatino Linotype" w:hAnsi="Palatino Linotype" w:cs="Times New Roman"/>
        </w:rPr>
        <w:t xml:space="preserve"> mecanismos que permiten la </w:t>
      </w:r>
      <w:proofErr w:type="spellStart"/>
      <w:r w:rsidR="003B7EB8" w:rsidRPr="00694D76">
        <w:rPr>
          <w:rFonts w:ascii="Palatino Linotype" w:hAnsi="Palatino Linotype" w:cs="Times New Roman"/>
        </w:rPr>
        <w:t>participación</w:t>
      </w:r>
      <w:proofErr w:type="spellEnd"/>
      <w:r w:rsidR="003B7EB8" w:rsidRPr="00694D76">
        <w:rPr>
          <w:rFonts w:ascii="Palatino Linotype" w:hAnsi="Palatino Linotype" w:cs="Times New Roman"/>
        </w:rPr>
        <w:t xml:space="preserve"> de la sociedad en los </w:t>
      </w:r>
      <w:r w:rsidR="003B7EB8" w:rsidRPr="00694D76">
        <w:rPr>
          <w:rFonts w:ascii="Palatino Linotype" w:hAnsi="Palatino Linotype" w:cs="Times New Roman"/>
        </w:rPr>
        <w:lastRenderedPageBreak/>
        <w:t xml:space="preserve">beneficios </w:t>
      </w:r>
      <w:proofErr w:type="spellStart"/>
      <w:r w:rsidR="003B7EB8" w:rsidRPr="00694D76">
        <w:rPr>
          <w:rFonts w:ascii="Palatino Linotype" w:hAnsi="Palatino Linotype" w:cs="Times New Roman"/>
        </w:rPr>
        <w:t>económicos</w:t>
      </w:r>
      <w:proofErr w:type="spellEnd"/>
      <w:r w:rsidR="003B7EB8" w:rsidRPr="00694D76">
        <w:rPr>
          <w:rFonts w:ascii="Palatino Linotype" w:hAnsi="Palatino Linotype" w:cs="Times New Roman"/>
        </w:rPr>
        <w:t xml:space="preserve"> producidos por la </w:t>
      </w:r>
      <w:proofErr w:type="spellStart"/>
      <w:r w:rsidR="003B7EB8" w:rsidRPr="00694D76">
        <w:rPr>
          <w:rFonts w:ascii="Palatino Linotype" w:hAnsi="Palatino Linotype" w:cs="Times New Roman"/>
        </w:rPr>
        <w:t>planificación</w:t>
      </w:r>
      <w:proofErr w:type="spellEnd"/>
      <w:r w:rsidR="003B7EB8" w:rsidRPr="00694D76">
        <w:rPr>
          <w:rFonts w:ascii="Palatino Linotype" w:hAnsi="Palatino Linotype" w:cs="Times New Roman"/>
        </w:rPr>
        <w:t xml:space="preserve"> </w:t>
      </w:r>
      <w:proofErr w:type="spellStart"/>
      <w:r w:rsidR="003B7EB8" w:rsidRPr="00694D76">
        <w:rPr>
          <w:rFonts w:ascii="Palatino Linotype" w:hAnsi="Palatino Linotype" w:cs="Times New Roman"/>
        </w:rPr>
        <w:t>urbanística</w:t>
      </w:r>
      <w:proofErr w:type="spellEnd"/>
      <w:r w:rsidR="003B7EB8" w:rsidRPr="00694D76">
        <w:rPr>
          <w:rFonts w:ascii="Palatino Linotype" w:hAnsi="Palatino Linotype" w:cs="Times New Roman"/>
        </w:rPr>
        <w:t xml:space="preserve"> y </w:t>
      </w:r>
      <w:r w:rsidR="003B528C" w:rsidRPr="00694D76">
        <w:rPr>
          <w:rFonts w:ascii="Palatino Linotype" w:hAnsi="Palatino Linotype" w:cs="Times New Roman"/>
        </w:rPr>
        <w:t xml:space="preserve">el desarrollo urbano en general. En tal sentido, señalan que los GAD municipales y metropolitanos </w:t>
      </w:r>
      <w:proofErr w:type="spellStart"/>
      <w:r w:rsidR="003B528C" w:rsidRPr="00694D76">
        <w:rPr>
          <w:rFonts w:ascii="Palatino Linotype" w:hAnsi="Palatino Linotype" w:cs="Times New Roman"/>
        </w:rPr>
        <w:t>utilizarán</w:t>
      </w:r>
      <w:proofErr w:type="spellEnd"/>
      <w:r w:rsidR="003B528C" w:rsidRPr="00694D76">
        <w:rPr>
          <w:rFonts w:ascii="Palatino Linotype" w:hAnsi="Palatino Linotype" w:cs="Times New Roman"/>
        </w:rPr>
        <w:t xml:space="preserve"> la </w:t>
      </w:r>
      <w:proofErr w:type="spellStart"/>
      <w:r w:rsidR="003B528C" w:rsidRPr="00694D76">
        <w:rPr>
          <w:rFonts w:ascii="Palatino Linotype" w:hAnsi="Palatino Linotype" w:cs="Times New Roman"/>
        </w:rPr>
        <w:t>concesión</w:t>
      </w:r>
      <w:proofErr w:type="spellEnd"/>
      <w:r w:rsidR="003B528C" w:rsidRPr="00694D76">
        <w:rPr>
          <w:rFonts w:ascii="Palatino Linotype" w:hAnsi="Palatino Linotype" w:cs="Times New Roman"/>
        </w:rPr>
        <w:t xml:space="preserve"> onerosa de derechos por la </w:t>
      </w:r>
      <w:proofErr w:type="spellStart"/>
      <w:r w:rsidR="003B528C" w:rsidRPr="00694D76">
        <w:rPr>
          <w:rFonts w:ascii="Palatino Linotype" w:hAnsi="Palatino Linotype" w:cs="Times New Roman"/>
        </w:rPr>
        <w:t>transformación</w:t>
      </w:r>
      <w:proofErr w:type="spellEnd"/>
      <w:r w:rsidR="003B528C" w:rsidRPr="00694D76">
        <w:rPr>
          <w:rFonts w:ascii="Palatino Linotype" w:hAnsi="Palatino Linotype" w:cs="Times New Roman"/>
        </w:rPr>
        <w:t xml:space="preserve"> de suelo rural a suelo rural de </w:t>
      </w:r>
      <w:proofErr w:type="spellStart"/>
      <w:r w:rsidR="003B528C" w:rsidRPr="00694D76">
        <w:rPr>
          <w:rFonts w:ascii="Palatino Linotype" w:hAnsi="Palatino Linotype" w:cs="Times New Roman"/>
        </w:rPr>
        <w:t>expansión</w:t>
      </w:r>
      <w:proofErr w:type="spellEnd"/>
      <w:r w:rsidR="003B528C" w:rsidRPr="00694D76">
        <w:rPr>
          <w:rFonts w:ascii="Palatino Linotype" w:hAnsi="Palatino Linotype" w:cs="Times New Roman"/>
        </w:rPr>
        <w:t xml:space="preserve"> urbana o suelo urbano; la </w:t>
      </w:r>
      <w:proofErr w:type="spellStart"/>
      <w:r w:rsidR="003B528C" w:rsidRPr="00694D76">
        <w:rPr>
          <w:rFonts w:ascii="Palatino Linotype" w:hAnsi="Palatino Linotype" w:cs="Times New Roman"/>
        </w:rPr>
        <w:t>modificación</w:t>
      </w:r>
      <w:proofErr w:type="spellEnd"/>
      <w:r w:rsidR="003B528C" w:rsidRPr="00694D76">
        <w:rPr>
          <w:rFonts w:ascii="Palatino Linotype" w:hAnsi="Palatino Linotype" w:cs="Times New Roman"/>
        </w:rPr>
        <w:t xml:space="preserve"> de usos del suelo; o, la </w:t>
      </w:r>
      <w:proofErr w:type="spellStart"/>
      <w:r w:rsidR="003B528C" w:rsidRPr="00694D76">
        <w:rPr>
          <w:rFonts w:ascii="Palatino Linotype" w:hAnsi="Palatino Linotype" w:cs="Times New Roman"/>
        </w:rPr>
        <w:t>autorización</w:t>
      </w:r>
      <w:proofErr w:type="spellEnd"/>
      <w:r w:rsidR="003B528C" w:rsidRPr="00694D76">
        <w:rPr>
          <w:rFonts w:ascii="Palatino Linotype" w:hAnsi="Palatino Linotype" w:cs="Times New Roman"/>
        </w:rPr>
        <w:t xml:space="preserve"> de un mayor aprovechamiento del suelo. De igual forma precisan que, previo a conceder los derechos descritos anteriormente, dichos niveles de gobierno </w:t>
      </w:r>
      <w:proofErr w:type="spellStart"/>
      <w:r w:rsidR="003B528C" w:rsidRPr="00694D76">
        <w:rPr>
          <w:rFonts w:ascii="Palatino Linotype" w:hAnsi="Palatino Linotype" w:cs="Times New Roman"/>
        </w:rPr>
        <w:t>exigirán</w:t>
      </w:r>
      <w:proofErr w:type="spellEnd"/>
      <w:r w:rsidR="003B528C" w:rsidRPr="00694D76">
        <w:rPr>
          <w:rFonts w:ascii="Palatino Linotype" w:hAnsi="Palatino Linotype" w:cs="Times New Roman"/>
        </w:rPr>
        <w:t xml:space="preserve"> a los solicitantes de los permisos respectivos una </w:t>
      </w:r>
      <w:proofErr w:type="spellStart"/>
      <w:r w:rsidR="003B528C" w:rsidRPr="00694D76">
        <w:rPr>
          <w:rFonts w:ascii="Palatino Linotype" w:hAnsi="Palatino Linotype" w:cs="Times New Roman"/>
        </w:rPr>
        <w:t>participación</w:t>
      </w:r>
      <w:proofErr w:type="spellEnd"/>
      <w:r w:rsidR="003B528C" w:rsidRPr="00694D76">
        <w:rPr>
          <w:rFonts w:ascii="Palatino Linotype" w:hAnsi="Palatino Linotype" w:cs="Times New Roman"/>
        </w:rPr>
        <w:t xml:space="preserve"> justa del Estado en el beneficio </w:t>
      </w:r>
      <w:proofErr w:type="spellStart"/>
      <w:r w:rsidR="003B528C" w:rsidRPr="00694D76">
        <w:rPr>
          <w:rFonts w:ascii="Palatino Linotype" w:hAnsi="Palatino Linotype" w:cs="Times New Roman"/>
        </w:rPr>
        <w:t>económico</w:t>
      </w:r>
      <w:proofErr w:type="spellEnd"/>
      <w:r w:rsidR="003B528C" w:rsidRPr="00694D76">
        <w:rPr>
          <w:rFonts w:ascii="Palatino Linotype" w:hAnsi="Palatino Linotype" w:cs="Times New Roman"/>
        </w:rPr>
        <w:t xml:space="preserve"> que estos derechos adicionales significan</w:t>
      </w:r>
      <w:r w:rsidR="00694D76">
        <w:rPr>
          <w:rFonts w:ascii="Palatino Linotype" w:hAnsi="Palatino Linotype" w:cs="Times New Roman"/>
        </w:rPr>
        <w:t>;</w:t>
      </w:r>
    </w:p>
    <w:p w14:paraId="1AD5B26F" w14:textId="0B719769" w:rsidR="000D578C" w:rsidRPr="00694D76" w:rsidRDefault="003B528C"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w:t>
      </w:r>
      <w:r w:rsidR="000D578C" w:rsidRPr="00694D76">
        <w:rPr>
          <w:rFonts w:ascii="Palatino Linotype" w:hAnsi="Palatino Linotype" w:cs="Times New Roman"/>
          <w:b/>
        </w:rPr>
        <w:t>ue,</w:t>
      </w:r>
      <w:r w:rsidR="00694D76">
        <w:rPr>
          <w:rFonts w:ascii="Palatino Linotype" w:hAnsi="Palatino Linotype" w:cs="Times New Roman"/>
        </w:rPr>
        <w:tab/>
        <w:t xml:space="preserve">el </w:t>
      </w:r>
      <w:r w:rsidR="000D578C" w:rsidRPr="00694D76">
        <w:rPr>
          <w:rFonts w:ascii="Palatino Linotype" w:hAnsi="Palatino Linotype" w:cs="Times New Roman"/>
        </w:rPr>
        <w:t>artículo 15 de la Ordenanza Metropolitana No. 172</w:t>
      </w:r>
      <w:r w:rsidR="00694D76">
        <w:rPr>
          <w:rFonts w:ascii="Palatino Linotype" w:hAnsi="Palatino Linotype" w:cs="Times New Roman"/>
        </w:rPr>
        <w:t>,</w:t>
      </w:r>
      <w:r w:rsidR="000D578C" w:rsidRPr="00694D76">
        <w:rPr>
          <w:rFonts w:ascii="Palatino Linotype" w:hAnsi="Palatino Linotype" w:cs="Times New Roman"/>
        </w:rPr>
        <w:t xml:space="preserve"> </w:t>
      </w:r>
      <w:r w:rsidR="009E02B7" w:rsidRPr="00694D76">
        <w:rPr>
          <w:rFonts w:ascii="Palatino Linotype" w:hAnsi="Palatino Linotype" w:cs="Times New Roman"/>
        </w:rPr>
        <w:t xml:space="preserve">que </w:t>
      </w:r>
      <w:r w:rsidR="000D578C" w:rsidRPr="00694D76">
        <w:rPr>
          <w:rFonts w:ascii="Palatino Linotype" w:hAnsi="Palatino Linotype" w:cs="Times New Roman"/>
        </w:rPr>
        <w:t>establece el Régimen Administrativo del Suelo para el Distrito Metropolitano de Quito</w:t>
      </w:r>
      <w:r w:rsidR="009E02B7" w:rsidRPr="00694D76">
        <w:rPr>
          <w:rFonts w:ascii="Palatino Linotype" w:hAnsi="Palatino Linotype" w:cs="Times New Roman"/>
        </w:rPr>
        <w:t xml:space="preserve"> </w:t>
      </w:r>
      <w:r w:rsidR="000D578C" w:rsidRPr="00694D76">
        <w:rPr>
          <w:rFonts w:ascii="Palatino Linotype" w:hAnsi="Palatino Linotype" w:cs="Times New Roman"/>
        </w:rPr>
        <w:t xml:space="preserve">señala </w:t>
      </w:r>
      <w:r w:rsidRPr="00694D76">
        <w:rPr>
          <w:rFonts w:ascii="Palatino Linotype" w:hAnsi="Palatino Linotype" w:cs="Times New Roman"/>
        </w:rPr>
        <w:t xml:space="preserve">que </w:t>
      </w:r>
      <w:r w:rsidR="000D578C" w:rsidRPr="00694D76">
        <w:rPr>
          <w:rFonts w:ascii="Palatino Linotype" w:hAnsi="Palatino Linotype" w:cs="Times New Roman"/>
        </w:rPr>
        <w:t>la recuperación de las plusvalías generadas por el planeamiento territorial y la definición de nuevos instrumentos de gestión se establecerán mediante ordenanza</w:t>
      </w:r>
      <w:r w:rsidR="00694D76">
        <w:rPr>
          <w:rFonts w:ascii="Palatino Linotype" w:hAnsi="Palatino Linotype" w:cs="Times New Roman"/>
        </w:rPr>
        <w:t>;</w:t>
      </w:r>
    </w:p>
    <w:p w14:paraId="77336425" w14:textId="6CF907B5" w:rsidR="00A92645" w:rsidRPr="00694D76" w:rsidRDefault="00A92645"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Que,</w:t>
      </w:r>
      <w:r w:rsidR="00694D76">
        <w:rPr>
          <w:rFonts w:ascii="Palatino Linotype" w:hAnsi="Palatino Linotype" w:cs="Times New Roman"/>
        </w:rPr>
        <w:tab/>
        <w:t xml:space="preserve">el </w:t>
      </w:r>
      <w:r w:rsidRPr="00694D76">
        <w:rPr>
          <w:rFonts w:ascii="Palatino Linotype" w:hAnsi="Palatino Linotype" w:cs="Times New Roman"/>
        </w:rPr>
        <w:t xml:space="preserve">artículo 26 de la Ordenanza Metropolitana No. 172 </w:t>
      </w:r>
      <w:r w:rsidR="000D578C" w:rsidRPr="00694D76">
        <w:rPr>
          <w:rFonts w:ascii="Palatino Linotype" w:hAnsi="Palatino Linotype" w:cs="Times New Roman"/>
        </w:rPr>
        <w:t>que establece el Régimen Administrativo del Suelo para el Distrito Metropolitano de Qui</w:t>
      </w:r>
      <w:r w:rsidR="009E02B7" w:rsidRPr="00694D76">
        <w:rPr>
          <w:rFonts w:ascii="Palatino Linotype" w:hAnsi="Palatino Linotype" w:cs="Times New Roman"/>
        </w:rPr>
        <w:t>to, reformado por la Ordenanza M</w:t>
      </w:r>
      <w:r w:rsidR="000D578C" w:rsidRPr="00694D76">
        <w:rPr>
          <w:rFonts w:ascii="Palatino Linotype" w:hAnsi="Palatino Linotype" w:cs="Times New Roman"/>
        </w:rPr>
        <w:t>etropolitana No. 183</w:t>
      </w:r>
      <w:r w:rsidRPr="00694D76">
        <w:rPr>
          <w:rFonts w:ascii="Palatino Linotype" w:hAnsi="Palatino Linotype" w:cs="Times New Roman"/>
        </w:rPr>
        <w:t>,</w:t>
      </w:r>
      <w:r w:rsidR="000D578C" w:rsidRPr="00694D76">
        <w:rPr>
          <w:rFonts w:ascii="Palatino Linotype" w:hAnsi="Palatino Linotype" w:cs="Times New Roman"/>
        </w:rPr>
        <w:t xml:space="preserve"> define a los Proyectos </w:t>
      </w:r>
      <w:proofErr w:type="spellStart"/>
      <w:r w:rsidR="000D578C" w:rsidRPr="00694D76">
        <w:rPr>
          <w:rFonts w:ascii="Palatino Linotype" w:hAnsi="Palatino Linotype" w:cs="Times New Roman"/>
        </w:rPr>
        <w:t>Urbanísticos</w:t>
      </w:r>
      <w:proofErr w:type="spellEnd"/>
      <w:r w:rsidR="000D578C" w:rsidRPr="00694D76">
        <w:rPr>
          <w:rFonts w:ascii="Palatino Linotype" w:hAnsi="Palatino Linotype" w:cs="Times New Roman"/>
        </w:rPr>
        <w:t xml:space="preserve"> </w:t>
      </w:r>
      <w:proofErr w:type="spellStart"/>
      <w:r w:rsidR="000D578C" w:rsidRPr="00694D76">
        <w:rPr>
          <w:rFonts w:ascii="Palatino Linotype" w:hAnsi="Palatino Linotype" w:cs="Times New Roman"/>
        </w:rPr>
        <w:t>Arq</w:t>
      </w:r>
      <w:r w:rsidR="00694D76">
        <w:rPr>
          <w:rFonts w:ascii="Palatino Linotype" w:hAnsi="Palatino Linotype" w:cs="Times New Roman"/>
        </w:rPr>
        <w:t>uitectónicos</w:t>
      </w:r>
      <w:proofErr w:type="spellEnd"/>
      <w:r w:rsidR="00694D76">
        <w:rPr>
          <w:rFonts w:ascii="Palatino Linotype" w:hAnsi="Palatino Linotype" w:cs="Times New Roman"/>
        </w:rPr>
        <w:t xml:space="preserve"> Especiales (PUAE)</w:t>
      </w:r>
      <w:r w:rsidR="000D578C" w:rsidRPr="00694D76">
        <w:rPr>
          <w:rFonts w:ascii="Palatino Linotype" w:hAnsi="Palatino Linotype" w:cs="Times New Roman"/>
        </w:rPr>
        <w:t>,</w:t>
      </w:r>
      <w:r w:rsidR="009E02B7" w:rsidRPr="00694D76">
        <w:rPr>
          <w:rFonts w:ascii="Palatino Linotype" w:hAnsi="Palatino Linotype" w:cs="Times New Roman"/>
        </w:rPr>
        <w:t xml:space="preserve"> establece</w:t>
      </w:r>
      <w:r w:rsidR="000D578C" w:rsidRPr="00694D76">
        <w:rPr>
          <w:rFonts w:ascii="Palatino Linotype" w:hAnsi="Palatino Linotype" w:cs="Times New Roman"/>
        </w:rPr>
        <w:t xml:space="preserve"> las condiciones de admisibilidad de los proyectos, la necesaria concertación público-privada, entre otros aspectos</w:t>
      </w:r>
      <w:r w:rsidR="00694D76">
        <w:rPr>
          <w:rFonts w:ascii="Palatino Linotype" w:hAnsi="Palatino Linotype" w:cs="Times New Roman"/>
        </w:rPr>
        <w:t>;</w:t>
      </w:r>
    </w:p>
    <w:p w14:paraId="5552B308" w14:textId="04B4EC1D" w:rsidR="00A4433A" w:rsidRPr="00694D76" w:rsidRDefault="00A4433A" w:rsidP="00694D76">
      <w:pPr>
        <w:suppressAutoHyphens/>
        <w:spacing w:after="120"/>
        <w:ind w:left="567" w:hanging="567"/>
        <w:rPr>
          <w:rFonts w:ascii="Palatino Linotype" w:hAnsi="Palatino Linotype"/>
        </w:rPr>
      </w:pPr>
      <w:r w:rsidRPr="00694D76">
        <w:rPr>
          <w:rFonts w:ascii="Palatino Linotype" w:hAnsi="Palatino Linotype" w:cs="Times New Roman"/>
          <w:b/>
        </w:rPr>
        <w:t>Que,</w:t>
      </w:r>
      <w:r w:rsidR="00694D76">
        <w:rPr>
          <w:rFonts w:ascii="Palatino Linotype" w:hAnsi="Palatino Linotype" w:cs="Times New Roman"/>
        </w:rPr>
        <w:tab/>
      </w:r>
      <w:r w:rsidRPr="00694D76">
        <w:rPr>
          <w:rFonts w:ascii="Palatino Linotype" w:hAnsi="Palatino Linotype" w:cs="Times New Roman"/>
        </w:rPr>
        <w:t xml:space="preserve">la </w:t>
      </w:r>
      <w:r w:rsidR="001F30D2" w:rsidRPr="00694D76">
        <w:rPr>
          <w:rFonts w:ascii="Palatino Linotype" w:hAnsi="Palatino Linotype" w:cs="Times New Roman"/>
        </w:rPr>
        <w:t>O</w:t>
      </w:r>
      <w:r w:rsidRPr="00694D76">
        <w:rPr>
          <w:rFonts w:ascii="Palatino Linotype" w:hAnsi="Palatino Linotype" w:cs="Times New Roman"/>
        </w:rPr>
        <w:t xml:space="preserve">rdenanza </w:t>
      </w:r>
      <w:r w:rsidR="003B528C" w:rsidRPr="00694D76">
        <w:rPr>
          <w:rFonts w:ascii="Palatino Linotype" w:hAnsi="Palatino Linotype" w:cs="Times New Roman"/>
        </w:rPr>
        <w:t xml:space="preserve">Metropolitana </w:t>
      </w:r>
      <w:r w:rsidRPr="00694D76">
        <w:rPr>
          <w:rFonts w:ascii="Palatino Linotype" w:hAnsi="Palatino Linotype" w:cs="Times New Roman"/>
        </w:rPr>
        <w:t>No. 183</w:t>
      </w:r>
      <w:r w:rsidR="009E02B7" w:rsidRPr="00694D76">
        <w:rPr>
          <w:rFonts w:ascii="Palatino Linotype" w:hAnsi="Palatino Linotype" w:cs="Times New Roman"/>
        </w:rPr>
        <w:t>, sancionada</w:t>
      </w:r>
      <w:r w:rsidR="003B528C" w:rsidRPr="00694D76">
        <w:rPr>
          <w:rFonts w:ascii="Palatino Linotype" w:hAnsi="Palatino Linotype" w:cs="Times New Roman"/>
        </w:rPr>
        <w:t xml:space="preserve"> </w:t>
      </w:r>
      <w:r w:rsidR="00B900B7" w:rsidRPr="00694D76">
        <w:rPr>
          <w:rFonts w:ascii="Palatino Linotype" w:hAnsi="Palatino Linotype" w:cs="Times New Roman"/>
        </w:rPr>
        <w:t>el 13 de septiembre de 2017,</w:t>
      </w:r>
      <w:r w:rsidRPr="00694D76">
        <w:rPr>
          <w:rFonts w:ascii="Palatino Linotype" w:hAnsi="Palatino Linotype" w:cs="Times New Roman"/>
        </w:rPr>
        <w:t xml:space="preserve"> </w:t>
      </w:r>
      <w:r w:rsidR="001F30D2" w:rsidRPr="00694D76">
        <w:rPr>
          <w:rFonts w:ascii="Palatino Linotype" w:hAnsi="Palatino Linotype" w:cs="Times New Roman"/>
        </w:rPr>
        <w:t xml:space="preserve">tiene por </w:t>
      </w:r>
      <w:r w:rsidRPr="00694D76">
        <w:rPr>
          <w:rFonts w:ascii="Palatino Linotype" w:hAnsi="Palatino Linotype" w:cs="Times New Roman"/>
        </w:rPr>
        <w:t xml:space="preserve">objeto regular el </w:t>
      </w:r>
      <w:proofErr w:type="spellStart"/>
      <w:r w:rsidRPr="00694D76">
        <w:rPr>
          <w:rFonts w:ascii="Palatino Linotype" w:hAnsi="Palatino Linotype" w:cs="Times New Roman"/>
        </w:rPr>
        <w:t>cálculo</w:t>
      </w:r>
      <w:proofErr w:type="spellEnd"/>
      <w:r w:rsidRPr="00694D76">
        <w:rPr>
          <w:rFonts w:ascii="Palatino Linotype" w:hAnsi="Palatino Linotype" w:cs="Times New Roman"/>
        </w:rPr>
        <w:t xml:space="preserve"> del valor y procedimiento de cobro de la </w:t>
      </w:r>
      <w:proofErr w:type="spellStart"/>
      <w:r w:rsidRPr="00694D76">
        <w:rPr>
          <w:rFonts w:ascii="Palatino Linotype" w:hAnsi="Palatino Linotype" w:cs="Times New Roman"/>
        </w:rPr>
        <w:t>concesión</w:t>
      </w:r>
      <w:proofErr w:type="spellEnd"/>
      <w:r w:rsidRPr="00694D76">
        <w:rPr>
          <w:rFonts w:ascii="Palatino Linotype" w:hAnsi="Palatino Linotype" w:cs="Times New Roman"/>
        </w:rPr>
        <w:t xml:space="preserve"> onerosa de derechos de </w:t>
      </w:r>
      <w:proofErr w:type="spellStart"/>
      <w:r w:rsidRPr="00694D76">
        <w:rPr>
          <w:rFonts w:ascii="Palatino Linotype" w:hAnsi="Palatino Linotype" w:cs="Times New Roman"/>
        </w:rPr>
        <w:t>clasificación</w:t>
      </w:r>
      <w:proofErr w:type="spellEnd"/>
      <w:r w:rsidRPr="00694D76">
        <w:rPr>
          <w:rFonts w:ascii="Palatino Linotype" w:hAnsi="Palatino Linotype" w:cs="Times New Roman"/>
        </w:rPr>
        <w:t xml:space="preserve">, uso y </w:t>
      </w:r>
      <w:proofErr w:type="spellStart"/>
      <w:r w:rsidRPr="00694D76">
        <w:rPr>
          <w:rFonts w:ascii="Palatino Linotype" w:hAnsi="Palatino Linotype" w:cs="Times New Roman"/>
        </w:rPr>
        <w:t>zonificación</w:t>
      </w:r>
      <w:proofErr w:type="spellEnd"/>
      <w:r w:rsidRPr="00694D76">
        <w:rPr>
          <w:rFonts w:ascii="Palatino Linotype" w:hAnsi="Palatino Linotype" w:cs="Times New Roman"/>
        </w:rPr>
        <w:t xml:space="preserve"> en el Distrito Metropolitano de Quito, para Proyectos </w:t>
      </w:r>
      <w:proofErr w:type="spellStart"/>
      <w:r w:rsidRPr="00694D76">
        <w:rPr>
          <w:rFonts w:ascii="Palatino Linotype" w:hAnsi="Palatino Linotype" w:cs="Times New Roman"/>
        </w:rPr>
        <w:t>Urbanísticos</w:t>
      </w:r>
      <w:proofErr w:type="spellEnd"/>
      <w:r w:rsidRPr="00694D76">
        <w:rPr>
          <w:rFonts w:ascii="Palatino Linotype" w:hAnsi="Palatino Linotype" w:cs="Times New Roman"/>
        </w:rPr>
        <w:t xml:space="preserve"> </w:t>
      </w:r>
      <w:proofErr w:type="spellStart"/>
      <w:r w:rsidRPr="00694D76">
        <w:rPr>
          <w:rFonts w:ascii="Palatino Linotype" w:hAnsi="Palatino Linotype" w:cs="Times New Roman"/>
        </w:rPr>
        <w:t>Arquitectónicos</w:t>
      </w:r>
      <w:proofErr w:type="spellEnd"/>
      <w:r w:rsidRPr="00694D76">
        <w:rPr>
          <w:rFonts w:ascii="Palatino Linotype" w:hAnsi="Palatino Linotype" w:cs="Times New Roman"/>
        </w:rPr>
        <w:t xml:space="preserve"> Especiales (PUAE)</w:t>
      </w:r>
      <w:r w:rsidR="00B900B7" w:rsidRPr="00694D76">
        <w:rPr>
          <w:rFonts w:ascii="Palatino Linotype" w:hAnsi="Palatino Linotype" w:cs="Times New Roman"/>
        </w:rPr>
        <w:t xml:space="preserve">. Define a los PUAE </w:t>
      </w:r>
      <w:r w:rsidRPr="00694D76">
        <w:rPr>
          <w:rFonts w:ascii="Palatino Linotype" w:hAnsi="Palatino Linotype" w:cs="Times New Roman"/>
        </w:rPr>
        <w:t xml:space="preserve">como instrumentos complementarios de </w:t>
      </w:r>
      <w:proofErr w:type="spellStart"/>
      <w:r w:rsidRPr="00694D76">
        <w:rPr>
          <w:rFonts w:ascii="Palatino Linotype" w:hAnsi="Palatino Linotype" w:cs="Times New Roman"/>
        </w:rPr>
        <w:t>planificación</w:t>
      </w:r>
      <w:proofErr w:type="spellEnd"/>
      <w:r w:rsidRPr="00694D76">
        <w:rPr>
          <w:rFonts w:ascii="Palatino Linotype" w:hAnsi="Palatino Linotype" w:cs="Times New Roman"/>
        </w:rPr>
        <w:t xml:space="preserve"> </w:t>
      </w:r>
      <w:proofErr w:type="spellStart"/>
      <w:r w:rsidRPr="00694D76">
        <w:rPr>
          <w:rFonts w:ascii="Palatino Linotype" w:hAnsi="Palatino Linotype" w:cs="Times New Roman"/>
        </w:rPr>
        <w:t>urbanística</w:t>
      </w:r>
      <w:proofErr w:type="spellEnd"/>
      <w:r w:rsidRPr="00694D76">
        <w:rPr>
          <w:rFonts w:ascii="Palatino Linotype" w:hAnsi="Palatino Linotype" w:cs="Times New Roman"/>
        </w:rPr>
        <w:t xml:space="preserve"> y </w:t>
      </w:r>
      <w:proofErr w:type="spellStart"/>
      <w:r w:rsidRPr="00694D76">
        <w:rPr>
          <w:rFonts w:ascii="Palatino Linotype" w:hAnsi="Palatino Linotype" w:cs="Times New Roman"/>
        </w:rPr>
        <w:t>arquitectónica</w:t>
      </w:r>
      <w:proofErr w:type="spellEnd"/>
      <w:r w:rsidRPr="00694D76">
        <w:rPr>
          <w:rFonts w:ascii="Palatino Linotype" w:hAnsi="Palatino Linotype" w:cs="Times New Roman"/>
        </w:rPr>
        <w:t xml:space="preserve"> integral, de iniciativa </w:t>
      </w:r>
      <w:proofErr w:type="spellStart"/>
      <w:r w:rsidRPr="00694D76">
        <w:rPr>
          <w:rFonts w:ascii="Palatino Linotype" w:hAnsi="Palatino Linotype" w:cs="Times New Roman"/>
        </w:rPr>
        <w:t>pública</w:t>
      </w:r>
      <w:proofErr w:type="spellEnd"/>
      <w:r w:rsidRPr="00694D76">
        <w:rPr>
          <w:rFonts w:ascii="Palatino Linotype" w:hAnsi="Palatino Linotype" w:cs="Times New Roman"/>
        </w:rPr>
        <w:t xml:space="preserve"> o privada</w:t>
      </w:r>
      <w:r w:rsidR="00B900B7" w:rsidRPr="00694D76">
        <w:rPr>
          <w:rFonts w:ascii="Palatino Linotype" w:hAnsi="Palatino Linotype" w:cs="Times New Roman"/>
        </w:rPr>
        <w:t>,</w:t>
      </w:r>
      <w:r w:rsidRPr="00694D76">
        <w:rPr>
          <w:rFonts w:ascii="Palatino Linotype" w:hAnsi="Palatino Linotype" w:cs="Times New Roman"/>
        </w:rPr>
        <w:t xml:space="preserve"> que se desarrollan en </w:t>
      </w:r>
      <w:proofErr w:type="spellStart"/>
      <w:r w:rsidRPr="00694D76">
        <w:rPr>
          <w:rFonts w:ascii="Palatino Linotype" w:hAnsi="Palatino Linotype" w:cs="Times New Roman"/>
        </w:rPr>
        <w:t>concertación</w:t>
      </w:r>
      <w:proofErr w:type="spellEnd"/>
      <w:r w:rsidRPr="00694D76">
        <w:rPr>
          <w:rFonts w:ascii="Palatino Linotype" w:hAnsi="Palatino Linotype" w:cs="Times New Roman"/>
        </w:rPr>
        <w:t xml:space="preserve"> con el Municipio del Distrito Metropolitano de Quito y que requieran determinaciones difer</w:t>
      </w:r>
      <w:r w:rsidR="009E02B7" w:rsidRPr="00694D76">
        <w:rPr>
          <w:rFonts w:ascii="Palatino Linotype" w:hAnsi="Palatino Linotype" w:cs="Times New Roman"/>
        </w:rPr>
        <w:t>entes a las establecidas en el Plan de Uso y Ocupación del S</w:t>
      </w:r>
      <w:r w:rsidRPr="00694D76">
        <w:rPr>
          <w:rFonts w:ascii="Palatino Linotype" w:hAnsi="Palatino Linotype" w:cs="Times New Roman"/>
        </w:rPr>
        <w:t xml:space="preserve">uelo (PUOS), siempre que constituyan aportes </w:t>
      </w:r>
      <w:proofErr w:type="spellStart"/>
      <w:r w:rsidRPr="00694D76">
        <w:rPr>
          <w:rFonts w:ascii="Palatino Linotype" w:hAnsi="Palatino Linotype" w:cs="Times New Roman"/>
        </w:rPr>
        <w:t>urbanísticos</w:t>
      </w:r>
      <w:proofErr w:type="spellEnd"/>
      <w:r w:rsidRPr="00694D76">
        <w:rPr>
          <w:rFonts w:ascii="Palatino Linotype" w:hAnsi="Palatino Linotype" w:cs="Times New Roman"/>
        </w:rPr>
        <w:t xml:space="preserve">, que mejoren las contribuciones de </w:t>
      </w:r>
      <w:proofErr w:type="spellStart"/>
      <w:r w:rsidRPr="00694D76">
        <w:rPr>
          <w:rFonts w:ascii="Palatino Linotype" w:hAnsi="Palatino Linotype" w:cs="Times New Roman"/>
        </w:rPr>
        <w:t>áreas</w:t>
      </w:r>
      <w:proofErr w:type="spellEnd"/>
      <w:r w:rsidRPr="00694D76">
        <w:rPr>
          <w:rFonts w:ascii="Palatino Linotype" w:hAnsi="Palatino Linotype" w:cs="Times New Roman"/>
        </w:rPr>
        <w:t xml:space="preserve"> verdes y espacios </w:t>
      </w:r>
      <w:proofErr w:type="spellStart"/>
      <w:r w:rsidRPr="00694D76">
        <w:rPr>
          <w:rFonts w:ascii="Palatino Linotype" w:hAnsi="Palatino Linotype" w:cs="Times New Roman"/>
        </w:rPr>
        <w:t>públicos</w:t>
      </w:r>
      <w:proofErr w:type="spellEnd"/>
      <w:r w:rsidRPr="00694D76">
        <w:rPr>
          <w:rFonts w:ascii="Palatino Linotype" w:hAnsi="Palatino Linotype" w:cs="Times New Roman"/>
        </w:rPr>
        <w:t xml:space="preserve">, la imagen urbana y el paisaje y contribuyan a la sostenibilidad ambiental </w:t>
      </w:r>
      <w:proofErr w:type="spellStart"/>
      <w:r w:rsidRPr="00694D76">
        <w:rPr>
          <w:rFonts w:ascii="Palatino Linotype" w:hAnsi="Palatino Linotype" w:cs="Times New Roman"/>
        </w:rPr>
        <w:t>asi</w:t>
      </w:r>
      <w:proofErr w:type="spellEnd"/>
      <w:r w:rsidRPr="00694D76">
        <w:rPr>
          <w:rFonts w:ascii="Palatino Linotype" w:hAnsi="Palatino Linotype" w:cs="Times New Roman"/>
        </w:rPr>
        <w:t>́ como a l</w:t>
      </w:r>
      <w:r w:rsidR="002E740E" w:rsidRPr="00694D76">
        <w:rPr>
          <w:rFonts w:ascii="Palatino Linotype" w:hAnsi="Palatino Linotype" w:cs="Times New Roman"/>
        </w:rPr>
        <w:t>a</w:t>
      </w:r>
      <w:r w:rsidRPr="00694D76">
        <w:rPr>
          <w:rFonts w:ascii="Palatino Linotype" w:hAnsi="Palatino Linotype" w:cs="Times New Roman"/>
        </w:rPr>
        <w:t xml:space="preserve"> </w:t>
      </w:r>
      <w:proofErr w:type="spellStart"/>
      <w:r w:rsidRPr="00694D76">
        <w:rPr>
          <w:rFonts w:ascii="Palatino Linotype" w:hAnsi="Palatino Linotype" w:cs="Times New Roman"/>
        </w:rPr>
        <w:t>inclusión</w:t>
      </w:r>
      <w:proofErr w:type="spellEnd"/>
      <w:r w:rsidRPr="00694D76">
        <w:rPr>
          <w:rFonts w:ascii="Palatino Linotype" w:hAnsi="Palatino Linotype" w:cs="Times New Roman"/>
        </w:rPr>
        <w:t xml:space="preserve"> social como ejercicio del derecho a la ciud</w:t>
      </w:r>
      <w:r w:rsidR="00694D76">
        <w:rPr>
          <w:rFonts w:ascii="Palatino Linotype" w:hAnsi="Palatino Linotype" w:cs="Times New Roman"/>
        </w:rPr>
        <w:t>ad;</w:t>
      </w:r>
    </w:p>
    <w:p w14:paraId="1D88FEEA" w14:textId="10B2FD56" w:rsidR="001F30D2" w:rsidRPr="00694D76" w:rsidRDefault="001F30D2" w:rsidP="00694D76">
      <w:pPr>
        <w:suppressAutoHyphens/>
        <w:spacing w:after="120"/>
        <w:ind w:left="567" w:hanging="567"/>
        <w:rPr>
          <w:rFonts w:ascii="Palatino Linotype" w:hAnsi="Palatino Linotype"/>
        </w:rPr>
      </w:pPr>
      <w:r w:rsidRPr="00694D76">
        <w:rPr>
          <w:rFonts w:ascii="Palatino Linotype" w:hAnsi="Palatino Linotype" w:cs="Times New Roman"/>
          <w:b/>
        </w:rPr>
        <w:t>Que,</w:t>
      </w:r>
      <w:r w:rsidR="00694D76">
        <w:rPr>
          <w:rFonts w:ascii="Palatino Linotype" w:hAnsi="Palatino Linotype" w:cs="Times New Roman"/>
        </w:rPr>
        <w:tab/>
      </w:r>
      <w:r w:rsidRPr="00694D76">
        <w:rPr>
          <w:rFonts w:ascii="Palatino Linotype" w:hAnsi="Palatino Linotype" w:cs="Times New Roman"/>
        </w:rPr>
        <w:t xml:space="preserve">el artículo 9 </w:t>
      </w:r>
      <w:proofErr w:type="spellStart"/>
      <w:r w:rsidRPr="00694D76">
        <w:rPr>
          <w:rFonts w:ascii="Palatino Linotype" w:hAnsi="Palatino Linotype" w:cs="Times New Roman"/>
        </w:rPr>
        <w:t>íbidem</w:t>
      </w:r>
      <w:proofErr w:type="spellEnd"/>
      <w:r w:rsidRPr="00694D76">
        <w:rPr>
          <w:rFonts w:ascii="Palatino Linotype" w:hAnsi="Palatino Linotype" w:cs="Times New Roman"/>
        </w:rPr>
        <w:t xml:space="preserve">, establece las fórmulas de </w:t>
      </w:r>
      <w:proofErr w:type="spellStart"/>
      <w:r w:rsidRPr="00694D76">
        <w:rPr>
          <w:rFonts w:ascii="Palatino Linotype" w:hAnsi="Palatino Linotype" w:cs="Times New Roman"/>
        </w:rPr>
        <w:t>cálculo</w:t>
      </w:r>
      <w:proofErr w:type="spellEnd"/>
      <w:r w:rsidRPr="00694D76">
        <w:rPr>
          <w:rFonts w:ascii="Palatino Linotype" w:hAnsi="Palatino Linotype" w:cs="Times New Roman"/>
        </w:rPr>
        <w:t xml:space="preserve"> del valor de la </w:t>
      </w:r>
      <w:proofErr w:type="spellStart"/>
      <w:r w:rsidRPr="00694D76">
        <w:rPr>
          <w:rFonts w:ascii="Palatino Linotype" w:hAnsi="Palatino Linotype" w:cs="Times New Roman"/>
        </w:rPr>
        <w:t>concesión</w:t>
      </w:r>
      <w:proofErr w:type="spellEnd"/>
      <w:r w:rsidRPr="00694D76">
        <w:rPr>
          <w:rFonts w:ascii="Palatino Linotype" w:hAnsi="Palatino Linotype" w:cs="Times New Roman"/>
        </w:rPr>
        <w:t xml:space="preserve"> onerosa de derechos de </w:t>
      </w:r>
      <w:proofErr w:type="spellStart"/>
      <w:r w:rsidRPr="00694D76">
        <w:rPr>
          <w:rFonts w:ascii="Palatino Linotype" w:hAnsi="Palatino Linotype" w:cs="Times New Roman"/>
        </w:rPr>
        <w:t>clasificación</w:t>
      </w:r>
      <w:proofErr w:type="spellEnd"/>
      <w:r w:rsidRPr="00694D76">
        <w:rPr>
          <w:rFonts w:ascii="Palatino Linotype" w:hAnsi="Palatino Linotype" w:cs="Times New Roman"/>
        </w:rPr>
        <w:t xml:space="preserve">, uso y </w:t>
      </w:r>
      <w:proofErr w:type="spellStart"/>
      <w:r w:rsidRPr="00694D76">
        <w:rPr>
          <w:rFonts w:ascii="Palatino Linotype" w:hAnsi="Palatino Linotype" w:cs="Times New Roman"/>
        </w:rPr>
        <w:t>zonificación</w:t>
      </w:r>
      <w:proofErr w:type="spellEnd"/>
      <w:r w:rsidRPr="00694D76">
        <w:rPr>
          <w:rFonts w:ascii="Palatino Linotype" w:hAnsi="Palatino Linotype" w:cs="Times New Roman"/>
        </w:rPr>
        <w:t xml:space="preserve"> que los propietarios, apoderados y/o promo</w:t>
      </w:r>
      <w:r w:rsidR="009E02B7" w:rsidRPr="00694D76">
        <w:rPr>
          <w:rFonts w:ascii="Palatino Linotype" w:hAnsi="Palatino Linotype" w:cs="Times New Roman"/>
        </w:rPr>
        <w:t xml:space="preserve">tores del PUAE </w:t>
      </w:r>
      <w:proofErr w:type="spellStart"/>
      <w:r w:rsidR="009E02B7" w:rsidRPr="00694D76">
        <w:rPr>
          <w:rFonts w:ascii="Palatino Linotype" w:hAnsi="Palatino Linotype" w:cs="Times New Roman"/>
        </w:rPr>
        <w:t>deberán</w:t>
      </w:r>
      <w:proofErr w:type="spellEnd"/>
      <w:r w:rsidR="009E02B7" w:rsidRPr="00694D76">
        <w:rPr>
          <w:rFonts w:ascii="Palatino Linotype" w:hAnsi="Palatino Linotype" w:cs="Times New Roman"/>
        </w:rPr>
        <w:t xml:space="preserve"> cancelar</w:t>
      </w:r>
      <w:r w:rsidRPr="00694D76">
        <w:rPr>
          <w:rFonts w:ascii="Palatino Linotype" w:hAnsi="Palatino Linotype" w:cs="Times New Roman"/>
        </w:rPr>
        <w:t xml:space="preserve"> a favor del Municipio del Distrito Metropolitano de Quito. En</w:t>
      </w:r>
      <w:r w:rsidR="009E02B7" w:rsidRPr="00694D76">
        <w:rPr>
          <w:rFonts w:ascii="Palatino Linotype" w:hAnsi="Palatino Linotype" w:cs="Times New Roman"/>
        </w:rPr>
        <w:t xml:space="preserve"> el inciso final de</w:t>
      </w:r>
      <w:r w:rsidRPr="00694D76">
        <w:rPr>
          <w:rFonts w:ascii="Palatino Linotype" w:hAnsi="Palatino Linotype" w:cs="Times New Roman"/>
        </w:rPr>
        <w:t xml:space="preserve"> dicho artículo se establece igualmente que “</w:t>
      </w:r>
      <w:r w:rsidR="002E740E" w:rsidRPr="00694D76">
        <w:rPr>
          <w:rFonts w:ascii="Palatino Linotype" w:hAnsi="Palatino Linotype"/>
          <w:i/>
        </w:rPr>
        <w:t>p</w:t>
      </w:r>
      <w:r w:rsidRPr="00694D76">
        <w:rPr>
          <w:rFonts w:ascii="Palatino Linotype" w:hAnsi="Palatino Linotype"/>
          <w:i/>
        </w:rPr>
        <w:t xml:space="preserve">ara los proyectos hoteleros, de servicios </w:t>
      </w:r>
      <w:proofErr w:type="spellStart"/>
      <w:r w:rsidRPr="00694D76">
        <w:rPr>
          <w:rFonts w:ascii="Palatino Linotype" w:hAnsi="Palatino Linotype"/>
          <w:i/>
        </w:rPr>
        <w:t>turísticos</w:t>
      </w:r>
      <w:proofErr w:type="spellEnd"/>
      <w:r w:rsidRPr="00694D76">
        <w:rPr>
          <w:rFonts w:ascii="Palatino Linotype" w:hAnsi="Palatino Linotype"/>
          <w:i/>
        </w:rPr>
        <w:t xml:space="preserve">, industriales y de equipamientos privados, se aplicará al valor resultante de las </w:t>
      </w:r>
      <w:proofErr w:type="spellStart"/>
      <w:r w:rsidRPr="00694D76">
        <w:rPr>
          <w:rFonts w:ascii="Palatino Linotype" w:hAnsi="Palatino Linotype"/>
          <w:i/>
        </w:rPr>
        <w:t>fórmulas</w:t>
      </w:r>
      <w:proofErr w:type="spellEnd"/>
      <w:r w:rsidRPr="00694D76">
        <w:rPr>
          <w:rFonts w:ascii="Palatino Linotype" w:hAnsi="Palatino Linotype"/>
          <w:i/>
        </w:rPr>
        <w:t xml:space="preserve"> contenidas en el presente </w:t>
      </w:r>
      <w:proofErr w:type="spellStart"/>
      <w:r w:rsidRPr="00694D76">
        <w:rPr>
          <w:rFonts w:ascii="Palatino Linotype" w:hAnsi="Palatino Linotype"/>
          <w:i/>
        </w:rPr>
        <w:t>artículo</w:t>
      </w:r>
      <w:proofErr w:type="spellEnd"/>
      <w:r w:rsidRPr="00694D76">
        <w:rPr>
          <w:rFonts w:ascii="Palatino Linotype" w:hAnsi="Palatino Linotype"/>
          <w:i/>
        </w:rPr>
        <w:t>, un</w:t>
      </w:r>
      <w:r w:rsidR="00694D76" w:rsidRPr="00694D76">
        <w:rPr>
          <w:rFonts w:ascii="Palatino Linotype" w:hAnsi="Palatino Linotype"/>
          <w:i/>
        </w:rPr>
        <w:t xml:space="preserve"> factor de ajuste igual a 0,7</w:t>
      </w:r>
      <w:r w:rsidR="00694D76">
        <w:rPr>
          <w:rFonts w:ascii="Palatino Linotype" w:hAnsi="Palatino Linotype"/>
        </w:rPr>
        <w:t>”;</w:t>
      </w:r>
    </w:p>
    <w:p w14:paraId="6C923B95" w14:textId="206FAB44" w:rsidR="00B900B7" w:rsidRPr="00694D76" w:rsidRDefault="00B900B7" w:rsidP="00694D76">
      <w:pPr>
        <w:pStyle w:val="NormalWeb"/>
        <w:spacing w:before="0" w:beforeAutospacing="0" w:after="120" w:afterAutospacing="0" w:line="276" w:lineRule="auto"/>
        <w:ind w:left="567" w:hanging="567"/>
        <w:jc w:val="both"/>
        <w:rPr>
          <w:rFonts w:ascii="Palatino Linotype" w:eastAsiaTheme="minorEastAsia" w:hAnsi="Palatino Linotype"/>
          <w:sz w:val="22"/>
          <w:szCs w:val="22"/>
          <w:lang w:val="es-EC"/>
        </w:rPr>
      </w:pPr>
      <w:r w:rsidRPr="00694D76">
        <w:rPr>
          <w:rFonts w:ascii="Palatino Linotype" w:hAnsi="Palatino Linotype"/>
          <w:b/>
          <w:sz w:val="22"/>
          <w:szCs w:val="22"/>
        </w:rPr>
        <w:lastRenderedPageBreak/>
        <w:t>Que,</w:t>
      </w:r>
      <w:r w:rsidR="00694D76">
        <w:rPr>
          <w:rFonts w:ascii="Palatino Linotype" w:hAnsi="Palatino Linotype"/>
          <w:sz w:val="22"/>
          <w:szCs w:val="22"/>
        </w:rPr>
        <w:tab/>
      </w:r>
      <w:r w:rsidRPr="00694D76">
        <w:rPr>
          <w:rFonts w:ascii="Palatino Linotype" w:hAnsi="Palatino Linotype"/>
          <w:sz w:val="22"/>
          <w:szCs w:val="22"/>
        </w:rPr>
        <w:t xml:space="preserve">el artículo 12 </w:t>
      </w:r>
      <w:proofErr w:type="spellStart"/>
      <w:r w:rsidRPr="00694D76">
        <w:rPr>
          <w:rFonts w:ascii="Palatino Linotype" w:hAnsi="Palatino Linotype"/>
          <w:sz w:val="22"/>
          <w:szCs w:val="22"/>
        </w:rPr>
        <w:t>íbidem</w:t>
      </w:r>
      <w:proofErr w:type="spellEnd"/>
      <w:r w:rsidRPr="00694D76">
        <w:rPr>
          <w:rFonts w:ascii="Palatino Linotype" w:hAnsi="Palatino Linotype"/>
          <w:sz w:val="22"/>
          <w:szCs w:val="22"/>
        </w:rPr>
        <w:t xml:space="preserve"> señala que </w:t>
      </w:r>
      <w:r w:rsidRPr="00694D76">
        <w:rPr>
          <w:rFonts w:ascii="Palatino Linotype" w:eastAsiaTheme="minorEastAsia" w:hAnsi="Palatino Linotype"/>
          <w:sz w:val="22"/>
          <w:szCs w:val="22"/>
          <w:lang w:val="es-EC"/>
        </w:rPr>
        <w:t xml:space="preserve">la </w:t>
      </w:r>
      <w:proofErr w:type="spellStart"/>
      <w:r w:rsidRPr="00694D76">
        <w:rPr>
          <w:rFonts w:ascii="Palatino Linotype" w:eastAsiaTheme="minorEastAsia" w:hAnsi="Palatino Linotype"/>
          <w:sz w:val="22"/>
          <w:szCs w:val="22"/>
          <w:lang w:val="es-EC"/>
        </w:rPr>
        <w:t>Secretaría</w:t>
      </w:r>
      <w:proofErr w:type="spellEnd"/>
      <w:r w:rsidRPr="00694D76">
        <w:rPr>
          <w:rFonts w:ascii="Palatino Linotype" w:eastAsiaTheme="minorEastAsia" w:hAnsi="Palatino Linotype"/>
          <w:sz w:val="22"/>
          <w:szCs w:val="22"/>
          <w:lang w:val="es-EC"/>
        </w:rPr>
        <w:t xml:space="preserve"> responsable del territorio, </w:t>
      </w:r>
      <w:proofErr w:type="spellStart"/>
      <w:r w:rsidRPr="00694D76">
        <w:rPr>
          <w:rFonts w:ascii="Palatino Linotype" w:eastAsiaTheme="minorEastAsia" w:hAnsi="Palatino Linotype"/>
          <w:sz w:val="22"/>
          <w:szCs w:val="22"/>
          <w:lang w:val="es-EC"/>
        </w:rPr>
        <w:t>hábitat</w:t>
      </w:r>
      <w:proofErr w:type="spellEnd"/>
      <w:r w:rsidRPr="00694D76">
        <w:rPr>
          <w:rFonts w:ascii="Palatino Linotype" w:eastAsiaTheme="minorEastAsia" w:hAnsi="Palatino Linotype"/>
          <w:sz w:val="22"/>
          <w:szCs w:val="22"/>
          <w:lang w:val="es-EC"/>
        </w:rPr>
        <w:t xml:space="preserve"> y vivienda </w:t>
      </w:r>
      <w:proofErr w:type="spellStart"/>
      <w:r w:rsidRPr="00694D76">
        <w:rPr>
          <w:rFonts w:ascii="Palatino Linotype" w:eastAsiaTheme="minorEastAsia" w:hAnsi="Palatino Linotype"/>
          <w:sz w:val="22"/>
          <w:szCs w:val="22"/>
          <w:lang w:val="es-EC"/>
        </w:rPr>
        <w:t>sera</w:t>
      </w:r>
      <w:proofErr w:type="spellEnd"/>
      <w:r w:rsidRPr="00694D76">
        <w:rPr>
          <w:rFonts w:ascii="Palatino Linotype" w:eastAsiaTheme="minorEastAsia" w:hAnsi="Palatino Linotype"/>
          <w:sz w:val="22"/>
          <w:szCs w:val="22"/>
          <w:lang w:val="es-EC"/>
        </w:rPr>
        <w:t xml:space="preserve">́ la entidad responsable de la </w:t>
      </w:r>
      <w:proofErr w:type="spellStart"/>
      <w:r w:rsidRPr="00694D76">
        <w:rPr>
          <w:rFonts w:ascii="Palatino Linotype" w:eastAsiaTheme="minorEastAsia" w:hAnsi="Palatino Linotype"/>
          <w:sz w:val="22"/>
          <w:szCs w:val="22"/>
          <w:lang w:val="es-EC"/>
        </w:rPr>
        <w:t>aplicación</w:t>
      </w:r>
      <w:proofErr w:type="spellEnd"/>
      <w:r w:rsidRPr="00694D76">
        <w:rPr>
          <w:rFonts w:ascii="Palatino Linotype" w:eastAsiaTheme="minorEastAsia" w:hAnsi="Palatino Linotype"/>
          <w:sz w:val="22"/>
          <w:szCs w:val="22"/>
          <w:lang w:val="es-EC"/>
        </w:rPr>
        <w:t xml:space="preserve"> del </w:t>
      </w:r>
      <w:proofErr w:type="spellStart"/>
      <w:r w:rsidRPr="00694D76">
        <w:rPr>
          <w:rFonts w:ascii="Palatino Linotype" w:eastAsiaTheme="minorEastAsia" w:hAnsi="Palatino Linotype"/>
          <w:sz w:val="22"/>
          <w:szCs w:val="22"/>
          <w:lang w:val="es-EC"/>
        </w:rPr>
        <w:t>método</w:t>
      </w:r>
      <w:proofErr w:type="spellEnd"/>
      <w:r w:rsidRPr="00694D76">
        <w:rPr>
          <w:rFonts w:ascii="Palatino Linotype" w:eastAsiaTheme="minorEastAsia" w:hAnsi="Palatino Linotype"/>
          <w:sz w:val="22"/>
          <w:szCs w:val="22"/>
          <w:lang w:val="es-EC"/>
        </w:rPr>
        <w:t xml:space="preserve"> de </w:t>
      </w:r>
      <w:proofErr w:type="spellStart"/>
      <w:r w:rsidR="009E02B7" w:rsidRPr="00694D76">
        <w:rPr>
          <w:rFonts w:ascii="Palatino Linotype" w:eastAsiaTheme="minorEastAsia" w:hAnsi="Palatino Linotype"/>
          <w:sz w:val="22"/>
          <w:szCs w:val="22"/>
          <w:lang w:val="es-EC"/>
        </w:rPr>
        <w:t>cálculo</w:t>
      </w:r>
      <w:proofErr w:type="spellEnd"/>
      <w:r w:rsidR="009E02B7" w:rsidRPr="00694D76">
        <w:rPr>
          <w:rFonts w:ascii="Palatino Linotype" w:eastAsiaTheme="minorEastAsia" w:hAnsi="Palatino Linotype"/>
          <w:sz w:val="22"/>
          <w:szCs w:val="22"/>
          <w:lang w:val="es-EC"/>
        </w:rPr>
        <w:t xml:space="preserve"> previsto en la referida</w:t>
      </w:r>
      <w:r w:rsidRPr="00694D76">
        <w:rPr>
          <w:rFonts w:ascii="Palatino Linotype" w:eastAsiaTheme="minorEastAsia" w:hAnsi="Palatino Linotype"/>
          <w:sz w:val="22"/>
          <w:szCs w:val="22"/>
          <w:lang w:val="es-EC"/>
        </w:rPr>
        <w:t xml:space="preserve"> Ordenanza, determinando para cada caso los valores y montos a pagar por concepto de la </w:t>
      </w:r>
      <w:proofErr w:type="spellStart"/>
      <w:r w:rsidRPr="00694D76">
        <w:rPr>
          <w:rFonts w:ascii="Palatino Linotype" w:eastAsiaTheme="minorEastAsia" w:hAnsi="Palatino Linotype"/>
          <w:sz w:val="22"/>
          <w:szCs w:val="22"/>
          <w:lang w:val="es-EC"/>
        </w:rPr>
        <w:t>concesión</w:t>
      </w:r>
      <w:proofErr w:type="spellEnd"/>
      <w:r w:rsidRPr="00694D76">
        <w:rPr>
          <w:rFonts w:ascii="Palatino Linotype" w:eastAsiaTheme="minorEastAsia" w:hAnsi="Palatino Linotype"/>
          <w:sz w:val="22"/>
          <w:szCs w:val="22"/>
          <w:lang w:val="es-EC"/>
        </w:rPr>
        <w:t xml:space="preserve"> onerosa de derechos, incluyendo las exenciones que pudieren aplicar. De igual forma, la </w:t>
      </w:r>
      <w:proofErr w:type="spellStart"/>
      <w:r w:rsidRPr="00694D76">
        <w:rPr>
          <w:rFonts w:ascii="Palatino Linotype" w:eastAsiaTheme="minorEastAsia" w:hAnsi="Palatino Linotype"/>
          <w:sz w:val="22"/>
          <w:szCs w:val="22"/>
          <w:lang w:val="es-EC"/>
        </w:rPr>
        <w:t>Secretaría</w:t>
      </w:r>
      <w:proofErr w:type="spellEnd"/>
      <w:r w:rsidRPr="00694D76">
        <w:rPr>
          <w:rFonts w:ascii="Palatino Linotype" w:eastAsiaTheme="minorEastAsia" w:hAnsi="Palatino Linotype"/>
          <w:sz w:val="22"/>
          <w:szCs w:val="22"/>
          <w:lang w:val="es-EC"/>
        </w:rPr>
        <w:t xml:space="preserve"> </w:t>
      </w:r>
      <w:proofErr w:type="spellStart"/>
      <w:r w:rsidRPr="00694D76">
        <w:rPr>
          <w:rFonts w:ascii="Palatino Linotype" w:eastAsiaTheme="minorEastAsia" w:hAnsi="Palatino Linotype"/>
          <w:sz w:val="22"/>
          <w:szCs w:val="22"/>
          <w:lang w:val="es-EC"/>
        </w:rPr>
        <w:t>establecera</w:t>
      </w:r>
      <w:proofErr w:type="spellEnd"/>
      <w:r w:rsidRPr="00694D76">
        <w:rPr>
          <w:rFonts w:ascii="Palatino Linotype" w:eastAsiaTheme="minorEastAsia" w:hAnsi="Palatino Linotype"/>
          <w:sz w:val="22"/>
          <w:szCs w:val="22"/>
          <w:lang w:val="es-EC"/>
        </w:rPr>
        <w:t>́ motivadamente las formas de pago en dinero o en especie acordadas con los propietarios o promotores del PUAE</w:t>
      </w:r>
      <w:r w:rsidR="00694D76">
        <w:rPr>
          <w:rFonts w:ascii="Palatino Linotype" w:eastAsiaTheme="minorEastAsia" w:hAnsi="Palatino Linotype"/>
          <w:sz w:val="22"/>
          <w:szCs w:val="22"/>
          <w:lang w:val="es-EC"/>
        </w:rPr>
        <w:t>;</w:t>
      </w:r>
    </w:p>
    <w:p w14:paraId="17881D75" w14:textId="6454C370" w:rsidR="002E740E" w:rsidRDefault="001F30D2"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Que,</w:t>
      </w:r>
      <w:r w:rsidR="00694D76">
        <w:rPr>
          <w:rFonts w:ascii="Palatino Linotype" w:hAnsi="Palatino Linotype" w:cs="Times New Roman"/>
        </w:rPr>
        <w:tab/>
      </w:r>
      <w:r w:rsidRPr="00694D76">
        <w:rPr>
          <w:rFonts w:ascii="Palatino Linotype" w:hAnsi="Palatino Linotype" w:cs="Times New Roman"/>
        </w:rPr>
        <w:t xml:space="preserve">el artículo 13 </w:t>
      </w:r>
      <w:r w:rsidR="00B6080C" w:rsidRPr="00694D76">
        <w:rPr>
          <w:rFonts w:ascii="Palatino Linotype" w:hAnsi="Palatino Linotype" w:cs="Times New Roman"/>
        </w:rPr>
        <w:t>ibídem</w:t>
      </w:r>
      <w:r w:rsidRPr="00694D76">
        <w:rPr>
          <w:rFonts w:ascii="Palatino Linotype" w:hAnsi="Palatino Linotype" w:cs="Times New Roman"/>
        </w:rPr>
        <w:t xml:space="preserve"> establece las formas de pago de la </w:t>
      </w:r>
      <w:r w:rsidR="00B6080C" w:rsidRPr="00694D76">
        <w:rPr>
          <w:rFonts w:ascii="Palatino Linotype" w:hAnsi="Palatino Linotype" w:cs="Times New Roman"/>
        </w:rPr>
        <w:t>concesión</w:t>
      </w:r>
      <w:r w:rsidRPr="00694D76">
        <w:rPr>
          <w:rFonts w:ascii="Palatino Linotype" w:hAnsi="Palatino Linotype" w:cs="Times New Roman"/>
        </w:rPr>
        <w:t xml:space="preserve"> onerosa de derechos, siendo estas: a) pago monetario al co</w:t>
      </w:r>
      <w:r w:rsidR="004E702D" w:rsidRPr="00694D76">
        <w:rPr>
          <w:rFonts w:ascii="Palatino Linotype" w:hAnsi="Palatino Linotype" w:cs="Times New Roman"/>
        </w:rPr>
        <w:t>ntado o por cronograma de pago y b) pago en especie</w:t>
      </w:r>
      <w:r w:rsidR="00694D76">
        <w:rPr>
          <w:rFonts w:ascii="Palatino Linotype" w:hAnsi="Palatino Linotype" w:cs="Times New Roman"/>
        </w:rPr>
        <w:t>;</w:t>
      </w:r>
    </w:p>
    <w:p w14:paraId="5BDEC414" w14:textId="7BA1BBC1" w:rsidR="004E702D" w:rsidRPr="00694D76" w:rsidRDefault="004E702D" w:rsidP="00694D76">
      <w:pPr>
        <w:suppressAutoHyphens/>
        <w:spacing w:after="120"/>
        <w:ind w:left="567" w:hanging="567"/>
        <w:rPr>
          <w:rFonts w:ascii="Palatino Linotype" w:hAnsi="Palatino Linotype" w:cs="Times New Roman"/>
        </w:rPr>
      </w:pPr>
      <w:r w:rsidRPr="00694D76">
        <w:rPr>
          <w:rFonts w:ascii="Palatino Linotype" w:hAnsi="Palatino Linotype" w:cs="Times New Roman"/>
          <w:b/>
        </w:rPr>
        <w:t>Que,</w:t>
      </w:r>
      <w:r w:rsidR="00694D76">
        <w:rPr>
          <w:rFonts w:ascii="Palatino Linotype" w:hAnsi="Palatino Linotype" w:cs="Times New Roman"/>
        </w:rPr>
        <w:tab/>
      </w:r>
      <w:r w:rsidRPr="00694D76">
        <w:rPr>
          <w:rFonts w:ascii="Palatino Linotype" w:hAnsi="Palatino Linotype" w:cs="Times New Roman"/>
        </w:rPr>
        <w:t xml:space="preserve">el </w:t>
      </w:r>
      <w:r w:rsidR="00B6080C" w:rsidRPr="00694D76">
        <w:rPr>
          <w:rFonts w:ascii="Palatino Linotype" w:hAnsi="Palatino Linotype" w:cs="Times New Roman"/>
        </w:rPr>
        <w:t>artículo</w:t>
      </w:r>
      <w:r w:rsidRPr="00694D76">
        <w:rPr>
          <w:rFonts w:ascii="Palatino Linotype" w:hAnsi="Palatino Linotype" w:cs="Times New Roman"/>
        </w:rPr>
        <w:t xml:space="preserve"> 14 </w:t>
      </w:r>
      <w:r w:rsidR="00B6080C" w:rsidRPr="00694D76">
        <w:rPr>
          <w:rFonts w:ascii="Palatino Linotype" w:hAnsi="Palatino Linotype" w:cs="Times New Roman"/>
        </w:rPr>
        <w:t>ibídem</w:t>
      </w:r>
      <w:r w:rsidR="00B900B7" w:rsidRPr="00694D76">
        <w:rPr>
          <w:rFonts w:ascii="Palatino Linotype" w:hAnsi="Palatino Linotype" w:cs="Times New Roman"/>
        </w:rPr>
        <w:t xml:space="preserve"> </w:t>
      </w:r>
      <w:r w:rsidRPr="00694D76">
        <w:rPr>
          <w:rFonts w:ascii="Palatino Linotype" w:hAnsi="Palatino Linotype" w:cs="Times New Roman"/>
        </w:rPr>
        <w:t xml:space="preserve">define los valores no imputables a la </w:t>
      </w:r>
      <w:r w:rsidR="00B6080C" w:rsidRPr="00694D76">
        <w:rPr>
          <w:rFonts w:ascii="Palatino Linotype" w:hAnsi="Palatino Linotype" w:cs="Times New Roman"/>
        </w:rPr>
        <w:t>concesión</w:t>
      </w:r>
      <w:r w:rsidRPr="00694D76">
        <w:rPr>
          <w:rFonts w:ascii="Palatino Linotype" w:hAnsi="Palatino Linotype" w:cs="Times New Roman"/>
        </w:rPr>
        <w:t xml:space="preserve"> onerosa de derechos</w:t>
      </w:r>
      <w:r w:rsidR="00694D76">
        <w:rPr>
          <w:rFonts w:ascii="Palatino Linotype" w:hAnsi="Palatino Linotype" w:cs="Times New Roman"/>
        </w:rPr>
        <w:t>;</w:t>
      </w:r>
    </w:p>
    <w:p w14:paraId="5D0BB942" w14:textId="77777777" w:rsidR="00902795" w:rsidRDefault="004E702D" w:rsidP="00902795">
      <w:pPr>
        <w:suppressAutoHyphens/>
        <w:spacing w:after="120"/>
        <w:ind w:left="567" w:hanging="567"/>
        <w:rPr>
          <w:rFonts w:ascii="Palatino Linotype" w:hAnsi="Palatino Linotype"/>
        </w:rPr>
      </w:pPr>
      <w:r w:rsidRPr="00694D76">
        <w:rPr>
          <w:rFonts w:ascii="Palatino Linotype" w:hAnsi="Palatino Linotype" w:cs="Times New Roman"/>
          <w:b/>
        </w:rPr>
        <w:t>Que,</w:t>
      </w:r>
      <w:r w:rsidR="00694D76">
        <w:rPr>
          <w:rFonts w:ascii="Palatino Linotype" w:hAnsi="Palatino Linotype" w:cs="Times New Roman"/>
        </w:rPr>
        <w:tab/>
      </w:r>
      <w:r w:rsidRPr="00694D76">
        <w:rPr>
          <w:rFonts w:ascii="Palatino Linotype" w:hAnsi="Palatino Linotype" w:cs="Times New Roman"/>
        </w:rPr>
        <w:t>la</w:t>
      </w:r>
      <w:r w:rsidR="009E02B7" w:rsidRPr="00694D76">
        <w:rPr>
          <w:rFonts w:ascii="Palatino Linotype" w:hAnsi="Palatino Linotype"/>
        </w:rPr>
        <w:t xml:space="preserve"> Disposición G</w:t>
      </w:r>
      <w:r w:rsidRPr="00694D76">
        <w:rPr>
          <w:rFonts w:ascii="Palatino Linotype" w:hAnsi="Palatino Linotype"/>
        </w:rPr>
        <w:t>eneral</w:t>
      </w:r>
      <w:r w:rsidRPr="00694D76">
        <w:rPr>
          <w:rFonts w:ascii="Palatino Linotype" w:hAnsi="Palatino Linotype" w:cs="Times New Roman"/>
        </w:rPr>
        <w:t xml:space="preserve"> </w:t>
      </w:r>
      <w:r w:rsidR="009E02B7" w:rsidRPr="00694D76">
        <w:rPr>
          <w:rFonts w:ascii="Palatino Linotype" w:hAnsi="Palatino Linotype"/>
        </w:rPr>
        <w:t>T</w:t>
      </w:r>
      <w:r w:rsidRPr="00694D76">
        <w:rPr>
          <w:rFonts w:ascii="Palatino Linotype" w:hAnsi="Palatino Linotype"/>
        </w:rPr>
        <w:t xml:space="preserve">ercera </w:t>
      </w:r>
      <w:r w:rsidR="00B6080C" w:rsidRPr="00694D76">
        <w:rPr>
          <w:rFonts w:ascii="Palatino Linotype" w:hAnsi="Palatino Linotype"/>
        </w:rPr>
        <w:t>ibídem</w:t>
      </w:r>
      <w:r w:rsidRPr="00694D76">
        <w:rPr>
          <w:rFonts w:ascii="Palatino Linotype" w:hAnsi="Palatino Linotype"/>
        </w:rPr>
        <w:t xml:space="preserve"> señala que “</w:t>
      </w:r>
      <w:r w:rsidRPr="00902795">
        <w:rPr>
          <w:rFonts w:ascii="Palatino Linotype" w:hAnsi="Palatino Linotype"/>
          <w:i/>
        </w:rPr>
        <w:t xml:space="preserve">los valores correspondientes al metro cuadrado de suelo y/o metro cuadrado de </w:t>
      </w:r>
      <w:r w:rsidR="00B6080C" w:rsidRPr="00902795">
        <w:rPr>
          <w:rFonts w:ascii="Palatino Linotype" w:hAnsi="Palatino Linotype"/>
          <w:i/>
        </w:rPr>
        <w:t>construcción</w:t>
      </w:r>
      <w:r w:rsidRPr="00902795">
        <w:rPr>
          <w:rFonts w:ascii="Palatino Linotype" w:hAnsi="Palatino Linotype"/>
          <w:i/>
        </w:rPr>
        <w:t xml:space="preserve"> empleados para el </w:t>
      </w:r>
      <w:r w:rsidR="00B6080C" w:rsidRPr="00902795">
        <w:rPr>
          <w:rFonts w:ascii="Palatino Linotype" w:hAnsi="Palatino Linotype"/>
          <w:i/>
        </w:rPr>
        <w:t>cálculo</w:t>
      </w:r>
      <w:r w:rsidRPr="00902795">
        <w:rPr>
          <w:rFonts w:ascii="Palatino Linotype" w:hAnsi="Palatino Linotype"/>
          <w:i/>
        </w:rPr>
        <w:t xml:space="preserve"> previsto en la presente Ordenanza se </w:t>
      </w:r>
      <w:r w:rsidR="00B6080C" w:rsidRPr="00902795">
        <w:rPr>
          <w:rFonts w:ascii="Palatino Linotype" w:hAnsi="Palatino Linotype"/>
          <w:i/>
        </w:rPr>
        <w:t>actualizarán</w:t>
      </w:r>
      <w:r w:rsidRPr="00902795">
        <w:rPr>
          <w:rFonts w:ascii="Palatino Linotype" w:hAnsi="Palatino Linotype"/>
          <w:i/>
        </w:rPr>
        <w:t xml:space="preserve"> y </w:t>
      </w:r>
      <w:r w:rsidR="00B6080C" w:rsidRPr="00902795">
        <w:rPr>
          <w:rFonts w:ascii="Palatino Linotype" w:hAnsi="Palatino Linotype"/>
          <w:i/>
        </w:rPr>
        <w:t>aplicaran</w:t>
      </w:r>
      <w:r w:rsidRPr="00902795">
        <w:rPr>
          <w:rFonts w:ascii="Palatino Linotype" w:hAnsi="Palatino Linotype"/>
          <w:i/>
        </w:rPr>
        <w:t xml:space="preserve"> conforme a las variaciones de valores de la Ordenanza vigente mediante la cual se apruebe el plano del valor del suelo urbano y rural y los valores unitarios por m</w:t>
      </w:r>
      <w:r w:rsidRPr="00902795">
        <w:rPr>
          <w:rFonts w:ascii="Palatino Linotype" w:hAnsi="Palatino Linotype"/>
          <w:i/>
          <w:vertAlign w:val="superscript"/>
        </w:rPr>
        <w:t>2</w:t>
      </w:r>
      <w:r w:rsidRPr="00902795">
        <w:rPr>
          <w:rFonts w:ascii="Palatino Linotype" w:hAnsi="Palatino Linotype"/>
          <w:i/>
        </w:rPr>
        <w:t xml:space="preserve"> de </w:t>
      </w:r>
      <w:r w:rsidR="00B6080C" w:rsidRPr="00902795">
        <w:rPr>
          <w:rFonts w:ascii="Palatino Linotype" w:hAnsi="Palatino Linotype"/>
          <w:i/>
        </w:rPr>
        <w:t>construcción</w:t>
      </w:r>
      <w:r w:rsidRPr="00902795">
        <w:rPr>
          <w:rFonts w:ascii="Palatino Linotype" w:hAnsi="Palatino Linotype"/>
          <w:i/>
        </w:rPr>
        <w:t xml:space="preserve"> que determinan los </w:t>
      </w:r>
      <w:r w:rsidR="00B6080C" w:rsidRPr="00902795">
        <w:rPr>
          <w:rFonts w:ascii="Palatino Linotype" w:hAnsi="Palatino Linotype"/>
          <w:i/>
        </w:rPr>
        <w:t>avalúos</w:t>
      </w:r>
      <w:r w:rsidRPr="00902795">
        <w:rPr>
          <w:rFonts w:ascii="Palatino Linotype" w:hAnsi="Palatino Linotype"/>
          <w:i/>
        </w:rPr>
        <w:t xml:space="preserve"> prediales. De igual forma, para los PUAE que se desarrollen por etapas, el </w:t>
      </w:r>
      <w:r w:rsidR="00B6080C" w:rsidRPr="00902795">
        <w:rPr>
          <w:rFonts w:ascii="Palatino Linotype" w:hAnsi="Palatino Linotype"/>
          <w:i/>
        </w:rPr>
        <w:t>cálculo</w:t>
      </w:r>
      <w:r w:rsidRPr="00902795">
        <w:rPr>
          <w:rFonts w:ascii="Palatino Linotype" w:hAnsi="Palatino Linotype"/>
          <w:i/>
        </w:rPr>
        <w:t xml:space="preserve"> correspondiente a la </w:t>
      </w:r>
      <w:r w:rsidR="00B6080C" w:rsidRPr="00902795">
        <w:rPr>
          <w:rFonts w:ascii="Palatino Linotype" w:hAnsi="Palatino Linotype"/>
          <w:i/>
        </w:rPr>
        <w:t>concesión</w:t>
      </w:r>
      <w:r w:rsidRPr="00902795">
        <w:rPr>
          <w:rFonts w:ascii="Palatino Linotype" w:hAnsi="Palatino Linotype"/>
          <w:i/>
        </w:rPr>
        <w:t xml:space="preserve"> onerosa de derechos, </w:t>
      </w:r>
      <w:r w:rsidR="00B6080C" w:rsidRPr="00902795">
        <w:rPr>
          <w:rFonts w:ascii="Palatino Linotype" w:hAnsi="Palatino Linotype"/>
          <w:i/>
        </w:rPr>
        <w:t>deberá</w:t>
      </w:r>
      <w:r w:rsidRPr="00902795">
        <w:rPr>
          <w:rFonts w:ascii="Palatino Linotype" w:hAnsi="Palatino Linotype"/>
          <w:i/>
        </w:rPr>
        <w:t xml:space="preserve"> actualizarse en </w:t>
      </w:r>
      <w:r w:rsidR="00B6080C" w:rsidRPr="00902795">
        <w:rPr>
          <w:rFonts w:ascii="Palatino Linotype" w:hAnsi="Palatino Linotype"/>
          <w:i/>
        </w:rPr>
        <w:t>función</w:t>
      </w:r>
      <w:r w:rsidRPr="00902795">
        <w:rPr>
          <w:rFonts w:ascii="Palatino Linotype" w:hAnsi="Palatino Linotype"/>
          <w:i/>
        </w:rPr>
        <w:t xml:space="preserve"> de los valores vigentes al tiempo del licenciamiento de la etapa correspondiente</w:t>
      </w:r>
      <w:r w:rsidRPr="00694D76">
        <w:rPr>
          <w:rFonts w:ascii="Palatino Linotype" w:hAnsi="Palatino Linotype"/>
        </w:rPr>
        <w:t>”</w:t>
      </w:r>
      <w:r w:rsidR="00902795">
        <w:rPr>
          <w:rFonts w:ascii="Palatino Linotype" w:hAnsi="Palatino Linotype"/>
        </w:rPr>
        <w:t>;</w:t>
      </w:r>
    </w:p>
    <w:p w14:paraId="50B0C061" w14:textId="77777777" w:rsidR="00902795" w:rsidRDefault="004E702D" w:rsidP="00902795">
      <w:pPr>
        <w:suppressAutoHyphens/>
        <w:spacing w:after="120"/>
        <w:ind w:left="567" w:hanging="567"/>
        <w:rPr>
          <w:rFonts w:ascii="Palatino Linotype" w:hAnsi="Palatino Linotype"/>
        </w:rPr>
      </w:pPr>
      <w:r w:rsidRPr="00902795">
        <w:rPr>
          <w:rFonts w:ascii="Palatino Linotype" w:hAnsi="Palatino Linotype" w:cs="Times New Roman"/>
          <w:b/>
        </w:rPr>
        <w:t>Que,</w:t>
      </w:r>
      <w:r w:rsidR="00B900B7" w:rsidRPr="00694D76">
        <w:rPr>
          <w:rFonts w:ascii="Palatino Linotype" w:hAnsi="Palatino Linotype" w:cs="Times New Roman"/>
        </w:rPr>
        <w:tab/>
      </w:r>
      <w:r w:rsidR="009E02B7" w:rsidRPr="00694D76">
        <w:rPr>
          <w:rFonts w:ascii="Palatino Linotype" w:hAnsi="Palatino Linotype" w:cs="Times New Roman"/>
        </w:rPr>
        <w:t>la Disposición Transitoria P</w:t>
      </w:r>
      <w:r w:rsidRPr="00694D76">
        <w:rPr>
          <w:rFonts w:ascii="Palatino Linotype" w:hAnsi="Palatino Linotype" w:cs="Times New Roman"/>
        </w:rPr>
        <w:t xml:space="preserve">rimera </w:t>
      </w:r>
      <w:r w:rsidR="00B6080C" w:rsidRPr="00694D76">
        <w:rPr>
          <w:rFonts w:ascii="Palatino Linotype" w:hAnsi="Palatino Linotype" w:cs="Times New Roman"/>
        </w:rPr>
        <w:t>ibídem</w:t>
      </w:r>
      <w:r w:rsidRPr="00694D76">
        <w:rPr>
          <w:rFonts w:ascii="Palatino Linotype" w:hAnsi="Palatino Linotype" w:cs="Times New Roman"/>
        </w:rPr>
        <w:t xml:space="preserve"> señala que “</w:t>
      </w:r>
      <w:r w:rsidRPr="00902795">
        <w:rPr>
          <w:rFonts w:ascii="Palatino Linotype" w:hAnsi="Palatino Linotype" w:cs="Times New Roman"/>
          <w:i/>
        </w:rPr>
        <w:t xml:space="preserve">los PUAE que a la fecha de </w:t>
      </w:r>
      <w:r w:rsidR="00B6080C" w:rsidRPr="00902795">
        <w:rPr>
          <w:rFonts w:ascii="Palatino Linotype" w:hAnsi="Palatino Linotype" w:cs="Times New Roman"/>
          <w:i/>
        </w:rPr>
        <w:t>sanción</w:t>
      </w:r>
      <w:r w:rsidRPr="00902795">
        <w:rPr>
          <w:rFonts w:ascii="Palatino Linotype" w:hAnsi="Palatino Linotype" w:cs="Times New Roman"/>
          <w:i/>
        </w:rPr>
        <w:t xml:space="preserve"> de la presente Ordenanza se encuentren en tratamiento en la </w:t>
      </w:r>
      <w:r w:rsidR="00B6080C" w:rsidRPr="00902795">
        <w:rPr>
          <w:rFonts w:ascii="Palatino Linotype" w:hAnsi="Palatino Linotype" w:cs="Times New Roman"/>
          <w:i/>
        </w:rPr>
        <w:t>Secretaría</w:t>
      </w:r>
      <w:r w:rsidRPr="00902795">
        <w:rPr>
          <w:rFonts w:ascii="Palatino Linotype" w:hAnsi="Palatino Linotype" w:cs="Times New Roman"/>
          <w:i/>
        </w:rPr>
        <w:t xml:space="preserve"> de Territorio, </w:t>
      </w:r>
      <w:r w:rsidR="00B6080C" w:rsidRPr="00902795">
        <w:rPr>
          <w:rFonts w:ascii="Palatino Linotype" w:hAnsi="Palatino Linotype" w:cs="Times New Roman"/>
          <w:i/>
        </w:rPr>
        <w:t>Hábitat</w:t>
      </w:r>
      <w:r w:rsidRPr="00902795">
        <w:rPr>
          <w:rFonts w:ascii="Palatino Linotype" w:hAnsi="Palatino Linotype" w:cs="Times New Roman"/>
          <w:i/>
        </w:rPr>
        <w:t xml:space="preserve"> y Vivienda o en la </w:t>
      </w:r>
      <w:r w:rsidR="00B6080C" w:rsidRPr="00902795">
        <w:rPr>
          <w:rFonts w:ascii="Palatino Linotype" w:hAnsi="Palatino Linotype" w:cs="Times New Roman"/>
          <w:i/>
        </w:rPr>
        <w:t>Comisión</w:t>
      </w:r>
      <w:r w:rsidRPr="00902795">
        <w:rPr>
          <w:rFonts w:ascii="Palatino Linotype" w:hAnsi="Palatino Linotype" w:cs="Times New Roman"/>
          <w:i/>
        </w:rPr>
        <w:t xml:space="preserve"> de Uso de Suelo, </w:t>
      </w:r>
      <w:r w:rsidR="00B6080C" w:rsidRPr="00902795">
        <w:rPr>
          <w:rFonts w:ascii="Palatino Linotype" w:hAnsi="Palatino Linotype" w:cs="Times New Roman"/>
          <w:i/>
        </w:rPr>
        <w:t>están</w:t>
      </w:r>
      <w:r w:rsidRPr="00902795">
        <w:rPr>
          <w:rFonts w:ascii="Palatino Linotype" w:hAnsi="Palatino Linotype" w:cs="Times New Roman"/>
          <w:i/>
        </w:rPr>
        <w:t xml:space="preserve"> exentos del cumplimiento del </w:t>
      </w:r>
      <w:r w:rsidR="00B6080C" w:rsidRPr="00902795">
        <w:rPr>
          <w:rFonts w:ascii="Palatino Linotype" w:hAnsi="Palatino Linotype" w:cs="Times New Roman"/>
          <w:i/>
        </w:rPr>
        <w:t>artículo</w:t>
      </w:r>
      <w:r w:rsidRPr="00902795">
        <w:rPr>
          <w:rFonts w:ascii="Palatino Linotype" w:hAnsi="Palatino Linotype" w:cs="Times New Roman"/>
          <w:i/>
        </w:rPr>
        <w:t xml:space="preserve"> 4 de la presente ordenanza</w:t>
      </w:r>
      <w:r w:rsidRPr="00694D76">
        <w:rPr>
          <w:rFonts w:ascii="Palatino Linotype" w:hAnsi="Palatino Linotype" w:cs="Times New Roman"/>
        </w:rPr>
        <w:t>”</w:t>
      </w:r>
      <w:r w:rsidR="00902795">
        <w:rPr>
          <w:rFonts w:ascii="Palatino Linotype" w:hAnsi="Palatino Linotype" w:cs="Times New Roman"/>
        </w:rPr>
        <w:t>;</w:t>
      </w:r>
    </w:p>
    <w:p w14:paraId="3A0E32E8" w14:textId="1B55EC1D" w:rsidR="004E702D" w:rsidRPr="00902795" w:rsidRDefault="004E702D" w:rsidP="00902795">
      <w:pPr>
        <w:suppressAutoHyphens/>
        <w:spacing w:after="120"/>
        <w:ind w:left="567" w:hanging="567"/>
        <w:rPr>
          <w:rFonts w:ascii="Palatino Linotype" w:hAnsi="Palatino Linotype"/>
        </w:rPr>
      </w:pPr>
      <w:r w:rsidRPr="00902795">
        <w:rPr>
          <w:rFonts w:ascii="Palatino Linotype" w:hAnsi="Palatino Linotype" w:cs="Times New Roman"/>
          <w:b/>
        </w:rPr>
        <w:t>Que,</w:t>
      </w:r>
      <w:r w:rsidR="00B900B7" w:rsidRPr="00694D76">
        <w:rPr>
          <w:rFonts w:ascii="Palatino Linotype" w:hAnsi="Palatino Linotype" w:cs="Times New Roman"/>
        </w:rPr>
        <w:tab/>
      </w:r>
      <w:r w:rsidR="009E02B7" w:rsidRPr="00694D76">
        <w:rPr>
          <w:rFonts w:ascii="Palatino Linotype" w:hAnsi="Palatino Linotype" w:cs="Times New Roman"/>
        </w:rPr>
        <w:t>la Disposición Transitoria Q</w:t>
      </w:r>
      <w:r w:rsidRPr="00694D76">
        <w:rPr>
          <w:rFonts w:ascii="Palatino Linotype" w:hAnsi="Palatino Linotype" w:cs="Times New Roman"/>
        </w:rPr>
        <w:t xml:space="preserve">uinta </w:t>
      </w:r>
      <w:r w:rsidR="00B6080C" w:rsidRPr="00694D76">
        <w:rPr>
          <w:rFonts w:ascii="Palatino Linotype" w:hAnsi="Palatino Linotype" w:cs="Times New Roman"/>
        </w:rPr>
        <w:t>ibídem</w:t>
      </w:r>
      <w:r w:rsidRPr="00694D76">
        <w:rPr>
          <w:rFonts w:ascii="Palatino Linotype" w:hAnsi="Palatino Linotype" w:cs="Times New Roman"/>
        </w:rPr>
        <w:t xml:space="preserve"> establece que “</w:t>
      </w:r>
      <w:r w:rsidRPr="00902795">
        <w:rPr>
          <w:rFonts w:ascii="Palatino Linotype" w:hAnsi="Palatino Linotype" w:cs="Times New Roman"/>
          <w:i/>
        </w:rPr>
        <w:t xml:space="preserve">los proyectos </w:t>
      </w:r>
      <w:r w:rsidR="00B6080C" w:rsidRPr="00902795">
        <w:rPr>
          <w:rFonts w:ascii="Palatino Linotype" w:hAnsi="Palatino Linotype" w:cs="Times New Roman"/>
          <w:i/>
        </w:rPr>
        <w:t>urbanísticos</w:t>
      </w:r>
      <w:r w:rsidRPr="00902795">
        <w:rPr>
          <w:rFonts w:ascii="Palatino Linotype" w:hAnsi="Palatino Linotype" w:cs="Times New Roman"/>
          <w:i/>
        </w:rPr>
        <w:t xml:space="preserve"> </w:t>
      </w:r>
      <w:r w:rsidR="00B6080C" w:rsidRPr="00902795">
        <w:rPr>
          <w:rFonts w:ascii="Palatino Linotype" w:hAnsi="Palatino Linotype" w:cs="Times New Roman"/>
          <w:i/>
        </w:rPr>
        <w:t>arquitectónicos</w:t>
      </w:r>
      <w:r w:rsidRPr="00902795">
        <w:rPr>
          <w:rFonts w:ascii="Palatino Linotype" w:hAnsi="Palatino Linotype" w:cs="Times New Roman"/>
          <w:i/>
        </w:rPr>
        <w:t xml:space="preserve"> especiales a desarrollarse en </w:t>
      </w:r>
      <w:r w:rsidR="00B6080C" w:rsidRPr="00902795">
        <w:rPr>
          <w:rFonts w:ascii="Palatino Linotype" w:hAnsi="Palatino Linotype" w:cs="Times New Roman"/>
          <w:i/>
        </w:rPr>
        <w:t>áreas</w:t>
      </w:r>
      <w:r w:rsidRPr="00902795">
        <w:rPr>
          <w:rFonts w:ascii="Palatino Linotype" w:hAnsi="Palatino Linotype" w:cs="Times New Roman"/>
          <w:i/>
        </w:rPr>
        <w:t xml:space="preserve"> o </w:t>
      </w:r>
      <w:r w:rsidR="00B6080C" w:rsidRPr="00902795">
        <w:rPr>
          <w:rFonts w:ascii="Palatino Linotype" w:hAnsi="Palatino Linotype" w:cs="Times New Roman"/>
          <w:i/>
        </w:rPr>
        <w:t>polígonos</w:t>
      </w:r>
      <w:r w:rsidRPr="00902795">
        <w:rPr>
          <w:rFonts w:ascii="Palatino Linotype" w:hAnsi="Palatino Linotype" w:cs="Times New Roman"/>
          <w:i/>
        </w:rPr>
        <w:t xml:space="preserve"> en los cuales el Municipio haya previsto planes especiales o parciales, </w:t>
      </w:r>
      <w:r w:rsidR="00B6080C" w:rsidRPr="00902795">
        <w:rPr>
          <w:rFonts w:ascii="Palatino Linotype" w:hAnsi="Palatino Linotype" w:cs="Times New Roman"/>
          <w:i/>
        </w:rPr>
        <w:t>según</w:t>
      </w:r>
      <w:r w:rsidRPr="00902795">
        <w:rPr>
          <w:rFonts w:ascii="Palatino Linotype" w:hAnsi="Palatino Linotype" w:cs="Times New Roman"/>
          <w:i/>
        </w:rPr>
        <w:t xml:space="preserve"> lo establecido en </w:t>
      </w:r>
      <w:r w:rsidR="00B6080C" w:rsidRPr="00902795">
        <w:rPr>
          <w:rFonts w:ascii="Palatino Linotype" w:hAnsi="Palatino Linotype" w:cs="Times New Roman"/>
          <w:i/>
        </w:rPr>
        <w:t>disposición</w:t>
      </w:r>
      <w:r w:rsidRPr="00902795">
        <w:rPr>
          <w:rFonts w:ascii="Palatino Linotype" w:hAnsi="Palatino Linotype" w:cs="Times New Roman"/>
          <w:i/>
        </w:rPr>
        <w:t xml:space="preserve"> transitoria octava de la Ordenanza Metropolitana No. 127, que contiene el Plan de Uso y </w:t>
      </w:r>
      <w:r w:rsidR="00B6080C" w:rsidRPr="00902795">
        <w:rPr>
          <w:rFonts w:ascii="Palatino Linotype" w:hAnsi="Palatino Linotype" w:cs="Times New Roman"/>
          <w:i/>
        </w:rPr>
        <w:t>Ocupación</w:t>
      </w:r>
      <w:r w:rsidRPr="00902795">
        <w:rPr>
          <w:rFonts w:ascii="Palatino Linotype" w:hAnsi="Palatino Linotype" w:cs="Times New Roman"/>
          <w:i/>
        </w:rPr>
        <w:t xml:space="preserve"> de Suelo, sancionada el 25 de julio de 2016, </w:t>
      </w:r>
      <w:r w:rsidR="00592F91" w:rsidRPr="00902795">
        <w:rPr>
          <w:rFonts w:ascii="Palatino Linotype" w:hAnsi="Palatino Linotype" w:cs="Times New Roman"/>
          <w:i/>
        </w:rPr>
        <w:t>deberán</w:t>
      </w:r>
      <w:r w:rsidRPr="00902795">
        <w:rPr>
          <w:rFonts w:ascii="Palatino Linotype" w:hAnsi="Palatino Linotype" w:cs="Times New Roman"/>
          <w:i/>
        </w:rPr>
        <w:t xml:space="preserve"> observar las directrices de ordenamiento territorial derivadas de dichos instrumentos. Sin perjuicio de lo anteriormente </w:t>
      </w:r>
      <w:r w:rsidR="00592F91" w:rsidRPr="00902795">
        <w:rPr>
          <w:rFonts w:ascii="Palatino Linotype" w:hAnsi="Palatino Linotype" w:cs="Times New Roman"/>
          <w:i/>
        </w:rPr>
        <w:t>señalado</w:t>
      </w:r>
      <w:r w:rsidRPr="00902795">
        <w:rPr>
          <w:rFonts w:ascii="Palatino Linotype" w:hAnsi="Palatino Linotype" w:cs="Times New Roman"/>
          <w:i/>
        </w:rPr>
        <w:t xml:space="preserve">, se </w:t>
      </w:r>
      <w:r w:rsidR="00592F91" w:rsidRPr="00902795">
        <w:rPr>
          <w:rFonts w:ascii="Palatino Linotype" w:hAnsi="Palatino Linotype" w:cs="Times New Roman"/>
          <w:i/>
        </w:rPr>
        <w:t>exceptúa</w:t>
      </w:r>
      <w:r w:rsidRPr="00902795">
        <w:rPr>
          <w:rFonts w:ascii="Palatino Linotype" w:hAnsi="Palatino Linotype" w:cs="Times New Roman"/>
          <w:i/>
        </w:rPr>
        <w:t xml:space="preserve"> de esta </w:t>
      </w:r>
      <w:r w:rsidR="00592F91" w:rsidRPr="00902795">
        <w:rPr>
          <w:rFonts w:ascii="Palatino Linotype" w:hAnsi="Palatino Linotype" w:cs="Times New Roman"/>
          <w:i/>
        </w:rPr>
        <w:t>condición</w:t>
      </w:r>
      <w:r w:rsidRPr="00902795">
        <w:rPr>
          <w:rFonts w:ascii="Palatino Linotype" w:hAnsi="Palatino Linotype" w:cs="Times New Roman"/>
          <w:i/>
        </w:rPr>
        <w:t xml:space="preserve"> a los PUAE que hayan ingresado su solicitud de tratamiento antes de la </w:t>
      </w:r>
      <w:r w:rsidR="00592F91" w:rsidRPr="00902795">
        <w:rPr>
          <w:rFonts w:ascii="Palatino Linotype" w:hAnsi="Palatino Linotype" w:cs="Times New Roman"/>
          <w:i/>
        </w:rPr>
        <w:t>sanción</w:t>
      </w:r>
      <w:r w:rsidRPr="00902795">
        <w:rPr>
          <w:rFonts w:ascii="Palatino Linotype" w:hAnsi="Palatino Linotype" w:cs="Times New Roman"/>
          <w:i/>
        </w:rPr>
        <w:t xml:space="preserve"> de la Ordenanza Metropolitana No. 127</w:t>
      </w:r>
      <w:r w:rsidR="000D578C" w:rsidRPr="00694D76">
        <w:rPr>
          <w:rFonts w:ascii="Palatino Linotype" w:hAnsi="Palatino Linotype" w:cs="Times New Roman"/>
        </w:rPr>
        <w:t>”</w:t>
      </w:r>
      <w:r w:rsidR="00902795">
        <w:rPr>
          <w:rFonts w:ascii="Palatino Linotype" w:hAnsi="Palatino Linotype" w:cs="Times New Roman"/>
        </w:rPr>
        <w:t>;</w:t>
      </w:r>
    </w:p>
    <w:p w14:paraId="1CB8340C" w14:textId="77777777" w:rsidR="00902795" w:rsidRDefault="00766EE4" w:rsidP="00694D76">
      <w:pPr>
        <w:suppressAutoHyphens/>
        <w:spacing w:after="120"/>
        <w:ind w:left="567" w:hanging="567"/>
        <w:rPr>
          <w:rFonts w:ascii="Palatino Linotype" w:hAnsi="Palatino Linotype" w:cs="Times New Roman"/>
        </w:rPr>
      </w:pPr>
      <w:r w:rsidRPr="00902795">
        <w:rPr>
          <w:rFonts w:ascii="Palatino Linotype" w:hAnsi="Palatino Linotype" w:cs="Times New Roman"/>
          <w:b/>
        </w:rPr>
        <w:t>Que,</w:t>
      </w:r>
      <w:r w:rsidRPr="00694D76">
        <w:rPr>
          <w:rFonts w:ascii="Palatino Linotype" w:hAnsi="Palatino Linotype" w:cs="Times New Roman"/>
        </w:rPr>
        <w:tab/>
        <w:t>la Mesa Técnica conformada por los titulares de las Secretarías Generales de Planificación y Coordinación Territorial y Participación Ciudadana; Secretarías de Territorio, Hábitat y Vivienda, Ambiente, Desarrollo Productivo y Movilidad en base a la Resolución STHV-RT-011-2014 del 11 de julio de 2014, en sesión del</w:t>
      </w:r>
      <w:r w:rsidR="009E02B7" w:rsidRPr="00694D76">
        <w:rPr>
          <w:rFonts w:ascii="Palatino Linotype" w:hAnsi="Palatino Linotype" w:cs="Times New Roman"/>
        </w:rPr>
        <w:t xml:space="preserve"> 31 de julio de 2014, trató</w:t>
      </w:r>
      <w:r w:rsidRPr="00694D76">
        <w:rPr>
          <w:rFonts w:ascii="Palatino Linotype" w:hAnsi="Palatino Linotype" w:cs="Times New Roman"/>
        </w:rPr>
        <w:t xml:space="preserve"> el proyecto Hotel Holiday Inn Quito Airport, resolviendo determinar al Proyecto Urbanístico Arquitectónico Especial (PUAE) denominado Hotel Holiday Inn Quito </w:t>
      </w:r>
      <w:proofErr w:type="spellStart"/>
      <w:r w:rsidRPr="00694D76">
        <w:rPr>
          <w:rFonts w:ascii="Palatino Linotype" w:hAnsi="Palatino Linotype" w:cs="Times New Roman"/>
        </w:rPr>
        <w:t>Ai</w:t>
      </w:r>
      <w:r w:rsidR="00902795">
        <w:rPr>
          <w:rFonts w:ascii="Palatino Linotype" w:hAnsi="Palatino Linotype" w:cs="Times New Roman"/>
        </w:rPr>
        <w:t>rport</w:t>
      </w:r>
      <w:proofErr w:type="spellEnd"/>
      <w:r w:rsidR="00902795">
        <w:rPr>
          <w:rFonts w:ascii="Palatino Linotype" w:hAnsi="Palatino Linotype" w:cs="Times New Roman"/>
        </w:rPr>
        <w:t xml:space="preserve"> viable con observaciones;</w:t>
      </w:r>
    </w:p>
    <w:p w14:paraId="7C54B457" w14:textId="77777777" w:rsidR="00E12241" w:rsidRDefault="0003494D" w:rsidP="00E12241">
      <w:pPr>
        <w:suppressAutoHyphens/>
        <w:spacing w:after="120"/>
        <w:ind w:left="567" w:hanging="567"/>
        <w:rPr>
          <w:rFonts w:ascii="Palatino Linotype" w:hAnsi="Palatino Linotype" w:cs="Times New Roman"/>
        </w:rPr>
      </w:pPr>
      <w:r w:rsidRPr="00902795">
        <w:rPr>
          <w:rFonts w:ascii="Palatino Linotype" w:hAnsi="Palatino Linotype" w:cs="Times New Roman"/>
          <w:b/>
        </w:rPr>
        <w:lastRenderedPageBreak/>
        <w:t>Que,</w:t>
      </w:r>
      <w:r w:rsidR="004F2A6D" w:rsidRPr="00694D76">
        <w:rPr>
          <w:rFonts w:ascii="Palatino Linotype" w:hAnsi="Palatino Linotype" w:cs="Times New Roman"/>
        </w:rPr>
        <w:tab/>
      </w:r>
      <w:r w:rsidRPr="00694D76">
        <w:rPr>
          <w:rFonts w:ascii="Palatino Linotype" w:hAnsi="Palatino Linotype" w:cs="Times New Roman"/>
        </w:rPr>
        <w:t xml:space="preserve">los Promotores del Proyecto </w:t>
      </w:r>
      <w:r w:rsidR="00902795">
        <w:rPr>
          <w:rFonts w:ascii="Palatino Linotype" w:hAnsi="Palatino Linotype" w:cs="Times New Roman"/>
        </w:rPr>
        <w:t xml:space="preserve">Hotel </w:t>
      </w:r>
      <w:proofErr w:type="spellStart"/>
      <w:r w:rsidR="00902795">
        <w:rPr>
          <w:rFonts w:ascii="Palatino Linotype" w:hAnsi="Palatino Linotype" w:cs="Times New Roman"/>
        </w:rPr>
        <w:t>Holiday</w:t>
      </w:r>
      <w:proofErr w:type="spellEnd"/>
      <w:r w:rsidR="00902795">
        <w:rPr>
          <w:rFonts w:ascii="Palatino Linotype" w:hAnsi="Palatino Linotype" w:cs="Times New Roman"/>
        </w:rPr>
        <w:t xml:space="preserve"> </w:t>
      </w:r>
      <w:proofErr w:type="spellStart"/>
      <w:r w:rsidR="00902795">
        <w:rPr>
          <w:rFonts w:ascii="Palatino Linotype" w:hAnsi="Palatino Linotype" w:cs="Times New Roman"/>
        </w:rPr>
        <w:t>Inn</w:t>
      </w:r>
      <w:proofErr w:type="spellEnd"/>
      <w:r w:rsidR="00902795">
        <w:rPr>
          <w:rFonts w:ascii="Palatino Linotype" w:hAnsi="Palatino Linotype" w:cs="Times New Roman"/>
        </w:rPr>
        <w:t xml:space="preserve"> Quito </w:t>
      </w:r>
      <w:proofErr w:type="spellStart"/>
      <w:r w:rsidR="00902795">
        <w:rPr>
          <w:rFonts w:ascii="Palatino Linotype" w:hAnsi="Palatino Linotype" w:cs="Times New Roman"/>
        </w:rPr>
        <w:t>Airport</w:t>
      </w:r>
      <w:proofErr w:type="spellEnd"/>
      <w:r w:rsidRPr="00694D76">
        <w:rPr>
          <w:rFonts w:ascii="Palatino Linotype" w:hAnsi="Palatino Linotype" w:cs="Times New Roman"/>
        </w:rPr>
        <w:t xml:space="preserve"> incorporaron las observaciones realizadas por la Mesa Técnica PUAE del Municipio del Distrito Metropolitano de Quito, según lo expresado en el informe de la Secretaría de Territorio, Hábitat y Vivienda, contenido en Oficio No. STHV-3766 de fecha 8 de septiembre de 2014</w:t>
      </w:r>
      <w:r w:rsidR="00E12241">
        <w:rPr>
          <w:rFonts w:ascii="Palatino Linotype" w:hAnsi="Palatino Linotype" w:cs="Times New Roman"/>
        </w:rPr>
        <w:t xml:space="preserve"> y los requisitos establecidos </w:t>
      </w:r>
      <w:r w:rsidRPr="00694D76">
        <w:rPr>
          <w:rFonts w:ascii="Palatino Linotype" w:hAnsi="Palatino Linotype" w:cs="Times New Roman"/>
        </w:rPr>
        <w:t>en las Resoluciones STHV-RT No. 008 del 27 de diciembre de 2013 y STHV-RT-011-2014 del 11</w:t>
      </w:r>
      <w:r w:rsidR="00902795">
        <w:rPr>
          <w:rFonts w:ascii="Palatino Linotype" w:hAnsi="Palatino Linotype" w:cs="Times New Roman"/>
        </w:rPr>
        <w:t xml:space="preserve"> de julio de 2014;</w:t>
      </w:r>
    </w:p>
    <w:p w14:paraId="15280061" w14:textId="77777777" w:rsidR="00E12241" w:rsidRDefault="0043065C" w:rsidP="00E12241">
      <w:pPr>
        <w:suppressAutoHyphens/>
        <w:spacing w:after="120"/>
        <w:ind w:left="567" w:hanging="567"/>
        <w:rPr>
          <w:rFonts w:ascii="Palatino Linotype" w:hAnsi="Palatino Linotype" w:cs="Times New Roman"/>
        </w:rPr>
      </w:pPr>
      <w:r w:rsidRPr="00E12241">
        <w:rPr>
          <w:rFonts w:ascii="Palatino Linotype" w:hAnsi="Palatino Linotype" w:cs="Times New Roman"/>
          <w:b/>
        </w:rPr>
        <w:t>Que,</w:t>
      </w:r>
      <w:r w:rsidRPr="00E12241">
        <w:rPr>
          <w:rFonts w:ascii="Palatino Linotype" w:hAnsi="Palatino Linotype" w:cs="Times New Roman"/>
        </w:rPr>
        <w:tab/>
        <w:t xml:space="preserve">la Dirección General de Aviación Civil (DAG) mediante oficio No. DGCA-JX-2013-0792-O, emite el certificado de altura máxima permitida para el proyecto Hotel </w:t>
      </w:r>
      <w:proofErr w:type="spellStart"/>
      <w:r w:rsidRPr="00E12241">
        <w:rPr>
          <w:rFonts w:ascii="Palatino Linotype" w:hAnsi="Palatino Linotype" w:cs="Times New Roman"/>
        </w:rPr>
        <w:t>Holiday</w:t>
      </w:r>
      <w:proofErr w:type="spellEnd"/>
      <w:r w:rsidRPr="00E12241">
        <w:rPr>
          <w:rFonts w:ascii="Palatino Linotype" w:hAnsi="Palatino Linotype" w:cs="Times New Roman"/>
        </w:rPr>
        <w:t xml:space="preserve"> </w:t>
      </w:r>
      <w:proofErr w:type="spellStart"/>
      <w:r w:rsidR="00E12241" w:rsidRPr="00E12241">
        <w:rPr>
          <w:rFonts w:ascii="Palatino Linotype" w:hAnsi="Palatino Linotype" w:cs="Times New Roman"/>
        </w:rPr>
        <w:t>Inn</w:t>
      </w:r>
      <w:proofErr w:type="spellEnd"/>
      <w:r w:rsidR="00E12241" w:rsidRPr="00E12241">
        <w:rPr>
          <w:rFonts w:ascii="Palatino Linotype" w:hAnsi="Palatino Linotype" w:cs="Times New Roman"/>
        </w:rPr>
        <w:t>;</w:t>
      </w:r>
    </w:p>
    <w:p w14:paraId="44ABCD49" w14:textId="77777777" w:rsidR="00E12241" w:rsidRDefault="00B47282" w:rsidP="00E12241">
      <w:pPr>
        <w:suppressAutoHyphens/>
        <w:spacing w:after="120"/>
        <w:ind w:left="567" w:hanging="567"/>
        <w:rPr>
          <w:rFonts w:ascii="Palatino Linotype" w:hAnsi="Palatino Linotype" w:cs="Times New Roman"/>
        </w:rPr>
      </w:pPr>
      <w:r w:rsidRPr="00E12241">
        <w:rPr>
          <w:rFonts w:ascii="Palatino Linotype" w:hAnsi="Palatino Linotype" w:cs="Times New Roman"/>
          <w:b/>
        </w:rPr>
        <w:t>Que,</w:t>
      </w:r>
      <w:r w:rsidR="004F2A6D" w:rsidRPr="00694D76">
        <w:rPr>
          <w:rFonts w:ascii="Palatino Linotype" w:hAnsi="Palatino Linotype" w:cs="Times New Roman"/>
        </w:rPr>
        <w:tab/>
      </w:r>
      <w:r w:rsidRPr="00694D76">
        <w:rPr>
          <w:rFonts w:ascii="Palatino Linotype" w:hAnsi="Palatino Linotype" w:cs="Times New Roman"/>
        </w:rPr>
        <w:t xml:space="preserve">mediante </w:t>
      </w:r>
      <w:r w:rsidR="00BD2376" w:rsidRPr="00694D76">
        <w:rPr>
          <w:rFonts w:ascii="Palatino Linotype" w:hAnsi="Palatino Linotype" w:cs="Times New Roman"/>
        </w:rPr>
        <w:t>informe</w:t>
      </w:r>
      <w:r w:rsidR="00DE492B" w:rsidRPr="00694D76">
        <w:rPr>
          <w:rFonts w:ascii="Palatino Linotype" w:hAnsi="Palatino Linotype" w:cs="Times New Roman"/>
        </w:rPr>
        <w:t xml:space="preserve"> </w:t>
      </w:r>
      <w:r w:rsidRPr="00694D76">
        <w:rPr>
          <w:rFonts w:ascii="Palatino Linotype" w:hAnsi="Palatino Linotype" w:cs="Times New Roman"/>
        </w:rPr>
        <w:t xml:space="preserve">de la Secretaría de </w:t>
      </w:r>
      <w:r w:rsidR="008A14E1" w:rsidRPr="00694D76">
        <w:rPr>
          <w:rFonts w:ascii="Palatino Linotype" w:hAnsi="Palatino Linotype" w:cs="Times New Roman"/>
        </w:rPr>
        <w:t xml:space="preserve">Ambiente </w:t>
      </w:r>
      <w:r w:rsidRPr="00694D76">
        <w:rPr>
          <w:rFonts w:ascii="Palatino Linotype" w:hAnsi="Palatino Linotype" w:cs="Times New Roman"/>
        </w:rPr>
        <w:t xml:space="preserve">contenido en </w:t>
      </w:r>
      <w:r w:rsidR="00E12241">
        <w:rPr>
          <w:rFonts w:ascii="Palatino Linotype" w:hAnsi="Palatino Linotype" w:cs="Times New Roman"/>
        </w:rPr>
        <w:t>el</w:t>
      </w:r>
      <w:r w:rsidR="00DE492B" w:rsidRPr="00694D76">
        <w:rPr>
          <w:rFonts w:ascii="Palatino Linotype" w:hAnsi="Palatino Linotype" w:cs="Times New Roman"/>
        </w:rPr>
        <w:t xml:space="preserve"> oficio </w:t>
      </w:r>
      <w:r w:rsidRPr="00694D76">
        <w:rPr>
          <w:rFonts w:ascii="Palatino Linotype" w:hAnsi="Palatino Linotype" w:cs="Times New Roman"/>
        </w:rPr>
        <w:t xml:space="preserve">No. </w:t>
      </w:r>
      <w:r w:rsidR="008A14E1" w:rsidRPr="00694D76">
        <w:rPr>
          <w:rFonts w:ascii="Palatino Linotype" w:hAnsi="Palatino Linotype" w:cs="Times New Roman"/>
        </w:rPr>
        <w:t>SA-POL-FIS-2014-7300</w:t>
      </w:r>
      <w:r w:rsidR="00E12241">
        <w:rPr>
          <w:rFonts w:ascii="Palatino Linotype" w:hAnsi="Palatino Linotype" w:cs="Times New Roman"/>
        </w:rPr>
        <w:t>,</w:t>
      </w:r>
      <w:r w:rsidRPr="00694D76">
        <w:rPr>
          <w:rFonts w:ascii="Palatino Linotype" w:hAnsi="Palatino Linotype" w:cs="Times New Roman"/>
        </w:rPr>
        <w:t xml:space="preserve"> de fecha </w:t>
      </w:r>
      <w:r w:rsidR="008A14E1" w:rsidRPr="00694D76">
        <w:rPr>
          <w:rFonts w:ascii="Palatino Linotype" w:hAnsi="Palatino Linotype" w:cs="Times New Roman"/>
        </w:rPr>
        <w:t>18</w:t>
      </w:r>
      <w:r w:rsidRPr="00694D76">
        <w:rPr>
          <w:rFonts w:ascii="Palatino Linotype" w:hAnsi="Palatino Linotype" w:cs="Times New Roman"/>
        </w:rPr>
        <w:t xml:space="preserve"> de </w:t>
      </w:r>
      <w:r w:rsidR="008A14E1" w:rsidRPr="00694D76">
        <w:rPr>
          <w:rFonts w:ascii="Palatino Linotype" w:hAnsi="Palatino Linotype" w:cs="Times New Roman"/>
        </w:rPr>
        <w:t>diciembre de 2014</w:t>
      </w:r>
      <w:r w:rsidR="00DE492B" w:rsidRPr="00694D76">
        <w:rPr>
          <w:rFonts w:ascii="Palatino Linotype" w:hAnsi="Palatino Linotype" w:cs="Times New Roman"/>
        </w:rPr>
        <w:t xml:space="preserve">, </w:t>
      </w:r>
      <w:r w:rsidRPr="00694D76">
        <w:rPr>
          <w:rFonts w:ascii="Palatino Linotype" w:hAnsi="Palatino Linotype" w:cs="Times New Roman"/>
        </w:rPr>
        <w:t xml:space="preserve">se </w:t>
      </w:r>
      <w:r w:rsidR="00A53CBC" w:rsidRPr="00694D76">
        <w:rPr>
          <w:rFonts w:ascii="Palatino Linotype" w:hAnsi="Palatino Linotype" w:cs="Times New Roman"/>
        </w:rPr>
        <w:t>establece</w:t>
      </w:r>
      <w:r w:rsidR="008A14E1" w:rsidRPr="00694D76">
        <w:rPr>
          <w:rFonts w:ascii="Palatino Linotype" w:hAnsi="Palatino Linotype" w:cs="Times New Roman"/>
        </w:rPr>
        <w:t xml:space="preserve"> que el proyecto Hotel Holiday Inn Quito Airport cumple con los criterios de evaluación ambiental para proceder</w:t>
      </w:r>
      <w:r w:rsidR="00FD212F" w:rsidRPr="00694D76">
        <w:rPr>
          <w:rFonts w:ascii="Palatino Linotype" w:hAnsi="Palatino Linotype" w:cs="Times New Roman"/>
        </w:rPr>
        <w:t xml:space="preserve"> con la propuesta de ordenanza</w:t>
      </w:r>
      <w:r w:rsidR="00E12241">
        <w:rPr>
          <w:rFonts w:ascii="Palatino Linotype" w:hAnsi="Palatino Linotype" w:cs="Times New Roman"/>
        </w:rPr>
        <w:t>;</w:t>
      </w:r>
    </w:p>
    <w:p w14:paraId="50A67DF4" w14:textId="77777777" w:rsidR="00E12241" w:rsidRDefault="0003494D" w:rsidP="00E12241">
      <w:pPr>
        <w:suppressAutoHyphens/>
        <w:spacing w:after="120"/>
        <w:ind w:left="567" w:hanging="567"/>
        <w:rPr>
          <w:rFonts w:ascii="Palatino Linotype" w:hAnsi="Palatino Linotype" w:cs="Times New Roman"/>
        </w:rPr>
      </w:pPr>
      <w:r w:rsidRPr="00E12241">
        <w:rPr>
          <w:rFonts w:ascii="Palatino Linotype" w:hAnsi="Palatino Linotype" w:cs="Times New Roman"/>
          <w:b/>
        </w:rPr>
        <w:t>Que,</w:t>
      </w:r>
      <w:r w:rsidR="004F2A6D" w:rsidRPr="00E12241">
        <w:rPr>
          <w:rFonts w:ascii="Palatino Linotype" w:hAnsi="Palatino Linotype" w:cs="Times New Roman"/>
          <w:b/>
        </w:rPr>
        <w:tab/>
      </w:r>
      <w:r w:rsidRPr="00694D76">
        <w:rPr>
          <w:rFonts w:ascii="Palatino Linotype" w:hAnsi="Palatino Linotype" w:cs="Times New Roman"/>
        </w:rPr>
        <w:t xml:space="preserve">mediante </w:t>
      </w:r>
      <w:r w:rsidR="00DE492B" w:rsidRPr="00694D76">
        <w:rPr>
          <w:rFonts w:ascii="Palatino Linotype" w:hAnsi="Palatino Linotype" w:cs="Times New Roman"/>
        </w:rPr>
        <w:t xml:space="preserve">informes </w:t>
      </w:r>
      <w:r w:rsidRPr="00694D76">
        <w:rPr>
          <w:rFonts w:ascii="Palatino Linotype" w:hAnsi="Palatino Linotype" w:cs="Times New Roman"/>
        </w:rPr>
        <w:t>de la Secretaría de Movilidad No. SM-180/2015 contenido</w:t>
      </w:r>
      <w:r w:rsidR="00DE492B" w:rsidRPr="00694D76">
        <w:rPr>
          <w:rFonts w:ascii="Palatino Linotype" w:hAnsi="Palatino Linotype" w:cs="Times New Roman"/>
        </w:rPr>
        <w:t>s</w:t>
      </w:r>
      <w:r w:rsidRPr="00694D76">
        <w:rPr>
          <w:rFonts w:ascii="Palatino Linotype" w:hAnsi="Palatino Linotype" w:cs="Times New Roman"/>
        </w:rPr>
        <w:t xml:space="preserve"> en </w:t>
      </w:r>
      <w:r w:rsidR="00DE492B" w:rsidRPr="00694D76">
        <w:rPr>
          <w:rFonts w:ascii="Palatino Linotype" w:hAnsi="Palatino Linotype" w:cs="Times New Roman"/>
        </w:rPr>
        <w:t xml:space="preserve">los oficios </w:t>
      </w:r>
      <w:r w:rsidRPr="00694D76">
        <w:rPr>
          <w:rFonts w:ascii="Palatino Linotype" w:hAnsi="Palatino Linotype" w:cs="Times New Roman"/>
        </w:rPr>
        <w:t>No. SM 1982</w:t>
      </w:r>
      <w:r w:rsidR="00E12241">
        <w:rPr>
          <w:rFonts w:ascii="Palatino Linotype" w:hAnsi="Palatino Linotype" w:cs="Times New Roman"/>
        </w:rPr>
        <w:t>,</w:t>
      </w:r>
      <w:r w:rsidRPr="00694D76">
        <w:rPr>
          <w:rFonts w:ascii="Palatino Linotype" w:hAnsi="Palatino Linotype" w:cs="Times New Roman"/>
        </w:rPr>
        <w:t xml:space="preserve"> de fecha 29 de julio de 2015</w:t>
      </w:r>
      <w:r w:rsidR="00E12241">
        <w:rPr>
          <w:rFonts w:ascii="Palatino Linotype" w:hAnsi="Palatino Linotype" w:cs="Times New Roman"/>
        </w:rPr>
        <w:t>;</w:t>
      </w:r>
      <w:r w:rsidR="00DE492B" w:rsidRPr="00694D76">
        <w:rPr>
          <w:rFonts w:ascii="Palatino Linotype" w:hAnsi="Palatino Linotype" w:cs="Times New Roman"/>
        </w:rPr>
        <w:t xml:space="preserve"> y</w:t>
      </w:r>
      <w:r w:rsidR="00E12241">
        <w:rPr>
          <w:rFonts w:ascii="Palatino Linotype" w:hAnsi="Palatino Linotype" w:cs="Times New Roman"/>
        </w:rPr>
        <w:t>,</w:t>
      </w:r>
      <w:r w:rsidR="00DE492B" w:rsidRPr="00694D76">
        <w:rPr>
          <w:rFonts w:ascii="Palatino Linotype" w:hAnsi="Palatino Linotype" w:cs="Times New Roman"/>
        </w:rPr>
        <w:t xml:space="preserve"> No. SM-</w:t>
      </w:r>
      <w:r w:rsidR="00B82B05" w:rsidRPr="00694D76">
        <w:rPr>
          <w:rFonts w:ascii="Palatino Linotype" w:hAnsi="Palatino Linotype" w:cs="Times New Roman"/>
        </w:rPr>
        <w:t>DPPM-013/2018189/2018</w:t>
      </w:r>
      <w:r w:rsidR="00E12241">
        <w:rPr>
          <w:rFonts w:ascii="Palatino Linotype" w:hAnsi="Palatino Linotype" w:cs="Times New Roman"/>
        </w:rPr>
        <w:t>,</w:t>
      </w:r>
      <w:r w:rsidR="00DE492B" w:rsidRPr="00694D76">
        <w:rPr>
          <w:rFonts w:ascii="Palatino Linotype" w:hAnsi="Palatino Linotype" w:cs="Times New Roman"/>
        </w:rPr>
        <w:t xml:space="preserve"> c</w:t>
      </w:r>
      <w:r w:rsidR="00B82B05" w:rsidRPr="00694D76">
        <w:rPr>
          <w:rFonts w:ascii="Palatino Linotype" w:hAnsi="Palatino Linotype" w:cs="Times New Roman"/>
        </w:rPr>
        <w:t>ontenido en el Oficio No. SM 189-2018 de fecha 2 de febrero</w:t>
      </w:r>
      <w:r w:rsidR="00DE492B" w:rsidRPr="00694D76">
        <w:rPr>
          <w:rFonts w:ascii="Palatino Linotype" w:hAnsi="Palatino Linotype" w:cs="Times New Roman"/>
        </w:rPr>
        <w:t xml:space="preserve"> de 201</w:t>
      </w:r>
      <w:r w:rsidR="00B82B05" w:rsidRPr="00694D76">
        <w:rPr>
          <w:rFonts w:ascii="Palatino Linotype" w:hAnsi="Palatino Linotype" w:cs="Times New Roman"/>
        </w:rPr>
        <w:t>8</w:t>
      </w:r>
      <w:r w:rsidRPr="00694D76">
        <w:rPr>
          <w:rFonts w:ascii="Palatino Linotype" w:hAnsi="Palatino Linotype" w:cs="Times New Roman"/>
        </w:rPr>
        <w:t xml:space="preserve">, se emite criterio favorable al estudio de impacto de tráfico y propuesta de mitigación del Proyecto </w:t>
      </w:r>
      <w:r w:rsidR="00E12241">
        <w:rPr>
          <w:rFonts w:ascii="Palatino Linotype" w:hAnsi="Palatino Linotype" w:cs="Times New Roman"/>
        </w:rPr>
        <w:t xml:space="preserve">Hotel </w:t>
      </w:r>
      <w:proofErr w:type="spellStart"/>
      <w:r w:rsidR="00E12241">
        <w:rPr>
          <w:rFonts w:ascii="Palatino Linotype" w:hAnsi="Palatino Linotype" w:cs="Times New Roman"/>
        </w:rPr>
        <w:t>Holiday</w:t>
      </w:r>
      <w:proofErr w:type="spellEnd"/>
      <w:r w:rsidR="00E12241">
        <w:rPr>
          <w:rFonts w:ascii="Palatino Linotype" w:hAnsi="Palatino Linotype" w:cs="Times New Roman"/>
        </w:rPr>
        <w:t xml:space="preserve"> </w:t>
      </w:r>
      <w:proofErr w:type="spellStart"/>
      <w:r w:rsidR="00E12241">
        <w:rPr>
          <w:rFonts w:ascii="Palatino Linotype" w:hAnsi="Palatino Linotype" w:cs="Times New Roman"/>
        </w:rPr>
        <w:t>Inn</w:t>
      </w:r>
      <w:proofErr w:type="spellEnd"/>
      <w:r w:rsidR="00E12241">
        <w:rPr>
          <w:rFonts w:ascii="Palatino Linotype" w:hAnsi="Palatino Linotype" w:cs="Times New Roman"/>
        </w:rPr>
        <w:t xml:space="preserve"> Quito </w:t>
      </w:r>
      <w:proofErr w:type="spellStart"/>
      <w:r w:rsidR="00E12241">
        <w:rPr>
          <w:rFonts w:ascii="Palatino Linotype" w:hAnsi="Palatino Linotype" w:cs="Times New Roman"/>
        </w:rPr>
        <w:t>Airport</w:t>
      </w:r>
      <w:proofErr w:type="spellEnd"/>
      <w:r w:rsidR="00E12241">
        <w:rPr>
          <w:rFonts w:ascii="Palatino Linotype" w:hAnsi="Palatino Linotype" w:cs="Times New Roman"/>
        </w:rPr>
        <w:t>;</w:t>
      </w:r>
    </w:p>
    <w:p w14:paraId="10857DFB" w14:textId="77777777" w:rsidR="00E12241" w:rsidRDefault="0075322A" w:rsidP="00E12241">
      <w:pPr>
        <w:suppressAutoHyphens/>
        <w:spacing w:after="120"/>
        <w:ind w:left="567" w:hanging="567"/>
        <w:rPr>
          <w:rFonts w:ascii="Palatino Linotype" w:hAnsi="Palatino Linotype" w:cs="Times New Roman"/>
        </w:rPr>
      </w:pPr>
      <w:r w:rsidRPr="00E12241">
        <w:rPr>
          <w:rFonts w:ascii="Palatino Linotype" w:hAnsi="Palatino Linotype" w:cs="Times New Roman"/>
          <w:b/>
        </w:rPr>
        <w:t xml:space="preserve">Que, </w:t>
      </w:r>
      <w:r w:rsidRPr="00694D76">
        <w:rPr>
          <w:rFonts w:ascii="Palatino Linotype" w:hAnsi="Palatino Linotype" w:cs="Times New Roman"/>
        </w:rPr>
        <w:tab/>
        <w:t xml:space="preserve">mediante </w:t>
      </w:r>
      <w:r w:rsidR="00504D2C" w:rsidRPr="00694D76">
        <w:rPr>
          <w:rFonts w:ascii="Palatino Linotype" w:hAnsi="Palatino Linotype" w:cs="Times New Roman"/>
        </w:rPr>
        <w:t>oficio No. SM-974</w:t>
      </w:r>
      <w:r w:rsidRPr="00694D76">
        <w:rPr>
          <w:rFonts w:ascii="Palatino Linotype" w:hAnsi="Palatino Linotype" w:cs="Times New Roman"/>
        </w:rPr>
        <w:t>-2018 del 5 de junio de 2018</w:t>
      </w:r>
      <w:r w:rsidR="00E12241">
        <w:rPr>
          <w:rFonts w:ascii="Palatino Linotype" w:hAnsi="Palatino Linotype" w:cs="Times New Roman"/>
        </w:rPr>
        <w:t>,</w:t>
      </w:r>
      <w:r w:rsidRPr="00694D76">
        <w:rPr>
          <w:rFonts w:ascii="Palatino Linotype" w:hAnsi="Palatino Linotype" w:cs="Times New Roman"/>
        </w:rPr>
        <w:t xml:space="preserve"> la Secretaría de Movilidad, se ratifica en la</w:t>
      </w:r>
      <w:r w:rsidR="00E12241">
        <w:rPr>
          <w:rFonts w:ascii="Palatino Linotype" w:hAnsi="Palatino Linotype" w:cs="Times New Roman"/>
        </w:rPr>
        <w:t>s</w:t>
      </w:r>
      <w:r w:rsidRPr="00694D76">
        <w:rPr>
          <w:rFonts w:ascii="Palatino Linotype" w:hAnsi="Palatino Linotype" w:cs="Times New Roman"/>
        </w:rPr>
        <w:t xml:space="preserve"> medidas de mitigación al im</w:t>
      </w:r>
      <w:r w:rsidR="00E555CA" w:rsidRPr="00694D76">
        <w:rPr>
          <w:rFonts w:ascii="Palatino Linotype" w:hAnsi="Palatino Linotype" w:cs="Times New Roman"/>
        </w:rPr>
        <w:t>pacto a l</w:t>
      </w:r>
      <w:r w:rsidRPr="00694D76">
        <w:rPr>
          <w:rFonts w:ascii="Palatino Linotype" w:hAnsi="Palatino Linotype" w:cs="Times New Roman"/>
        </w:rPr>
        <w:t>a</w:t>
      </w:r>
      <w:r w:rsidR="00E555CA" w:rsidRPr="00694D76">
        <w:rPr>
          <w:rFonts w:ascii="Palatino Linotype" w:hAnsi="Palatino Linotype" w:cs="Times New Roman"/>
        </w:rPr>
        <w:t xml:space="preserve"> movilidad</w:t>
      </w:r>
      <w:r w:rsidRPr="00694D76">
        <w:rPr>
          <w:rFonts w:ascii="Palatino Linotype" w:hAnsi="Palatino Linotype" w:cs="Times New Roman"/>
        </w:rPr>
        <w:t xml:space="preserve"> qu</w:t>
      </w:r>
      <w:r w:rsidR="00E555CA" w:rsidRPr="00694D76">
        <w:rPr>
          <w:rFonts w:ascii="Palatino Linotype" w:hAnsi="Palatino Linotype" w:cs="Times New Roman"/>
        </w:rPr>
        <w:t>e tiene que generar el proyecto, exceptuando de estas la ampliación de la calle Cotopaxi, en razón de que los impactos de tráfico generados por el proyecto, no justifican por sí solos la realización d</w:t>
      </w:r>
      <w:r w:rsidR="00E12241">
        <w:rPr>
          <w:rFonts w:ascii="Palatino Linotype" w:hAnsi="Palatino Linotype" w:cs="Times New Roman"/>
        </w:rPr>
        <w:t>e dicha infraestructura vial;</w:t>
      </w:r>
    </w:p>
    <w:p w14:paraId="4F8DB45E" w14:textId="77777777" w:rsidR="00E12241" w:rsidRDefault="00395BB8" w:rsidP="00E12241">
      <w:pPr>
        <w:suppressAutoHyphens/>
        <w:spacing w:after="120"/>
        <w:ind w:left="567" w:hanging="567"/>
        <w:rPr>
          <w:rFonts w:ascii="Palatino Linotype" w:hAnsi="Palatino Linotype" w:cs="Times New Roman"/>
        </w:rPr>
      </w:pPr>
      <w:r w:rsidRPr="00E12241">
        <w:rPr>
          <w:rFonts w:ascii="Palatino Linotype" w:hAnsi="Palatino Linotype" w:cs="Times New Roman"/>
          <w:b/>
        </w:rPr>
        <w:t>Que,</w:t>
      </w:r>
      <w:r w:rsidRPr="00694D76">
        <w:rPr>
          <w:rFonts w:ascii="Palatino Linotype" w:hAnsi="Palatino Linotype" w:cs="Times New Roman"/>
        </w:rPr>
        <w:t xml:space="preserve"> </w:t>
      </w:r>
      <w:r w:rsidRPr="00694D76">
        <w:rPr>
          <w:rFonts w:ascii="Palatino Linotype" w:hAnsi="Palatino Linotype" w:cs="Times New Roman"/>
        </w:rPr>
        <w:tab/>
        <w:t>mediante oficio S/N del 4 de enero de 2018 el Ing. Mario Vera, en su calidad de Gerente de Proyectos, remite a la Secretaría de Territorio, Hábitat y Vivienda mediante G</w:t>
      </w:r>
      <w:r w:rsidR="00E12241">
        <w:rPr>
          <w:rFonts w:ascii="Palatino Linotype" w:hAnsi="Palatino Linotype" w:cs="Times New Roman"/>
        </w:rPr>
        <w:t>DOC</w:t>
      </w:r>
      <w:r w:rsidRPr="00694D76">
        <w:rPr>
          <w:rFonts w:ascii="Palatino Linotype" w:hAnsi="Palatino Linotype" w:cs="Times New Roman"/>
        </w:rPr>
        <w:t xml:space="preserve"> No. 2017-013875, el formulario declarativo para el cálculo de la Concesión Onerosa de Derechos del proyecto Hotel </w:t>
      </w:r>
      <w:proofErr w:type="spellStart"/>
      <w:r w:rsidRPr="00694D76">
        <w:rPr>
          <w:rFonts w:ascii="Palatino Linotype" w:hAnsi="Palatino Linotype" w:cs="Times New Roman"/>
        </w:rPr>
        <w:t>Holiday</w:t>
      </w:r>
      <w:proofErr w:type="spellEnd"/>
      <w:r w:rsidRPr="00694D76">
        <w:rPr>
          <w:rFonts w:ascii="Palatino Linotype" w:hAnsi="Palatino Linotype" w:cs="Times New Roman"/>
        </w:rPr>
        <w:t xml:space="preserve"> </w:t>
      </w:r>
      <w:proofErr w:type="spellStart"/>
      <w:r w:rsidRPr="00694D76">
        <w:rPr>
          <w:rFonts w:ascii="Palatino Linotype" w:hAnsi="Palatino Linotype" w:cs="Times New Roman"/>
        </w:rPr>
        <w:t>Inn</w:t>
      </w:r>
      <w:proofErr w:type="spellEnd"/>
      <w:r w:rsidRPr="00694D76">
        <w:rPr>
          <w:rFonts w:ascii="Palatino Linotype" w:hAnsi="Palatino Linotype" w:cs="Times New Roman"/>
        </w:rPr>
        <w:t xml:space="preserve"> Quito </w:t>
      </w:r>
      <w:proofErr w:type="spellStart"/>
      <w:r w:rsidRPr="00694D76">
        <w:rPr>
          <w:rFonts w:ascii="Palatino Linotype" w:hAnsi="Palatino Linotype" w:cs="Times New Roman"/>
        </w:rPr>
        <w:t>Airport</w:t>
      </w:r>
      <w:proofErr w:type="spellEnd"/>
      <w:r w:rsidR="00E12241">
        <w:rPr>
          <w:rFonts w:ascii="Palatino Linotype" w:hAnsi="Palatino Linotype" w:cs="Times New Roman"/>
        </w:rPr>
        <w:t>;</w:t>
      </w:r>
    </w:p>
    <w:p w14:paraId="489A66A9" w14:textId="77777777" w:rsidR="00E12241" w:rsidRDefault="00145103" w:rsidP="00E12241">
      <w:pPr>
        <w:suppressAutoHyphens/>
        <w:spacing w:after="120"/>
        <w:ind w:left="567" w:hanging="567"/>
        <w:rPr>
          <w:rFonts w:ascii="Palatino Linotype" w:hAnsi="Palatino Linotype" w:cs="Times New Roman"/>
        </w:rPr>
      </w:pPr>
      <w:r w:rsidRPr="00E12241">
        <w:rPr>
          <w:rFonts w:ascii="Palatino Linotype" w:hAnsi="Palatino Linotype" w:cs="Times New Roman"/>
          <w:b/>
        </w:rPr>
        <w:t xml:space="preserve">Que, </w:t>
      </w:r>
      <w:r w:rsidRPr="00694D76">
        <w:rPr>
          <w:rFonts w:ascii="Palatino Linotype" w:hAnsi="Palatino Linotype" w:cs="Times New Roman"/>
        </w:rPr>
        <w:tab/>
        <w:t xml:space="preserve">la propuesta de pago en </w:t>
      </w:r>
      <w:r w:rsidR="00F912F1" w:rsidRPr="00694D76">
        <w:rPr>
          <w:rFonts w:ascii="Palatino Linotype" w:hAnsi="Palatino Linotype" w:cs="Times New Roman"/>
        </w:rPr>
        <w:t>especie</w:t>
      </w:r>
      <w:r w:rsidRPr="00694D76">
        <w:rPr>
          <w:rFonts w:ascii="Palatino Linotype" w:hAnsi="Palatino Linotype" w:cs="Times New Roman"/>
        </w:rPr>
        <w:t xml:space="preserve"> por Concepto de Concesión Onerosa de Derechos por Edificabilidad, se enmarca en lo establecido en la Ordenanza Metropolitana No.</w:t>
      </w:r>
      <w:r w:rsidR="00E12241">
        <w:rPr>
          <w:rFonts w:ascii="Palatino Linotype" w:hAnsi="Palatino Linotype" w:cs="Times New Roman"/>
        </w:rPr>
        <w:t xml:space="preserve"> </w:t>
      </w:r>
      <w:r w:rsidRPr="00694D76">
        <w:rPr>
          <w:rFonts w:ascii="Palatino Linotype" w:hAnsi="Palatino Linotype" w:cs="Times New Roman"/>
        </w:rPr>
        <w:t>183</w:t>
      </w:r>
      <w:r w:rsidR="00E12241">
        <w:rPr>
          <w:rFonts w:ascii="Palatino Linotype" w:hAnsi="Palatino Linotype" w:cs="Times New Roman"/>
        </w:rPr>
        <w:t>;</w:t>
      </w:r>
    </w:p>
    <w:p w14:paraId="1975D226" w14:textId="77777777" w:rsidR="00E85F30" w:rsidRDefault="00C621C1" w:rsidP="00E85F30">
      <w:pPr>
        <w:suppressAutoHyphens/>
        <w:spacing w:after="120"/>
        <w:ind w:left="567" w:hanging="567"/>
        <w:rPr>
          <w:rFonts w:ascii="Palatino Linotype" w:hAnsi="Palatino Linotype"/>
          <w:lang w:val="es-EC"/>
        </w:rPr>
      </w:pPr>
      <w:r w:rsidRPr="00E12241">
        <w:rPr>
          <w:rFonts w:ascii="Palatino Linotype" w:hAnsi="Palatino Linotype" w:cs="Times New Roman"/>
          <w:b/>
        </w:rPr>
        <w:t xml:space="preserve">Que, </w:t>
      </w:r>
      <w:r w:rsidRPr="00E12241">
        <w:rPr>
          <w:rFonts w:ascii="Palatino Linotype" w:hAnsi="Palatino Linotype" w:cs="Times New Roman"/>
        </w:rPr>
        <w:tab/>
        <w:t>e</w:t>
      </w:r>
      <w:r w:rsidRPr="00E12241">
        <w:rPr>
          <w:rFonts w:ascii="Palatino Linotype" w:hAnsi="Palatino Linotype"/>
          <w:lang w:val="es-EC"/>
        </w:rPr>
        <w:t xml:space="preserve">n base al literal b) del artículo 14 de la Ordenanza Metropolitana No. 183 que regula la Concesión Onerosa de Derechos en Proyectos Urbanísticos Arquitectónicos Especiales, las obras imputables al pago de la concesión onerosa conllevan un beneficio urbano, ambiental, social, económico o de movilidad cuyo alcance es mayor al del PUAE y contribuyen a disminuir los déficits prioritarios de la ciudad o a mejorar las condiciones urbanísticas del entorno o </w:t>
      </w:r>
      <w:r w:rsidR="00E12241" w:rsidRPr="00E12241">
        <w:rPr>
          <w:rFonts w:ascii="Palatino Linotype" w:hAnsi="Palatino Linotype"/>
          <w:lang w:val="es-EC"/>
        </w:rPr>
        <w:t>sector de implantación del PUAE;</w:t>
      </w:r>
    </w:p>
    <w:p w14:paraId="50F83531" w14:textId="77777777" w:rsidR="00E85F30" w:rsidRDefault="000F1299"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lastRenderedPageBreak/>
        <w:t>Que,</w:t>
      </w:r>
      <w:r w:rsidRPr="00694D76">
        <w:rPr>
          <w:rFonts w:ascii="Palatino Linotype" w:hAnsi="Palatino Linotype" w:cs="Times New Roman"/>
        </w:rPr>
        <w:t xml:space="preserve"> </w:t>
      </w:r>
      <w:r w:rsidR="00E85F30">
        <w:rPr>
          <w:rFonts w:ascii="Palatino Linotype" w:hAnsi="Palatino Linotype" w:cs="Times New Roman"/>
        </w:rPr>
        <w:tab/>
      </w:r>
      <w:r w:rsidRPr="00694D76">
        <w:rPr>
          <w:rFonts w:ascii="Palatino Linotype" w:hAnsi="Palatino Linotype" w:cs="Times New Roman"/>
        </w:rPr>
        <w:t xml:space="preserve">es </w:t>
      </w:r>
      <w:r w:rsidR="0075322A" w:rsidRPr="00694D76">
        <w:rPr>
          <w:rFonts w:ascii="Palatino Linotype" w:hAnsi="Palatino Linotype" w:cs="Times New Roman"/>
        </w:rPr>
        <w:t xml:space="preserve">necesaria </w:t>
      </w:r>
      <w:r w:rsidRPr="00694D76">
        <w:rPr>
          <w:rFonts w:ascii="Palatino Linotype" w:hAnsi="Palatino Linotype" w:cs="Times New Roman"/>
        </w:rPr>
        <w:t>la ampliación de la vía Cotopaxi a una sección de 26 m, para genera</w:t>
      </w:r>
      <w:r w:rsidR="00F912F1" w:rsidRPr="00694D76">
        <w:rPr>
          <w:rFonts w:ascii="Palatino Linotype" w:hAnsi="Palatino Linotype" w:cs="Times New Roman"/>
        </w:rPr>
        <w:t>r</w:t>
      </w:r>
      <w:r w:rsidRPr="00694D76">
        <w:rPr>
          <w:rFonts w:ascii="Palatino Linotype" w:hAnsi="Palatino Linotype" w:cs="Times New Roman"/>
        </w:rPr>
        <w:t xml:space="preserve"> un acceso adecuado a la Zona Es</w:t>
      </w:r>
      <w:r w:rsidR="00E85F30">
        <w:rPr>
          <w:rFonts w:ascii="Palatino Linotype" w:hAnsi="Palatino Linotype" w:cs="Times New Roman"/>
        </w:rPr>
        <w:t xml:space="preserve">pecial de Desarrollo Económico </w:t>
      </w:r>
      <w:r w:rsidRPr="00694D76">
        <w:rPr>
          <w:rFonts w:ascii="Palatino Linotype" w:hAnsi="Palatino Linotype" w:cs="Times New Roman"/>
        </w:rPr>
        <w:t xml:space="preserve">(ZEDE) </w:t>
      </w:r>
      <w:r w:rsidR="008C6B7A" w:rsidRPr="00694D76">
        <w:rPr>
          <w:rFonts w:ascii="Palatino Linotype" w:hAnsi="Palatino Linotype" w:cs="Times New Roman"/>
        </w:rPr>
        <w:t xml:space="preserve">y para la </w:t>
      </w:r>
      <w:r w:rsidR="000C6965" w:rsidRPr="00694D76">
        <w:rPr>
          <w:rFonts w:ascii="Palatino Linotype" w:hAnsi="Palatino Linotype" w:cs="Times New Roman"/>
        </w:rPr>
        <w:t xml:space="preserve">consolidar </w:t>
      </w:r>
      <w:r w:rsidR="008C6B7A" w:rsidRPr="00694D76">
        <w:rPr>
          <w:rFonts w:ascii="Palatino Linotype" w:hAnsi="Palatino Linotype" w:cs="Times New Roman"/>
        </w:rPr>
        <w:t xml:space="preserve">la estructura urbana de la meseta </w:t>
      </w:r>
      <w:r w:rsidR="000C6965" w:rsidRPr="00694D76">
        <w:rPr>
          <w:rFonts w:ascii="Palatino Linotype" w:hAnsi="Palatino Linotype" w:cs="Times New Roman"/>
        </w:rPr>
        <w:t>sur</w:t>
      </w:r>
      <w:r w:rsidR="008C6B7A" w:rsidRPr="00694D76">
        <w:rPr>
          <w:rFonts w:ascii="Palatino Linotype" w:hAnsi="Palatino Linotype" w:cs="Times New Roman"/>
        </w:rPr>
        <w:t xml:space="preserve">oriental de Tababela, concebida </w:t>
      </w:r>
      <w:r w:rsidR="000C6965" w:rsidRPr="00694D76">
        <w:rPr>
          <w:rFonts w:ascii="Palatino Linotype" w:hAnsi="Palatino Linotype" w:cs="Times New Roman"/>
        </w:rPr>
        <w:t xml:space="preserve">en el PMDOT 2015-2025 como una centralidad </w:t>
      </w:r>
      <w:proofErr w:type="spellStart"/>
      <w:r w:rsidR="000C6965" w:rsidRPr="00694D76">
        <w:rPr>
          <w:rFonts w:ascii="Palatino Linotype" w:hAnsi="Palatino Linotype" w:cs="Times New Roman"/>
        </w:rPr>
        <w:t>atractora</w:t>
      </w:r>
      <w:proofErr w:type="spellEnd"/>
      <w:r w:rsidR="000C6965" w:rsidRPr="00694D76">
        <w:rPr>
          <w:rFonts w:ascii="Palatino Linotype" w:hAnsi="Palatino Linotype" w:cs="Times New Roman"/>
        </w:rPr>
        <w:t xml:space="preserve"> y logística de escalas global y metropolitanas respectivamente</w:t>
      </w:r>
      <w:r w:rsidR="00E85F30">
        <w:rPr>
          <w:rFonts w:ascii="Palatino Linotype" w:hAnsi="Palatino Linotype" w:cs="Times New Roman"/>
        </w:rPr>
        <w:t>;</w:t>
      </w:r>
    </w:p>
    <w:p w14:paraId="0FBE330D" w14:textId="77777777" w:rsidR="00E85F30" w:rsidRDefault="00CF233E"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Pr="00694D76">
        <w:rPr>
          <w:rFonts w:ascii="Palatino Linotype" w:hAnsi="Palatino Linotype" w:cs="Times New Roman"/>
        </w:rPr>
        <w:tab/>
        <w:t xml:space="preserve">mediante oficio No. STHV- </w:t>
      </w:r>
      <w:r w:rsidR="00196F8E" w:rsidRPr="00694D76">
        <w:rPr>
          <w:rFonts w:ascii="Palatino Linotype" w:hAnsi="Palatino Linotype" w:cs="Times New Roman"/>
        </w:rPr>
        <w:t>DMPPS-131</w:t>
      </w:r>
      <w:r w:rsidR="00E85F30">
        <w:rPr>
          <w:rFonts w:ascii="Palatino Linotype" w:hAnsi="Palatino Linotype" w:cs="Times New Roman"/>
        </w:rPr>
        <w:t>,</w:t>
      </w:r>
      <w:r w:rsidRPr="00694D76">
        <w:rPr>
          <w:rFonts w:ascii="Palatino Linotype" w:hAnsi="Palatino Linotype" w:cs="Times New Roman"/>
        </w:rPr>
        <w:t xml:space="preserve"> de</w:t>
      </w:r>
      <w:r w:rsidR="00A3723C" w:rsidRPr="00694D76">
        <w:rPr>
          <w:rFonts w:ascii="Palatino Linotype" w:hAnsi="Palatino Linotype" w:cs="Times New Roman"/>
        </w:rPr>
        <w:t xml:space="preserve"> </w:t>
      </w:r>
      <w:r w:rsidR="00196F8E" w:rsidRPr="00694D76">
        <w:rPr>
          <w:rFonts w:ascii="Palatino Linotype" w:hAnsi="Palatino Linotype" w:cs="Times New Roman"/>
        </w:rPr>
        <w:t>9</w:t>
      </w:r>
      <w:r w:rsidR="00A3723C" w:rsidRPr="00694D76">
        <w:rPr>
          <w:rFonts w:ascii="Palatino Linotype" w:hAnsi="Palatino Linotype" w:cs="Times New Roman"/>
        </w:rPr>
        <w:t xml:space="preserve"> de </w:t>
      </w:r>
      <w:r w:rsidR="00196F8E" w:rsidRPr="00694D76">
        <w:rPr>
          <w:rFonts w:ascii="Palatino Linotype" w:hAnsi="Palatino Linotype" w:cs="Times New Roman"/>
        </w:rPr>
        <w:t>enero</w:t>
      </w:r>
      <w:r w:rsidR="00DE492B" w:rsidRPr="00694D76">
        <w:rPr>
          <w:rFonts w:ascii="Palatino Linotype" w:hAnsi="Palatino Linotype" w:cs="Times New Roman"/>
        </w:rPr>
        <w:t xml:space="preserve"> </w:t>
      </w:r>
      <w:r w:rsidR="00A3723C" w:rsidRPr="00694D76">
        <w:rPr>
          <w:rFonts w:ascii="Palatino Linotype" w:hAnsi="Palatino Linotype" w:cs="Times New Roman"/>
        </w:rPr>
        <w:t xml:space="preserve">de </w:t>
      </w:r>
      <w:r w:rsidR="00225BE7" w:rsidRPr="00694D76">
        <w:rPr>
          <w:rFonts w:ascii="Palatino Linotype" w:hAnsi="Palatino Linotype" w:cs="Times New Roman"/>
        </w:rPr>
        <w:t>201</w:t>
      </w:r>
      <w:r w:rsidR="00196F8E" w:rsidRPr="00694D76">
        <w:rPr>
          <w:rFonts w:ascii="Palatino Linotype" w:hAnsi="Palatino Linotype" w:cs="Times New Roman"/>
        </w:rPr>
        <w:t>8</w:t>
      </w:r>
      <w:r w:rsidRPr="00694D76">
        <w:rPr>
          <w:rFonts w:ascii="Palatino Linotype" w:hAnsi="Palatino Linotype" w:cs="Times New Roman"/>
        </w:rPr>
        <w:t>,</w:t>
      </w:r>
      <w:r w:rsidR="00A3723C" w:rsidRPr="00694D76">
        <w:rPr>
          <w:rFonts w:ascii="Palatino Linotype" w:hAnsi="Palatino Linotype" w:cs="Times New Roman"/>
        </w:rPr>
        <w:t xml:space="preserve"> </w:t>
      </w:r>
      <w:r w:rsidRPr="00694D76">
        <w:rPr>
          <w:rFonts w:ascii="Palatino Linotype" w:hAnsi="Palatino Linotype" w:cs="Times New Roman"/>
        </w:rPr>
        <w:t xml:space="preserve">la Secretaría de Territorio, Hábitat y Vivienda, </w:t>
      </w:r>
      <w:r w:rsidR="00225BE7" w:rsidRPr="00694D76">
        <w:rPr>
          <w:rFonts w:ascii="Palatino Linotype" w:hAnsi="Palatino Linotype" w:cs="Times New Roman"/>
        </w:rPr>
        <w:t xml:space="preserve">emite </w:t>
      </w:r>
      <w:r w:rsidRPr="00694D76">
        <w:rPr>
          <w:rFonts w:ascii="Palatino Linotype" w:hAnsi="Palatino Linotype" w:cs="Times New Roman"/>
        </w:rPr>
        <w:t>su informe técnico</w:t>
      </w:r>
      <w:r w:rsidR="00A3723C" w:rsidRPr="00694D76">
        <w:rPr>
          <w:rFonts w:ascii="Palatino Linotype" w:hAnsi="Palatino Linotype" w:cs="Times New Roman"/>
        </w:rPr>
        <w:t xml:space="preserve"> favorable para la aprobación de la Ordenanza del </w:t>
      </w:r>
      <w:r w:rsidR="00DE492B" w:rsidRPr="00694D76">
        <w:rPr>
          <w:rFonts w:ascii="Palatino Linotype" w:hAnsi="Palatino Linotype" w:cs="Times New Roman"/>
        </w:rPr>
        <w:t xml:space="preserve">Proyecto </w:t>
      </w:r>
      <w:r w:rsidR="00A3723C" w:rsidRPr="00694D76">
        <w:rPr>
          <w:rFonts w:ascii="Palatino Linotype" w:hAnsi="Palatino Linotype" w:cs="Times New Roman"/>
        </w:rPr>
        <w:t xml:space="preserve">Urbanístico Arquitectónico Especial denominado Hotel Holiday Inn Quito Airport; </w:t>
      </w:r>
    </w:p>
    <w:p w14:paraId="1A4BD27D" w14:textId="77777777" w:rsidR="00E85F30" w:rsidRPr="00E85F30" w:rsidRDefault="00481334"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Pr="00E85F30">
        <w:rPr>
          <w:rFonts w:ascii="Palatino Linotype" w:hAnsi="Palatino Linotype" w:cs="Times New Roman"/>
        </w:rPr>
        <w:tab/>
        <w:t xml:space="preserve">mediante </w:t>
      </w:r>
      <w:r w:rsidR="00E85F30" w:rsidRPr="00E85F30">
        <w:rPr>
          <w:rFonts w:ascii="Palatino Linotype" w:hAnsi="Palatino Linotype" w:cs="Times New Roman"/>
        </w:rPr>
        <w:t xml:space="preserve">expediente No. 2018-1233 de 21 </w:t>
      </w:r>
      <w:r w:rsidRPr="00E85F30">
        <w:rPr>
          <w:rFonts w:ascii="Palatino Linotype" w:hAnsi="Palatino Linotype" w:cs="Times New Roman"/>
        </w:rPr>
        <w:t>de marzo de 2018</w:t>
      </w:r>
      <w:r w:rsidR="00E85F30" w:rsidRPr="00E85F30">
        <w:rPr>
          <w:rFonts w:ascii="Palatino Linotype" w:hAnsi="Palatino Linotype" w:cs="Times New Roman"/>
        </w:rPr>
        <w:t>,</w:t>
      </w:r>
      <w:r w:rsidRPr="00E85F30">
        <w:rPr>
          <w:rFonts w:ascii="Palatino Linotype" w:hAnsi="Palatino Linotype" w:cs="Times New Roman"/>
        </w:rPr>
        <w:t xml:space="preserve"> la Procuraduría Metropolitana emite </w:t>
      </w:r>
      <w:r w:rsidR="00C11ED7" w:rsidRPr="00E85F30">
        <w:rPr>
          <w:rFonts w:ascii="Palatino Linotype" w:hAnsi="Palatino Linotype" w:cs="Times New Roman"/>
        </w:rPr>
        <w:t xml:space="preserve">informe </w:t>
      </w:r>
      <w:r w:rsidR="00B40CFB" w:rsidRPr="00E85F30">
        <w:rPr>
          <w:rFonts w:ascii="Palatino Linotype" w:hAnsi="Palatino Linotype" w:cs="Times New Roman"/>
        </w:rPr>
        <w:t xml:space="preserve">con </w:t>
      </w:r>
      <w:r w:rsidR="00C11ED7" w:rsidRPr="00E85F30">
        <w:rPr>
          <w:rFonts w:ascii="Palatino Linotype" w:hAnsi="Palatino Linotype" w:cs="Times New Roman"/>
        </w:rPr>
        <w:t xml:space="preserve">criterio legal favorable para continuar con el trámite de aprobación de la propuesta de ordenanza del PUAE Hotel </w:t>
      </w:r>
      <w:proofErr w:type="spellStart"/>
      <w:r w:rsidR="00C11ED7" w:rsidRPr="00E85F30">
        <w:rPr>
          <w:rFonts w:ascii="Palatino Linotype" w:hAnsi="Palatino Linotype" w:cs="Times New Roman"/>
        </w:rPr>
        <w:t>Holiday</w:t>
      </w:r>
      <w:proofErr w:type="spellEnd"/>
      <w:r w:rsidR="00C11ED7" w:rsidRPr="00E85F30">
        <w:rPr>
          <w:rFonts w:ascii="Palatino Linotype" w:hAnsi="Palatino Linotype" w:cs="Times New Roman"/>
        </w:rPr>
        <w:t xml:space="preserve"> </w:t>
      </w:r>
      <w:proofErr w:type="spellStart"/>
      <w:r w:rsidR="00C11ED7" w:rsidRPr="00E85F30">
        <w:rPr>
          <w:rFonts w:ascii="Palatino Linotype" w:hAnsi="Palatino Linotype" w:cs="Times New Roman"/>
        </w:rPr>
        <w:t>Inn</w:t>
      </w:r>
      <w:proofErr w:type="spellEnd"/>
      <w:r w:rsidR="00E85F30" w:rsidRPr="00E85F30">
        <w:rPr>
          <w:rFonts w:ascii="Palatino Linotype" w:hAnsi="Palatino Linotype" w:cs="Times New Roman"/>
        </w:rPr>
        <w:t>;</w:t>
      </w:r>
    </w:p>
    <w:p w14:paraId="04D80860" w14:textId="5DDE28BE" w:rsidR="00E85F30" w:rsidRPr="00E85F30" w:rsidRDefault="00481334"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00E85F30" w:rsidRPr="00E85F30">
        <w:rPr>
          <w:rFonts w:ascii="Palatino Linotype" w:hAnsi="Palatino Linotype" w:cs="Times New Roman"/>
        </w:rPr>
        <w:tab/>
        <w:t xml:space="preserve">mediante oficio No. A </w:t>
      </w:r>
      <w:r w:rsidRPr="00E85F30">
        <w:rPr>
          <w:rFonts w:ascii="Palatino Linotype" w:hAnsi="Palatino Linotype" w:cs="Times New Roman"/>
        </w:rPr>
        <w:t>0106 de 20 de febrero de 2018, la Alcaldía Metropolitana remite a la Secretaría General del Concejo Metropolitano, la iniciativa legisla</w:t>
      </w:r>
      <w:r w:rsidR="00E85F30" w:rsidRPr="00E85F30">
        <w:rPr>
          <w:rFonts w:ascii="Palatino Linotype" w:hAnsi="Palatino Linotype" w:cs="Times New Roman"/>
        </w:rPr>
        <w:t xml:space="preserve">tiva del PUAE Hotel </w:t>
      </w:r>
      <w:proofErr w:type="spellStart"/>
      <w:r w:rsidR="00E85F30" w:rsidRPr="00E85F30">
        <w:rPr>
          <w:rFonts w:ascii="Palatino Linotype" w:hAnsi="Palatino Linotype" w:cs="Times New Roman"/>
        </w:rPr>
        <w:t>Holiday</w:t>
      </w:r>
      <w:proofErr w:type="spellEnd"/>
      <w:r w:rsidR="00E85F30" w:rsidRPr="00E85F30">
        <w:rPr>
          <w:rFonts w:ascii="Palatino Linotype" w:hAnsi="Palatino Linotype" w:cs="Times New Roman"/>
        </w:rPr>
        <w:t xml:space="preserve"> </w:t>
      </w:r>
      <w:proofErr w:type="spellStart"/>
      <w:r w:rsidR="00E85F30" w:rsidRPr="00E85F30">
        <w:rPr>
          <w:rFonts w:ascii="Palatino Linotype" w:hAnsi="Palatino Linotype" w:cs="Times New Roman"/>
        </w:rPr>
        <w:t>Inn</w:t>
      </w:r>
      <w:proofErr w:type="spellEnd"/>
      <w:r w:rsidR="00E85F30" w:rsidRPr="00E85F30">
        <w:rPr>
          <w:rFonts w:ascii="Palatino Linotype" w:hAnsi="Palatino Linotype" w:cs="Times New Roman"/>
        </w:rPr>
        <w:t>;</w:t>
      </w:r>
    </w:p>
    <w:p w14:paraId="56FC72D2" w14:textId="77777777" w:rsidR="00E85F30" w:rsidRPr="00E85F30" w:rsidRDefault="0092007F"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Pr="00E85F30">
        <w:rPr>
          <w:rFonts w:ascii="Palatino Linotype" w:hAnsi="Palatino Linotype" w:cs="Times New Roman"/>
        </w:rPr>
        <w:tab/>
        <w:t>mediante oficio No. IC-O-2018</w:t>
      </w:r>
      <w:r w:rsidR="008B0D22" w:rsidRPr="00E85F30">
        <w:rPr>
          <w:rFonts w:ascii="Palatino Linotype" w:hAnsi="Palatino Linotype" w:cs="Times New Roman"/>
        </w:rPr>
        <w:t>-137</w:t>
      </w:r>
      <w:r w:rsidRPr="00E85F30">
        <w:rPr>
          <w:rFonts w:ascii="Palatino Linotype" w:hAnsi="Palatino Linotype" w:cs="Times New Roman"/>
        </w:rPr>
        <w:t>, la Secretaría General del Concejo Metropolitano emite el informe favorable de la Comisión de Uso de Suelo respecto al PUAE Hotel Holiday Inn para conocimiento del</w:t>
      </w:r>
      <w:r w:rsidR="00E85F30" w:rsidRPr="00E85F30">
        <w:rPr>
          <w:rFonts w:ascii="Palatino Linotype" w:hAnsi="Palatino Linotype" w:cs="Times New Roman"/>
        </w:rPr>
        <w:t xml:space="preserve"> Concejo Metropolitano de Quito;</w:t>
      </w:r>
    </w:p>
    <w:p w14:paraId="36B60E53" w14:textId="77777777" w:rsidR="00E85F30" w:rsidRDefault="00A4675D"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Pr="00E85F30">
        <w:rPr>
          <w:rFonts w:ascii="Palatino Linotype" w:hAnsi="Palatino Linotype" w:cs="Times New Roman"/>
        </w:rPr>
        <w:tab/>
        <w:t xml:space="preserve">el 5 de </w:t>
      </w:r>
      <w:r w:rsidR="00153F4F" w:rsidRPr="00E85F30">
        <w:rPr>
          <w:rFonts w:ascii="Palatino Linotype" w:hAnsi="Palatino Linotype" w:cs="Times New Roman"/>
        </w:rPr>
        <w:t>j</w:t>
      </w:r>
      <w:r w:rsidRPr="00E85F30">
        <w:rPr>
          <w:rFonts w:ascii="Palatino Linotype" w:hAnsi="Palatino Linotype" w:cs="Times New Roman"/>
        </w:rPr>
        <w:t>ulio de 2018, el PUAE Hotel Holiday Inn, fue conocido en primer debate por el Concejo Metropolitano de Quito</w:t>
      </w:r>
      <w:r w:rsidR="00E85F30" w:rsidRPr="00E85F30">
        <w:rPr>
          <w:rFonts w:ascii="Palatino Linotype" w:hAnsi="Palatino Linotype" w:cs="Times New Roman"/>
        </w:rPr>
        <w:t>;</w:t>
      </w:r>
    </w:p>
    <w:p w14:paraId="18D89794" w14:textId="77777777" w:rsidR="00E85F30" w:rsidRDefault="009A00BD"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Pr="00E85F30">
        <w:rPr>
          <w:rFonts w:ascii="Palatino Linotype" w:hAnsi="Palatino Linotype" w:cs="Times New Roman"/>
        </w:rPr>
        <w:tab/>
        <w:t>mediante oficios No</w:t>
      </w:r>
      <w:r w:rsidR="00E85F30" w:rsidRPr="00E85F30">
        <w:rPr>
          <w:rFonts w:ascii="Palatino Linotype" w:hAnsi="Palatino Linotype" w:cs="Times New Roman"/>
        </w:rPr>
        <w:t>s</w:t>
      </w:r>
      <w:r w:rsidRPr="00E85F30">
        <w:rPr>
          <w:rFonts w:ascii="Palatino Linotype" w:hAnsi="Palatino Linotype" w:cs="Times New Roman"/>
        </w:rPr>
        <w:t>. SG</w:t>
      </w:r>
      <w:r w:rsidR="00E70651" w:rsidRPr="00E85F30">
        <w:rPr>
          <w:rFonts w:ascii="Palatino Linotype" w:hAnsi="Palatino Linotype" w:cs="Times New Roman"/>
        </w:rPr>
        <w:t>-2055 y SGC-2018-2064 la Secretaría General del Concejo Metropolitano remite a la Comisión de Uso de Suelo y a la Secretaría de Territorio, Hábitat y Vivienda respectivamente, las observaciones generadas en el primer debate</w:t>
      </w:r>
      <w:r w:rsidR="00E85F30" w:rsidRPr="00E85F30">
        <w:rPr>
          <w:rFonts w:ascii="Palatino Linotype" w:hAnsi="Palatino Linotype" w:cs="Times New Roman"/>
        </w:rPr>
        <w:t>;</w:t>
      </w:r>
    </w:p>
    <w:p w14:paraId="7557EC62" w14:textId="77777777" w:rsidR="00E85F30" w:rsidRDefault="006728D8"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Pr="00E85F30">
        <w:rPr>
          <w:rFonts w:ascii="Palatino Linotype" w:hAnsi="Palatino Linotype" w:cs="Times New Roman"/>
        </w:rPr>
        <w:tab/>
        <w:t>mediante informe No. SA-POL-2018-3053 del 23 de julio de 2018, la Secretaría de Ambiente ratifica lo contenido en el oficio No. SA-POL-FIS-2014-7300 de fecha 18 de diciembre de 2014 y señala que la aprobación del Estudio de Impacto Ambiental y Plan de Manejo Ambiental contiene medidas de prevención y mitigación de impactos ambientales, otorgado mediante licencia ambiental No. SA-GCA-LIC-2017-06 de 27 de octubre de 2017 al proyecto "</w:t>
      </w:r>
      <w:r w:rsidRPr="00E85F30">
        <w:rPr>
          <w:rFonts w:ascii="Palatino Linotype" w:hAnsi="Palatino Linotype" w:cs="Times New Roman"/>
          <w:i/>
        </w:rPr>
        <w:t>CONSTRUCCIÓN Y OPERACIÓN DEL HOTEL HOLIDAY INN QUITO AIRPORT, ubicado en el sector de Tababela, a 3.300 metros de la terminal aérea y está identificado con el código catastral 1153105004, parroquia Tababela</w:t>
      </w:r>
      <w:r w:rsidRPr="00E85F30">
        <w:rPr>
          <w:rFonts w:ascii="Palatino Linotype" w:hAnsi="Palatino Linotype" w:cs="Times New Roman"/>
        </w:rPr>
        <w:t>"</w:t>
      </w:r>
      <w:r w:rsidR="00E85F30" w:rsidRPr="00E85F30">
        <w:rPr>
          <w:rFonts w:ascii="Palatino Linotype" w:hAnsi="Palatino Linotype" w:cs="Times New Roman"/>
        </w:rPr>
        <w:t>;</w:t>
      </w:r>
    </w:p>
    <w:p w14:paraId="163443DB" w14:textId="77777777" w:rsidR="00E85F30" w:rsidRDefault="006728D8"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00E85F30" w:rsidRPr="00E85F30">
        <w:rPr>
          <w:rFonts w:ascii="Palatino Linotype" w:hAnsi="Palatino Linotype" w:cs="Times New Roman"/>
        </w:rPr>
        <w:tab/>
      </w:r>
      <w:r w:rsidRPr="00E85F30">
        <w:rPr>
          <w:rFonts w:ascii="Palatino Linotype" w:hAnsi="Palatino Linotype" w:cs="Times New Roman"/>
        </w:rPr>
        <w:t>mediante oficio No. AMC-SM-JLA-2018-26</w:t>
      </w:r>
      <w:r w:rsidR="00D06494" w:rsidRPr="00E85F30">
        <w:rPr>
          <w:rFonts w:ascii="Palatino Linotype" w:hAnsi="Palatino Linotype" w:cs="Times New Roman"/>
        </w:rPr>
        <w:t>9</w:t>
      </w:r>
      <w:r w:rsidRPr="00E85F30">
        <w:rPr>
          <w:rFonts w:ascii="Palatino Linotype" w:hAnsi="Palatino Linotype" w:cs="Times New Roman"/>
        </w:rPr>
        <w:t xml:space="preserve"> de 26 de julio de 2018, la A</w:t>
      </w:r>
      <w:r w:rsidR="00D06494" w:rsidRPr="00E85F30">
        <w:rPr>
          <w:rFonts w:ascii="Palatino Linotype" w:hAnsi="Palatino Linotype" w:cs="Times New Roman"/>
        </w:rPr>
        <w:t xml:space="preserve">gencia Metropolitana de Control, remite </w:t>
      </w:r>
      <w:r w:rsidR="007407B0" w:rsidRPr="00E85F30">
        <w:rPr>
          <w:rFonts w:ascii="Palatino Linotype" w:hAnsi="Palatino Linotype" w:cs="Times New Roman"/>
        </w:rPr>
        <w:t>la información respecto a los expedientes administrativos sancionadores iniciados en el lote con pred</w:t>
      </w:r>
      <w:r w:rsidR="00E85F30" w:rsidRPr="00E85F30">
        <w:rPr>
          <w:rFonts w:ascii="Palatino Linotype" w:hAnsi="Palatino Linotype" w:cs="Times New Roman"/>
        </w:rPr>
        <w:t>io No. 5785946;</w:t>
      </w:r>
    </w:p>
    <w:p w14:paraId="35B259EA" w14:textId="77777777" w:rsidR="00E85F30" w:rsidRDefault="007407B0"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lastRenderedPageBreak/>
        <w:t>Que,</w:t>
      </w:r>
      <w:r w:rsidRPr="00E85F30">
        <w:rPr>
          <w:rFonts w:ascii="Palatino Linotype" w:hAnsi="Palatino Linotype" w:cs="Times New Roman"/>
        </w:rPr>
        <w:tab/>
        <w:t>mediante</w:t>
      </w:r>
      <w:r w:rsidR="00E85F30" w:rsidRPr="00E85F30">
        <w:rPr>
          <w:rFonts w:ascii="Palatino Linotype" w:hAnsi="Palatino Linotype" w:cs="Times New Roman"/>
        </w:rPr>
        <w:t xml:space="preserve"> oficio No. STHV-DMPPS-3927, de </w:t>
      </w:r>
      <w:r w:rsidRPr="00E85F30">
        <w:rPr>
          <w:rFonts w:ascii="Palatino Linotype" w:hAnsi="Palatino Linotype" w:cs="Times New Roman"/>
        </w:rPr>
        <w:t>7 de agosto de 2018</w:t>
      </w:r>
      <w:r w:rsidR="00E85F30" w:rsidRPr="00E85F30">
        <w:rPr>
          <w:rFonts w:ascii="Palatino Linotype" w:hAnsi="Palatino Linotype" w:cs="Times New Roman"/>
        </w:rPr>
        <w:t>,</w:t>
      </w:r>
      <w:r w:rsidRPr="00E85F30">
        <w:rPr>
          <w:rFonts w:ascii="Palatino Linotype" w:hAnsi="Palatino Linotype" w:cs="Times New Roman"/>
        </w:rPr>
        <w:t xml:space="preserve"> la Secretaría de Territorio, Hábitat y Vivienda remite a la Secretaría General del Concejo Metropolitano el proyecto de ordenanza del PUAE Hotel Holiday Inn en base a las observaciones planteadas en el primer debate de dicho cuerpo normativo</w:t>
      </w:r>
      <w:r w:rsidR="00E85F30" w:rsidRPr="00E85F30">
        <w:rPr>
          <w:rFonts w:ascii="Palatino Linotype" w:hAnsi="Palatino Linotype" w:cs="Times New Roman"/>
        </w:rPr>
        <w:t>;</w:t>
      </w:r>
    </w:p>
    <w:p w14:paraId="74394B09" w14:textId="77777777" w:rsidR="00FD0B23" w:rsidRDefault="00153F4F" w:rsidP="00E85F30">
      <w:pPr>
        <w:suppressAutoHyphens/>
        <w:spacing w:after="120"/>
        <w:ind w:left="567" w:hanging="567"/>
        <w:rPr>
          <w:rFonts w:ascii="Palatino Linotype" w:hAnsi="Palatino Linotype" w:cs="Times New Roman"/>
        </w:rPr>
      </w:pPr>
      <w:r w:rsidRPr="00E85F30">
        <w:rPr>
          <w:rFonts w:ascii="Palatino Linotype" w:hAnsi="Palatino Linotype" w:cs="Times New Roman"/>
          <w:b/>
        </w:rPr>
        <w:t>Que,</w:t>
      </w:r>
      <w:r w:rsidRPr="00E85F30">
        <w:rPr>
          <w:rFonts w:ascii="Palatino Linotype" w:hAnsi="Palatino Linotype" w:cs="Times New Roman"/>
        </w:rPr>
        <w:tab/>
        <w:t>mediante expediente No. 2018-1233 de 17 de agosto de 2018</w:t>
      </w:r>
      <w:r w:rsidR="00E85F30" w:rsidRPr="00E85F30">
        <w:rPr>
          <w:rFonts w:ascii="Palatino Linotype" w:hAnsi="Palatino Linotype" w:cs="Times New Roman"/>
        </w:rPr>
        <w:t>,</w:t>
      </w:r>
      <w:r w:rsidRPr="00E85F30">
        <w:rPr>
          <w:rFonts w:ascii="Palatino Linotype" w:hAnsi="Palatino Linotype" w:cs="Times New Roman"/>
        </w:rPr>
        <w:t xml:space="preserve"> la Procuraduría Metropolitana emite informe </w:t>
      </w:r>
      <w:r w:rsidR="00B40CFB" w:rsidRPr="00E85F30">
        <w:rPr>
          <w:rFonts w:ascii="Palatino Linotype" w:hAnsi="Palatino Linotype" w:cs="Times New Roman"/>
        </w:rPr>
        <w:t xml:space="preserve">con </w:t>
      </w:r>
      <w:r w:rsidRPr="00E85F30">
        <w:rPr>
          <w:rFonts w:ascii="Palatino Linotype" w:hAnsi="Palatino Linotype" w:cs="Times New Roman"/>
        </w:rPr>
        <w:t>criterio legal favorable respecto al proyecto de ordenanza actualizado</w:t>
      </w:r>
      <w:r w:rsidR="007307E8" w:rsidRPr="00E85F30">
        <w:rPr>
          <w:rFonts w:ascii="Palatino Linotype" w:hAnsi="Palatino Linotype" w:cs="Times New Roman"/>
        </w:rPr>
        <w:t xml:space="preserve"> del PUAE Hotel Holiday Inn.</w:t>
      </w:r>
      <w:r w:rsidRPr="00E85F30">
        <w:rPr>
          <w:rFonts w:ascii="Palatino Linotype" w:hAnsi="Palatino Linotype" w:cs="Times New Roman"/>
        </w:rPr>
        <w:t xml:space="preserve"> para continuar con el trámite de aprobació</w:t>
      </w:r>
      <w:r w:rsidR="007307E8" w:rsidRPr="00E85F30">
        <w:rPr>
          <w:rFonts w:ascii="Palatino Linotype" w:hAnsi="Palatino Linotype" w:cs="Times New Roman"/>
        </w:rPr>
        <w:t>n respectivo</w:t>
      </w:r>
      <w:r w:rsidR="00E85F30" w:rsidRPr="00E85F30">
        <w:rPr>
          <w:rFonts w:ascii="Palatino Linotype" w:hAnsi="Palatino Linotype" w:cs="Times New Roman"/>
        </w:rPr>
        <w:t>;</w:t>
      </w:r>
    </w:p>
    <w:p w14:paraId="213BEF88" w14:textId="77777777" w:rsidR="00FD0B23" w:rsidRPr="00FD0B23" w:rsidRDefault="008B0D22" w:rsidP="00FD0B23">
      <w:pPr>
        <w:suppressAutoHyphens/>
        <w:spacing w:after="120"/>
        <w:ind w:left="567" w:hanging="567"/>
        <w:rPr>
          <w:rFonts w:ascii="Palatino Linotype" w:hAnsi="Palatino Linotype" w:cs="Times New Roman"/>
        </w:rPr>
      </w:pPr>
      <w:r w:rsidRPr="00FD0B23">
        <w:rPr>
          <w:rFonts w:ascii="Palatino Linotype" w:hAnsi="Palatino Linotype" w:cs="Times New Roman"/>
          <w:b/>
        </w:rPr>
        <w:t>Que,</w:t>
      </w:r>
      <w:r w:rsidRPr="00FD0B23">
        <w:rPr>
          <w:rFonts w:ascii="Palatino Linotype" w:hAnsi="Palatino Linotype" w:cs="Times New Roman"/>
        </w:rPr>
        <w:tab/>
        <w:t>mediante oficio No. IC-O-2018-224, la Secretaría General del Concejo Metropolitano emite el informe favorable de la Comisión de Uso de Suelo respecto al PUAE Hotel Holiday Inn para conocimiento del</w:t>
      </w:r>
      <w:r w:rsidR="00FD0B23" w:rsidRPr="00FD0B23">
        <w:rPr>
          <w:rFonts w:ascii="Palatino Linotype" w:hAnsi="Palatino Linotype" w:cs="Times New Roman"/>
        </w:rPr>
        <w:t xml:space="preserve"> Concejo Metropolitano de Quito;</w:t>
      </w:r>
    </w:p>
    <w:p w14:paraId="1B6E4A4E" w14:textId="1442F0DE" w:rsidR="00FD0B23" w:rsidRPr="00FD0B23" w:rsidRDefault="008B0D22" w:rsidP="00FD0B23">
      <w:pPr>
        <w:suppressAutoHyphens/>
        <w:spacing w:after="120"/>
        <w:ind w:left="567" w:hanging="567"/>
        <w:rPr>
          <w:rFonts w:ascii="Palatino Linotype" w:hAnsi="Palatino Linotype" w:cs="Times New Roman"/>
        </w:rPr>
      </w:pPr>
      <w:r w:rsidRPr="00FD0B23">
        <w:rPr>
          <w:rFonts w:ascii="Palatino Linotype" w:hAnsi="Palatino Linotype" w:cs="Times New Roman"/>
          <w:b/>
        </w:rPr>
        <w:t>Que,</w:t>
      </w:r>
      <w:r w:rsidRPr="00FD0B23">
        <w:rPr>
          <w:rFonts w:ascii="Palatino Linotype" w:hAnsi="Palatino Linotype" w:cs="Times New Roman"/>
        </w:rPr>
        <w:tab/>
        <w:t>mediante Resolución No. C</w:t>
      </w:r>
      <w:r w:rsidR="00FD0B23" w:rsidRPr="00FD0B23">
        <w:rPr>
          <w:rFonts w:ascii="Palatino Linotype" w:hAnsi="Palatino Linotype" w:cs="Times New Roman"/>
        </w:rPr>
        <w:t xml:space="preserve"> </w:t>
      </w:r>
      <w:r w:rsidRPr="00FD0B23">
        <w:rPr>
          <w:rFonts w:ascii="Palatino Linotype" w:hAnsi="Palatino Linotype" w:cs="Times New Roman"/>
        </w:rPr>
        <w:t>240 de 23 de agosto de 2018, el Concejo Metropolitano de Quito, devuelve el expediente del PUAE Hotel Holiday Inn, a la Comisión de Uso de Suelo solicitando informes ampliatorios a la Procuraduría Metropolitana y a la A</w:t>
      </w:r>
      <w:r w:rsidR="00FD0B23" w:rsidRPr="00FD0B23">
        <w:rPr>
          <w:rFonts w:ascii="Palatino Linotype" w:hAnsi="Palatino Linotype" w:cs="Times New Roman"/>
        </w:rPr>
        <w:t>gencia Metropolitana de Control;</w:t>
      </w:r>
    </w:p>
    <w:p w14:paraId="73D9935A" w14:textId="77777777" w:rsidR="00FD0B23" w:rsidRDefault="00A21056" w:rsidP="00FD0B23">
      <w:pPr>
        <w:suppressAutoHyphens/>
        <w:spacing w:after="120"/>
        <w:ind w:left="567" w:hanging="567"/>
        <w:rPr>
          <w:rFonts w:ascii="Palatino Linotype" w:hAnsi="Palatino Linotype" w:cs="Times New Roman"/>
        </w:rPr>
      </w:pPr>
      <w:r w:rsidRPr="00FD0B23">
        <w:rPr>
          <w:rFonts w:ascii="Palatino Linotype" w:hAnsi="Palatino Linotype" w:cs="Times New Roman"/>
          <w:b/>
        </w:rPr>
        <w:t>Que,</w:t>
      </w:r>
      <w:r w:rsidRPr="00FD0B23">
        <w:rPr>
          <w:rFonts w:ascii="Palatino Linotype" w:hAnsi="Palatino Linotype" w:cs="Times New Roman"/>
        </w:rPr>
        <w:tab/>
        <w:t>mediante oficio No</w:t>
      </w:r>
      <w:r w:rsidR="00F74A97" w:rsidRPr="00FD0B23">
        <w:rPr>
          <w:rFonts w:ascii="Palatino Linotype" w:hAnsi="Palatino Linotype" w:cs="Times New Roman"/>
        </w:rPr>
        <w:t>. AMC-SM-JLA-2018-376</w:t>
      </w:r>
      <w:r w:rsidRPr="00FD0B23">
        <w:rPr>
          <w:rFonts w:ascii="Palatino Linotype" w:hAnsi="Palatino Linotype" w:cs="Times New Roman"/>
        </w:rPr>
        <w:t xml:space="preserve"> de </w:t>
      </w:r>
      <w:r w:rsidR="00F74A97" w:rsidRPr="00FD0B23">
        <w:rPr>
          <w:rFonts w:ascii="Palatino Linotype" w:hAnsi="Palatino Linotype" w:cs="Times New Roman"/>
        </w:rPr>
        <w:t>5</w:t>
      </w:r>
      <w:r w:rsidRPr="00FD0B23">
        <w:rPr>
          <w:rFonts w:ascii="Palatino Linotype" w:hAnsi="Palatino Linotype" w:cs="Times New Roman"/>
        </w:rPr>
        <w:t xml:space="preserve"> de </w:t>
      </w:r>
      <w:r w:rsidR="00F74A97" w:rsidRPr="00FD0B23">
        <w:rPr>
          <w:rFonts w:ascii="Palatino Linotype" w:hAnsi="Palatino Linotype" w:cs="Times New Roman"/>
        </w:rPr>
        <w:t>septiembre</w:t>
      </w:r>
      <w:r w:rsidRPr="00FD0B23">
        <w:rPr>
          <w:rFonts w:ascii="Palatino Linotype" w:hAnsi="Palatino Linotype" w:cs="Times New Roman"/>
        </w:rPr>
        <w:t xml:space="preserve"> de 2018, la Agencia Metropolitana de Control,</w:t>
      </w:r>
      <w:r w:rsidR="003772DF" w:rsidRPr="00FD0B23">
        <w:rPr>
          <w:rFonts w:ascii="Palatino Linotype" w:hAnsi="Palatino Linotype" w:cs="Times New Roman"/>
        </w:rPr>
        <w:t xml:space="preserve"> en base a lo resuelto por el Concejo Metropolitano de Quito mediante Resolución No.</w:t>
      </w:r>
      <w:r w:rsidRPr="00FD0B23">
        <w:rPr>
          <w:rFonts w:ascii="Palatino Linotype" w:hAnsi="Palatino Linotype" w:cs="Times New Roman"/>
        </w:rPr>
        <w:t xml:space="preserve"> </w:t>
      </w:r>
      <w:r w:rsidR="003772DF" w:rsidRPr="00FD0B23">
        <w:rPr>
          <w:rFonts w:ascii="Palatino Linotype" w:hAnsi="Palatino Linotype" w:cs="Times New Roman"/>
        </w:rPr>
        <w:t xml:space="preserve">C-240 de 23 de agosto de 2018, actualiza </w:t>
      </w:r>
      <w:r w:rsidRPr="00FD0B23">
        <w:rPr>
          <w:rFonts w:ascii="Palatino Linotype" w:hAnsi="Palatino Linotype" w:cs="Times New Roman"/>
        </w:rPr>
        <w:t>la información respecto a los expedientes administrativos sancionadores iniciados en</w:t>
      </w:r>
      <w:r w:rsidR="003772DF" w:rsidRPr="00FD0B23">
        <w:rPr>
          <w:rFonts w:ascii="Palatino Linotype" w:hAnsi="Palatino Linotype" w:cs="Times New Roman"/>
        </w:rPr>
        <w:t xml:space="preserve"> el lote con predio No. 5785946</w:t>
      </w:r>
      <w:r w:rsidR="00FD0B23" w:rsidRPr="00FD0B23">
        <w:rPr>
          <w:rFonts w:ascii="Palatino Linotype" w:hAnsi="Palatino Linotype" w:cs="Times New Roman"/>
        </w:rPr>
        <w:t>;</w:t>
      </w:r>
    </w:p>
    <w:p w14:paraId="24628424" w14:textId="77777777" w:rsidR="00171894" w:rsidRDefault="00FD0B23" w:rsidP="00171894">
      <w:pPr>
        <w:suppressAutoHyphens/>
        <w:spacing w:after="120"/>
        <w:ind w:left="567" w:hanging="567"/>
        <w:rPr>
          <w:rFonts w:ascii="Palatino Linotype" w:hAnsi="Palatino Linotype" w:cs="Times New Roman"/>
          <w:lang w:val="es-ES_tradnl"/>
        </w:rPr>
      </w:pPr>
      <w:r w:rsidRPr="00FD0B23">
        <w:rPr>
          <w:rFonts w:ascii="Palatino Linotype" w:hAnsi="Palatino Linotype" w:cs="Times New Roman"/>
          <w:b/>
          <w:lang w:val="es-ES_tradnl"/>
        </w:rPr>
        <w:t>Que,</w:t>
      </w:r>
      <w:r w:rsidRPr="00FD0B23">
        <w:rPr>
          <w:rFonts w:ascii="Palatino Linotype" w:hAnsi="Palatino Linotype" w:cs="Times New Roman"/>
          <w:lang w:val="es-ES_tradnl"/>
        </w:rPr>
        <w:tab/>
      </w:r>
      <w:r w:rsidRPr="00FD0B23">
        <w:rPr>
          <w:rFonts w:ascii="Palatino Linotype" w:hAnsi="Palatino Linotype" w:cs="Times New Roman"/>
          <w:lang w:val="es-ES_tradnl"/>
        </w:rPr>
        <w:t>mediante oficio No. AMC-SM-JLA-2018-428 de 13 de septiembre de 2018, la Agencia Metropolitana de Control, en base a lo solicitado por los miembr</w:t>
      </w:r>
      <w:r w:rsidRPr="00FD0B23">
        <w:rPr>
          <w:rFonts w:ascii="Palatino Linotype" w:hAnsi="Palatino Linotype" w:cs="Times New Roman"/>
          <w:lang w:val="es-ES_tradnl"/>
        </w:rPr>
        <w:t xml:space="preserve">os de la </w:t>
      </w:r>
      <w:r w:rsidRPr="00FD0B23">
        <w:rPr>
          <w:rFonts w:ascii="Palatino Linotype" w:hAnsi="Palatino Linotype" w:cs="Times New Roman"/>
          <w:lang w:val="es-ES_tradnl"/>
        </w:rPr>
        <w:t>Comisión de Uso de Suelo el 11 de septiembre de 2018, se realiza una ampliación a lo señalado en el oficio No. AMC-SM-JLA-2018-376 de 05 de septiembre de 2018</w:t>
      </w:r>
      <w:r w:rsidRPr="00FD0B23">
        <w:rPr>
          <w:rFonts w:ascii="Palatino Linotype" w:hAnsi="Palatino Linotype" w:cs="Times New Roman"/>
          <w:lang w:val="es-ES_tradnl"/>
        </w:rPr>
        <w:t>;</w:t>
      </w:r>
    </w:p>
    <w:p w14:paraId="663A297B" w14:textId="77777777" w:rsidR="00171894" w:rsidRDefault="00171894" w:rsidP="00171894">
      <w:pPr>
        <w:suppressAutoHyphens/>
        <w:spacing w:after="120"/>
        <w:ind w:left="567" w:hanging="567"/>
        <w:rPr>
          <w:rFonts w:ascii="Palatino Linotype" w:hAnsi="Palatino Linotype" w:cs="Times New Roman"/>
          <w:i/>
          <w:lang w:val="es-ES_tradnl"/>
        </w:rPr>
      </w:pPr>
      <w:r w:rsidRPr="00171894">
        <w:rPr>
          <w:rFonts w:ascii="Palatino Linotype" w:hAnsi="Palatino Linotype" w:cs="Times New Roman"/>
          <w:b/>
          <w:lang w:val="es-ES_tradnl"/>
        </w:rPr>
        <w:t>Que,</w:t>
      </w:r>
      <w:r w:rsidRPr="00171894">
        <w:rPr>
          <w:rFonts w:ascii="Palatino Linotype" w:hAnsi="Palatino Linotype" w:cs="Times New Roman"/>
          <w:lang w:val="es-ES_tradnl"/>
        </w:rPr>
        <w:tab/>
        <w:t>mediante expediente No. 2018-01233 de 26 de septiembre de 2018 la Procuraduría Metropolitana realiza un alcance en razón de los informes presentados por la Agencia Metropolitana de, en cuya parte pertinente señala: “</w:t>
      </w:r>
      <w:r w:rsidRPr="00171894">
        <w:rPr>
          <w:rFonts w:ascii="Palatino Linotype" w:hAnsi="Palatino Linotype" w:cs="Times New Roman"/>
          <w:i/>
          <w:lang w:val="es-ES_tradnl"/>
        </w:rPr>
        <w:t>Los cuerpos normativos señalados no prevén imposibilidad o impedimento para el propietario de un predio para solicitar un trámite para autorización de un PUAE, cuando ha existido un procedimiento administrativo sancionador previo. Esto responde a la naturaleza jurídica dist</w:t>
      </w:r>
      <w:r>
        <w:rPr>
          <w:rFonts w:ascii="Palatino Linotype" w:hAnsi="Palatino Linotype" w:cs="Times New Roman"/>
          <w:i/>
          <w:lang w:val="es-ES_tradnl"/>
        </w:rPr>
        <w:t>inta de los dos procedimientos</w:t>
      </w:r>
      <w:r w:rsidRPr="00171894">
        <w:rPr>
          <w:rFonts w:ascii="Palatino Linotype" w:hAnsi="Palatino Linotype" w:cs="Times New Roman"/>
          <w:i/>
          <w:lang w:val="es-ES_tradnl"/>
        </w:rPr>
        <w:t>.</w:t>
      </w:r>
      <w:r>
        <w:rPr>
          <w:rFonts w:ascii="Palatino Linotype" w:hAnsi="Palatino Linotype" w:cs="Times New Roman"/>
          <w:i/>
          <w:lang w:val="es-ES_tradnl"/>
        </w:rPr>
        <w:t xml:space="preserve"> (…) Respecto </w:t>
      </w:r>
      <w:r w:rsidRPr="00171894">
        <w:rPr>
          <w:rFonts w:ascii="Palatino Linotype" w:hAnsi="Palatino Linotype" w:cs="Times New Roman"/>
          <w:i/>
          <w:lang w:val="es-ES_tradnl"/>
        </w:rPr>
        <w:t xml:space="preserve">al derrocamiento de los 500 m2 de construcción la Agencia Metropolitana de Control informa que técnicamente no es </w:t>
      </w:r>
      <w:r>
        <w:rPr>
          <w:rFonts w:ascii="Palatino Linotype" w:hAnsi="Palatino Linotype" w:cs="Times New Roman"/>
          <w:i/>
          <w:lang w:val="es-ES_tradnl"/>
        </w:rPr>
        <w:t>factible en razón que sobre los</w:t>
      </w:r>
      <w:r w:rsidRPr="00171894">
        <w:rPr>
          <w:rFonts w:ascii="Palatino Linotype" w:hAnsi="Palatino Linotype" w:cs="Times New Roman"/>
          <w:i/>
          <w:lang w:val="es-ES_tradnl"/>
        </w:rPr>
        <w:t xml:space="preserve"> 500 m</w:t>
      </w:r>
      <w:r w:rsidRPr="00171894">
        <w:rPr>
          <w:rFonts w:ascii="Palatino Linotype" w:hAnsi="Palatino Linotype" w:cs="Times New Roman"/>
          <w:i/>
          <w:vertAlign w:val="superscript"/>
          <w:lang w:val="es-ES_tradnl"/>
        </w:rPr>
        <w:t>2</w:t>
      </w:r>
      <w:r w:rsidRPr="00171894">
        <w:rPr>
          <w:rFonts w:ascii="Palatino Linotype" w:hAnsi="Palatino Linotype" w:cs="Times New Roman"/>
          <w:i/>
          <w:lang w:val="es-ES_tradnl"/>
        </w:rPr>
        <w:t xml:space="preserve"> se ha construido una edificación de 1500 m</w:t>
      </w:r>
      <w:r w:rsidRPr="00171894">
        <w:rPr>
          <w:rFonts w:ascii="Palatino Linotype" w:hAnsi="Palatino Linotype" w:cs="Times New Roman"/>
          <w:i/>
          <w:vertAlign w:val="superscript"/>
          <w:lang w:val="es-ES_tradnl"/>
        </w:rPr>
        <w:t>2</w:t>
      </w:r>
      <w:r w:rsidRPr="00171894">
        <w:rPr>
          <w:rFonts w:ascii="Palatino Linotype" w:hAnsi="Palatino Linotype" w:cs="Times New Roman"/>
          <w:i/>
          <w:lang w:val="es-ES_tradnl"/>
        </w:rPr>
        <w:t xml:space="preserve"> respecto de la cual se va a iniciar el proceso administrati</w:t>
      </w:r>
      <w:r>
        <w:rPr>
          <w:rFonts w:ascii="Palatino Linotype" w:hAnsi="Palatino Linotype" w:cs="Times New Roman"/>
          <w:i/>
          <w:lang w:val="es-ES_tradnl"/>
        </w:rPr>
        <w:t xml:space="preserve">vo sancionador correspondiente. (…) </w:t>
      </w:r>
      <w:r w:rsidRPr="00171894">
        <w:rPr>
          <w:rFonts w:ascii="Palatino Linotype" w:hAnsi="Palatino Linotype" w:cs="Times New Roman"/>
          <w:i/>
          <w:lang w:val="es-ES_tradnl"/>
        </w:rPr>
        <w:t xml:space="preserve">Es por este principio de legalidad del proceso administrativo que en el proyecto de ordenanza del PUAE </w:t>
      </w:r>
      <w:proofErr w:type="spellStart"/>
      <w:r w:rsidRPr="00171894">
        <w:rPr>
          <w:rFonts w:ascii="Palatino Linotype" w:hAnsi="Palatino Linotype" w:cs="Times New Roman"/>
          <w:i/>
          <w:lang w:val="es-ES_tradnl"/>
        </w:rPr>
        <w:t>Holiday</w:t>
      </w:r>
      <w:proofErr w:type="spellEnd"/>
      <w:r w:rsidRPr="00171894">
        <w:rPr>
          <w:rFonts w:ascii="Palatino Linotype" w:hAnsi="Palatino Linotype" w:cs="Times New Roman"/>
          <w:i/>
          <w:lang w:val="es-ES_tradnl"/>
        </w:rPr>
        <w:t xml:space="preserve"> </w:t>
      </w:r>
      <w:proofErr w:type="spellStart"/>
      <w:r w:rsidRPr="00171894">
        <w:rPr>
          <w:rFonts w:ascii="Palatino Linotype" w:hAnsi="Palatino Linotype" w:cs="Times New Roman"/>
          <w:i/>
          <w:lang w:val="es-ES_tradnl"/>
        </w:rPr>
        <w:t>Inn</w:t>
      </w:r>
      <w:proofErr w:type="spellEnd"/>
      <w:r w:rsidRPr="00171894">
        <w:rPr>
          <w:rFonts w:ascii="Palatino Linotype" w:hAnsi="Palatino Linotype" w:cs="Times New Roman"/>
          <w:i/>
          <w:lang w:val="es-ES_tradnl"/>
        </w:rPr>
        <w:t xml:space="preserve"> Hotel </w:t>
      </w:r>
      <w:proofErr w:type="spellStart"/>
      <w:r w:rsidRPr="00171894">
        <w:rPr>
          <w:rFonts w:ascii="Palatino Linotype" w:hAnsi="Palatino Linotype" w:cs="Times New Roman"/>
          <w:i/>
          <w:lang w:val="es-ES_tradnl"/>
        </w:rPr>
        <w:t>Airport</w:t>
      </w:r>
      <w:proofErr w:type="spellEnd"/>
      <w:r w:rsidRPr="00171894">
        <w:rPr>
          <w:rFonts w:ascii="Palatino Linotype" w:hAnsi="Palatino Linotype" w:cs="Times New Roman"/>
          <w:i/>
          <w:lang w:val="es-ES_tradnl"/>
        </w:rPr>
        <w:t xml:space="preserve">, se incorporó una disposición que establece que el proyecto del PUAE se aprueba sin perjuicio de los procedimientos administrativos que se hayan iniciado, ya que al ser de dos </w:t>
      </w:r>
      <w:r w:rsidRPr="00171894">
        <w:rPr>
          <w:rFonts w:ascii="Palatino Linotype" w:hAnsi="Palatino Linotype" w:cs="Times New Roman"/>
          <w:i/>
          <w:lang w:val="es-ES_tradnl"/>
        </w:rPr>
        <w:lastRenderedPageBreak/>
        <w:t>procedimientos distintos (i) la aprobación del PUAE y (ii) el tema sancionatorio, es pertinente que el Concejo Metropolitano, al aprobar un PUAE, deje a salvo la competencia de la Agencia Metropolitana de Control para que se actúe en el marco constitucional, legal y</w:t>
      </w:r>
      <w:r>
        <w:rPr>
          <w:rFonts w:ascii="Palatino Linotype" w:hAnsi="Palatino Linotype" w:cs="Times New Roman"/>
          <w:i/>
          <w:lang w:val="es-ES_tradnl"/>
        </w:rPr>
        <w:t xml:space="preserve"> municipal que le corresponde”</w:t>
      </w:r>
      <w:r w:rsidRPr="00171894">
        <w:rPr>
          <w:rFonts w:ascii="Palatino Linotype" w:hAnsi="Palatino Linotype" w:cs="Times New Roman"/>
          <w:lang w:val="es-ES_tradnl"/>
        </w:rPr>
        <w:t>;</w:t>
      </w:r>
    </w:p>
    <w:p w14:paraId="58C3A9D6" w14:textId="77777777" w:rsidR="00171894" w:rsidRDefault="00171894" w:rsidP="00171894">
      <w:pPr>
        <w:suppressAutoHyphens/>
        <w:spacing w:after="120"/>
        <w:ind w:left="567" w:hanging="567"/>
        <w:rPr>
          <w:rFonts w:ascii="Palatino Linotype" w:hAnsi="Palatino Linotype" w:cs="Times New Roman"/>
          <w:lang w:val="es-ES_tradnl"/>
        </w:rPr>
      </w:pPr>
      <w:r w:rsidRPr="00171894">
        <w:rPr>
          <w:rFonts w:ascii="Palatino Linotype" w:hAnsi="Palatino Linotype" w:cs="Times New Roman"/>
          <w:b/>
          <w:lang w:val="es-ES_tradnl"/>
        </w:rPr>
        <w:t>Que,</w:t>
      </w:r>
      <w:r w:rsidRPr="00171894">
        <w:rPr>
          <w:rFonts w:ascii="Palatino Linotype" w:hAnsi="Palatino Linotype" w:cs="Times New Roman"/>
          <w:lang w:val="es-ES_tradnl"/>
        </w:rPr>
        <w:tab/>
        <w:t>mediante expediente PRO No. 2018-01233 de 12 de octubre de 2018</w:t>
      </w:r>
      <w:r>
        <w:rPr>
          <w:rFonts w:ascii="Palatino Linotype" w:hAnsi="Palatino Linotype" w:cs="Times New Roman"/>
          <w:lang w:val="es-ES_tradnl"/>
        </w:rPr>
        <w:t>,</w:t>
      </w:r>
      <w:r w:rsidRPr="00171894">
        <w:rPr>
          <w:rFonts w:ascii="Palatino Linotype" w:hAnsi="Palatino Linotype" w:cs="Times New Roman"/>
          <w:lang w:val="es-ES_tradnl"/>
        </w:rPr>
        <w:t xml:space="preserve"> la Procuraduría Metropolitana emite un informe ampliatorio, en atención a lo dispuesto por los Concejales Sergio Garnica, Presidente de la Comisión de Uso de Suelo</w:t>
      </w:r>
      <w:r>
        <w:rPr>
          <w:rFonts w:ascii="Palatino Linotype" w:hAnsi="Palatino Linotype" w:cs="Times New Roman"/>
          <w:lang w:val="es-ES_tradnl"/>
        </w:rPr>
        <w:t>,</w:t>
      </w:r>
      <w:r w:rsidRPr="00171894">
        <w:rPr>
          <w:rFonts w:ascii="Palatino Linotype" w:hAnsi="Palatino Linotype" w:cs="Times New Roman"/>
          <w:lang w:val="es-ES_tradnl"/>
        </w:rPr>
        <w:t xml:space="preserve"> y Jorge </w:t>
      </w:r>
      <w:r w:rsidRPr="00171894">
        <w:rPr>
          <w:rFonts w:ascii="Palatino Linotype" w:hAnsi="Palatino Linotype" w:cs="Times New Roman"/>
          <w:lang w:val="es-ES_tradnl"/>
        </w:rPr>
        <w:t>Albán</w:t>
      </w:r>
      <w:r w:rsidRPr="00171894">
        <w:rPr>
          <w:rFonts w:ascii="Palatino Linotype" w:hAnsi="Palatino Linotype" w:cs="Times New Roman"/>
          <w:lang w:val="es-ES_tradnl"/>
        </w:rPr>
        <w:t>, Vicepresidente de la Comisión de Uso de Suelo</w:t>
      </w:r>
      <w:r>
        <w:rPr>
          <w:rFonts w:ascii="Palatino Linotype" w:hAnsi="Palatino Linotype" w:cs="Times New Roman"/>
          <w:lang w:val="es-ES_tradnl"/>
        </w:rPr>
        <w:t>,</w:t>
      </w:r>
      <w:r w:rsidRPr="00171894">
        <w:rPr>
          <w:rFonts w:ascii="Palatino Linotype" w:hAnsi="Palatino Linotype" w:cs="Times New Roman"/>
          <w:lang w:val="es-ES_tradnl"/>
        </w:rPr>
        <w:t xml:space="preserve"> mediante oficio No. 400 SGO-CMQ-2018 de 11 de octubre de 2018, mediante el cual solicitan se amplíe el criterio legal emi</w:t>
      </w:r>
      <w:r>
        <w:rPr>
          <w:rFonts w:ascii="Palatino Linotype" w:hAnsi="Palatino Linotype" w:cs="Times New Roman"/>
          <w:lang w:val="es-ES_tradnl"/>
        </w:rPr>
        <w:t>tido con fecha 26 de septiembre,</w:t>
      </w:r>
      <w:r w:rsidRPr="00171894">
        <w:rPr>
          <w:rFonts w:ascii="Palatino Linotype" w:hAnsi="Palatino Linotype" w:cs="Times New Roman"/>
          <w:lang w:val="es-ES_tradnl"/>
        </w:rPr>
        <w:t xml:space="preserve"> </w:t>
      </w:r>
      <w:r>
        <w:rPr>
          <w:rFonts w:ascii="Palatino Linotype" w:hAnsi="Palatino Linotype" w:cs="Times New Roman"/>
          <w:lang w:val="es-ES_tradnl"/>
        </w:rPr>
        <w:t>e</w:t>
      </w:r>
      <w:r w:rsidRPr="00171894">
        <w:rPr>
          <w:rFonts w:ascii="Palatino Linotype" w:hAnsi="Palatino Linotype" w:cs="Times New Roman"/>
          <w:lang w:val="es-ES_tradnl"/>
        </w:rPr>
        <w:t>l cual, en su parte pertinente</w:t>
      </w:r>
      <w:r>
        <w:rPr>
          <w:rFonts w:ascii="Palatino Linotype" w:hAnsi="Palatino Linotype" w:cs="Times New Roman"/>
          <w:lang w:val="es-ES_tradnl"/>
        </w:rPr>
        <w:t>,</w:t>
      </w:r>
      <w:r w:rsidRPr="00171894">
        <w:rPr>
          <w:rFonts w:ascii="Palatino Linotype" w:hAnsi="Palatino Linotype" w:cs="Times New Roman"/>
          <w:lang w:val="es-ES_tradnl"/>
        </w:rPr>
        <w:t xml:space="preserve"> señala: </w:t>
      </w:r>
      <w:r w:rsidRPr="00171894">
        <w:rPr>
          <w:rFonts w:ascii="Palatino Linotype" w:hAnsi="Palatino Linotype" w:cs="Times New Roman"/>
          <w:i/>
          <w:lang w:val="es-ES_tradnl"/>
        </w:rPr>
        <w:t>“En razón de expuesto, la aprobación del PUAE, no impide el inicio de un procedimiento administrativo sancionador, ni tampoco la ejecución de su sanción, así como tampoco implica el reconocimiento de construcciones informales, ni autorizaciones de usos no permitidos.</w:t>
      </w:r>
      <w:r>
        <w:rPr>
          <w:rFonts w:ascii="Palatino Linotype" w:hAnsi="Palatino Linotype" w:cs="Times New Roman"/>
          <w:i/>
          <w:lang w:val="es-ES_tradnl"/>
        </w:rPr>
        <w:t xml:space="preserve"> (…) </w:t>
      </w:r>
      <w:r w:rsidRPr="00171894">
        <w:rPr>
          <w:rFonts w:ascii="Palatino Linotype" w:hAnsi="Palatino Linotype" w:cs="Times New Roman"/>
          <w:i/>
          <w:lang w:val="es-ES_tradnl"/>
        </w:rPr>
        <w:t xml:space="preserve">Por ello se incluye en el proyecto </w:t>
      </w:r>
      <w:r>
        <w:rPr>
          <w:rFonts w:ascii="Palatino Linotype" w:hAnsi="Palatino Linotype" w:cs="Times New Roman"/>
          <w:i/>
          <w:lang w:val="es-ES_tradnl"/>
        </w:rPr>
        <w:t xml:space="preserve">de ordenanza de PUAE </w:t>
      </w:r>
      <w:proofErr w:type="spellStart"/>
      <w:r>
        <w:rPr>
          <w:rFonts w:ascii="Palatino Linotype" w:hAnsi="Palatino Linotype" w:cs="Times New Roman"/>
          <w:i/>
          <w:lang w:val="es-ES_tradnl"/>
        </w:rPr>
        <w:t>Holiday</w:t>
      </w:r>
      <w:proofErr w:type="spellEnd"/>
      <w:r>
        <w:rPr>
          <w:rFonts w:ascii="Palatino Linotype" w:hAnsi="Palatino Linotype" w:cs="Times New Roman"/>
          <w:i/>
          <w:lang w:val="es-ES_tradnl"/>
        </w:rPr>
        <w:t xml:space="preserve"> </w:t>
      </w:r>
      <w:proofErr w:type="spellStart"/>
      <w:r>
        <w:rPr>
          <w:rFonts w:ascii="Palatino Linotype" w:hAnsi="Palatino Linotype" w:cs="Times New Roman"/>
          <w:i/>
          <w:lang w:val="es-ES_tradnl"/>
        </w:rPr>
        <w:t>Inn</w:t>
      </w:r>
      <w:proofErr w:type="spellEnd"/>
      <w:r w:rsidRPr="00171894">
        <w:rPr>
          <w:rFonts w:ascii="Palatino Linotype" w:hAnsi="Palatino Linotype" w:cs="Times New Roman"/>
          <w:i/>
          <w:lang w:val="es-ES_tradnl"/>
        </w:rPr>
        <w:t xml:space="preserve">, la Disposición General Segunda que establece que la </w:t>
      </w:r>
      <w:r>
        <w:rPr>
          <w:rFonts w:ascii="Palatino Linotype" w:hAnsi="Palatino Linotype" w:cs="Times New Roman"/>
          <w:i/>
          <w:lang w:val="es-ES_tradnl"/>
        </w:rPr>
        <w:t>aprobación de</w:t>
      </w:r>
      <w:r w:rsidRPr="00171894">
        <w:rPr>
          <w:rFonts w:ascii="Palatino Linotype" w:hAnsi="Palatino Linotype" w:cs="Times New Roman"/>
          <w:i/>
          <w:lang w:val="es-ES_tradnl"/>
        </w:rPr>
        <w:t xml:space="preserve"> la ordenanza del PUAE mencionado, no conlleva la extinción de los expedientes sancionadores que estuvieren vigentes o pendientes de resolver para el lote donde se desarrolla el proyecto.”</w:t>
      </w:r>
      <w:r>
        <w:rPr>
          <w:rFonts w:ascii="Palatino Linotype" w:hAnsi="Palatino Linotype" w:cs="Times New Roman"/>
          <w:lang w:val="es-ES_tradnl"/>
        </w:rPr>
        <w:t>;</w:t>
      </w:r>
    </w:p>
    <w:p w14:paraId="1E0AB60B" w14:textId="77777777" w:rsidR="0085637A" w:rsidRDefault="00171894" w:rsidP="0085637A">
      <w:pPr>
        <w:suppressAutoHyphens/>
        <w:spacing w:after="120"/>
        <w:ind w:left="567" w:hanging="567"/>
        <w:rPr>
          <w:rFonts w:ascii="Palatino Linotype" w:hAnsi="Palatino Linotype" w:cs="Times New Roman"/>
          <w:lang w:val="es-ES_tradnl"/>
        </w:rPr>
      </w:pPr>
      <w:r w:rsidRPr="00171894">
        <w:rPr>
          <w:rFonts w:ascii="Palatino Linotype" w:hAnsi="Palatino Linotype" w:cs="Times New Roman"/>
          <w:b/>
          <w:lang w:val="es-ES_tradnl"/>
        </w:rPr>
        <w:t xml:space="preserve">Que, </w:t>
      </w:r>
      <w:r w:rsidRPr="00171894">
        <w:rPr>
          <w:rFonts w:ascii="Palatino Linotype" w:hAnsi="Palatino Linotype" w:cs="Times New Roman"/>
          <w:lang w:val="es-ES_tradnl"/>
        </w:rPr>
        <w:tab/>
        <w:t xml:space="preserve">el Concejo Metropolitano de Quito en sesión extraordinaria de 12 de octubre de 2018, resolvió suspender el debate del proyecto de Ordenanza del PUAE </w:t>
      </w:r>
      <w:proofErr w:type="spellStart"/>
      <w:r w:rsidRPr="00171894">
        <w:rPr>
          <w:rFonts w:ascii="Palatino Linotype" w:hAnsi="Palatino Linotype" w:cs="Times New Roman"/>
          <w:lang w:val="es-ES_tradnl"/>
        </w:rPr>
        <w:t>Holiday</w:t>
      </w:r>
      <w:proofErr w:type="spellEnd"/>
      <w:r w:rsidRPr="00171894">
        <w:rPr>
          <w:rFonts w:ascii="Palatino Linotype" w:hAnsi="Palatino Linotype" w:cs="Times New Roman"/>
          <w:lang w:val="es-ES_tradnl"/>
        </w:rPr>
        <w:t xml:space="preserve"> </w:t>
      </w:r>
      <w:proofErr w:type="spellStart"/>
      <w:r w:rsidRPr="00171894">
        <w:rPr>
          <w:rFonts w:ascii="Palatino Linotype" w:hAnsi="Palatino Linotype" w:cs="Times New Roman"/>
          <w:lang w:val="es-ES_tradnl"/>
        </w:rPr>
        <w:t>Inn</w:t>
      </w:r>
      <w:proofErr w:type="spellEnd"/>
      <w:r w:rsidRPr="00171894">
        <w:rPr>
          <w:rFonts w:ascii="Palatino Linotype" w:hAnsi="Palatino Linotype" w:cs="Times New Roman"/>
          <w:lang w:val="es-ES_tradnl"/>
        </w:rPr>
        <w:t xml:space="preserve"> y devolver el expediente a la Comisión de Uso de Suelo hasta que la A</w:t>
      </w:r>
      <w:r w:rsidR="0085637A">
        <w:rPr>
          <w:rFonts w:ascii="Palatino Linotype" w:hAnsi="Palatino Linotype" w:cs="Times New Roman"/>
          <w:lang w:val="es-ES_tradnl"/>
        </w:rPr>
        <w:t xml:space="preserve">gencia </w:t>
      </w:r>
      <w:r w:rsidRPr="00171894">
        <w:rPr>
          <w:rFonts w:ascii="Palatino Linotype" w:hAnsi="Palatino Linotype" w:cs="Times New Roman"/>
          <w:lang w:val="es-ES_tradnl"/>
        </w:rPr>
        <w:t>M</w:t>
      </w:r>
      <w:r w:rsidR="0085637A">
        <w:rPr>
          <w:rFonts w:ascii="Palatino Linotype" w:hAnsi="Palatino Linotype" w:cs="Times New Roman"/>
          <w:lang w:val="es-ES_tradnl"/>
        </w:rPr>
        <w:t xml:space="preserve">etropolitana de </w:t>
      </w:r>
      <w:r w:rsidRPr="00171894">
        <w:rPr>
          <w:rFonts w:ascii="Palatino Linotype" w:hAnsi="Palatino Linotype" w:cs="Times New Roman"/>
          <w:lang w:val="es-ES_tradnl"/>
        </w:rPr>
        <w:t>C</w:t>
      </w:r>
      <w:r w:rsidR="0085637A">
        <w:rPr>
          <w:rFonts w:ascii="Palatino Linotype" w:hAnsi="Palatino Linotype" w:cs="Times New Roman"/>
          <w:lang w:val="es-ES_tradnl"/>
        </w:rPr>
        <w:t>ontrol</w:t>
      </w:r>
      <w:r w:rsidRPr="00171894">
        <w:rPr>
          <w:rFonts w:ascii="Palatino Linotype" w:hAnsi="Palatino Linotype" w:cs="Times New Roman"/>
          <w:lang w:val="es-ES_tradnl"/>
        </w:rPr>
        <w:t xml:space="preserve"> emita su informe sobre la resolución de los expedientes administrativos sanciona</w:t>
      </w:r>
      <w:r w:rsidR="0085637A">
        <w:rPr>
          <w:rFonts w:ascii="Palatino Linotype" w:hAnsi="Palatino Linotype" w:cs="Times New Roman"/>
          <w:lang w:val="es-ES_tradnl"/>
        </w:rPr>
        <w:t>dores dentro del presente caso;</w:t>
      </w:r>
    </w:p>
    <w:p w14:paraId="6D23A1A6" w14:textId="77777777" w:rsidR="0085637A" w:rsidRDefault="0085637A" w:rsidP="0085637A">
      <w:pPr>
        <w:suppressAutoHyphens/>
        <w:spacing w:after="120"/>
        <w:ind w:left="567" w:hanging="567"/>
        <w:rPr>
          <w:rFonts w:ascii="Palatino Linotype" w:hAnsi="Palatino Linotype" w:cs="Times New Roman"/>
          <w:lang w:val="es-ES_tradnl"/>
        </w:rPr>
      </w:pPr>
      <w:r>
        <w:rPr>
          <w:rFonts w:ascii="Palatino Linotype" w:hAnsi="Palatino Linotype" w:cs="Times New Roman"/>
          <w:b/>
          <w:lang w:val="es-ES_tradnl"/>
        </w:rPr>
        <w:t>Que,</w:t>
      </w:r>
      <w:r>
        <w:rPr>
          <w:rFonts w:ascii="Palatino Linotype" w:hAnsi="Palatino Linotype" w:cs="Times New Roman"/>
          <w:b/>
          <w:lang w:val="es-ES_tradnl"/>
        </w:rPr>
        <w:tab/>
      </w:r>
      <w:r w:rsidR="00171894" w:rsidRPr="00171894">
        <w:rPr>
          <w:rFonts w:ascii="Palatino Linotype" w:hAnsi="Palatino Linotype" w:cs="Times New Roman"/>
          <w:lang w:val="es-ES_tradnl"/>
        </w:rPr>
        <w:t xml:space="preserve">mediante oficio No. AMC-SM-JLA-2018-587 de 31 de octubre de 2018, a fojas, 785 a 790 del expediente el Dr. José Luis Aguilar Hernández, </w:t>
      </w:r>
      <w:r>
        <w:rPr>
          <w:rFonts w:ascii="Palatino Linotype" w:hAnsi="Palatino Linotype" w:cs="Times New Roman"/>
          <w:lang w:val="es-ES_tradnl"/>
        </w:rPr>
        <w:t xml:space="preserve">ex </w:t>
      </w:r>
      <w:r w:rsidR="00171894" w:rsidRPr="00171894">
        <w:rPr>
          <w:rFonts w:ascii="Palatino Linotype" w:hAnsi="Palatino Linotype" w:cs="Times New Roman"/>
          <w:lang w:val="es-ES_tradnl"/>
        </w:rPr>
        <w:t xml:space="preserve">Supervisor Metropolitano de la Agencia Metropolitana de Control, indica: </w:t>
      </w:r>
      <w:r w:rsidR="00171894" w:rsidRPr="00171894">
        <w:rPr>
          <w:rFonts w:ascii="Palatino Linotype" w:hAnsi="Palatino Linotype" w:cs="Times New Roman"/>
          <w:i/>
          <w:lang w:val="es-ES_tradnl"/>
        </w:rPr>
        <w:t>“En este nuevo expediente administrativo sancionador No. AMC-UDCMCL-ZAY-200-2018, seguido en contra del FIDEICOMISO MERCANTIL HOTEL AEROPUERTO QUITO, sí se ha ordenado la medida provisional y cautelar de suspensión de obra conforme consta en los antecedentes expuestos.”</w:t>
      </w:r>
      <w:r>
        <w:rPr>
          <w:rFonts w:ascii="Palatino Linotype" w:hAnsi="Palatino Linotype" w:cs="Times New Roman"/>
          <w:lang w:val="es-ES_tradnl"/>
        </w:rPr>
        <w:t>;</w:t>
      </w:r>
    </w:p>
    <w:p w14:paraId="4F91F869" w14:textId="4193EFFA" w:rsidR="0085637A" w:rsidRDefault="00171894" w:rsidP="0085637A">
      <w:pPr>
        <w:suppressAutoHyphens/>
        <w:spacing w:after="120"/>
        <w:ind w:left="567" w:hanging="567"/>
        <w:rPr>
          <w:rFonts w:ascii="Palatino Linotype" w:hAnsi="Palatino Linotype" w:cs="Times New Roman"/>
          <w:lang w:val="es-ES_tradnl"/>
        </w:rPr>
      </w:pPr>
      <w:r w:rsidRPr="0085637A">
        <w:rPr>
          <w:rFonts w:ascii="Palatino Linotype" w:hAnsi="Palatino Linotype" w:cs="Times New Roman"/>
          <w:b/>
          <w:lang w:val="es-ES_tradnl"/>
        </w:rPr>
        <w:t xml:space="preserve">Que, </w:t>
      </w:r>
      <w:r w:rsidRPr="00171894">
        <w:rPr>
          <w:rFonts w:ascii="Palatino Linotype" w:hAnsi="Palatino Linotype" w:cs="Times New Roman"/>
          <w:lang w:val="es-ES_tradnl"/>
        </w:rPr>
        <w:t>mediante oficio No. AMC-SM-DC-2018-151 de 28 de noviembre de 2018, a fojas, 806 a 8012 del expediente el Ab. David Chávez Llerena, Supervisor Metropolitano de la AMC, indica</w:t>
      </w:r>
      <w:r w:rsidR="0085637A">
        <w:rPr>
          <w:rFonts w:ascii="Palatino Linotype" w:hAnsi="Palatino Linotype" w:cs="Times New Roman"/>
          <w:lang w:val="es-ES_tradnl"/>
        </w:rPr>
        <w:t xml:space="preserve">: </w:t>
      </w:r>
      <w:r w:rsidRPr="00171894">
        <w:rPr>
          <w:rFonts w:ascii="Palatino Linotype" w:hAnsi="Palatino Linotype" w:cs="Times New Roman"/>
          <w:i/>
          <w:lang w:val="es-ES_tradnl"/>
        </w:rPr>
        <w:t>“La Agencia Metropolitana de Control, dentro del expediente administrativo No. AMC-UDCMCL-ZAY-200-2018, previo a dar inicio al procedimiento de ejecución, se encuentra a la espera del trascurso del término de 30 días para que el FIDEICOMISO MERCANTIL HOTEL AEROPUERTO QUITO presente la LMU</w:t>
      </w:r>
      <w:r w:rsidR="0085637A">
        <w:rPr>
          <w:rFonts w:ascii="Palatino Linotype" w:hAnsi="Palatino Linotype" w:cs="Times New Roman"/>
          <w:i/>
          <w:lang w:val="es-ES_tradnl"/>
        </w:rPr>
        <w:t xml:space="preserve"> </w:t>
      </w:r>
      <w:r w:rsidRPr="00171894">
        <w:rPr>
          <w:rFonts w:ascii="Palatino Linotype" w:hAnsi="Palatino Linotype" w:cs="Times New Roman"/>
          <w:i/>
          <w:lang w:val="es-ES_tradnl"/>
        </w:rPr>
        <w:t>20 que justifique el proceso constructivo realizado en el predio No. 5785946, caso contrario se ordenarán las remediaciones dispuestas en la Ordenanza Metropolitana No.</w:t>
      </w:r>
      <w:r w:rsidR="0085637A">
        <w:rPr>
          <w:rFonts w:ascii="Palatino Linotype" w:hAnsi="Palatino Linotype" w:cs="Times New Roman"/>
          <w:i/>
          <w:lang w:val="es-ES_tradnl"/>
        </w:rPr>
        <w:t xml:space="preserve"> 432, artículo 136, literal c). (…) </w:t>
      </w:r>
      <w:r w:rsidRPr="00171894">
        <w:rPr>
          <w:rFonts w:ascii="Palatino Linotype" w:hAnsi="Palatino Linotype" w:cs="Times New Roman"/>
          <w:i/>
          <w:lang w:val="es-ES_tradnl"/>
        </w:rPr>
        <w:t xml:space="preserve">En este nuevo expediente administrativo sancionador No. AMC-UDCMCL-ZAY-200-2018, seguido en contra del FIDEICOMISO MERCANTIL HOTEL AEROPUERTO QUITO, sí </w:t>
      </w:r>
      <w:r w:rsidRPr="00171894">
        <w:rPr>
          <w:rFonts w:ascii="Palatino Linotype" w:hAnsi="Palatino Linotype" w:cs="Times New Roman"/>
          <w:i/>
          <w:lang w:val="es-ES_tradnl"/>
        </w:rPr>
        <w:lastRenderedPageBreak/>
        <w:t>se ha ordenado la medida provisional y cautelar de suspensión de obra conforme consta en los antecedentes expuestos, misma que fue ratificada en la Resolución No. AMC-DRYE-MA-2018-4067 de 26 de noviembre de 2018, suscrita por la Funcionaria Decisora de la Dirección de Resolución y Ejecución de la AMC.”</w:t>
      </w:r>
      <w:r w:rsidR="0085637A">
        <w:rPr>
          <w:rFonts w:ascii="Palatino Linotype" w:hAnsi="Palatino Linotype" w:cs="Times New Roman"/>
          <w:lang w:val="es-ES_tradnl"/>
        </w:rPr>
        <w:t>; y,</w:t>
      </w:r>
    </w:p>
    <w:p w14:paraId="74C02A21" w14:textId="44320FB9" w:rsidR="00171894" w:rsidRPr="0075637E" w:rsidRDefault="00171894" w:rsidP="0085637A">
      <w:pPr>
        <w:suppressAutoHyphens/>
        <w:spacing w:after="120"/>
        <w:ind w:left="567" w:hanging="567"/>
        <w:rPr>
          <w:rFonts w:ascii="Palatino Linotype" w:hAnsi="Palatino Linotype" w:cs="Times New Roman"/>
          <w:lang w:val="es-ES_tradnl"/>
        </w:rPr>
      </w:pPr>
      <w:r w:rsidRPr="0085637A">
        <w:rPr>
          <w:rFonts w:ascii="Palatino Linotype" w:hAnsi="Palatino Linotype" w:cs="Times New Roman"/>
          <w:b/>
          <w:lang w:val="es-ES_tradnl"/>
        </w:rPr>
        <w:t>Que,</w:t>
      </w:r>
      <w:r w:rsidRPr="00171894">
        <w:rPr>
          <w:rFonts w:ascii="Palatino Linotype" w:hAnsi="Palatino Linotype" w:cs="Times New Roman"/>
          <w:lang w:val="es-ES_tradnl"/>
        </w:rPr>
        <w:tab/>
        <w:t>mediante informe No. IC-O-2018-392 de 4 de diciembre de 2018, la Secretaría General del Concejo Metropolitano emite el DICTAMEN FAVORABLE de la Comisión de Uso de Suelo respecto al PUAE HOLIDAY INN para conocimiento del Concejo Metropolitano de Quito.</w:t>
      </w:r>
    </w:p>
    <w:p w14:paraId="458F9D5F" w14:textId="6D16DAB6" w:rsidR="008A14E1" w:rsidRPr="0085637A" w:rsidRDefault="008A14E1" w:rsidP="00694D76">
      <w:pPr>
        <w:spacing w:after="120"/>
        <w:rPr>
          <w:rFonts w:ascii="Palatino Linotype" w:hAnsi="Palatino Linotype"/>
          <w:b/>
          <w:noProof/>
        </w:rPr>
      </w:pPr>
      <w:r w:rsidRPr="0085637A">
        <w:rPr>
          <w:rFonts w:ascii="Palatino Linotype" w:hAnsi="Palatino Linotype"/>
          <w:b/>
          <w:noProof/>
        </w:rPr>
        <w:t>En ejercicio de sus atribuciones constantes en el numeral 1 de los artículos 240 y 264 de la Constitución de la República</w:t>
      </w:r>
      <w:r w:rsidR="004F2A6D" w:rsidRPr="0085637A">
        <w:rPr>
          <w:rFonts w:ascii="Palatino Linotype" w:hAnsi="Palatino Linotype"/>
          <w:b/>
          <w:noProof/>
        </w:rPr>
        <w:t xml:space="preserve"> </w:t>
      </w:r>
      <w:r w:rsidR="002E2CA2" w:rsidRPr="0085637A">
        <w:rPr>
          <w:rFonts w:ascii="Palatino Linotype" w:hAnsi="Palatino Linotype"/>
          <w:b/>
          <w:noProof/>
        </w:rPr>
        <w:t>del Ecuador; 54,  57 literales</w:t>
      </w:r>
      <w:r w:rsidRPr="0085637A">
        <w:rPr>
          <w:rFonts w:ascii="Palatino Linotype" w:hAnsi="Palatino Linotype"/>
          <w:b/>
          <w:noProof/>
        </w:rPr>
        <w:t xml:space="preserve"> a) y x)</w:t>
      </w:r>
      <w:r w:rsidR="002E2CA2" w:rsidRPr="0085637A">
        <w:rPr>
          <w:rFonts w:ascii="Palatino Linotype" w:hAnsi="Palatino Linotype"/>
          <w:b/>
          <w:noProof/>
        </w:rPr>
        <w:t xml:space="preserve"> y 87 literales a) y v),</w:t>
      </w:r>
      <w:r w:rsidRPr="0085637A">
        <w:rPr>
          <w:rFonts w:ascii="Palatino Linotype" w:hAnsi="Palatino Linotype"/>
          <w:b/>
          <w:noProof/>
        </w:rPr>
        <w:t xml:space="preserve"> del Código Orgánico de Organización Territorial, Autonomía y Descentralización; y,</w:t>
      </w:r>
      <w:r w:rsidR="004F2A6D" w:rsidRPr="0085637A">
        <w:rPr>
          <w:rFonts w:ascii="Palatino Linotype" w:hAnsi="Palatino Linotype"/>
          <w:b/>
          <w:noProof/>
        </w:rPr>
        <w:t xml:space="preserve"> </w:t>
      </w:r>
      <w:r w:rsidRPr="0085637A">
        <w:rPr>
          <w:rFonts w:ascii="Palatino Linotype" w:hAnsi="Palatino Linotype"/>
          <w:b/>
          <w:noProof/>
        </w:rPr>
        <w:t>artículo 26 de la Ordenanza Metropolitana No. 172,</w:t>
      </w:r>
    </w:p>
    <w:p w14:paraId="4233C21B" w14:textId="67CD2A11" w:rsidR="00B46D85" w:rsidRPr="00694D76" w:rsidRDefault="00B46D85" w:rsidP="00694D76">
      <w:pPr>
        <w:spacing w:after="120"/>
        <w:jc w:val="center"/>
        <w:rPr>
          <w:rFonts w:ascii="Palatino Linotype" w:hAnsi="Palatino Linotype" w:cs="Times New Roman"/>
          <w:b/>
        </w:rPr>
      </w:pPr>
      <w:r w:rsidRPr="00694D76">
        <w:rPr>
          <w:rFonts w:ascii="Palatino Linotype" w:hAnsi="Palatino Linotype" w:cs="Times New Roman"/>
          <w:b/>
        </w:rPr>
        <w:t>EXPIDE</w:t>
      </w:r>
      <w:r w:rsidR="0085637A">
        <w:rPr>
          <w:rFonts w:ascii="Palatino Linotype" w:hAnsi="Palatino Linotype" w:cs="Times New Roman"/>
          <w:b/>
        </w:rPr>
        <w:t xml:space="preserve"> LA SIGUIENTE</w:t>
      </w:r>
      <w:r w:rsidRPr="00694D76">
        <w:rPr>
          <w:rFonts w:ascii="Palatino Linotype" w:hAnsi="Palatino Linotype" w:cs="Times New Roman"/>
          <w:b/>
        </w:rPr>
        <w:t>:</w:t>
      </w:r>
    </w:p>
    <w:p w14:paraId="62F02048" w14:textId="2D83022E" w:rsidR="0039607F" w:rsidRPr="0085637A" w:rsidRDefault="00800E04" w:rsidP="0085637A">
      <w:pPr>
        <w:pStyle w:val="Sinespaciado"/>
        <w:spacing w:after="120" w:line="276" w:lineRule="auto"/>
        <w:jc w:val="center"/>
        <w:rPr>
          <w:rFonts w:ascii="Palatino Linotype" w:hAnsi="Palatino Linotype" w:cs="Times New Roman"/>
          <w:lang w:val="es-EC"/>
        </w:rPr>
      </w:pPr>
      <w:r w:rsidRPr="00694D76">
        <w:rPr>
          <w:rFonts w:ascii="Palatino Linotype" w:hAnsi="Palatino Linotype" w:cs="Times New Roman"/>
          <w:b/>
        </w:rPr>
        <w:t>ORDENANZA DEL PROYECTO URBAN</w:t>
      </w:r>
      <w:r w:rsidR="00F826CA" w:rsidRPr="00694D76">
        <w:rPr>
          <w:rFonts w:ascii="Palatino Linotype" w:hAnsi="Palatino Linotype" w:cs="Times New Roman"/>
          <w:b/>
        </w:rPr>
        <w:t>ÍSTICO</w:t>
      </w:r>
      <w:r w:rsidR="001A5E87" w:rsidRPr="00694D76">
        <w:rPr>
          <w:rFonts w:ascii="Palatino Linotype" w:hAnsi="Palatino Linotype" w:cs="Times New Roman"/>
          <w:b/>
        </w:rPr>
        <w:t xml:space="preserve"> </w:t>
      </w:r>
      <w:r w:rsidRPr="00694D76">
        <w:rPr>
          <w:rFonts w:ascii="Palatino Linotype" w:hAnsi="Palatino Linotype" w:cs="Times New Roman"/>
          <w:b/>
        </w:rPr>
        <w:t>ARQUITECTÓNICO ESPECIAL</w:t>
      </w:r>
      <w:r w:rsidR="0085637A">
        <w:rPr>
          <w:rFonts w:ascii="Palatino Linotype" w:hAnsi="Palatino Linotype" w:cs="Times New Roman"/>
          <w:b/>
        </w:rPr>
        <w:t xml:space="preserve"> </w:t>
      </w:r>
      <w:r w:rsidRPr="0085637A">
        <w:rPr>
          <w:rFonts w:ascii="Palatino Linotype" w:hAnsi="Palatino Linotype" w:cs="Times New Roman"/>
          <w:b/>
          <w:lang w:val="es-EC"/>
        </w:rPr>
        <w:t>“</w:t>
      </w:r>
      <w:r w:rsidR="00F15EC7" w:rsidRPr="0085637A">
        <w:rPr>
          <w:rFonts w:ascii="Palatino Linotype" w:hAnsi="Palatino Linotype" w:cs="Times New Roman"/>
          <w:b/>
          <w:lang w:val="es-EC"/>
        </w:rPr>
        <w:t>HOTEL HOLIDAY INN</w:t>
      </w:r>
      <w:r w:rsidR="00A737DD" w:rsidRPr="0085637A">
        <w:rPr>
          <w:rFonts w:ascii="Palatino Linotype" w:hAnsi="Palatino Linotype" w:cs="Times New Roman"/>
          <w:b/>
          <w:lang w:val="es-EC"/>
        </w:rPr>
        <w:t xml:space="preserve"> QUITO</w:t>
      </w:r>
      <w:r w:rsidR="00AA470A" w:rsidRPr="0085637A">
        <w:rPr>
          <w:rFonts w:ascii="Palatino Linotype" w:hAnsi="Palatino Linotype" w:cs="Times New Roman"/>
          <w:b/>
          <w:lang w:val="es-EC"/>
        </w:rPr>
        <w:t xml:space="preserve"> AIRPORT</w:t>
      </w:r>
      <w:r w:rsidR="0039607F" w:rsidRPr="0085637A">
        <w:rPr>
          <w:rFonts w:ascii="Palatino Linotype" w:hAnsi="Palatino Linotype" w:cs="Times New Roman"/>
          <w:b/>
          <w:lang w:val="es-EC"/>
        </w:rPr>
        <w:t>”</w:t>
      </w:r>
      <w:r w:rsidR="000779AC" w:rsidRPr="0085637A">
        <w:rPr>
          <w:rFonts w:ascii="Palatino Linotype" w:hAnsi="Palatino Linotype" w:cs="Times New Roman"/>
          <w:b/>
          <w:lang w:val="es-EC"/>
        </w:rPr>
        <w:t xml:space="preserve">  </w:t>
      </w:r>
    </w:p>
    <w:p w14:paraId="4FBEEA49" w14:textId="3DF0CC1B" w:rsidR="003E0DDE" w:rsidRPr="00694D76" w:rsidRDefault="0085637A" w:rsidP="00694D76">
      <w:pPr>
        <w:pStyle w:val="Sinespaciado"/>
        <w:spacing w:after="120" w:line="276" w:lineRule="auto"/>
        <w:jc w:val="center"/>
        <w:rPr>
          <w:rFonts w:ascii="Palatino Linotype" w:hAnsi="Palatino Linotype" w:cs="Times New Roman"/>
          <w:b/>
          <w:lang w:val="es-EC"/>
        </w:rPr>
      </w:pPr>
      <w:r w:rsidRPr="00694D76">
        <w:rPr>
          <w:rFonts w:ascii="Palatino Linotype" w:hAnsi="Palatino Linotype" w:cs="Times New Roman"/>
          <w:b/>
          <w:lang w:val="es-EC"/>
        </w:rPr>
        <w:t>CAPÍTULO I</w:t>
      </w:r>
    </w:p>
    <w:p w14:paraId="6A2ECA42" w14:textId="77849296" w:rsidR="00E14D7B" w:rsidRPr="00694D76" w:rsidRDefault="0085637A" w:rsidP="00694D76">
      <w:pPr>
        <w:pStyle w:val="Sinespaciado"/>
        <w:spacing w:after="120" w:line="276" w:lineRule="auto"/>
        <w:jc w:val="center"/>
        <w:rPr>
          <w:rFonts w:ascii="Palatino Linotype" w:hAnsi="Palatino Linotype" w:cs="Times New Roman"/>
          <w:b/>
        </w:rPr>
      </w:pPr>
      <w:r w:rsidRPr="00694D76">
        <w:rPr>
          <w:rFonts w:ascii="Palatino Linotype" w:hAnsi="Palatino Linotype" w:cs="Times New Roman"/>
          <w:b/>
        </w:rPr>
        <w:t xml:space="preserve">CONSIDERACIONES GENERALES </w:t>
      </w:r>
    </w:p>
    <w:p w14:paraId="3E499E9F" w14:textId="77777777" w:rsidR="0085637A" w:rsidRDefault="009F11D8" w:rsidP="00694D76">
      <w:pPr>
        <w:spacing w:after="120"/>
        <w:rPr>
          <w:rFonts w:ascii="Palatino Linotype" w:hAnsi="Palatino Linotype" w:cs="Times New Roman"/>
        </w:rPr>
      </w:pPr>
      <w:r w:rsidRPr="00694D76">
        <w:rPr>
          <w:rFonts w:ascii="Palatino Linotype" w:hAnsi="Palatino Linotype" w:cs="Times New Roman"/>
          <w:b/>
        </w:rPr>
        <w:t xml:space="preserve">Artículo </w:t>
      </w:r>
      <w:r w:rsidR="00D968ED" w:rsidRPr="00694D76">
        <w:rPr>
          <w:rFonts w:ascii="Palatino Linotype" w:hAnsi="Palatino Linotype" w:cs="Times New Roman"/>
          <w:b/>
        </w:rPr>
        <w:t>1.-</w:t>
      </w:r>
      <w:r w:rsidR="004E6FFC" w:rsidRPr="00694D76">
        <w:rPr>
          <w:rFonts w:ascii="Palatino Linotype" w:hAnsi="Palatino Linotype" w:cs="Times New Roman"/>
          <w:b/>
        </w:rPr>
        <w:t xml:space="preserve"> </w:t>
      </w:r>
      <w:proofErr w:type="gramStart"/>
      <w:r w:rsidR="004E6FFC" w:rsidRPr="00694D76">
        <w:rPr>
          <w:rFonts w:ascii="Palatino Linotype" w:hAnsi="Palatino Linotype" w:cs="Times New Roman"/>
          <w:b/>
        </w:rPr>
        <w:t>Objeto.-</w:t>
      </w:r>
      <w:proofErr w:type="gramEnd"/>
      <w:r w:rsidR="004E6FFC" w:rsidRPr="00694D76">
        <w:rPr>
          <w:rFonts w:ascii="Palatino Linotype" w:hAnsi="Palatino Linotype" w:cs="Times New Roman"/>
        </w:rPr>
        <w:t xml:space="preserve"> Establecer las regulaciones </w:t>
      </w:r>
      <w:r w:rsidR="00225BE7" w:rsidRPr="00694D76">
        <w:rPr>
          <w:rFonts w:ascii="Palatino Linotype" w:hAnsi="Palatino Linotype" w:cs="Times New Roman"/>
        </w:rPr>
        <w:t xml:space="preserve">de uso de suelo y edificabilidad </w:t>
      </w:r>
      <w:r w:rsidR="004E6FFC" w:rsidRPr="00694D76">
        <w:rPr>
          <w:rFonts w:ascii="Palatino Linotype" w:hAnsi="Palatino Linotype" w:cs="Times New Roman"/>
        </w:rPr>
        <w:t xml:space="preserve">aplicables </w:t>
      </w:r>
      <w:r w:rsidR="00225BE7" w:rsidRPr="00694D76">
        <w:rPr>
          <w:rFonts w:ascii="Palatino Linotype" w:hAnsi="Palatino Linotype" w:cs="Times New Roman"/>
        </w:rPr>
        <w:t>al PUAE</w:t>
      </w:r>
      <w:r w:rsidR="004E6FFC" w:rsidRPr="00694D76">
        <w:rPr>
          <w:rFonts w:ascii="Palatino Linotype" w:hAnsi="Palatino Linotype" w:cs="Times New Roman"/>
        </w:rPr>
        <w:t xml:space="preserve"> Hotel Holiday Inn </w:t>
      </w:r>
      <w:r w:rsidR="00AA470A" w:rsidRPr="00694D76">
        <w:rPr>
          <w:rFonts w:ascii="Palatino Linotype" w:hAnsi="Palatino Linotype" w:cs="Times New Roman"/>
        </w:rPr>
        <w:t>Quito Airport</w:t>
      </w:r>
      <w:r w:rsidR="004E6FFC" w:rsidRPr="00694D76">
        <w:rPr>
          <w:rFonts w:ascii="Palatino Linotype" w:hAnsi="Palatino Linotype" w:cs="Times New Roman"/>
        </w:rPr>
        <w:t xml:space="preserve">, </w:t>
      </w:r>
      <w:r w:rsidR="00225BE7" w:rsidRPr="00694D76">
        <w:rPr>
          <w:rFonts w:ascii="Palatino Linotype" w:hAnsi="Palatino Linotype" w:cs="Times New Roman"/>
        </w:rPr>
        <w:t>el cual prevé edificios destinados a</w:t>
      </w:r>
      <w:r w:rsidR="004E6FFC" w:rsidRPr="00694D76">
        <w:rPr>
          <w:rFonts w:ascii="Palatino Linotype" w:hAnsi="Palatino Linotype" w:cs="Times New Roman"/>
        </w:rPr>
        <w:t xml:space="preserve"> servicios de hospedaje </w:t>
      </w:r>
      <w:r w:rsidR="002B649F" w:rsidRPr="00694D76">
        <w:rPr>
          <w:rFonts w:ascii="Palatino Linotype" w:hAnsi="Palatino Linotype" w:cs="Times New Roman"/>
        </w:rPr>
        <w:t xml:space="preserve">y </w:t>
      </w:r>
      <w:r w:rsidR="004F2A6D" w:rsidRPr="00694D76">
        <w:rPr>
          <w:rFonts w:ascii="Palatino Linotype" w:hAnsi="Palatino Linotype" w:cs="Times New Roman"/>
        </w:rPr>
        <w:t xml:space="preserve">servicios </w:t>
      </w:r>
      <w:r w:rsidR="002B649F" w:rsidRPr="00694D76">
        <w:rPr>
          <w:rFonts w:ascii="Palatino Linotype" w:hAnsi="Palatino Linotype" w:cs="Times New Roman"/>
        </w:rPr>
        <w:t>complementarios</w:t>
      </w:r>
      <w:r w:rsidR="004F2A6D" w:rsidRPr="00694D76">
        <w:rPr>
          <w:rFonts w:ascii="Palatino Linotype" w:hAnsi="Palatino Linotype" w:cs="Times New Roman"/>
        </w:rPr>
        <w:t>,</w:t>
      </w:r>
      <w:r w:rsidR="002B649F" w:rsidRPr="00694D76">
        <w:rPr>
          <w:rFonts w:ascii="Palatino Linotype" w:hAnsi="Palatino Linotype" w:cs="Times New Roman"/>
        </w:rPr>
        <w:t xml:space="preserve"> en respuesta a la demanda de servicios hoteleros generada por la operación d</w:t>
      </w:r>
      <w:r w:rsidR="004E6FFC" w:rsidRPr="00694D76">
        <w:rPr>
          <w:rFonts w:ascii="Palatino Linotype" w:hAnsi="Palatino Linotype" w:cs="Times New Roman"/>
        </w:rPr>
        <w:t>el Aeropuerto Internaci</w:t>
      </w:r>
      <w:r w:rsidR="00A53CBC" w:rsidRPr="00694D76">
        <w:rPr>
          <w:rFonts w:ascii="Palatino Linotype" w:hAnsi="Palatino Linotype" w:cs="Times New Roman"/>
        </w:rPr>
        <w:t>onal Mariscal Sucre y sector</w:t>
      </w:r>
      <w:r w:rsidR="002B649F" w:rsidRPr="00694D76">
        <w:rPr>
          <w:rFonts w:ascii="Palatino Linotype" w:hAnsi="Palatino Linotype" w:cs="Times New Roman"/>
        </w:rPr>
        <w:t xml:space="preserve">es </w:t>
      </w:r>
      <w:r w:rsidR="00A53CBC" w:rsidRPr="00694D76">
        <w:rPr>
          <w:rFonts w:ascii="Palatino Linotype" w:hAnsi="Palatino Linotype" w:cs="Times New Roman"/>
        </w:rPr>
        <w:t>aledaño</w:t>
      </w:r>
      <w:r w:rsidR="002B649F" w:rsidRPr="00694D76">
        <w:rPr>
          <w:rFonts w:ascii="Palatino Linotype" w:hAnsi="Palatino Linotype" w:cs="Times New Roman"/>
        </w:rPr>
        <w:t>s</w:t>
      </w:r>
      <w:r w:rsidR="00A53CBC" w:rsidRPr="00694D76">
        <w:rPr>
          <w:rFonts w:ascii="Palatino Linotype" w:hAnsi="Palatino Linotype" w:cs="Times New Roman"/>
        </w:rPr>
        <w:t>.</w:t>
      </w:r>
    </w:p>
    <w:p w14:paraId="601B64CB" w14:textId="520C546D" w:rsidR="007E6E9C" w:rsidRPr="00694D76" w:rsidRDefault="004E6FFC" w:rsidP="00694D76">
      <w:pPr>
        <w:spacing w:after="120"/>
        <w:rPr>
          <w:rFonts w:ascii="Palatino Linotype" w:hAnsi="Palatino Linotype" w:cs="Times New Roman"/>
          <w:lang w:val="es-EC"/>
        </w:rPr>
      </w:pPr>
      <w:r w:rsidRPr="00694D76">
        <w:rPr>
          <w:rFonts w:ascii="Palatino Linotype" w:hAnsi="Palatino Linotype" w:cs="Times New Roman"/>
          <w:b/>
        </w:rPr>
        <w:t>Artículo 2</w:t>
      </w:r>
      <w:r w:rsidR="00C72124">
        <w:rPr>
          <w:rFonts w:ascii="Palatino Linotype" w:hAnsi="Palatino Linotype" w:cs="Times New Roman"/>
          <w:b/>
        </w:rPr>
        <w:t>.</w:t>
      </w:r>
      <w:r w:rsidRPr="00694D76">
        <w:rPr>
          <w:rFonts w:ascii="Palatino Linotype" w:hAnsi="Palatino Linotype" w:cs="Times New Roman"/>
          <w:b/>
        </w:rPr>
        <w:t xml:space="preserve">- </w:t>
      </w:r>
      <w:r w:rsidR="007E6E9C" w:rsidRPr="00694D76">
        <w:rPr>
          <w:rFonts w:ascii="Palatino Linotype" w:hAnsi="Palatino Linotype" w:cs="Times New Roman"/>
          <w:b/>
        </w:rPr>
        <w:t>Ubicación, área</w:t>
      </w:r>
      <w:r w:rsidRPr="00694D76">
        <w:rPr>
          <w:rFonts w:ascii="Palatino Linotype" w:hAnsi="Palatino Linotype" w:cs="Times New Roman"/>
          <w:b/>
        </w:rPr>
        <w:t xml:space="preserve">, </w:t>
      </w:r>
      <w:r w:rsidR="007E6E9C" w:rsidRPr="00694D76">
        <w:rPr>
          <w:rFonts w:ascii="Palatino Linotype" w:hAnsi="Palatino Linotype" w:cs="Times New Roman"/>
          <w:b/>
        </w:rPr>
        <w:t>estado de propiedad</w:t>
      </w:r>
      <w:r w:rsidRPr="00694D76">
        <w:rPr>
          <w:rFonts w:ascii="Palatino Linotype" w:hAnsi="Palatino Linotype" w:cs="Times New Roman"/>
          <w:b/>
        </w:rPr>
        <w:t xml:space="preserve"> y linderos</w:t>
      </w:r>
      <w:r w:rsidR="00E14D7B" w:rsidRPr="00694D76">
        <w:rPr>
          <w:rFonts w:ascii="Palatino Linotype" w:hAnsi="Palatino Linotype" w:cs="Times New Roman"/>
          <w:b/>
        </w:rPr>
        <w:t>.-</w:t>
      </w:r>
      <w:r w:rsidR="007E6E9C" w:rsidRPr="00694D76">
        <w:rPr>
          <w:rFonts w:ascii="Palatino Linotype" w:hAnsi="Palatino Linotype" w:cs="Times New Roman"/>
          <w:b/>
        </w:rPr>
        <w:t xml:space="preserve"> </w:t>
      </w:r>
      <w:r w:rsidR="007E6E9C" w:rsidRPr="00694D76">
        <w:rPr>
          <w:rFonts w:ascii="Palatino Linotype" w:hAnsi="Palatino Linotype" w:cs="Times New Roman"/>
        </w:rPr>
        <w:t xml:space="preserve">El área </w:t>
      </w:r>
      <w:r w:rsidR="002B649F" w:rsidRPr="00694D76">
        <w:rPr>
          <w:rFonts w:ascii="Palatino Linotype" w:hAnsi="Palatino Linotype" w:cs="Times New Roman"/>
        </w:rPr>
        <w:t>del terreno en el cual se implantará</w:t>
      </w:r>
      <w:r w:rsidR="007E6E9C" w:rsidRPr="00694D76">
        <w:rPr>
          <w:rFonts w:ascii="Palatino Linotype" w:hAnsi="Palatino Linotype" w:cs="Times New Roman"/>
        </w:rPr>
        <w:t xml:space="preserve"> el </w:t>
      </w:r>
      <w:r w:rsidR="00E14D7B" w:rsidRPr="00694D76">
        <w:rPr>
          <w:rFonts w:ascii="Palatino Linotype" w:hAnsi="Palatino Linotype" w:cs="Times New Roman"/>
        </w:rPr>
        <w:t>Proyecto Urbanístico</w:t>
      </w:r>
      <w:r w:rsidR="00EB00FF" w:rsidRPr="00694D76">
        <w:rPr>
          <w:rFonts w:ascii="Palatino Linotype" w:hAnsi="Palatino Linotype" w:cs="Times New Roman"/>
        </w:rPr>
        <w:t xml:space="preserve"> Arquitectónico</w:t>
      </w:r>
      <w:r w:rsidR="00E14D7B" w:rsidRPr="00694D76">
        <w:rPr>
          <w:rFonts w:ascii="Palatino Linotype" w:hAnsi="Palatino Linotype" w:cs="Times New Roman"/>
        </w:rPr>
        <w:t xml:space="preserve"> Especial </w:t>
      </w:r>
      <w:r w:rsidR="00EB00FF" w:rsidRPr="00694D76">
        <w:rPr>
          <w:rFonts w:ascii="Palatino Linotype" w:hAnsi="Palatino Linotype" w:cs="Times New Roman"/>
        </w:rPr>
        <w:t xml:space="preserve">(PUAE) denominado </w:t>
      </w:r>
      <w:r w:rsidR="006736D0" w:rsidRPr="00694D76">
        <w:rPr>
          <w:rFonts w:ascii="Palatino Linotype" w:hAnsi="Palatino Linotype" w:cs="Times New Roman"/>
        </w:rPr>
        <w:t xml:space="preserve">Hotel Holiday Inn </w:t>
      </w:r>
      <w:r w:rsidR="00AA470A" w:rsidRPr="00694D76">
        <w:rPr>
          <w:rFonts w:ascii="Palatino Linotype" w:hAnsi="Palatino Linotype" w:cs="Times New Roman"/>
        </w:rPr>
        <w:t>Quito Airport</w:t>
      </w:r>
      <w:r w:rsidR="001A5E87" w:rsidRPr="00694D76">
        <w:rPr>
          <w:rFonts w:ascii="Palatino Linotype" w:hAnsi="Palatino Linotype" w:cs="Times New Roman"/>
        </w:rPr>
        <w:t xml:space="preserve"> </w:t>
      </w:r>
      <w:r w:rsidR="001A5E87" w:rsidRPr="00694D76">
        <w:rPr>
          <w:rFonts w:ascii="Palatino Linotype" w:hAnsi="Palatino Linotype" w:cs="Times New Roman"/>
          <w:lang w:val="es-EC"/>
        </w:rPr>
        <w:t>c</w:t>
      </w:r>
      <w:r w:rsidR="007E6E9C" w:rsidRPr="00694D76">
        <w:rPr>
          <w:rFonts w:ascii="Palatino Linotype" w:hAnsi="Palatino Linotype" w:cs="Times New Roman"/>
          <w:lang w:val="es-EC"/>
        </w:rPr>
        <w:t>omprende</w:t>
      </w:r>
      <w:r w:rsidR="00B87139" w:rsidRPr="00694D76">
        <w:rPr>
          <w:rFonts w:ascii="Palatino Linotype" w:hAnsi="Palatino Linotype" w:cs="Times New Roman"/>
          <w:lang w:val="es-EC"/>
        </w:rPr>
        <w:t xml:space="preserve"> </w:t>
      </w:r>
      <w:r w:rsidR="001A5E87" w:rsidRPr="00694D76">
        <w:rPr>
          <w:rFonts w:ascii="Palatino Linotype" w:hAnsi="Palatino Linotype" w:cs="Times New Roman"/>
          <w:lang w:val="es-EC"/>
        </w:rPr>
        <w:t>un</w:t>
      </w:r>
      <w:r w:rsidR="00B87139" w:rsidRPr="00694D76">
        <w:rPr>
          <w:rFonts w:ascii="Palatino Linotype" w:hAnsi="Palatino Linotype" w:cs="Times New Roman"/>
          <w:lang w:val="es-EC"/>
        </w:rPr>
        <w:t xml:space="preserve"> lote </w:t>
      </w:r>
      <w:r w:rsidR="006736D0" w:rsidRPr="00694D76">
        <w:rPr>
          <w:rFonts w:ascii="Palatino Linotype" w:hAnsi="Palatino Linotype" w:cs="Times New Roman"/>
        </w:rPr>
        <w:t>de 13.000</w:t>
      </w:r>
      <w:r w:rsidR="007442AD" w:rsidRPr="00694D76">
        <w:rPr>
          <w:rFonts w:ascii="Palatino Linotype" w:hAnsi="Palatino Linotype" w:cs="Times New Roman"/>
        </w:rPr>
        <w:t>,99</w:t>
      </w:r>
      <w:r w:rsidR="006736D0" w:rsidRPr="00694D76">
        <w:rPr>
          <w:rFonts w:ascii="Palatino Linotype" w:hAnsi="Palatino Linotype" w:cs="Times New Roman"/>
        </w:rPr>
        <w:t xml:space="preserve"> </w:t>
      </w:r>
      <w:r w:rsidR="001A5E87" w:rsidRPr="00694D76">
        <w:rPr>
          <w:rFonts w:ascii="Palatino Linotype" w:hAnsi="Palatino Linotype" w:cs="Times New Roman"/>
        </w:rPr>
        <w:t>m</w:t>
      </w:r>
      <w:r w:rsidR="002B649F" w:rsidRPr="00694D76">
        <w:rPr>
          <w:rFonts w:ascii="Palatino Linotype" w:hAnsi="Palatino Linotype" w:cs="Times New Roman"/>
          <w:vertAlign w:val="superscript"/>
        </w:rPr>
        <w:t>2</w:t>
      </w:r>
      <w:r w:rsidR="007E6E9C" w:rsidRPr="00694D76">
        <w:rPr>
          <w:rFonts w:ascii="Palatino Linotype" w:hAnsi="Palatino Linotype" w:cs="Times New Roman"/>
        </w:rPr>
        <w:t xml:space="preserve"> de propiedad de</w:t>
      </w:r>
      <w:r w:rsidR="00561530" w:rsidRPr="00694D76">
        <w:rPr>
          <w:rFonts w:ascii="Palatino Linotype" w:hAnsi="Palatino Linotype" w:cs="Times New Roman"/>
        </w:rPr>
        <w:t>l</w:t>
      </w:r>
      <w:r w:rsidR="007E6E9C" w:rsidRPr="00694D76">
        <w:rPr>
          <w:rFonts w:ascii="Palatino Linotype" w:hAnsi="Palatino Linotype" w:cs="Times New Roman"/>
        </w:rPr>
        <w:t xml:space="preserve"> </w:t>
      </w:r>
      <w:r w:rsidR="006736D0" w:rsidRPr="00694D76">
        <w:rPr>
          <w:rFonts w:ascii="Palatino Linotype" w:hAnsi="Palatino Linotype" w:cs="Times New Roman"/>
          <w:lang w:val="es-EC"/>
        </w:rPr>
        <w:t>Fideicomiso Mercantil Hotel Aeropuerto Quito</w:t>
      </w:r>
      <w:r w:rsidR="007E6E9C" w:rsidRPr="00694D76">
        <w:rPr>
          <w:rFonts w:ascii="Palatino Linotype" w:hAnsi="Palatino Linotype" w:cs="Times New Roman"/>
        </w:rPr>
        <w:t>, ubicado</w:t>
      </w:r>
      <w:r w:rsidR="00E14D7B" w:rsidRPr="00694D76">
        <w:rPr>
          <w:rFonts w:ascii="Palatino Linotype" w:hAnsi="Palatino Linotype" w:cs="Times New Roman"/>
        </w:rPr>
        <w:t xml:space="preserve"> entre </w:t>
      </w:r>
      <w:r w:rsidR="006736D0" w:rsidRPr="00694D76">
        <w:rPr>
          <w:rFonts w:ascii="Palatino Linotype" w:hAnsi="Palatino Linotype" w:cs="Times New Roman"/>
        </w:rPr>
        <w:t xml:space="preserve">el conector Alpachaca y </w:t>
      </w:r>
      <w:r w:rsidR="002B649F" w:rsidRPr="00694D76">
        <w:rPr>
          <w:rFonts w:ascii="Palatino Linotype" w:hAnsi="Palatino Linotype" w:cs="Times New Roman"/>
        </w:rPr>
        <w:t xml:space="preserve">la </w:t>
      </w:r>
      <w:r w:rsidR="006736D0" w:rsidRPr="00694D76">
        <w:rPr>
          <w:rFonts w:ascii="Palatino Linotype" w:hAnsi="Palatino Linotype" w:cs="Times New Roman"/>
        </w:rPr>
        <w:t xml:space="preserve">calle Cotopaxi, </w:t>
      </w:r>
      <w:r w:rsidR="00EB00FF" w:rsidRPr="00694D76">
        <w:rPr>
          <w:rFonts w:ascii="Palatino Linotype" w:hAnsi="Palatino Linotype" w:cs="Times New Roman"/>
          <w:lang w:val="es-EC"/>
        </w:rPr>
        <w:t xml:space="preserve">parroquia </w:t>
      </w:r>
      <w:r w:rsidRPr="00694D76">
        <w:rPr>
          <w:rFonts w:ascii="Palatino Linotype" w:hAnsi="Palatino Linotype" w:cs="Times New Roman"/>
          <w:lang w:val="es-EC"/>
        </w:rPr>
        <w:t xml:space="preserve">de </w:t>
      </w:r>
      <w:r w:rsidR="006736D0" w:rsidRPr="00694D76">
        <w:rPr>
          <w:rFonts w:ascii="Palatino Linotype" w:hAnsi="Palatino Linotype" w:cs="Times New Roman"/>
          <w:lang w:val="es-EC"/>
        </w:rPr>
        <w:t>Tababela</w:t>
      </w:r>
      <w:r w:rsidR="00EB00FF" w:rsidRPr="00694D76">
        <w:rPr>
          <w:rFonts w:ascii="Palatino Linotype" w:hAnsi="Palatino Linotype" w:cs="Times New Roman"/>
          <w:lang w:val="es-EC"/>
        </w:rPr>
        <w:t xml:space="preserve"> del Distrito Metropolitano de Quito</w:t>
      </w:r>
      <w:r w:rsidR="00561530" w:rsidRPr="00694D76">
        <w:rPr>
          <w:rFonts w:ascii="Palatino Linotype" w:hAnsi="Palatino Linotype" w:cs="Times New Roman"/>
          <w:lang w:val="es-EC"/>
        </w:rPr>
        <w:t>, p</w:t>
      </w:r>
      <w:r w:rsidR="00AA470A" w:rsidRPr="00694D76">
        <w:rPr>
          <w:rFonts w:ascii="Palatino Linotype" w:hAnsi="Palatino Linotype" w:cs="Times New Roman"/>
          <w:lang w:val="es-EC"/>
        </w:rPr>
        <w:t>redio N°</w:t>
      </w:r>
      <w:r w:rsidR="004F2A6D" w:rsidRPr="00694D76">
        <w:rPr>
          <w:rFonts w:ascii="Palatino Linotype" w:hAnsi="Palatino Linotype" w:cs="Times New Roman"/>
          <w:lang w:val="es-EC"/>
        </w:rPr>
        <w:t xml:space="preserve"> </w:t>
      </w:r>
      <w:r w:rsidR="00AA470A" w:rsidRPr="00694D76">
        <w:rPr>
          <w:rFonts w:ascii="Palatino Linotype" w:hAnsi="Palatino Linotype" w:cs="Times New Roman"/>
          <w:lang w:val="es-EC"/>
        </w:rPr>
        <w:t xml:space="preserve">5785946, </w:t>
      </w:r>
      <w:r w:rsidR="004F2A6D" w:rsidRPr="00694D76">
        <w:rPr>
          <w:rFonts w:ascii="Palatino Linotype" w:hAnsi="Palatino Linotype" w:cs="Times New Roman"/>
          <w:lang w:val="es-EC"/>
        </w:rPr>
        <w:t xml:space="preserve">con </w:t>
      </w:r>
      <w:r w:rsidR="00AA470A" w:rsidRPr="00694D76">
        <w:rPr>
          <w:rFonts w:ascii="Palatino Linotype" w:hAnsi="Palatino Linotype" w:cs="Times New Roman"/>
          <w:lang w:val="es-EC"/>
        </w:rPr>
        <w:t xml:space="preserve">clave catastral </w:t>
      </w:r>
      <w:r w:rsidR="004F2A6D" w:rsidRPr="00694D76">
        <w:rPr>
          <w:rFonts w:ascii="Palatino Linotype" w:hAnsi="Palatino Linotype" w:cs="Times New Roman"/>
          <w:lang w:val="es-EC"/>
        </w:rPr>
        <w:t xml:space="preserve">N° </w:t>
      </w:r>
      <w:r w:rsidR="00210DD7" w:rsidRPr="00694D76">
        <w:rPr>
          <w:rFonts w:ascii="Palatino Linotype" w:hAnsi="Palatino Linotype" w:cs="Times New Roman"/>
        </w:rPr>
        <w:t>1153105004</w:t>
      </w:r>
      <w:r w:rsidR="00561530" w:rsidRPr="00694D76">
        <w:rPr>
          <w:rFonts w:ascii="Palatino Linotype" w:hAnsi="Palatino Linotype" w:cs="Times New Roman"/>
        </w:rPr>
        <w:t xml:space="preserve">, comprendido dentro de </w:t>
      </w:r>
      <w:r w:rsidR="00382C91" w:rsidRPr="00694D76">
        <w:rPr>
          <w:rFonts w:ascii="Palatino Linotype" w:hAnsi="Palatino Linotype" w:cs="Times New Roman"/>
          <w:lang w:val="es-EC"/>
        </w:rPr>
        <w:t>y los siguientes</w:t>
      </w:r>
      <w:r w:rsidR="00AA470A" w:rsidRPr="00694D76">
        <w:rPr>
          <w:rFonts w:ascii="Palatino Linotype" w:hAnsi="Palatino Linotype" w:cs="Times New Roman"/>
          <w:lang w:val="es-EC"/>
        </w:rPr>
        <w:t xml:space="preserve"> linderos</w:t>
      </w:r>
      <w:r w:rsidR="00D52ACF" w:rsidRPr="00694D76">
        <w:rPr>
          <w:rFonts w:ascii="Palatino Linotype" w:hAnsi="Palatino Linotype" w:cs="Times New Roman"/>
          <w:lang w:val="es-EC"/>
        </w:rPr>
        <w:t>:</w:t>
      </w:r>
    </w:p>
    <w:p w14:paraId="35206B1B" w14:textId="207F24A5" w:rsidR="00D52ACF" w:rsidRPr="00694D76" w:rsidRDefault="00D52ACF" w:rsidP="00250512">
      <w:pPr>
        <w:pStyle w:val="Prrafodelista"/>
        <w:numPr>
          <w:ilvl w:val="0"/>
          <w:numId w:val="5"/>
        </w:numPr>
        <w:spacing w:after="120"/>
        <w:rPr>
          <w:rFonts w:ascii="Palatino Linotype" w:hAnsi="Palatino Linotype"/>
        </w:rPr>
      </w:pPr>
      <w:r w:rsidRPr="00694D76">
        <w:rPr>
          <w:rFonts w:ascii="Palatino Linotype" w:hAnsi="Palatino Linotype"/>
        </w:rPr>
        <w:t>Hacia el Norte:</w:t>
      </w:r>
      <w:r w:rsidR="00210DD7" w:rsidRPr="00694D76">
        <w:rPr>
          <w:rFonts w:ascii="Palatino Linotype" w:hAnsi="Palatino Linotype"/>
        </w:rPr>
        <w:t xml:space="preserve"> Lote Tres </w:t>
      </w:r>
      <w:r w:rsidR="00102570" w:rsidRPr="00694D76">
        <w:rPr>
          <w:rFonts w:ascii="Palatino Linotype" w:hAnsi="Palatino Linotype"/>
        </w:rPr>
        <w:t xml:space="preserve">en </w:t>
      </w:r>
      <w:r w:rsidR="0085637A">
        <w:rPr>
          <w:rFonts w:ascii="Palatino Linotype" w:hAnsi="Palatino Linotype"/>
        </w:rPr>
        <w:t>161,02 metros.</w:t>
      </w:r>
    </w:p>
    <w:p w14:paraId="37B9C7F2" w14:textId="42A90631" w:rsidR="00D52ACF" w:rsidRPr="00694D76" w:rsidRDefault="00D52ACF" w:rsidP="00250512">
      <w:pPr>
        <w:pStyle w:val="Prrafodelista"/>
        <w:numPr>
          <w:ilvl w:val="0"/>
          <w:numId w:val="5"/>
        </w:numPr>
        <w:spacing w:after="120"/>
        <w:rPr>
          <w:rFonts w:ascii="Palatino Linotype" w:hAnsi="Palatino Linotype"/>
        </w:rPr>
      </w:pPr>
      <w:r w:rsidRPr="00694D76">
        <w:rPr>
          <w:rFonts w:ascii="Palatino Linotype" w:hAnsi="Palatino Linotype"/>
        </w:rPr>
        <w:t>Hacia el Sur:</w:t>
      </w:r>
      <w:r w:rsidR="00210DD7" w:rsidRPr="00694D76">
        <w:rPr>
          <w:rFonts w:ascii="Palatino Linotype" w:hAnsi="Palatino Linotype"/>
        </w:rPr>
        <w:t xml:space="preserve"> Lote Cinco </w:t>
      </w:r>
      <w:r w:rsidR="0085637A">
        <w:rPr>
          <w:rFonts w:ascii="Palatino Linotype" w:hAnsi="Palatino Linotype"/>
        </w:rPr>
        <w:t>en</w:t>
      </w:r>
      <w:r w:rsidR="00102570" w:rsidRPr="00694D76">
        <w:rPr>
          <w:rFonts w:ascii="Palatino Linotype" w:hAnsi="Palatino Linotype"/>
        </w:rPr>
        <w:t xml:space="preserve"> </w:t>
      </w:r>
      <w:r w:rsidR="00210DD7" w:rsidRPr="00694D76">
        <w:rPr>
          <w:rFonts w:ascii="Palatino Linotype" w:hAnsi="Palatino Linotype"/>
        </w:rPr>
        <w:t>151,19 metros</w:t>
      </w:r>
      <w:r w:rsidR="0085637A">
        <w:rPr>
          <w:rFonts w:ascii="Palatino Linotype" w:hAnsi="Palatino Linotype"/>
        </w:rPr>
        <w:t>.</w:t>
      </w:r>
      <w:r w:rsidR="00210DD7" w:rsidRPr="00694D76">
        <w:rPr>
          <w:rFonts w:ascii="Palatino Linotype" w:hAnsi="Palatino Linotype"/>
        </w:rPr>
        <w:t xml:space="preserve"> </w:t>
      </w:r>
    </w:p>
    <w:p w14:paraId="6D386049" w14:textId="7F096DF4" w:rsidR="00D52ACF" w:rsidRPr="00694D76" w:rsidRDefault="00D52ACF" w:rsidP="00250512">
      <w:pPr>
        <w:pStyle w:val="Prrafodelista"/>
        <w:numPr>
          <w:ilvl w:val="0"/>
          <w:numId w:val="5"/>
        </w:numPr>
        <w:spacing w:after="120"/>
        <w:rPr>
          <w:rFonts w:ascii="Palatino Linotype" w:hAnsi="Palatino Linotype"/>
        </w:rPr>
      </w:pPr>
      <w:r w:rsidRPr="00694D76">
        <w:rPr>
          <w:rFonts w:ascii="Palatino Linotype" w:hAnsi="Palatino Linotype"/>
        </w:rPr>
        <w:t>Hacia el Este:</w:t>
      </w:r>
      <w:r w:rsidR="00210DD7" w:rsidRPr="00694D76">
        <w:rPr>
          <w:rFonts w:ascii="Palatino Linotype" w:hAnsi="Palatino Linotype"/>
        </w:rPr>
        <w:t xml:space="preserve"> Calle Cotopaxi </w:t>
      </w:r>
      <w:r w:rsidR="00102570" w:rsidRPr="00694D76">
        <w:rPr>
          <w:rFonts w:ascii="Palatino Linotype" w:hAnsi="Palatino Linotype"/>
        </w:rPr>
        <w:t>en</w:t>
      </w:r>
      <w:r w:rsidR="00210DD7" w:rsidRPr="00694D76">
        <w:rPr>
          <w:rFonts w:ascii="Palatino Linotype" w:hAnsi="Palatino Linotype"/>
        </w:rPr>
        <w:t xml:space="preserve"> 84,02 metros</w:t>
      </w:r>
      <w:r w:rsidR="0085637A">
        <w:rPr>
          <w:rFonts w:ascii="Palatino Linotype" w:hAnsi="Palatino Linotype"/>
        </w:rPr>
        <w:t>.</w:t>
      </w:r>
      <w:r w:rsidR="00210DD7" w:rsidRPr="00694D76">
        <w:rPr>
          <w:rFonts w:ascii="Palatino Linotype" w:hAnsi="Palatino Linotype"/>
        </w:rPr>
        <w:t xml:space="preserve"> </w:t>
      </w:r>
    </w:p>
    <w:p w14:paraId="26D2B467" w14:textId="0AEB73DD" w:rsidR="00D52ACF" w:rsidRPr="00694D76" w:rsidRDefault="00D52ACF" w:rsidP="00250512">
      <w:pPr>
        <w:pStyle w:val="Prrafodelista"/>
        <w:numPr>
          <w:ilvl w:val="0"/>
          <w:numId w:val="5"/>
        </w:numPr>
        <w:spacing w:after="120"/>
        <w:rPr>
          <w:rFonts w:ascii="Palatino Linotype" w:hAnsi="Palatino Linotype"/>
        </w:rPr>
      </w:pPr>
      <w:r w:rsidRPr="00694D76">
        <w:rPr>
          <w:rFonts w:ascii="Palatino Linotype" w:hAnsi="Palatino Linotype"/>
        </w:rPr>
        <w:t>Hacia el Oeste:</w:t>
      </w:r>
      <w:r w:rsidR="00210DD7" w:rsidRPr="00694D76">
        <w:rPr>
          <w:rFonts w:ascii="Palatino Linotype" w:hAnsi="Palatino Linotype"/>
        </w:rPr>
        <w:t xml:space="preserve"> Conector Alpachaca </w:t>
      </w:r>
      <w:r w:rsidR="00102570" w:rsidRPr="00694D76">
        <w:rPr>
          <w:rFonts w:ascii="Palatino Linotype" w:hAnsi="Palatino Linotype"/>
        </w:rPr>
        <w:t xml:space="preserve">en </w:t>
      </w:r>
      <w:r w:rsidR="00210DD7" w:rsidRPr="00694D76">
        <w:rPr>
          <w:rFonts w:ascii="Palatino Linotype" w:hAnsi="Palatino Linotype"/>
        </w:rPr>
        <w:t>91,15 metros</w:t>
      </w:r>
      <w:r w:rsidR="0085637A">
        <w:rPr>
          <w:rFonts w:ascii="Palatino Linotype" w:hAnsi="Palatino Linotype"/>
        </w:rPr>
        <w:t>.</w:t>
      </w:r>
      <w:r w:rsidR="00210DD7" w:rsidRPr="00694D76">
        <w:rPr>
          <w:rFonts w:ascii="Palatino Linotype" w:hAnsi="Palatino Linotype"/>
        </w:rPr>
        <w:t xml:space="preserve"> </w:t>
      </w:r>
    </w:p>
    <w:p w14:paraId="78848853" w14:textId="0464F7F1" w:rsidR="004F2A6D" w:rsidRPr="00694D76" w:rsidRDefault="004E6FFC" w:rsidP="00694D76">
      <w:pPr>
        <w:spacing w:after="120"/>
        <w:rPr>
          <w:rFonts w:ascii="Palatino Linotype" w:hAnsi="Palatino Linotype" w:cs="Times New Roman"/>
        </w:rPr>
      </w:pPr>
      <w:r w:rsidRPr="00694D76">
        <w:rPr>
          <w:rFonts w:ascii="Palatino Linotype" w:hAnsi="Palatino Linotype" w:cs="Times New Roman"/>
          <w:b/>
        </w:rPr>
        <w:t>Artículo 3</w:t>
      </w:r>
      <w:r w:rsidR="007E6E9C" w:rsidRPr="00694D76">
        <w:rPr>
          <w:rFonts w:ascii="Palatino Linotype" w:hAnsi="Palatino Linotype" w:cs="Times New Roman"/>
          <w:b/>
        </w:rPr>
        <w:t xml:space="preserve">.- </w:t>
      </w:r>
      <w:r w:rsidR="00D52ACF" w:rsidRPr="00694D76">
        <w:rPr>
          <w:rFonts w:ascii="Palatino Linotype" w:hAnsi="Palatino Linotype" w:cs="Times New Roman"/>
          <w:b/>
        </w:rPr>
        <w:t>Objetivo General</w:t>
      </w:r>
      <w:r w:rsidR="00012829" w:rsidRPr="00694D76">
        <w:rPr>
          <w:rFonts w:ascii="Palatino Linotype" w:hAnsi="Palatino Linotype" w:cs="Times New Roman"/>
          <w:b/>
        </w:rPr>
        <w:t xml:space="preserve"> del </w:t>
      </w:r>
      <w:proofErr w:type="gramStart"/>
      <w:r w:rsidR="00012829" w:rsidRPr="00694D76">
        <w:rPr>
          <w:rFonts w:ascii="Palatino Linotype" w:hAnsi="Palatino Linotype" w:cs="Times New Roman"/>
          <w:b/>
        </w:rPr>
        <w:t>PUAE</w:t>
      </w:r>
      <w:r w:rsidR="007E6E9C" w:rsidRPr="00694D76">
        <w:rPr>
          <w:rFonts w:ascii="Palatino Linotype" w:hAnsi="Palatino Linotype" w:cs="Times New Roman"/>
          <w:b/>
        </w:rPr>
        <w:t>.-</w:t>
      </w:r>
      <w:proofErr w:type="gramEnd"/>
      <w:r w:rsidR="007E6E9C" w:rsidRPr="00694D76">
        <w:rPr>
          <w:rFonts w:ascii="Palatino Linotype" w:hAnsi="Palatino Linotype" w:cs="Times New Roman"/>
          <w:b/>
        </w:rPr>
        <w:t xml:space="preserve"> </w:t>
      </w:r>
      <w:r w:rsidR="00012829" w:rsidRPr="00694D76">
        <w:rPr>
          <w:rFonts w:ascii="Palatino Linotype" w:hAnsi="Palatino Linotype" w:cs="Times New Roman"/>
        </w:rPr>
        <w:t>Aportar</w:t>
      </w:r>
      <w:r w:rsidR="00664BA5" w:rsidRPr="00694D76">
        <w:rPr>
          <w:rFonts w:ascii="Palatino Linotype" w:hAnsi="Palatino Linotype" w:cs="Times New Roman"/>
        </w:rPr>
        <w:t xml:space="preserve"> a la consolidación</w:t>
      </w:r>
      <w:r w:rsidR="002B649F" w:rsidRPr="00694D76">
        <w:rPr>
          <w:rFonts w:ascii="Palatino Linotype" w:hAnsi="Palatino Linotype" w:cs="Times New Roman"/>
        </w:rPr>
        <w:t xml:space="preserve"> urbanística</w:t>
      </w:r>
      <w:r w:rsidR="004F2A6D" w:rsidRPr="00694D76">
        <w:rPr>
          <w:rFonts w:ascii="Palatino Linotype" w:hAnsi="Palatino Linotype" w:cs="Times New Roman"/>
        </w:rPr>
        <w:t xml:space="preserve"> </w:t>
      </w:r>
      <w:r w:rsidR="002B649F" w:rsidRPr="00694D76">
        <w:rPr>
          <w:rFonts w:ascii="Palatino Linotype" w:hAnsi="Palatino Linotype" w:cs="Times New Roman"/>
        </w:rPr>
        <w:t xml:space="preserve">y </w:t>
      </w:r>
      <w:r w:rsidR="004E637D" w:rsidRPr="00694D76">
        <w:rPr>
          <w:rFonts w:ascii="Palatino Linotype" w:hAnsi="Palatino Linotype" w:cs="Times New Roman"/>
        </w:rPr>
        <w:t>a</w:t>
      </w:r>
      <w:r w:rsidR="002B649F" w:rsidRPr="00694D76">
        <w:rPr>
          <w:rFonts w:ascii="Palatino Linotype" w:hAnsi="Palatino Linotype" w:cs="Times New Roman"/>
        </w:rPr>
        <w:t xml:space="preserve"> la vocación económica </w:t>
      </w:r>
      <w:r w:rsidR="004F2A6D" w:rsidRPr="00694D76">
        <w:rPr>
          <w:rFonts w:ascii="Palatino Linotype" w:hAnsi="Palatino Linotype" w:cs="Times New Roman"/>
        </w:rPr>
        <w:t>de esta centralidad metropolitana, en concordancia con</w:t>
      </w:r>
      <w:r w:rsidR="005B2C2A" w:rsidRPr="00694D76">
        <w:rPr>
          <w:rFonts w:ascii="Palatino Linotype" w:hAnsi="Palatino Linotype" w:cs="Times New Roman"/>
        </w:rPr>
        <w:t xml:space="preserve"> lo establecido en la Ordenanza </w:t>
      </w:r>
      <w:r w:rsidR="005B2C2A" w:rsidRPr="00694D76">
        <w:rPr>
          <w:rFonts w:ascii="Palatino Linotype" w:hAnsi="Palatino Linotype" w:cs="Times New Roman"/>
        </w:rPr>
        <w:lastRenderedPageBreak/>
        <w:t>Metropolitana No. 041</w:t>
      </w:r>
      <w:r w:rsidR="0085637A">
        <w:rPr>
          <w:rFonts w:ascii="Palatino Linotype" w:hAnsi="Palatino Linotype" w:cs="Times New Roman"/>
        </w:rPr>
        <w:t>,</w:t>
      </w:r>
      <w:r w:rsidR="005B2C2A" w:rsidRPr="00694D76">
        <w:rPr>
          <w:rFonts w:ascii="Palatino Linotype" w:hAnsi="Palatino Linotype" w:cs="Times New Roman"/>
        </w:rPr>
        <w:t xml:space="preserve"> que aprueba el </w:t>
      </w:r>
      <w:r w:rsidR="007E6E9C" w:rsidRPr="00694D76">
        <w:rPr>
          <w:rFonts w:ascii="Palatino Linotype" w:hAnsi="Palatino Linotype" w:cs="Times New Roman"/>
        </w:rPr>
        <w:t>Plan Metropolitano de</w:t>
      </w:r>
      <w:r w:rsidR="00680DAA" w:rsidRPr="00694D76">
        <w:rPr>
          <w:rFonts w:ascii="Palatino Linotype" w:hAnsi="Palatino Linotype" w:cs="Times New Roman"/>
        </w:rPr>
        <w:t xml:space="preserve"> Desarrollo y</w:t>
      </w:r>
      <w:r w:rsidR="007E6E9C" w:rsidRPr="00694D76">
        <w:rPr>
          <w:rFonts w:ascii="Palatino Linotype" w:hAnsi="Palatino Linotype" w:cs="Times New Roman"/>
        </w:rPr>
        <w:t xml:space="preserve"> Ordenamiento Territorial</w:t>
      </w:r>
      <w:r w:rsidR="005B2C2A" w:rsidRPr="00694D76">
        <w:rPr>
          <w:rFonts w:ascii="Palatino Linotype" w:hAnsi="Palatino Linotype" w:cs="Times New Roman"/>
        </w:rPr>
        <w:t xml:space="preserve"> para el Distrito Metropolitano de Quito</w:t>
      </w:r>
      <w:r w:rsidR="00012829" w:rsidRPr="00694D76">
        <w:rPr>
          <w:rFonts w:ascii="Palatino Linotype" w:hAnsi="Palatino Linotype" w:cs="Times New Roman"/>
        </w:rPr>
        <w:t xml:space="preserve">. </w:t>
      </w:r>
    </w:p>
    <w:p w14:paraId="29D97388" w14:textId="77777777" w:rsidR="00694C9A" w:rsidRPr="00694D76" w:rsidRDefault="007301A3" w:rsidP="00694D76">
      <w:pPr>
        <w:spacing w:after="120"/>
        <w:rPr>
          <w:rFonts w:ascii="Palatino Linotype" w:hAnsi="Palatino Linotype" w:cs="Times New Roman"/>
          <w:b/>
        </w:rPr>
      </w:pPr>
      <w:r w:rsidRPr="00694D76">
        <w:rPr>
          <w:rFonts w:ascii="Palatino Linotype" w:hAnsi="Palatino Linotype" w:cs="Times New Roman"/>
        </w:rPr>
        <w:t xml:space="preserve">La presente ordenanza regula la </w:t>
      </w:r>
      <w:r w:rsidR="00F30B95" w:rsidRPr="00694D76">
        <w:rPr>
          <w:rFonts w:ascii="Palatino Linotype" w:hAnsi="Palatino Linotype" w:cs="Times New Roman"/>
        </w:rPr>
        <w:t>inserción</w:t>
      </w:r>
      <w:r w:rsidRPr="00694D76">
        <w:rPr>
          <w:rFonts w:ascii="Palatino Linotype" w:hAnsi="Palatino Linotype" w:cs="Times New Roman"/>
        </w:rPr>
        <w:t xml:space="preserve"> urbanística y la accesibilidad del PUAE Hotel Holiday Inn Quito Airport, guardando </w:t>
      </w:r>
      <w:r w:rsidR="00012829" w:rsidRPr="00694D76">
        <w:rPr>
          <w:rFonts w:ascii="Palatino Linotype" w:hAnsi="Palatino Linotype" w:cs="Times New Roman"/>
        </w:rPr>
        <w:t>concordan</w:t>
      </w:r>
      <w:r w:rsidRPr="00694D76">
        <w:rPr>
          <w:rFonts w:ascii="Palatino Linotype" w:hAnsi="Palatino Linotype" w:cs="Times New Roman"/>
        </w:rPr>
        <w:t>cia</w:t>
      </w:r>
      <w:r w:rsidR="00012829" w:rsidRPr="00694D76">
        <w:rPr>
          <w:rFonts w:ascii="Palatino Linotype" w:hAnsi="Palatino Linotype" w:cs="Times New Roman"/>
        </w:rPr>
        <w:t xml:space="preserve"> con la vocación logística, productiva y de servicios especializados de la zona</w:t>
      </w:r>
      <w:r w:rsidR="004E637D" w:rsidRPr="00694D76">
        <w:rPr>
          <w:rFonts w:ascii="Palatino Linotype" w:hAnsi="Palatino Linotype" w:cs="Times New Roman"/>
        </w:rPr>
        <w:t xml:space="preserve"> y </w:t>
      </w:r>
      <w:r w:rsidRPr="00694D76">
        <w:rPr>
          <w:rFonts w:ascii="Palatino Linotype" w:hAnsi="Palatino Linotype" w:cs="Times New Roman"/>
        </w:rPr>
        <w:t xml:space="preserve">contribuyendo a crear </w:t>
      </w:r>
      <w:r w:rsidR="00012829" w:rsidRPr="00694D76">
        <w:rPr>
          <w:rFonts w:ascii="Palatino Linotype" w:hAnsi="Palatino Linotype" w:cs="Times New Roman"/>
        </w:rPr>
        <w:t>una imagen</w:t>
      </w:r>
      <w:r w:rsidR="007E6E9C" w:rsidRPr="00694D76">
        <w:rPr>
          <w:rFonts w:ascii="Palatino Linotype" w:hAnsi="Palatino Linotype" w:cs="Times New Roman"/>
        </w:rPr>
        <w:t xml:space="preserve"> </w:t>
      </w:r>
      <w:r w:rsidR="00012829" w:rsidRPr="00694D76">
        <w:rPr>
          <w:rFonts w:ascii="Palatino Linotype" w:hAnsi="Palatino Linotype" w:cs="Times New Roman"/>
        </w:rPr>
        <w:t xml:space="preserve">urbanística </w:t>
      </w:r>
      <w:r w:rsidR="00D23142" w:rsidRPr="00694D76">
        <w:rPr>
          <w:rFonts w:ascii="Palatino Linotype" w:hAnsi="Palatino Linotype" w:cs="Times New Roman"/>
        </w:rPr>
        <w:t xml:space="preserve">que dará pautas morfológicas para el desarrollo </w:t>
      </w:r>
      <w:r w:rsidR="00012829" w:rsidRPr="00694D76">
        <w:rPr>
          <w:rFonts w:ascii="Palatino Linotype" w:hAnsi="Palatino Linotype" w:cs="Times New Roman"/>
        </w:rPr>
        <w:t xml:space="preserve">de la nueva </w:t>
      </w:r>
      <w:r w:rsidR="007E6E9C" w:rsidRPr="00694D76">
        <w:rPr>
          <w:rFonts w:ascii="Palatino Linotype" w:hAnsi="Palatino Linotype" w:cs="Times New Roman"/>
        </w:rPr>
        <w:t xml:space="preserve">centralidad </w:t>
      </w:r>
      <w:r w:rsidR="00A53CBC" w:rsidRPr="00694D76">
        <w:rPr>
          <w:rFonts w:ascii="Palatino Linotype" w:hAnsi="Palatino Linotype" w:cs="Times New Roman"/>
        </w:rPr>
        <w:t xml:space="preserve">metropolitana. </w:t>
      </w:r>
    </w:p>
    <w:p w14:paraId="1625ACBA" w14:textId="77777777" w:rsidR="00322702" w:rsidRPr="00694D76" w:rsidRDefault="00E74C51" w:rsidP="00694D76">
      <w:pPr>
        <w:spacing w:after="120"/>
        <w:rPr>
          <w:rFonts w:ascii="Palatino Linotype" w:hAnsi="Palatino Linotype" w:cs="Times New Roman"/>
        </w:rPr>
      </w:pPr>
      <w:r w:rsidRPr="00694D76">
        <w:rPr>
          <w:rFonts w:ascii="Palatino Linotype" w:hAnsi="Palatino Linotype" w:cs="Times New Roman"/>
          <w:b/>
        </w:rPr>
        <w:t>Artículo 4</w:t>
      </w:r>
      <w:r w:rsidR="001E0154" w:rsidRPr="00694D76">
        <w:rPr>
          <w:rFonts w:ascii="Palatino Linotype" w:hAnsi="Palatino Linotype" w:cs="Times New Roman"/>
          <w:b/>
        </w:rPr>
        <w:t>.- Objetivo</w:t>
      </w:r>
      <w:r w:rsidR="00586CBE" w:rsidRPr="00694D76">
        <w:rPr>
          <w:rFonts w:ascii="Palatino Linotype" w:hAnsi="Palatino Linotype" w:cs="Times New Roman"/>
          <w:b/>
        </w:rPr>
        <w:t>s</w:t>
      </w:r>
      <w:r w:rsidR="001E0154" w:rsidRPr="00694D76">
        <w:rPr>
          <w:rFonts w:ascii="Palatino Linotype" w:hAnsi="Palatino Linotype" w:cs="Times New Roman"/>
          <w:b/>
        </w:rPr>
        <w:t xml:space="preserve"> </w:t>
      </w:r>
      <w:proofErr w:type="gramStart"/>
      <w:r w:rsidR="001E0154" w:rsidRPr="00694D76">
        <w:rPr>
          <w:rFonts w:ascii="Palatino Linotype" w:hAnsi="Palatino Linotype" w:cs="Times New Roman"/>
          <w:b/>
        </w:rPr>
        <w:t>específicos.-</w:t>
      </w:r>
      <w:proofErr w:type="gramEnd"/>
      <w:r w:rsidR="001E0154" w:rsidRPr="00694D76">
        <w:rPr>
          <w:rFonts w:ascii="Palatino Linotype" w:hAnsi="Palatino Linotype" w:cs="Times New Roman"/>
          <w:b/>
        </w:rPr>
        <w:t xml:space="preserve"> </w:t>
      </w:r>
      <w:r w:rsidR="004E637D" w:rsidRPr="00694D76">
        <w:rPr>
          <w:rFonts w:ascii="Palatino Linotype" w:hAnsi="Palatino Linotype" w:cs="Times New Roman"/>
        </w:rPr>
        <w:t xml:space="preserve">Son objetivos específicos del PUAE </w:t>
      </w:r>
      <w:r w:rsidR="00B4109E" w:rsidRPr="00694D76">
        <w:rPr>
          <w:rFonts w:ascii="Palatino Linotype" w:hAnsi="Palatino Linotype" w:cs="Times New Roman"/>
        </w:rPr>
        <w:t xml:space="preserve">Hotel Holiday Inn </w:t>
      </w:r>
      <w:r w:rsidR="00AA470A" w:rsidRPr="00694D76">
        <w:rPr>
          <w:rFonts w:ascii="Palatino Linotype" w:hAnsi="Palatino Linotype" w:cs="Times New Roman"/>
        </w:rPr>
        <w:t>Quito Airport</w:t>
      </w:r>
      <w:r w:rsidR="00B4109E" w:rsidRPr="00694D76">
        <w:rPr>
          <w:rFonts w:ascii="Palatino Linotype" w:hAnsi="Palatino Linotype" w:cs="Times New Roman"/>
        </w:rPr>
        <w:t xml:space="preserve"> </w:t>
      </w:r>
      <w:r w:rsidR="004E637D" w:rsidRPr="00694D76">
        <w:rPr>
          <w:rFonts w:ascii="Palatino Linotype" w:hAnsi="Palatino Linotype" w:cs="Times New Roman"/>
        </w:rPr>
        <w:t>los siguientes</w:t>
      </w:r>
      <w:r w:rsidR="00322702" w:rsidRPr="00694D76">
        <w:rPr>
          <w:rFonts w:ascii="Palatino Linotype" w:hAnsi="Palatino Linotype" w:cs="Times New Roman"/>
        </w:rPr>
        <w:t>:</w:t>
      </w:r>
    </w:p>
    <w:p w14:paraId="0892557D" w14:textId="6B932E5A" w:rsidR="004E637D" w:rsidRPr="00694D76" w:rsidRDefault="00001FC5" w:rsidP="00250512">
      <w:pPr>
        <w:pStyle w:val="Prrafodelista"/>
        <w:numPr>
          <w:ilvl w:val="0"/>
          <w:numId w:val="6"/>
        </w:numPr>
        <w:spacing w:after="120"/>
        <w:rPr>
          <w:rFonts w:ascii="Palatino Linotype" w:hAnsi="Palatino Linotype"/>
        </w:rPr>
      </w:pPr>
      <w:r w:rsidRPr="00694D76">
        <w:rPr>
          <w:rFonts w:ascii="Palatino Linotype" w:hAnsi="Palatino Linotype"/>
        </w:rPr>
        <w:t xml:space="preserve">Ofrecer servicios </w:t>
      </w:r>
      <w:r w:rsidR="004E637D" w:rsidRPr="00694D76">
        <w:rPr>
          <w:rFonts w:ascii="Palatino Linotype" w:hAnsi="Palatino Linotype"/>
        </w:rPr>
        <w:t>de hospedaje</w:t>
      </w:r>
      <w:r w:rsidR="007301A3" w:rsidRPr="00694D76">
        <w:rPr>
          <w:rFonts w:ascii="Palatino Linotype" w:hAnsi="Palatino Linotype"/>
        </w:rPr>
        <w:t>:</w:t>
      </w:r>
      <w:r w:rsidR="00E82B3B">
        <w:rPr>
          <w:rFonts w:ascii="Palatino Linotype" w:hAnsi="Palatino Linotype"/>
        </w:rPr>
        <w:t xml:space="preserve"> e</w:t>
      </w:r>
      <w:r w:rsidR="00C54993" w:rsidRPr="00694D76">
        <w:rPr>
          <w:rFonts w:ascii="Palatino Linotype" w:hAnsi="Palatino Linotype"/>
        </w:rPr>
        <w:t xml:space="preserve">n la primera </w:t>
      </w:r>
      <w:r w:rsidR="007301A3" w:rsidRPr="00694D76">
        <w:rPr>
          <w:rFonts w:ascii="Palatino Linotype" w:hAnsi="Palatino Linotype"/>
        </w:rPr>
        <w:t>e</w:t>
      </w:r>
      <w:r w:rsidR="00C54993" w:rsidRPr="00694D76">
        <w:rPr>
          <w:rFonts w:ascii="Palatino Linotype" w:hAnsi="Palatino Linotype"/>
        </w:rPr>
        <w:t>tapa</w:t>
      </w:r>
      <w:r w:rsidR="007301A3" w:rsidRPr="00694D76">
        <w:rPr>
          <w:rFonts w:ascii="Palatino Linotype" w:hAnsi="Palatino Linotype"/>
        </w:rPr>
        <w:t>,</w:t>
      </w:r>
      <w:r w:rsidR="00C54993" w:rsidRPr="00694D76">
        <w:rPr>
          <w:rFonts w:ascii="Palatino Linotype" w:hAnsi="Palatino Linotype"/>
        </w:rPr>
        <w:t xml:space="preserve"> se desarrollará </w:t>
      </w:r>
      <w:r w:rsidR="007301A3" w:rsidRPr="00694D76">
        <w:rPr>
          <w:rFonts w:ascii="Palatino Linotype" w:hAnsi="Palatino Linotype"/>
        </w:rPr>
        <w:t xml:space="preserve">un hotel con </w:t>
      </w:r>
      <w:r w:rsidR="00C54993" w:rsidRPr="00694D76">
        <w:rPr>
          <w:rFonts w:ascii="Palatino Linotype" w:hAnsi="Palatino Linotype"/>
        </w:rPr>
        <w:t>126 habitaciones</w:t>
      </w:r>
      <w:r w:rsidR="00E82B3B">
        <w:rPr>
          <w:rFonts w:ascii="Palatino Linotype" w:hAnsi="Palatino Linotype"/>
        </w:rPr>
        <w:t>,</w:t>
      </w:r>
      <w:r w:rsidR="00C54993" w:rsidRPr="00694D76">
        <w:rPr>
          <w:rFonts w:ascii="Palatino Linotype" w:hAnsi="Palatino Linotype"/>
        </w:rPr>
        <w:t xml:space="preserve"> </w:t>
      </w:r>
      <w:r w:rsidR="007301A3" w:rsidRPr="00694D76">
        <w:rPr>
          <w:rFonts w:ascii="Palatino Linotype" w:hAnsi="Palatino Linotype"/>
        </w:rPr>
        <w:t xml:space="preserve">aproximadamente </w:t>
      </w:r>
      <w:r w:rsidR="00C54993" w:rsidRPr="00694D76">
        <w:rPr>
          <w:rFonts w:ascii="Palatino Linotype" w:hAnsi="Palatino Linotype"/>
        </w:rPr>
        <w:t>y</w:t>
      </w:r>
      <w:r w:rsidR="007301A3" w:rsidRPr="00694D76">
        <w:rPr>
          <w:rFonts w:ascii="Palatino Linotype" w:hAnsi="Palatino Linotype"/>
        </w:rPr>
        <w:t>,</w:t>
      </w:r>
      <w:r w:rsidR="00C54993" w:rsidRPr="00694D76">
        <w:rPr>
          <w:rFonts w:ascii="Palatino Linotype" w:hAnsi="Palatino Linotype"/>
        </w:rPr>
        <w:t xml:space="preserve"> en la segunda</w:t>
      </w:r>
      <w:r w:rsidR="007301A3" w:rsidRPr="00694D76">
        <w:rPr>
          <w:rFonts w:ascii="Palatino Linotype" w:hAnsi="Palatino Linotype"/>
        </w:rPr>
        <w:t>,</w:t>
      </w:r>
      <w:r w:rsidR="00C54993" w:rsidRPr="00694D76">
        <w:rPr>
          <w:rFonts w:ascii="Palatino Linotype" w:hAnsi="Palatino Linotype"/>
        </w:rPr>
        <w:t xml:space="preserve"> se ha previsto </w:t>
      </w:r>
      <w:r w:rsidR="007301A3" w:rsidRPr="00694D76">
        <w:rPr>
          <w:rFonts w:ascii="Palatino Linotype" w:hAnsi="Palatino Linotype"/>
        </w:rPr>
        <w:t xml:space="preserve">ampliarlo con </w:t>
      </w:r>
      <w:r w:rsidR="00C54993" w:rsidRPr="00694D76">
        <w:rPr>
          <w:rFonts w:ascii="Palatino Linotype" w:hAnsi="Palatino Linotype"/>
        </w:rPr>
        <w:t>35 habitaciones más</w:t>
      </w:r>
      <w:r w:rsidR="007301A3" w:rsidRPr="00694D76">
        <w:rPr>
          <w:rFonts w:ascii="Palatino Linotype" w:hAnsi="Palatino Linotype"/>
        </w:rPr>
        <w:t>, aproximadamente</w:t>
      </w:r>
      <w:r w:rsidR="00C54993" w:rsidRPr="00694D76">
        <w:rPr>
          <w:rFonts w:ascii="Palatino Linotype" w:hAnsi="Palatino Linotype"/>
        </w:rPr>
        <w:t>.</w:t>
      </w:r>
    </w:p>
    <w:p w14:paraId="70E65401" w14:textId="77777777" w:rsidR="00ED6B32" w:rsidRPr="00694D76" w:rsidRDefault="004E637D" w:rsidP="00250512">
      <w:pPr>
        <w:pStyle w:val="Prrafodelista"/>
        <w:numPr>
          <w:ilvl w:val="0"/>
          <w:numId w:val="6"/>
        </w:numPr>
        <w:spacing w:after="120"/>
        <w:rPr>
          <w:rFonts w:ascii="Palatino Linotype" w:hAnsi="Palatino Linotype"/>
        </w:rPr>
      </w:pPr>
      <w:r w:rsidRPr="00694D76">
        <w:rPr>
          <w:rFonts w:ascii="Palatino Linotype" w:hAnsi="Palatino Linotype"/>
        </w:rPr>
        <w:t xml:space="preserve">Ofrecer servicios </w:t>
      </w:r>
      <w:r w:rsidR="00001FC5" w:rsidRPr="00694D76">
        <w:rPr>
          <w:rFonts w:ascii="Palatino Linotype" w:hAnsi="Palatino Linotype"/>
        </w:rPr>
        <w:t xml:space="preserve">de alimentos </w:t>
      </w:r>
      <w:r w:rsidR="003C58B3" w:rsidRPr="00694D76">
        <w:rPr>
          <w:rFonts w:ascii="Palatino Linotype" w:hAnsi="Palatino Linotype"/>
        </w:rPr>
        <w:t xml:space="preserve">y </w:t>
      </w:r>
      <w:r w:rsidR="00001FC5" w:rsidRPr="00694D76">
        <w:rPr>
          <w:rFonts w:ascii="Palatino Linotype" w:hAnsi="Palatino Linotype"/>
        </w:rPr>
        <w:t>bebidas.</w:t>
      </w:r>
    </w:p>
    <w:p w14:paraId="4F31A206" w14:textId="77777777" w:rsidR="004E637D" w:rsidRPr="00694D76" w:rsidRDefault="00C82779" w:rsidP="00250512">
      <w:pPr>
        <w:pStyle w:val="Prrafodelista"/>
        <w:numPr>
          <w:ilvl w:val="0"/>
          <w:numId w:val="6"/>
        </w:numPr>
        <w:spacing w:after="120"/>
        <w:rPr>
          <w:rFonts w:ascii="Palatino Linotype" w:hAnsi="Palatino Linotype"/>
        </w:rPr>
      </w:pPr>
      <w:r w:rsidRPr="00694D76">
        <w:rPr>
          <w:rFonts w:ascii="Palatino Linotype" w:hAnsi="Palatino Linotype"/>
        </w:rPr>
        <w:t>Ofrecer s</w:t>
      </w:r>
      <w:r w:rsidR="00C54993" w:rsidRPr="00694D76">
        <w:rPr>
          <w:rFonts w:ascii="Palatino Linotype" w:hAnsi="Palatino Linotype"/>
        </w:rPr>
        <w:t>alones para eventos sociales y/o corporativos</w:t>
      </w:r>
      <w:r w:rsidR="007301A3" w:rsidRPr="00694D76">
        <w:rPr>
          <w:rFonts w:ascii="Palatino Linotype" w:hAnsi="Palatino Linotype"/>
        </w:rPr>
        <w:t>.</w:t>
      </w:r>
    </w:p>
    <w:p w14:paraId="2A973E0F" w14:textId="77777777" w:rsidR="00694C9A" w:rsidRPr="00694D76" w:rsidRDefault="00694C9A" w:rsidP="00694D76">
      <w:pPr>
        <w:spacing w:after="120"/>
        <w:rPr>
          <w:rFonts w:ascii="Palatino Linotype" w:hAnsi="Palatino Linotype" w:cs="Times New Roman"/>
        </w:rPr>
      </w:pPr>
      <w:r w:rsidRPr="00694D76">
        <w:rPr>
          <w:rFonts w:ascii="Palatino Linotype" w:hAnsi="Palatino Linotype" w:cs="Times New Roman"/>
          <w:b/>
        </w:rPr>
        <w:t xml:space="preserve">Artículo </w:t>
      </w:r>
      <w:r w:rsidR="00E74C51" w:rsidRPr="00694D76">
        <w:rPr>
          <w:rFonts w:ascii="Palatino Linotype" w:hAnsi="Palatino Linotype" w:cs="Times New Roman"/>
          <w:b/>
        </w:rPr>
        <w:t>5</w:t>
      </w:r>
      <w:r w:rsidR="00D9474A" w:rsidRPr="00694D76">
        <w:rPr>
          <w:rFonts w:ascii="Palatino Linotype" w:hAnsi="Palatino Linotype" w:cs="Times New Roman"/>
          <w:b/>
        </w:rPr>
        <w:t xml:space="preserve">.- </w:t>
      </w:r>
      <w:r w:rsidRPr="00694D76">
        <w:rPr>
          <w:rFonts w:ascii="Palatino Linotype" w:hAnsi="Palatino Linotype" w:cs="Times New Roman"/>
          <w:b/>
        </w:rPr>
        <w:t xml:space="preserve">Condiciones </w:t>
      </w:r>
      <w:r w:rsidR="00E100FD" w:rsidRPr="00694D76">
        <w:rPr>
          <w:rFonts w:ascii="Palatino Linotype" w:hAnsi="Palatino Linotype" w:cs="Times New Roman"/>
          <w:b/>
        </w:rPr>
        <w:t>urbanísticas</w:t>
      </w:r>
      <w:r w:rsidR="008A05A8" w:rsidRPr="00694D76">
        <w:rPr>
          <w:rFonts w:ascii="Palatino Linotype" w:hAnsi="Palatino Linotype" w:cs="Times New Roman"/>
          <w:b/>
        </w:rPr>
        <w:t xml:space="preserve"> </w:t>
      </w:r>
      <w:proofErr w:type="gramStart"/>
      <w:r w:rsidR="008A05A8" w:rsidRPr="00694D76">
        <w:rPr>
          <w:rFonts w:ascii="Palatino Linotype" w:hAnsi="Palatino Linotype" w:cs="Times New Roman"/>
          <w:b/>
        </w:rPr>
        <w:t>específicas</w:t>
      </w:r>
      <w:r w:rsidR="00A41947" w:rsidRPr="00694D76">
        <w:rPr>
          <w:rFonts w:ascii="Palatino Linotype" w:hAnsi="Palatino Linotype" w:cs="Times New Roman"/>
          <w:b/>
        </w:rPr>
        <w:t>.-</w:t>
      </w:r>
      <w:proofErr w:type="gramEnd"/>
      <w:r w:rsidR="00E100FD" w:rsidRPr="00694D76">
        <w:rPr>
          <w:rFonts w:ascii="Palatino Linotype" w:hAnsi="Palatino Linotype" w:cs="Times New Roman"/>
          <w:b/>
        </w:rPr>
        <w:t xml:space="preserve"> </w:t>
      </w:r>
      <w:r w:rsidRPr="00694D76">
        <w:rPr>
          <w:rFonts w:ascii="Palatino Linotype" w:hAnsi="Palatino Linotype" w:cs="Times New Roman"/>
        </w:rPr>
        <w:t xml:space="preserve">El proyecto </w:t>
      </w:r>
      <w:r w:rsidR="00E100FD" w:rsidRPr="00694D76">
        <w:rPr>
          <w:rFonts w:ascii="Palatino Linotype" w:hAnsi="Palatino Linotype" w:cs="Times New Roman"/>
        </w:rPr>
        <w:t>contemplará</w:t>
      </w:r>
      <w:r w:rsidRPr="00694D76">
        <w:rPr>
          <w:rFonts w:ascii="Palatino Linotype" w:hAnsi="Palatino Linotype" w:cs="Times New Roman"/>
        </w:rPr>
        <w:t xml:space="preserve"> las siguientes condiciones </w:t>
      </w:r>
      <w:r w:rsidR="000779AC" w:rsidRPr="00694D76">
        <w:rPr>
          <w:rFonts w:ascii="Palatino Linotype" w:hAnsi="Palatino Linotype" w:cs="Times New Roman"/>
        </w:rPr>
        <w:t>urbanísticas</w:t>
      </w:r>
      <w:r w:rsidRPr="00694D76">
        <w:rPr>
          <w:rFonts w:ascii="Palatino Linotype" w:hAnsi="Palatino Linotype" w:cs="Times New Roman"/>
        </w:rPr>
        <w:t xml:space="preserve">: </w:t>
      </w:r>
    </w:p>
    <w:p w14:paraId="05CD4E38" w14:textId="77777777" w:rsidR="00694C9A" w:rsidRPr="00694D76" w:rsidRDefault="00137B93" w:rsidP="00694D76">
      <w:pPr>
        <w:pStyle w:val="Prrafodelista"/>
        <w:numPr>
          <w:ilvl w:val="0"/>
          <w:numId w:val="1"/>
        </w:numPr>
        <w:spacing w:after="120"/>
        <w:rPr>
          <w:rFonts w:ascii="Palatino Linotype" w:hAnsi="Palatino Linotype" w:cs="Times New Roman"/>
        </w:rPr>
      </w:pPr>
      <w:r w:rsidRPr="00694D76">
        <w:rPr>
          <w:rFonts w:ascii="Palatino Linotype" w:hAnsi="Palatino Linotype" w:cs="Times New Roman"/>
          <w:b/>
        </w:rPr>
        <w:t>Usos</w:t>
      </w:r>
      <w:r w:rsidR="007301A3" w:rsidRPr="00694D76">
        <w:rPr>
          <w:rFonts w:ascii="Palatino Linotype" w:hAnsi="Palatino Linotype" w:cs="Times New Roman"/>
          <w:b/>
        </w:rPr>
        <w:t xml:space="preserve"> permitidos</w:t>
      </w:r>
      <w:r w:rsidRPr="00694D76">
        <w:rPr>
          <w:rFonts w:ascii="Palatino Linotype" w:hAnsi="Palatino Linotype" w:cs="Times New Roman"/>
          <w:b/>
          <w:i/>
        </w:rPr>
        <w:t>:</w:t>
      </w:r>
      <w:r w:rsidRPr="00694D76">
        <w:rPr>
          <w:rFonts w:ascii="Palatino Linotype" w:hAnsi="Palatino Linotype" w:cs="Times New Roman"/>
        </w:rPr>
        <w:t xml:space="preserve"> </w:t>
      </w:r>
      <w:r w:rsidR="00A04916" w:rsidRPr="00694D76">
        <w:rPr>
          <w:rFonts w:ascii="Palatino Linotype" w:hAnsi="Palatino Linotype" w:cs="Times New Roman"/>
        </w:rPr>
        <w:t>s</w:t>
      </w:r>
      <w:r w:rsidRPr="00694D76">
        <w:rPr>
          <w:rFonts w:ascii="Palatino Linotype" w:hAnsi="Palatino Linotype" w:cs="Times New Roman"/>
        </w:rPr>
        <w:t xml:space="preserve">ervicios de hospedaje, </w:t>
      </w:r>
      <w:r w:rsidR="004E637D" w:rsidRPr="00694D76">
        <w:rPr>
          <w:rFonts w:ascii="Palatino Linotype" w:hAnsi="Palatino Linotype" w:cs="Times New Roman"/>
        </w:rPr>
        <w:t>alimentos, be</w:t>
      </w:r>
      <w:r w:rsidR="00C54993" w:rsidRPr="00694D76">
        <w:rPr>
          <w:rFonts w:ascii="Palatino Linotype" w:hAnsi="Palatino Linotype" w:cs="Times New Roman"/>
        </w:rPr>
        <w:t>b</w:t>
      </w:r>
      <w:r w:rsidR="004E637D" w:rsidRPr="00694D76">
        <w:rPr>
          <w:rFonts w:ascii="Palatino Linotype" w:hAnsi="Palatino Linotype" w:cs="Times New Roman"/>
        </w:rPr>
        <w:t>idas</w:t>
      </w:r>
      <w:r w:rsidR="007301A3" w:rsidRPr="00694D76">
        <w:rPr>
          <w:rFonts w:ascii="Palatino Linotype" w:hAnsi="Palatino Linotype" w:cs="Times New Roman"/>
        </w:rPr>
        <w:t xml:space="preserve"> y </w:t>
      </w:r>
      <w:r w:rsidRPr="00694D76">
        <w:rPr>
          <w:rFonts w:ascii="Palatino Linotype" w:hAnsi="Palatino Linotype" w:cs="Times New Roman"/>
        </w:rPr>
        <w:t>comercio</w:t>
      </w:r>
      <w:r w:rsidR="007301A3" w:rsidRPr="00694D76">
        <w:rPr>
          <w:rFonts w:ascii="Palatino Linotype" w:hAnsi="Palatino Linotype" w:cs="Times New Roman"/>
        </w:rPr>
        <w:t xml:space="preserve"> asociado a la actividad hotelera</w:t>
      </w:r>
      <w:r w:rsidR="00C54993" w:rsidRPr="00694D76">
        <w:rPr>
          <w:rFonts w:ascii="Palatino Linotype" w:hAnsi="Palatino Linotype" w:cs="Times New Roman"/>
        </w:rPr>
        <w:t>.</w:t>
      </w:r>
    </w:p>
    <w:p w14:paraId="64C031B4" w14:textId="77777777" w:rsidR="00720665" w:rsidRPr="00694D76" w:rsidRDefault="00694C9A" w:rsidP="00694D76">
      <w:pPr>
        <w:pStyle w:val="Prrafodelista"/>
        <w:numPr>
          <w:ilvl w:val="0"/>
          <w:numId w:val="1"/>
        </w:numPr>
        <w:spacing w:after="120"/>
        <w:rPr>
          <w:rFonts w:ascii="Palatino Linotype" w:hAnsi="Palatino Linotype" w:cs="Times New Roman"/>
        </w:rPr>
      </w:pPr>
      <w:r w:rsidRPr="00694D76">
        <w:rPr>
          <w:rFonts w:ascii="Palatino Linotype" w:hAnsi="Palatino Linotype" w:cs="Times New Roman"/>
          <w:b/>
        </w:rPr>
        <w:t>Entorno</w:t>
      </w:r>
      <w:r w:rsidRPr="00694D76">
        <w:rPr>
          <w:rFonts w:ascii="Palatino Linotype" w:hAnsi="Palatino Linotype" w:cs="Times New Roman"/>
          <w:b/>
          <w:i/>
        </w:rPr>
        <w:t>:</w:t>
      </w:r>
      <w:r w:rsidRPr="00694D76">
        <w:rPr>
          <w:rFonts w:ascii="Palatino Linotype" w:hAnsi="Palatino Linotype" w:cs="Times New Roman"/>
        </w:rPr>
        <w:t xml:space="preserve"> </w:t>
      </w:r>
      <w:r w:rsidR="00A41947" w:rsidRPr="00694D76">
        <w:rPr>
          <w:rFonts w:ascii="Palatino Linotype" w:hAnsi="Palatino Linotype" w:cs="Times New Roman"/>
        </w:rPr>
        <w:t xml:space="preserve">El proyecto </w:t>
      </w:r>
      <w:r w:rsidR="007301A3" w:rsidRPr="00694D76">
        <w:rPr>
          <w:rFonts w:ascii="Palatino Linotype" w:hAnsi="Palatino Linotype" w:cs="Times New Roman"/>
        </w:rPr>
        <w:t xml:space="preserve">preverá en su diseño </w:t>
      </w:r>
      <w:r w:rsidR="00A41947" w:rsidRPr="00694D76">
        <w:rPr>
          <w:rFonts w:ascii="Palatino Linotype" w:hAnsi="Palatino Linotype" w:cs="Times New Roman"/>
        </w:rPr>
        <w:t xml:space="preserve">un tratamiento paisajístico hacia el conector Alpachaca, además de áreas verdes </w:t>
      </w:r>
      <w:r w:rsidR="007301A3" w:rsidRPr="00694D76">
        <w:rPr>
          <w:rFonts w:ascii="Palatino Linotype" w:hAnsi="Palatino Linotype" w:cs="Times New Roman"/>
        </w:rPr>
        <w:t xml:space="preserve">en </w:t>
      </w:r>
      <w:r w:rsidR="00A41947" w:rsidRPr="00694D76">
        <w:rPr>
          <w:rFonts w:ascii="Palatino Linotype" w:hAnsi="Palatino Linotype" w:cs="Times New Roman"/>
        </w:rPr>
        <w:t>el interior</w:t>
      </w:r>
      <w:r w:rsidR="00A53CBC" w:rsidRPr="00694D76">
        <w:rPr>
          <w:rFonts w:ascii="Palatino Linotype" w:hAnsi="Palatino Linotype" w:cs="Times New Roman"/>
        </w:rPr>
        <w:t xml:space="preserve"> del predio</w:t>
      </w:r>
      <w:r w:rsidR="007301A3" w:rsidRPr="00694D76">
        <w:rPr>
          <w:rFonts w:ascii="Palatino Linotype" w:hAnsi="Palatino Linotype" w:cs="Times New Roman"/>
        </w:rPr>
        <w:t>. Generará</w:t>
      </w:r>
      <w:r w:rsidR="00A41947" w:rsidRPr="00694D76">
        <w:rPr>
          <w:rFonts w:ascii="Palatino Linotype" w:hAnsi="Palatino Linotype" w:cs="Times New Roman"/>
        </w:rPr>
        <w:t xml:space="preserve"> espacios privados de acceso público</w:t>
      </w:r>
      <w:r w:rsidR="00A53CBC" w:rsidRPr="00694D76">
        <w:rPr>
          <w:rFonts w:ascii="Palatino Linotype" w:hAnsi="Palatino Linotype" w:cs="Times New Roman"/>
        </w:rPr>
        <w:t xml:space="preserve"> </w:t>
      </w:r>
      <w:r w:rsidR="007301A3" w:rsidRPr="00694D76">
        <w:rPr>
          <w:rFonts w:ascii="Palatino Linotype" w:hAnsi="Palatino Linotype" w:cs="Times New Roman"/>
        </w:rPr>
        <w:t xml:space="preserve">en </w:t>
      </w:r>
      <w:r w:rsidR="00A53CBC" w:rsidRPr="00694D76">
        <w:rPr>
          <w:rFonts w:ascii="Palatino Linotype" w:hAnsi="Palatino Linotype" w:cs="Times New Roman"/>
        </w:rPr>
        <w:t xml:space="preserve">los frentes del proyecto, </w:t>
      </w:r>
      <w:r w:rsidR="00A41947" w:rsidRPr="00694D76">
        <w:rPr>
          <w:rFonts w:ascii="Palatino Linotype" w:hAnsi="Palatino Linotype" w:cs="Times New Roman"/>
        </w:rPr>
        <w:t xml:space="preserve">tanto hacia la calle Cotopaxi como </w:t>
      </w:r>
      <w:r w:rsidR="007301A3" w:rsidRPr="00694D76">
        <w:rPr>
          <w:rFonts w:ascii="Palatino Linotype" w:hAnsi="Palatino Linotype" w:cs="Times New Roman"/>
        </w:rPr>
        <w:t>hacia e</w:t>
      </w:r>
      <w:r w:rsidR="00A41947" w:rsidRPr="00694D76">
        <w:rPr>
          <w:rFonts w:ascii="Palatino Linotype" w:hAnsi="Palatino Linotype" w:cs="Times New Roman"/>
        </w:rPr>
        <w:t>l Conector Alpachaca.</w:t>
      </w:r>
    </w:p>
    <w:p w14:paraId="714BB995" w14:textId="510DEC97" w:rsidR="00A41947" w:rsidRPr="00694D76" w:rsidRDefault="00E74C51" w:rsidP="00694D76">
      <w:pPr>
        <w:autoSpaceDE w:val="0"/>
        <w:spacing w:after="120"/>
        <w:rPr>
          <w:rFonts w:ascii="Palatino Linotype" w:hAnsi="Palatino Linotype" w:cs="Times New Roman"/>
          <w:lang w:val="es-EC"/>
        </w:rPr>
      </w:pPr>
      <w:r w:rsidRPr="00694D76">
        <w:rPr>
          <w:rFonts w:ascii="Palatino Linotype" w:hAnsi="Palatino Linotype" w:cs="Times New Roman"/>
          <w:b/>
        </w:rPr>
        <w:t xml:space="preserve">Artículo </w:t>
      </w:r>
      <w:r w:rsidR="008A05A8" w:rsidRPr="00694D76">
        <w:rPr>
          <w:rFonts w:ascii="Palatino Linotype" w:hAnsi="Palatino Linotype" w:cs="Times New Roman"/>
          <w:b/>
        </w:rPr>
        <w:t>6</w:t>
      </w:r>
      <w:r w:rsidRPr="00694D76">
        <w:rPr>
          <w:rFonts w:ascii="Palatino Linotype" w:hAnsi="Palatino Linotype" w:cs="Times New Roman"/>
          <w:b/>
        </w:rPr>
        <w:t xml:space="preserve">.- </w:t>
      </w:r>
      <w:r w:rsidR="00382C91" w:rsidRPr="00694D76">
        <w:rPr>
          <w:rFonts w:ascii="Palatino Linotype" w:hAnsi="Palatino Linotype" w:cs="Times New Roman"/>
          <w:b/>
        </w:rPr>
        <w:t xml:space="preserve">Usos </w:t>
      </w:r>
      <w:r w:rsidR="00E82B3B" w:rsidRPr="00694D76">
        <w:rPr>
          <w:rFonts w:ascii="Palatino Linotype" w:hAnsi="Palatino Linotype" w:cs="Times New Roman"/>
          <w:b/>
        </w:rPr>
        <w:t xml:space="preserve">de suelo y </w:t>
      </w:r>
      <w:proofErr w:type="gramStart"/>
      <w:r w:rsidR="00E82B3B" w:rsidRPr="00694D76">
        <w:rPr>
          <w:rFonts w:ascii="Palatino Linotype" w:hAnsi="Palatino Linotype" w:cs="Times New Roman"/>
          <w:b/>
        </w:rPr>
        <w:t>compatibilidades</w:t>
      </w:r>
      <w:r w:rsidR="00C8398B" w:rsidRPr="00694D76">
        <w:rPr>
          <w:rFonts w:ascii="Palatino Linotype" w:hAnsi="Palatino Linotype" w:cs="Times New Roman"/>
          <w:b/>
        </w:rPr>
        <w:t>.-</w:t>
      </w:r>
      <w:proofErr w:type="gramEnd"/>
      <w:r w:rsidR="00C8398B" w:rsidRPr="00694D76">
        <w:rPr>
          <w:rFonts w:ascii="Palatino Linotype" w:hAnsi="Palatino Linotype" w:cs="Times New Roman"/>
        </w:rPr>
        <w:t xml:space="preserve"> </w:t>
      </w:r>
      <w:r w:rsidR="00A41947" w:rsidRPr="00694D76">
        <w:rPr>
          <w:rFonts w:ascii="Palatino Linotype" w:hAnsi="Palatino Linotype" w:cs="Times New Roman"/>
          <w:lang w:val="es-EC"/>
        </w:rPr>
        <w:t>El uso principal de suelo del predio No. 5785946 es Recurso</w:t>
      </w:r>
      <w:r w:rsidR="0060690E" w:rsidRPr="00694D76">
        <w:rPr>
          <w:rFonts w:ascii="Palatino Linotype" w:hAnsi="Palatino Linotype" w:cs="Times New Roman"/>
          <w:lang w:val="es-EC"/>
        </w:rPr>
        <w:t>s</w:t>
      </w:r>
      <w:r w:rsidR="00A41947" w:rsidRPr="00694D76">
        <w:rPr>
          <w:rFonts w:ascii="Palatino Linotype" w:hAnsi="Palatino Linotype" w:cs="Times New Roman"/>
          <w:lang w:val="es-EC"/>
        </w:rPr>
        <w:t xml:space="preserve"> Natural</w:t>
      </w:r>
      <w:r w:rsidR="0060690E" w:rsidRPr="00694D76">
        <w:rPr>
          <w:rFonts w:ascii="Palatino Linotype" w:hAnsi="Palatino Linotype" w:cs="Times New Roman"/>
          <w:lang w:val="es-EC"/>
        </w:rPr>
        <w:t>es</w:t>
      </w:r>
      <w:r w:rsidR="00A41947" w:rsidRPr="00694D76">
        <w:rPr>
          <w:rFonts w:ascii="Palatino Linotype" w:hAnsi="Palatino Linotype" w:cs="Times New Roman"/>
          <w:lang w:val="es-EC"/>
        </w:rPr>
        <w:t xml:space="preserve"> </w:t>
      </w:r>
      <w:r w:rsidR="0060690E" w:rsidRPr="00694D76">
        <w:rPr>
          <w:rFonts w:ascii="Palatino Linotype" w:hAnsi="Palatino Linotype" w:cs="Times New Roman"/>
          <w:lang w:val="es-EC"/>
        </w:rPr>
        <w:t xml:space="preserve">/Producción Sostenible </w:t>
      </w:r>
      <w:r w:rsidR="00A41947" w:rsidRPr="00694D76">
        <w:rPr>
          <w:rFonts w:ascii="Palatino Linotype" w:hAnsi="Palatino Linotype" w:cs="Times New Roman"/>
          <w:lang w:val="es-EC"/>
        </w:rPr>
        <w:t>(RN</w:t>
      </w:r>
      <w:r w:rsidR="0060690E" w:rsidRPr="00694D76">
        <w:rPr>
          <w:rFonts w:ascii="Palatino Linotype" w:hAnsi="Palatino Linotype" w:cs="Times New Roman"/>
          <w:lang w:val="es-EC"/>
        </w:rPr>
        <w:t>/PS</w:t>
      </w:r>
      <w:r w:rsidR="00A41947" w:rsidRPr="00694D76">
        <w:rPr>
          <w:rFonts w:ascii="Palatino Linotype" w:hAnsi="Palatino Linotype" w:cs="Times New Roman"/>
          <w:lang w:val="es-EC"/>
        </w:rPr>
        <w:t>), en el cual es compatible el uso Comercio Zonal Alojamiento (3) CZ6 y usos afines complementarios de acuerdo a la normativa</w:t>
      </w:r>
      <w:r w:rsidR="00513D10" w:rsidRPr="00694D76">
        <w:rPr>
          <w:rFonts w:ascii="Palatino Linotype" w:hAnsi="Palatino Linotype" w:cs="Times New Roman"/>
          <w:lang w:val="es-EC"/>
        </w:rPr>
        <w:t xml:space="preserve"> turística vigente</w:t>
      </w:r>
      <w:r w:rsidR="00A41947" w:rsidRPr="00694D76">
        <w:rPr>
          <w:rFonts w:ascii="Palatino Linotype" w:hAnsi="Palatino Linotype" w:cs="Times New Roman"/>
          <w:lang w:val="es-EC"/>
        </w:rPr>
        <w:t>.</w:t>
      </w:r>
    </w:p>
    <w:p w14:paraId="011B8D15" w14:textId="77777777" w:rsidR="00BE4002" w:rsidRPr="00694D76" w:rsidRDefault="00BE4002" w:rsidP="00694D76">
      <w:pPr>
        <w:autoSpaceDE w:val="0"/>
        <w:spacing w:after="120"/>
        <w:rPr>
          <w:rFonts w:ascii="Palatino Linotype" w:hAnsi="Palatino Linotype" w:cs="Times New Roman"/>
          <w:lang w:val="es-EC"/>
        </w:rPr>
      </w:pPr>
      <w:r w:rsidRPr="00694D76">
        <w:rPr>
          <w:rFonts w:ascii="Palatino Linotype" w:hAnsi="Palatino Linotype" w:cs="Times New Roman"/>
          <w:lang w:val="es-EC"/>
        </w:rPr>
        <w:t xml:space="preserve">Sin perjuicio de lo señalado en el inciso anterior, para el predio No. 5785946, serán permitidas las siguientes actividades económicas complementarias a las de alojamiento: </w:t>
      </w:r>
    </w:p>
    <w:p w14:paraId="19000D29" w14:textId="3C94FBDA" w:rsidR="00E67B68" w:rsidRPr="00694D76" w:rsidRDefault="00E67B68" w:rsidP="00250512">
      <w:pPr>
        <w:pStyle w:val="Prrafodelista"/>
        <w:numPr>
          <w:ilvl w:val="0"/>
          <w:numId w:val="15"/>
        </w:numPr>
        <w:autoSpaceDE w:val="0"/>
        <w:spacing w:after="120"/>
        <w:rPr>
          <w:rFonts w:ascii="Palatino Linotype" w:hAnsi="Palatino Linotype" w:cs="Times New Roman"/>
        </w:rPr>
      </w:pPr>
      <w:r w:rsidRPr="00694D76">
        <w:rPr>
          <w:rFonts w:ascii="Palatino Linotype" w:hAnsi="Palatino Linotype" w:cs="Times New Roman"/>
        </w:rPr>
        <w:t xml:space="preserve">Alimentos y </w:t>
      </w:r>
      <w:r w:rsidR="00E82B3B">
        <w:rPr>
          <w:rFonts w:ascii="Palatino Linotype" w:hAnsi="Palatino Linotype" w:cs="Times New Roman"/>
        </w:rPr>
        <w:t>b</w:t>
      </w:r>
      <w:r w:rsidRPr="00694D76">
        <w:rPr>
          <w:rFonts w:ascii="Palatino Linotype" w:hAnsi="Palatino Linotype" w:cs="Times New Roman"/>
        </w:rPr>
        <w:t>ebidas</w:t>
      </w:r>
      <w:r w:rsidR="00E82B3B">
        <w:rPr>
          <w:rFonts w:ascii="Palatino Linotype" w:hAnsi="Palatino Linotype" w:cs="Times New Roman"/>
        </w:rPr>
        <w:t>.</w:t>
      </w:r>
    </w:p>
    <w:p w14:paraId="3205B005" w14:textId="77777777" w:rsidR="00E67B68" w:rsidRPr="00694D76" w:rsidRDefault="00E67B68" w:rsidP="00250512">
      <w:pPr>
        <w:pStyle w:val="Prrafodelista"/>
        <w:numPr>
          <w:ilvl w:val="0"/>
          <w:numId w:val="15"/>
        </w:numPr>
        <w:autoSpaceDE w:val="0"/>
        <w:spacing w:after="120"/>
        <w:rPr>
          <w:rFonts w:ascii="Palatino Linotype" w:hAnsi="Palatino Linotype" w:cs="Times New Roman"/>
        </w:rPr>
      </w:pPr>
      <w:r w:rsidRPr="00694D76">
        <w:rPr>
          <w:rFonts w:ascii="Palatino Linotype" w:hAnsi="Palatino Linotype" w:cs="Times New Roman"/>
        </w:rPr>
        <w:t xml:space="preserve">Comercio </w:t>
      </w:r>
      <w:r w:rsidR="00513D10" w:rsidRPr="00694D76">
        <w:rPr>
          <w:rFonts w:ascii="Palatino Linotype" w:hAnsi="Palatino Linotype" w:cs="Times New Roman"/>
        </w:rPr>
        <w:t>y servicios de escala barrial (CB)</w:t>
      </w:r>
      <w:r w:rsidR="00C54993" w:rsidRPr="00694D76">
        <w:rPr>
          <w:rFonts w:ascii="Palatino Linotype" w:hAnsi="Palatino Linotype" w:cs="Times New Roman"/>
        </w:rPr>
        <w:t>.</w:t>
      </w:r>
    </w:p>
    <w:p w14:paraId="1F3E71CB" w14:textId="38433D18" w:rsidR="00184ADF" w:rsidRPr="00694D76" w:rsidRDefault="008A05A8" w:rsidP="00694D76">
      <w:pPr>
        <w:autoSpaceDE w:val="0"/>
        <w:spacing w:after="120"/>
        <w:rPr>
          <w:rFonts w:ascii="Palatino Linotype" w:hAnsi="Palatino Linotype" w:cs="Times New Roman"/>
          <w:lang w:val="es-EC"/>
        </w:rPr>
      </w:pPr>
      <w:r w:rsidRPr="00694D76">
        <w:rPr>
          <w:rFonts w:ascii="Palatino Linotype" w:hAnsi="Palatino Linotype" w:cs="Times New Roman"/>
          <w:b/>
          <w:lang w:val="es-EC"/>
        </w:rPr>
        <w:t>Artículo 7</w:t>
      </w:r>
      <w:r w:rsidR="008E5DCC" w:rsidRPr="00694D76">
        <w:rPr>
          <w:rFonts w:ascii="Palatino Linotype" w:hAnsi="Palatino Linotype" w:cs="Times New Roman"/>
          <w:b/>
          <w:lang w:val="es-EC"/>
        </w:rPr>
        <w:t xml:space="preserve">.- Forma de </w:t>
      </w:r>
      <w:r w:rsidR="00E82B3B" w:rsidRPr="00694D76">
        <w:rPr>
          <w:rFonts w:ascii="Palatino Linotype" w:hAnsi="Palatino Linotype" w:cs="Times New Roman"/>
          <w:b/>
          <w:lang w:val="es-EC"/>
        </w:rPr>
        <w:t xml:space="preserve">ocupación del </w:t>
      </w:r>
      <w:proofErr w:type="gramStart"/>
      <w:r w:rsidR="00E82B3B" w:rsidRPr="00694D76">
        <w:rPr>
          <w:rFonts w:ascii="Palatino Linotype" w:hAnsi="Palatino Linotype" w:cs="Times New Roman"/>
          <w:b/>
          <w:lang w:val="es-EC"/>
        </w:rPr>
        <w:t>suelo</w:t>
      </w:r>
      <w:r w:rsidR="008E5DCC" w:rsidRPr="00694D76">
        <w:rPr>
          <w:rFonts w:ascii="Palatino Linotype" w:hAnsi="Palatino Linotype" w:cs="Times New Roman"/>
          <w:b/>
          <w:lang w:val="es-EC"/>
        </w:rPr>
        <w:t>.-</w:t>
      </w:r>
      <w:proofErr w:type="gramEnd"/>
      <w:r w:rsidR="008E5DCC" w:rsidRPr="00694D76">
        <w:rPr>
          <w:rFonts w:ascii="Palatino Linotype" w:hAnsi="Palatino Linotype" w:cs="Times New Roman"/>
          <w:lang w:val="es-EC"/>
        </w:rPr>
        <w:t xml:space="preserve"> </w:t>
      </w:r>
      <w:r w:rsidR="00A41947" w:rsidRPr="00694D76">
        <w:rPr>
          <w:rFonts w:ascii="Palatino Linotype" w:hAnsi="Palatino Linotype" w:cs="Times New Roman"/>
          <w:lang w:val="es-EC"/>
        </w:rPr>
        <w:t xml:space="preserve">El proyecto Hotel </w:t>
      </w:r>
      <w:proofErr w:type="spellStart"/>
      <w:r w:rsidR="00A41947" w:rsidRPr="00694D76">
        <w:rPr>
          <w:rFonts w:ascii="Palatino Linotype" w:hAnsi="Palatino Linotype" w:cs="Times New Roman"/>
          <w:lang w:val="es-EC"/>
        </w:rPr>
        <w:t>Holiday</w:t>
      </w:r>
      <w:proofErr w:type="spellEnd"/>
      <w:r w:rsidR="00A41947" w:rsidRPr="00694D76">
        <w:rPr>
          <w:rFonts w:ascii="Palatino Linotype" w:hAnsi="Palatino Linotype" w:cs="Times New Roman"/>
          <w:lang w:val="es-EC"/>
        </w:rPr>
        <w:t xml:space="preserve"> </w:t>
      </w:r>
      <w:proofErr w:type="spellStart"/>
      <w:r w:rsidR="00A41947" w:rsidRPr="00694D76">
        <w:rPr>
          <w:rFonts w:ascii="Palatino Linotype" w:hAnsi="Palatino Linotype" w:cs="Times New Roman"/>
          <w:lang w:val="es-EC"/>
        </w:rPr>
        <w:t>Inn</w:t>
      </w:r>
      <w:proofErr w:type="spellEnd"/>
      <w:r w:rsidR="00A41947" w:rsidRPr="00694D76">
        <w:rPr>
          <w:rFonts w:ascii="Palatino Linotype" w:hAnsi="Palatino Linotype" w:cs="Times New Roman"/>
          <w:lang w:val="es-EC"/>
        </w:rPr>
        <w:t xml:space="preserve"> Quito </w:t>
      </w:r>
      <w:proofErr w:type="spellStart"/>
      <w:r w:rsidR="00A41947" w:rsidRPr="00694D76">
        <w:rPr>
          <w:rFonts w:ascii="Palatino Linotype" w:hAnsi="Palatino Linotype" w:cs="Times New Roman"/>
          <w:lang w:val="es-EC"/>
        </w:rPr>
        <w:t>Airport</w:t>
      </w:r>
      <w:proofErr w:type="spellEnd"/>
      <w:r w:rsidR="00A41947" w:rsidRPr="00694D76">
        <w:rPr>
          <w:rFonts w:ascii="Palatino Linotype" w:hAnsi="Palatino Linotype" w:cs="Times New Roman"/>
          <w:lang w:val="es-EC"/>
        </w:rPr>
        <w:t xml:space="preserve"> </w:t>
      </w:r>
      <w:r w:rsidR="00E13E61" w:rsidRPr="00694D76">
        <w:rPr>
          <w:rFonts w:ascii="Palatino Linotype" w:hAnsi="Palatino Linotype" w:cs="Times New Roman"/>
          <w:lang w:val="es-EC"/>
        </w:rPr>
        <w:t>contempla</w:t>
      </w:r>
      <w:r w:rsidR="00A41947" w:rsidRPr="00694D76">
        <w:rPr>
          <w:rFonts w:ascii="Palatino Linotype" w:hAnsi="Palatino Linotype" w:cs="Times New Roman"/>
          <w:lang w:val="es-EC"/>
        </w:rPr>
        <w:t xml:space="preserve"> edificaciones implantadas de forma aislada (</w:t>
      </w:r>
      <w:r w:rsidR="00684F71" w:rsidRPr="00694D76">
        <w:rPr>
          <w:rFonts w:ascii="Palatino Linotype" w:hAnsi="Palatino Linotype" w:cs="Times New Roman"/>
          <w:lang w:val="es-EC"/>
        </w:rPr>
        <w:t xml:space="preserve">ver </w:t>
      </w:r>
      <w:r w:rsidR="00E82B3B">
        <w:rPr>
          <w:rFonts w:ascii="Palatino Linotype" w:hAnsi="Palatino Linotype" w:cs="Times New Roman"/>
          <w:lang w:val="es-EC"/>
        </w:rPr>
        <w:t>a</w:t>
      </w:r>
      <w:r w:rsidR="00E13E61" w:rsidRPr="00694D76">
        <w:rPr>
          <w:rFonts w:ascii="Palatino Linotype" w:hAnsi="Palatino Linotype" w:cs="Times New Roman"/>
          <w:lang w:val="es-EC"/>
        </w:rPr>
        <w:t>nexo 1: plano</w:t>
      </w:r>
      <w:r w:rsidR="00A41947" w:rsidRPr="00694D76">
        <w:rPr>
          <w:rFonts w:ascii="Palatino Linotype" w:hAnsi="Palatino Linotype" w:cs="Times New Roman"/>
          <w:lang w:val="es-EC"/>
        </w:rPr>
        <w:t xml:space="preserve"> de implantación</w:t>
      </w:r>
      <w:r w:rsidR="00684F71" w:rsidRPr="00694D76">
        <w:rPr>
          <w:rFonts w:ascii="Palatino Linotype" w:hAnsi="Palatino Linotype" w:cs="Times New Roman"/>
          <w:lang w:val="es-EC"/>
        </w:rPr>
        <w:t xml:space="preserve"> referencial</w:t>
      </w:r>
      <w:r w:rsidR="00A41947" w:rsidRPr="00694D76">
        <w:rPr>
          <w:rFonts w:ascii="Palatino Linotype" w:hAnsi="Palatino Linotype" w:cs="Times New Roman"/>
          <w:lang w:val="es-EC"/>
        </w:rPr>
        <w:t>)</w:t>
      </w:r>
      <w:r w:rsidR="00EF0207" w:rsidRPr="00694D76">
        <w:rPr>
          <w:rFonts w:ascii="Palatino Linotype" w:hAnsi="Palatino Linotype" w:cs="Times New Roman"/>
          <w:lang w:val="es-EC"/>
        </w:rPr>
        <w:t xml:space="preserve"> conforme a </w:t>
      </w:r>
      <w:r w:rsidR="00A41947" w:rsidRPr="00694D76">
        <w:rPr>
          <w:rFonts w:ascii="Palatino Linotype" w:hAnsi="Palatino Linotype" w:cs="Times New Roman"/>
          <w:lang w:val="es-EC"/>
        </w:rPr>
        <w:t>las siguientes características</w:t>
      </w:r>
      <w:r w:rsidR="00EF0207" w:rsidRPr="00694D76">
        <w:rPr>
          <w:rFonts w:ascii="Palatino Linotype" w:hAnsi="Palatino Linotype" w:cs="Times New Roman"/>
          <w:lang w:val="es-EC"/>
        </w:rPr>
        <w:t>:</w:t>
      </w:r>
    </w:p>
    <w:p w14:paraId="39A03CE5" w14:textId="77777777" w:rsidR="00A41947" w:rsidRPr="00694D76" w:rsidRDefault="00A41947" w:rsidP="00250512">
      <w:pPr>
        <w:pStyle w:val="Prrafodelista"/>
        <w:numPr>
          <w:ilvl w:val="0"/>
          <w:numId w:val="7"/>
        </w:numPr>
        <w:spacing w:after="120"/>
        <w:rPr>
          <w:rFonts w:ascii="Palatino Linotype" w:hAnsi="Palatino Linotype" w:cs="Times New Roman"/>
          <w:lang w:val="es-EC"/>
        </w:rPr>
      </w:pPr>
      <w:r w:rsidRPr="00E82B3B">
        <w:rPr>
          <w:rFonts w:ascii="Palatino Linotype" w:hAnsi="Palatino Linotype" w:cs="Times New Roman"/>
          <w:b/>
          <w:lang w:val="es-EC"/>
        </w:rPr>
        <w:t>Forma de ocupación:</w:t>
      </w:r>
      <w:r w:rsidRPr="00694D76">
        <w:rPr>
          <w:rFonts w:ascii="Palatino Linotype" w:hAnsi="Palatino Linotype" w:cs="Times New Roman"/>
          <w:lang w:val="es-EC"/>
        </w:rPr>
        <w:t xml:space="preserve"> aislada</w:t>
      </w:r>
    </w:p>
    <w:p w14:paraId="534CEB9A" w14:textId="77777777" w:rsidR="00EF0207" w:rsidRPr="00E82B3B" w:rsidRDefault="00A41947" w:rsidP="00250512">
      <w:pPr>
        <w:pStyle w:val="Prrafodelista"/>
        <w:numPr>
          <w:ilvl w:val="0"/>
          <w:numId w:val="7"/>
        </w:numPr>
        <w:spacing w:after="120"/>
        <w:rPr>
          <w:rFonts w:ascii="Palatino Linotype" w:hAnsi="Palatino Linotype" w:cs="Times New Roman"/>
          <w:b/>
          <w:lang w:val="es-EC"/>
        </w:rPr>
      </w:pPr>
      <w:r w:rsidRPr="00E82B3B">
        <w:rPr>
          <w:rFonts w:ascii="Palatino Linotype" w:hAnsi="Palatino Linotype" w:cs="Times New Roman"/>
          <w:b/>
          <w:lang w:val="es-EC"/>
        </w:rPr>
        <w:t xml:space="preserve">Retiros: </w:t>
      </w:r>
    </w:p>
    <w:p w14:paraId="48F76356" w14:textId="353A9AFA" w:rsidR="00AA01BE" w:rsidRPr="00694D76" w:rsidRDefault="00A41947" w:rsidP="00250512">
      <w:pPr>
        <w:pStyle w:val="Prrafodelista"/>
        <w:numPr>
          <w:ilvl w:val="1"/>
          <w:numId w:val="7"/>
        </w:numPr>
        <w:spacing w:after="120"/>
        <w:rPr>
          <w:rFonts w:ascii="Palatino Linotype" w:hAnsi="Palatino Linotype" w:cs="Times New Roman"/>
          <w:lang w:val="es-EC"/>
        </w:rPr>
      </w:pPr>
      <w:r w:rsidRPr="00694D76">
        <w:rPr>
          <w:rFonts w:ascii="Palatino Linotype" w:hAnsi="Palatino Linotype" w:cs="Times New Roman"/>
          <w:lang w:val="es-EC"/>
        </w:rPr>
        <w:lastRenderedPageBreak/>
        <w:t xml:space="preserve">Frontal (hacia </w:t>
      </w:r>
      <w:r w:rsidR="00EF0207" w:rsidRPr="00694D76">
        <w:rPr>
          <w:rFonts w:ascii="Palatino Linotype" w:hAnsi="Palatino Linotype" w:cs="Times New Roman"/>
          <w:lang w:val="es-EC"/>
        </w:rPr>
        <w:t xml:space="preserve">el </w:t>
      </w:r>
      <w:r w:rsidRPr="00694D76">
        <w:rPr>
          <w:rFonts w:ascii="Palatino Linotype" w:hAnsi="Palatino Linotype" w:cs="Times New Roman"/>
          <w:lang w:val="es-EC"/>
        </w:rPr>
        <w:t>Conector Alpachaca)</w:t>
      </w:r>
      <w:r w:rsidR="00EF0207" w:rsidRPr="00694D76">
        <w:rPr>
          <w:rFonts w:ascii="Palatino Linotype" w:hAnsi="Palatino Linotype" w:cs="Times New Roman"/>
          <w:lang w:val="es-EC"/>
        </w:rPr>
        <w:t>:</w:t>
      </w:r>
      <w:r w:rsidR="00225E1A">
        <w:rPr>
          <w:rFonts w:ascii="Palatino Linotype" w:hAnsi="Palatino Linotype" w:cs="Times New Roman"/>
          <w:lang w:val="es-EC"/>
        </w:rPr>
        <w:t xml:space="preserve"> 18,</w:t>
      </w:r>
      <w:r w:rsidRPr="00694D76">
        <w:rPr>
          <w:rFonts w:ascii="Palatino Linotype" w:hAnsi="Palatino Linotype" w:cs="Times New Roman"/>
          <w:lang w:val="es-EC"/>
        </w:rPr>
        <w:t>75 metros medidos desde el eje de la vía más 10 metros de retiro (28,75 m</w:t>
      </w:r>
      <w:r w:rsidR="00225E1A">
        <w:rPr>
          <w:rFonts w:ascii="Palatino Linotype" w:hAnsi="Palatino Linotype" w:cs="Times New Roman"/>
          <w:lang w:val="es-EC"/>
        </w:rPr>
        <w:t>.</w:t>
      </w:r>
      <w:r w:rsidRPr="00694D76">
        <w:rPr>
          <w:rFonts w:ascii="Palatino Linotype" w:hAnsi="Palatino Linotype" w:cs="Times New Roman"/>
          <w:lang w:val="es-EC"/>
        </w:rPr>
        <w:t xml:space="preserve"> total)</w:t>
      </w:r>
      <w:r w:rsidR="00225E1A">
        <w:rPr>
          <w:rFonts w:ascii="Palatino Linotype" w:hAnsi="Palatino Linotype" w:cs="Times New Roman"/>
          <w:lang w:val="es-EC"/>
        </w:rPr>
        <w:t>.</w:t>
      </w:r>
    </w:p>
    <w:p w14:paraId="55AAC5C3" w14:textId="63CE10DB" w:rsidR="00AA01BE" w:rsidRPr="00694D76" w:rsidRDefault="00225E1A" w:rsidP="00250512">
      <w:pPr>
        <w:pStyle w:val="Prrafodelista"/>
        <w:numPr>
          <w:ilvl w:val="1"/>
          <w:numId w:val="7"/>
        </w:numPr>
        <w:spacing w:after="120"/>
        <w:rPr>
          <w:rFonts w:ascii="Palatino Linotype" w:hAnsi="Palatino Linotype" w:cs="Times New Roman"/>
          <w:lang w:val="es-EC"/>
        </w:rPr>
      </w:pPr>
      <w:r>
        <w:rPr>
          <w:rFonts w:ascii="Palatino Linotype" w:hAnsi="Palatino Linotype" w:cs="Times New Roman"/>
          <w:lang w:val="es-EC"/>
        </w:rPr>
        <w:t>Laterales: 5,0 metros.</w:t>
      </w:r>
    </w:p>
    <w:p w14:paraId="1371BCC8" w14:textId="445E052A" w:rsidR="00A41947" w:rsidRPr="00694D76" w:rsidRDefault="00A41947" w:rsidP="00250512">
      <w:pPr>
        <w:pStyle w:val="Prrafodelista"/>
        <w:numPr>
          <w:ilvl w:val="1"/>
          <w:numId w:val="7"/>
        </w:numPr>
        <w:spacing w:after="120"/>
        <w:rPr>
          <w:rFonts w:ascii="Palatino Linotype" w:hAnsi="Palatino Linotype" w:cs="Times New Roman"/>
          <w:lang w:val="es-EC"/>
        </w:rPr>
      </w:pPr>
      <w:r w:rsidRPr="00694D76">
        <w:rPr>
          <w:rFonts w:ascii="Palatino Linotype" w:hAnsi="Palatino Linotype" w:cs="Times New Roman"/>
          <w:lang w:val="es-EC"/>
        </w:rPr>
        <w:t>Posterior (hacia la calle Cotopaxi): 13 metros medidos desde el eje de la vía más 10 metros de retiro (23,00 m</w:t>
      </w:r>
      <w:r w:rsidR="00225E1A">
        <w:rPr>
          <w:rFonts w:ascii="Palatino Linotype" w:hAnsi="Palatino Linotype" w:cs="Times New Roman"/>
          <w:lang w:val="es-EC"/>
        </w:rPr>
        <w:t>.</w:t>
      </w:r>
      <w:r w:rsidRPr="00694D76">
        <w:rPr>
          <w:rFonts w:ascii="Palatino Linotype" w:hAnsi="Palatino Linotype" w:cs="Times New Roman"/>
          <w:lang w:val="es-EC"/>
        </w:rPr>
        <w:t xml:space="preserve"> total).</w:t>
      </w:r>
    </w:p>
    <w:p w14:paraId="0D641090" w14:textId="77777777" w:rsidR="005171FF" w:rsidRPr="00694D76" w:rsidRDefault="005171FF" w:rsidP="00250512">
      <w:pPr>
        <w:pStyle w:val="Prrafodelista"/>
        <w:numPr>
          <w:ilvl w:val="1"/>
          <w:numId w:val="7"/>
        </w:numPr>
        <w:spacing w:after="120"/>
        <w:rPr>
          <w:rFonts w:ascii="Palatino Linotype" w:hAnsi="Palatino Linotype" w:cs="Times New Roman"/>
          <w:lang w:val="es-EC"/>
        </w:rPr>
      </w:pPr>
      <w:r w:rsidRPr="00694D76">
        <w:rPr>
          <w:rFonts w:ascii="Palatino Linotype" w:hAnsi="Palatino Linotype" w:cs="Times New Roman"/>
          <w:lang w:val="es-EC"/>
        </w:rPr>
        <w:t>Entre bloques: 6 metros</w:t>
      </w:r>
      <w:r w:rsidR="00AE10F8" w:rsidRPr="00694D76">
        <w:rPr>
          <w:rFonts w:ascii="Palatino Linotype" w:hAnsi="Palatino Linotype" w:cs="Times New Roman"/>
          <w:lang w:val="es-EC"/>
        </w:rPr>
        <w:t>.</w:t>
      </w:r>
    </w:p>
    <w:p w14:paraId="52DC17DD" w14:textId="130AF01F" w:rsidR="00A41947" w:rsidRPr="00694D76" w:rsidRDefault="00E13E61" w:rsidP="00250512">
      <w:pPr>
        <w:pStyle w:val="Prrafodelista"/>
        <w:numPr>
          <w:ilvl w:val="0"/>
          <w:numId w:val="7"/>
        </w:numPr>
        <w:spacing w:after="120"/>
        <w:rPr>
          <w:rFonts w:ascii="Palatino Linotype" w:hAnsi="Palatino Linotype" w:cs="Times New Roman"/>
          <w:lang w:val="es-EC"/>
        </w:rPr>
      </w:pPr>
      <w:r w:rsidRPr="00E82B3B">
        <w:rPr>
          <w:rFonts w:ascii="Palatino Linotype" w:hAnsi="Palatino Linotype" w:cs="Times New Roman"/>
          <w:b/>
          <w:lang w:val="es-EC"/>
        </w:rPr>
        <w:t xml:space="preserve">Altura: </w:t>
      </w:r>
      <w:r w:rsidR="00EF0207" w:rsidRPr="00694D76">
        <w:rPr>
          <w:rFonts w:ascii="Palatino Linotype" w:hAnsi="Palatino Linotype" w:cs="Times New Roman"/>
          <w:lang w:val="es-EC"/>
        </w:rPr>
        <w:t>Las edificaciones no podrán sobrepasar una</w:t>
      </w:r>
      <w:r w:rsidR="00225E1A">
        <w:rPr>
          <w:rFonts w:ascii="Palatino Linotype" w:hAnsi="Palatino Linotype" w:cs="Times New Roman"/>
          <w:lang w:val="es-EC"/>
        </w:rPr>
        <w:t xml:space="preserve"> altura de 12,</w:t>
      </w:r>
      <w:r w:rsidR="00A41947" w:rsidRPr="00694D76">
        <w:rPr>
          <w:rFonts w:ascii="Palatino Linotype" w:hAnsi="Palatino Linotype" w:cs="Times New Roman"/>
          <w:lang w:val="es-EC"/>
        </w:rPr>
        <w:t xml:space="preserve">00 metros </w:t>
      </w:r>
      <w:r w:rsidR="00EF0207" w:rsidRPr="00694D76">
        <w:rPr>
          <w:rFonts w:ascii="Palatino Linotype" w:hAnsi="Palatino Linotype" w:cs="Times New Roman"/>
          <w:lang w:val="es-EC"/>
        </w:rPr>
        <w:t xml:space="preserve">medidos </w:t>
      </w:r>
      <w:r w:rsidR="00B11041" w:rsidRPr="00694D76">
        <w:rPr>
          <w:rFonts w:ascii="Palatino Linotype" w:hAnsi="Palatino Linotype" w:cs="Times New Roman"/>
          <w:lang w:val="es-EC"/>
        </w:rPr>
        <w:t xml:space="preserve">desde la calle Cotopaxi </w:t>
      </w:r>
      <w:r w:rsidR="00A41947" w:rsidRPr="00694D76">
        <w:rPr>
          <w:rFonts w:ascii="Palatino Linotype" w:hAnsi="Palatino Linotype" w:cs="Times New Roman"/>
          <w:lang w:val="es-EC"/>
        </w:rPr>
        <w:t xml:space="preserve">a partir de la </w:t>
      </w:r>
      <w:r w:rsidRPr="00694D76">
        <w:rPr>
          <w:rFonts w:ascii="Palatino Linotype" w:hAnsi="Palatino Linotype" w:cs="Times New Roman"/>
          <w:lang w:val="es-EC"/>
        </w:rPr>
        <w:t>cota topográfica 2.467,36 msnm</w:t>
      </w:r>
      <w:r w:rsidR="00A41947" w:rsidRPr="00694D76">
        <w:rPr>
          <w:rFonts w:ascii="Palatino Linotype" w:hAnsi="Palatino Linotype" w:cs="Times New Roman"/>
          <w:lang w:val="es-EC"/>
        </w:rPr>
        <w:t>, la misma que proyectada horizontalmente hacia el conector Alpachaca permit</w:t>
      </w:r>
      <w:r w:rsidR="00B11041" w:rsidRPr="00694D76">
        <w:rPr>
          <w:rFonts w:ascii="Palatino Linotype" w:hAnsi="Palatino Linotype" w:cs="Times New Roman"/>
          <w:lang w:val="es-EC"/>
        </w:rPr>
        <w:t>irá</w:t>
      </w:r>
      <w:r w:rsidR="00A41947" w:rsidRPr="00694D76">
        <w:rPr>
          <w:rFonts w:ascii="Palatino Linotype" w:hAnsi="Palatino Linotype" w:cs="Times New Roman"/>
          <w:lang w:val="es-EC"/>
        </w:rPr>
        <w:t xml:space="preserve"> una altura</w:t>
      </w:r>
      <w:r w:rsidR="00EF0207" w:rsidRPr="00694D76">
        <w:rPr>
          <w:rFonts w:ascii="Palatino Linotype" w:hAnsi="Palatino Linotype" w:cs="Times New Roman"/>
          <w:lang w:val="es-EC"/>
        </w:rPr>
        <w:t xml:space="preserve"> aproximada </w:t>
      </w:r>
      <w:r w:rsidR="00B11041" w:rsidRPr="00694D76">
        <w:rPr>
          <w:rFonts w:ascii="Palatino Linotype" w:hAnsi="Palatino Linotype" w:cs="Times New Roman"/>
          <w:lang w:val="es-EC"/>
        </w:rPr>
        <w:t xml:space="preserve">de edificación </w:t>
      </w:r>
      <w:r w:rsidR="00225E1A">
        <w:rPr>
          <w:rFonts w:ascii="Palatino Linotype" w:hAnsi="Palatino Linotype" w:cs="Times New Roman"/>
          <w:lang w:val="es-EC"/>
        </w:rPr>
        <w:t>de 19,</w:t>
      </w:r>
      <w:r w:rsidR="00A41947" w:rsidRPr="00694D76">
        <w:rPr>
          <w:rFonts w:ascii="Palatino Linotype" w:hAnsi="Palatino Linotype" w:cs="Times New Roman"/>
          <w:lang w:val="es-EC"/>
        </w:rPr>
        <w:t>00 me</w:t>
      </w:r>
      <w:r w:rsidRPr="00694D76">
        <w:rPr>
          <w:rFonts w:ascii="Palatino Linotype" w:hAnsi="Palatino Linotype" w:cs="Times New Roman"/>
          <w:lang w:val="es-EC"/>
        </w:rPr>
        <w:t>tros</w:t>
      </w:r>
      <w:r w:rsidR="003F1CBD" w:rsidRPr="00694D76">
        <w:rPr>
          <w:rFonts w:ascii="Palatino Linotype" w:hAnsi="Palatino Linotype" w:cs="Times New Roman"/>
          <w:lang w:val="es-EC"/>
        </w:rPr>
        <w:t>. En todo caso, las alturas</w:t>
      </w:r>
      <w:r w:rsidRPr="00694D76">
        <w:rPr>
          <w:rFonts w:ascii="Palatino Linotype" w:hAnsi="Palatino Linotype" w:cs="Times New Roman"/>
          <w:lang w:val="es-EC"/>
        </w:rPr>
        <w:t xml:space="preserve"> </w:t>
      </w:r>
      <w:r w:rsidR="003F1CBD" w:rsidRPr="00694D76">
        <w:rPr>
          <w:rFonts w:ascii="Palatino Linotype" w:hAnsi="Palatino Linotype" w:cs="Times New Roman"/>
          <w:lang w:val="es-EC"/>
        </w:rPr>
        <w:t xml:space="preserve">de la edificación </w:t>
      </w:r>
      <w:r w:rsidR="00B11041" w:rsidRPr="00694D76">
        <w:rPr>
          <w:rFonts w:ascii="Palatino Linotype" w:hAnsi="Palatino Linotype" w:cs="Times New Roman"/>
          <w:lang w:val="es-EC"/>
        </w:rPr>
        <w:t>observa</w:t>
      </w:r>
      <w:r w:rsidR="003F1CBD" w:rsidRPr="00694D76">
        <w:rPr>
          <w:rFonts w:ascii="Palatino Linotype" w:hAnsi="Palatino Linotype" w:cs="Times New Roman"/>
          <w:lang w:val="es-EC"/>
        </w:rPr>
        <w:t>rán</w:t>
      </w:r>
      <w:r w:rsidR="00B11041" w:rsidRPr="00694D76">
        <w:rPr>
          <w:rFonts w:ascii="Palatino Linotype" w:hAnsi="Palatino Linotype" w:cs="Times New Roman"/>
          <w:lang w:val="es-EC"/>
        </w:rPr>
        <w:t xml:space="preserve"> lo establecido en el </w:t>
      </w:r>
      <w:r w:rsidR="003F1CBD" w:rsidRPr="00694D76">
        <w:rPr>
          <w:rFonts w:ascii="Palatino Linotype" w:hAnsi="Palatino Linotype" w:cs="Times New Roman"/>
          <w:lang w:val="es-EC"/>
        </w:rPr>
        <w:t xml:space="preserve">oficio </w:t>
      </w:r>
      <w:r w:rsidR="00225E1A">
        <w:rPr>
          <w:rFonts w:ascii="Palatino Linotype" w:hAnsi="Palatino Linotype" w:cs="Times New Roman"/>
          <w:lang w:val="es-EC"/>
        </w:rPr>
        <w:t xml:space="preserve">No. DGAC-JX-2013-0792-O del </w:t>
      </w:r>
      <w:r w:rsidR="00A41947" w:rsidRPr="00694D76">
        <w:rPr>
          <w:rFonts w:ascii="Palatino Linotype" w:hAnsi="Palatino Linotype" w:cs="Times New Roman"/>
          <w:lang w:val="es-EC"/>
        </w:rPr>
        <w:t>9 de agosto de 2013, emitido por la Dirección General de Aviación Civil.</w:t>
      </w:r>
    </w:p>
    <w:p w14:paraId="608C51EC" w14:textId="77777777" w:rsidR="00A41947" w:rsidRPr="00694D76" w:rsidRDefault="00DF5660" w:rsidP="00694D76">
      <w:pPr>
        <w:spacing w:after="120"/>
        <w:rPr>
          <w:rFonts w:ascii="Palatino Linotype" w:hAnsi="Palatino Linotype" w:cs="Times New Roman"/>
          <w:lang w:val="es-EC"/>
        </w:rPr>
      </w:pPr>
      <w:r w:rsidRPr="00694D76">
        <w:rPr>
          <w:rFonts w:ascii="Palatino Linotype" w:hAnsi="Palatino Linotype" w:cs="Times New Roman"/>
          <w:b/>
        </w:rPr>
        <w:t xml:space="preserve">Artículo </w:t>
      </w:r>
      <w:r w:rsidR="008A05A8" w:rsidRPr="00694D76">
        <w:rPr>
          <w:rFonts w:ascii="Palatino Linotype" w:hAnsi="Palatino Linotype" w:cs="Times New Roman"/>
          <w:b/>
        </w:rPr>
        <w:t>8</w:t>
      </w:r>
      <w:r w:rsidR="00A41947" w:rsidRPr="00694D76">
        <w:rPr>
          <w:rFonts w:ascii="Palatino Linotype" w:hAnsi="Palatino Linotype" w:cs="Times New Roman"/>
          <w:b/>
        </w:rPr>
        <w:t xml:space="preserve">.- </w:t>
      </w:r>
      <w:proofErr w:type="gramStart"/>
      <w:r w:rsidR="00A41947" w:rsidRPr="00694D76">
        <w:rPr>
          <w:rFonts w:ascii="Palatino Linotype" w:hAnsi="Palatino Linotype" w:cs="Times New Roman"/>
          <w:b/>
        </w:rPr>
        <w:t>Edificabilidad.-</w:t>
      </w:r>
      <w:proofErr w:type="gramEnd"/>
      <w:r w:rsidR="00A41947" w:rsidRPr="00694D76">
        <w:rPr>
          <w:rFonts w:ascii="Palatino Linotype" w:hAnsi="Palatino Linotype" w:cs="Times New Roman"/>
          <w:b/>
        </w:rPr>
        <w:t xml:space="preserve"> </w:t>
      </w:r>
      <w:r w:rsidR="00A41947" w:rsidRPr="00694D76">
        <w:rPr>
          <w:rFonts w:ascii="Palatino Linotype" w:hAnsi="Palatino Linotype" w:cs="Times New Roman"/>
          <w:lang w:val="es-EC"/>
        </w:rPr>
        <w:t xml:space="preserve">La edificabilidad del proyecto Hotel </w:t>
      </w:r>
      <w:proofErr w:type="spellStart"/>
      <w:r w:rsidR="00A41947" w:rsidRPr="00694D76">
        <w:rPr>
          <w:rFonts w:ascii="Palatino Linotype" w:hAnsi="Palatino Linotype" w:cs="Times New Roman"/>
          <w:lang w:val="es-EC"/>
        </w:rPr>
        <w:t>Holiday</w:t>
      </w:r>
      <w:proofErr w:type="spellEnd"/>
      <w:r w:rsidR="00A41947" w:rsidRPr="00694D76">
        <w:rPr>
          <w:rFonts w:ascii="Palatino Linotype" w:hAnsi="Palatino Linotype" w:cs="Times New Roman"/>
          <w:lang w:val="es-EC"/>
        </w:rPr>
        <w:t xml:space="preserve"> </w:t>
      </w:r>
      <w:proofErr w:type="spellStart"/>
      <w:r w:rsidR="00A41947" w:rsidRPr="00694D76">
        <w:rPr>
          <w:rFonts w:ascii="Palatino Linotype" w:hAnsi="Palatino Linotype" w:cs="Times New Roman"/>
          <w:lang w:val="es-EC"/>
        </w:rPr>
        <w:t>Inn</w:t>
      </w:r>
      <w:proofErr w:type="spellEnd"/>
      <w:r w:rsidR="00A41947" w:rsidRPr="00694D76">
        <w:rPr>
          <w:rFonts w:ascii="Palatino Linotype" w:hAnsi="Palatino Linotype" w:cs="Times New Roman"/>
          <w:lang w:val="es-EC"/>
        </w:rPr>
        <w:t xml:space="preserve"> Quito </w:t>
      </w:r>
      <w:proofErr w:type="spellStart"/>
      <w:r w:rsidR="00A41947" w:rsidRPr="00694D76">
        <w:rPr>
          <w:rFonts w:ascii="Palatino Linotype" w:hAnsi="Palatino Linotype" w:cs="Times New Roman"/>
          <w:lang w:val="es-EC"/>
        </w:rPr>
        <w:t>Airport</w:t>
      </w:r>
      <w:proofErr w:type="spellEnd"/>
      <w:r w:rsidR="00A41947" w:rsidRPr="00694D76">
        <w:rPr>
          <w:rFonts w:ascii="Palatino Linotype" w:hAnsi="Palatino Linotype" w:cs="Times New Roman"/>
          <w:lang w:val="es-EC"/>
        </w:rPr>
        <w:t xml:space="preserve"> se regirá </w:t>
      </w:r>
      <w:r w:rsidR="00B11041" w:rsidRPr="00694D76">
        <w:rPr>
          <w:rFonts w:ascii="Palatino Linotype" w:hAnsi="Palatino Linotype" w:cs="Times New Roman"/>
          <w:lang w:val="es-EC"/>
        </w:rPr>
        <w:t xml:space="preserve">por </w:t>
      </w:r>
      <w:r w:rsidR="00A41947" w:rsidRPr="00694D76">
        <w:rPr>
          <w:rFonts w:ascii="Palatino Linotype" w:hAnsi="Palatino Linotype" w:cs="Times New Roman"/>
          <w:lang w:val="es-EC"/>
        </w:rPr>
        <w:t xml:space="preserve">los datos constantes en el cuadro No. </w:t>
      </w:r>
      <w:r w:rsidR="000F4CB4" w:rsidRPr="00694D76">
        <w:rPr>
          <w:rFonts w:ascii="Palatino Linotype" w:hAnsi="Palatino Linotype" w:cs="Times New Roman"/>
          <w:lang w:val="es-EC"/>
        </w:rPr>
        <w:t>1</w:t>
      </w:r>
      <w:r w:rsidR="00A41947" w:rsidRPr="00694D76">
        <w:rPr>
          <w:rFonts w:ascii="Palatino Linotype" w:hAnsi="Palatino Linotype" w:cs="Times New Roman"/>
          <w:lang w:val="es-EC"/>
        </w:rPr>
        <w:t>, en el que se indican los coeficientes de ocupación y superficies construibles.</w:t>
      </w:r>
    </w:p>
    <w:p w14:paraId="2876D7FC" w14:textId="77777777" w:rsidR="00230672" w:rsidRPr="00694D76" w:rsidRDefault="00230672" w:rsidP="00225E1A">
      <w:pPr>
        <w:spacing w:after="120"/>
        <w:jc w:val="center"/>
        <w:rPr>
          <w:rFonts w:ascii="Palatino Linotype" w:hAnsi="Palatino Linotype" w:cstheme="minorHAnsi"/>
          <w:b/>
        </w:rPr>
      </w:pPr>
      <w:r w:rsidRPr="00694D76">
        <w:rPr>
          <w:rFonts w:ascii="Palatino Linotype" w:hAnsi="Palatino Linotype" w:cstheme="minorHAnsi"/>
          <w:b/>
        </w:rPr>
        <w:t xml:space="preserve">Cuadro No. </w:t>
      </w:r>
      <w:r w:rsidR="000F4CB4" w:rsidRPr="00694D76">
        <w:rPr>
          <w:rFonts w:ascii="Palatino Linotype" w:hAnsi="Palatino Linotype" w:cstheme="minorHAnsi"/>
          <w:b/>
        </w:rPr>
        <w:t>1</w:t>
      </w:r>
    </w:p>
    <w:tbl>
      <w:tblPr>
        <w:tblStyle w:val="Tablaconcuadrcula"/>
        <w:tblW w:w="10056" w:type="dxa"/>
        <w:jc w:val="center"/>
        <w:tblLayout w:type="fixed"/>
        <w:tblLook w:val="04A0" w:firstRow="1" w:lastRow="0" w:firstColumn="1" w:lastColumn="0" w:noHBand="0" w:noVBand="1"/>
      </w:tblPr>
      <w:tblGrid>
        <w:gridCol w:w="1856"/>
        <w:gridCol w:w="1701"/>
        <w:gridCol w:w="709"/>
        <w:gridCol w:w="1418"/>
        <w:gridCol w:w="850"/>
        <w:gridCol w:w="992"/>
        <w:gridCol w:w="1276"/>
        <w:gridCol w:w="1254"/>
      </w:tblGrid>
      <w:tr w:rsidR="00225E1A" w:rsidRPr="00C72124" w14:paraId="481C8A60" w14:textId="77777777" w:rsidTr="00C72124">
        <w:trPr>
          <w:trHeight w:val="122"/>
          <w:jc w:val="center"/>
        </w:trPr>
        <w:tc>
          <w:tcPr>
            <w:tcW w:w="10056" w:type="dxa"/>
            <w:gridSpan w:val="8"/>
            <w:shd w:val="clear" w:color="auto" w:fill="0070C0"/>
            <w:vAlign w:val="center"/>
          </w:tcPr>
          <w:p w14:paraId="6921934B" w14:textId="3E9F9EEF" w:rsidR="00E13E61" w:rsidRPr="00C72124" w:rsidRDefault="00225E1A" w:rsidP="00694D76">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Edificabilidad</w:t>
            </w:r>
          </w:p>
        </w:tc>
      </w:tr>
      <w:tr w:rsidR="00C72124" w:rsidRPr="00C72124" w14:paraId="2E56264E" w14:textId="77777777" w:rsidTr="00C72124">
        <w:trPr>
          <w:trHeight w:val="122"/>
          <w:jc w:val="center"/>
        </w:trPr>
        <w:tc>
          <w:tcPr>
            <w:tcW w:w="1856" w:type="dxa"/>
            <w:shd w:val="clear" w:color="auto" w:fill="0070C0"/>
            <w:vAlign w:val="center"/>
          </w:tcPr>
          <w:p w14:paraId="09F54E75" w14:textId="0812A0B3"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Descripción</w:t>
            </w:r>
          </w:p>
        </w:tc>
        <w:tc>
          <w:tcPr>
            <w:tcW w:w="1701" w:type="dxa"/>
            <w:shd w:val="clear" w:color="auto" w:fill="0070C0"/>
            <w:vAlign w:val="center"/>
          </w:tcPr>
          <w:p w14:paraId="22CFA038" w14:textId="16188AD1"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Usos y compatibilidades</w:t>
            </w:r>
          </w:p>
        </w:tc>
        <w:tc>
          <w:tcPr>
            <w:tcW w:w="709" w:type="dxa"/>
            <w:shd w:val="clear" w:color="auto" w:fill="0070C0"/>
            <w:vAlign w:val="center"/>
          </w:tcPr>
          <w:p w14:paraId="12424349" w14:textId="79B1A091" w:rsidR="005171FF" w:rsidRPr="00C72124" w:rsidRDefault="00225E1A" w:rsidP="00225E1A">
            <w:pPr>
              <w:spacing w:after="120" w:line="276" w:lineRule="auto"/>
              <w:jc w:val="center"/>
              <w:rPr>
                <w:rFonts w:ascii="Palatino Linotype" w:hAnsi="Palatino Linotype"/>
                <w:color w:val="FFFFFF" w:themeColor="background1"/>
                <w:sz w:val="20"/>
                <w:szCs w:val="20"/>
              </w:rPr>
            </w:pPr>
            <w:r w:rsidRPr="00C72124">
              <w:rPr>
                <w:rFonts w:ascii="Palatino Linotype" w:hAnsi="Palatino Linotype"/>
                <w:color w:val="FFFFFF" w:themeColor="background1"/>
                <w:sz w:val="20"/>
                <w:szCs w:val="20"/>
              </w:rPr>
              <w:t>Pisos</w:t>
            </w:r>
          </w:p>
        </w:tc>
        <w:tc>
          <w:tcPr>
            <w:tcW w:w="1418" w:type="dxa"/>
            <w:shd w:val="clear" w:color="auto" w:fill="0070C0"/>
            <w:vAlign w:val="center"/>
          </w:tcPr>
          <w:p w14:paraId="131C112D" w14:textId="3E91EC60" w:rsidR="005171FF" w:rsidRPr="00C72124" w:rsidRDefault="00225E1A" w:rsidP="00225E1A">
            <w:pPr>
              <w:spacing w:after="120" w:line="276" w:lineRule="auto"/>
              <w:jc w:val="center"/>
              <w:rPr>
                <w:rFonts w:ascii="Palatino Linotype" w:hAnsi="Palatino Linotype"/>
                <w:color w:val="FFFFFF" w:themeColor="background1"/>
                <w:sz w:val="20"/>
                <w:szCs w:val="20"/>
              </w:rPr>
            </w:pPr>
            <w:r w:rsidRPr="00C72124">
              <w:rPr>
                <w:rFonts w:ascii="Palatino Linotype" w:hAnsi="Palatino Linotype"/>
                <w:color w:val="FFFFFF" w:themeColor="background1"/>
                <w:sz w:val="20"/>
                <w:szCs w:val="20"/>
              </w:rPr>
              <w:t>Área de terreno m</w:t>
            </w:r>
            <w:r w:rsidRPr="00C72124">
              <w:rPr>
                <w:rFonts w:ascii="Palatino Linotype" w:hAnsi="Palatino Linotype"/>
                <w:color w:val="FFFFFF" w:themeColor="background1"/>
                <w:sz w:val="20"/>
                <w:szCs w:val="20"/>
                <w:vertAlign w:val="superscript"/>
              </w:rPr>
              <w:t>2</w:t>
            </w:r>
          </w:p>
        </w:tc>
        <w:tc>
          <w:tcPr>
            <w:tcW w:w="850" w:type="dxa"/>
            <w:shd w:val="clear" w:color="auto" w:fill="0070C0"/>
            <w:vAlign w:val="center"/>
          </w:tcPr>
          <w:p w14:paraId="36CBB407" w14:textId="07DEC1BF"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COS PB %</w:t>
            </w:r>
          </w:p>
        </w:tc>
        <w:tc>
          <w:tcPr>
            <w:tcW w:w="992" w:type="dxa"/>
            <w:shd w:val="clear" w:color="auto" w:fill="0070C0"/>
            <w:vAlign w:val="center"/>
          </w:tcPr>
          <w:p w14:paraId="3FC651BA" w14:textId="1C22638B"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COS total %</w:t>
            </w:r>
          </w:p>
        </w:tc>
        <w:tc>
          <w:tcPr>
            <w:tcW w:w="1276" w:type="dxa"/>
            <w:shd w:val="clear" w:color="auto" w:fill="0070C0"/>
            <w:vAlign w:val="center"/>
          </w:tcPr>
          <w:p w14:paraId="363A169A" w14:textId="3EA62008"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Área útil total</w:t>
            </w:r>
          </w:p>
          <w:p w14:paraId="6D81D71A" w14:textId="3AF06E18"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m</w:t>
            </w:r>
            <w:r w:rsidRPr="00C72124">
              <w:rPr>
                <w:rFonts w:ascii="Palatino Linotype" w:hAnsi="Palatino Linotype"/>
                <w:b/>
                <w:color w:val="FFFFFF" w:themeColor="background1"/>
                <w:sz w:val="20"/>
                <w:szCs w:val="20"/>
                <w:vertAlign w:val="superscript"/>
              </w:rPr>
              <w:t>2</w:t>
            </w:r>
          </w:p>
        </w:tc>
        <w:tc>
          <w:tcPr>
            <w:tcW w:w="1254" w:type="dxa"/>
            <w:shd w:val="clear" w:color="auto" w:fill="0070C0"/>
            <w:vAlign w:val="center"/>
          </w:tcPr>
          <w:p w14:paraId="2925F363" w14:textId="5EF4D418"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Área útil</w:t>
            </w:r>
          </w:p>
          <w:p w14:paraId="2FF6E905" w14:textId="79C1C309" w:rsidR="005171FF" w:rsidRPr="00C72124" w:rsidRDefault="00225E1A" w:rsidP="00225E1A">
            <w:pPr>
              <w:spacing w:after="120" w:line="276" w:lineRule="auto"/>
              <w:jc w:val="center"/>
              <w:rPr>
                <w:rFonts w:ascii="Palatino Linotype" w:hAnsi="Palatino Linotype"/>
                <w:b/>
                <w:color w:val="FFFFFF" w:themeColor="background1"/>
                <w:sz w:val="20"/>
                <w:szCs w:val="20"/>
              </w:rPr>
            </w:pPr>
            <w:r w:rsidRPr="00C72124">
              <w:rPr>
                <w:rFonts w:ascii="Palatino Linotype" w:hAnsi="Palatino Linotype"/>
                <w:b/>
                <w:color w:val="FFFFFF" w:themeColor="background1"/>
                <w:sz w:val="20"/>
                <w:szCs w:val="20"/>
              </w:rPr>
              <w:t xml:space="preserve">PB            </w:t>
            </w:r>
            <w:r w:rsidRPr="00C72124">
              <w:rPr>
                <w:rFonts w:ascii="Palatino Linotype" w:hAnsi="Palatino Linotype"/>
                <w:b/>
                <w:color w:val="FFFFFF" w:themeColor="background1"/>
                <w:sz w:val="20"/>
                <w:szCs w:val="20"/>
              </w:rPr>
              <w:t>m</w:t>
            </w:r>
            <w:r w:rsidRPr="00C72124">
              <w:rPr>
                <w:rFonts w:ascii="Palatino Linotype" w:hAnsi="Palatino Linotype"/>
                <w:b/>
                <w:color w:val="FFFFFF" w:themeColor="background1"/>
                <w:sz w:val="20"/>
                <w:szCs w:val="20"/>
                <w:vertAlign w:val="superscript"/>
              </w:rPr>
              <w:t>2</w:t>
            </w:r>
          </w:p>
        </w:tc>
      </w:tr>
      <w:tr w:rsidR="00C72124" w:rsidRPr="00C72124" w14:paraId="40300441" w14:textId="77777777" w:rsidTr="00C72124">
        <w:trPr>
          <w:trHeight w:val="938"/>
          <w:jc w:val="center"/>
        </w:trPr>
        <w:tc>
          <w:tcPr>
            <w:tcW w:w="1856" w:type="dxa"/>
            <w:vAlign w:val="center"/>
          </w:tcPr>
          <w:p w14:paraId="3A084EBC" w14:textId="77777777" w:rsidR="005171FF" w:rsidRPr="00C72124" w:rsidRDefault="005171FF" w:rsidP="00C72124">
            <w:pPr>
              <w:spacing w:after="120" w:line="276" w:lineRule="auto"/>
              <w:rPr>
                <w:rFonts w:ascii="Palatino Linotype" w:hAnsi="Palatino Linotype"/>
                <w:sz w:val="20"/>
                <w:szCs w:val="20"/>
              </w:rPr>
            </w:pPr>
            <w:r w:rsidRPr="00C72124">
              <w:rPr>
                <w:rFonts w:ascii="Palatino Linotype" w:hAnsi="Palatino Linotype"/>
                <w:sz w:val="20"/>
                <w:szCs w:val="20"/>
              </w:rPr>
              <w:t>Edificios destinados a hotel, comercio y usos complementarios</w:t>
            </w:r>
          </w:p>
        </w:tc>
        <w:tc>
          <w:tcPr>
            <w:tcW w:w="1701" w:type="dxa"/>
            <w:vAlign w:val="center"/>
          </w:tcPr>
          <w:p w14:paraId="6BC15850" w14:textId="77777777" w:rsidR="005171FF" w:rsidRPr="00C72124" w:rsidRDefault="005171FF"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CZ6 en RN</w:t>
            </w:r>
            <w:r w:rsidR="0060690E" w:rsidRPr="00C72124">
              <w:rPr>
                <w:rFonts w:ascii="Palatino Linotype" w:hAnsi="Palatino Linotype"/>
                <w:sz w:val="20"/>
                <w:szCs w:val="20"/>
              </w:rPr>
              <w:t>/PS</w:t>
            </w:r>
          </w:p>
        </w:tc>
        <w:tc>
          <w:tcPr>
            <w:tcW w:w="709" w:type="dxa"/>
            <w:vAlign w:val="center"/>
          </w:tcPr>
          <w:p w14:paraId="7365E2FB" w14:textId="77777777" w:rsidR="005171FF" w:rsidRPr="00C72124" w:rsidRDefault="00536D8D"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4</w:t>
            </w:r>
            <w:r w:rsidR="005171FF" w:rsidRPr="00C72124">
              <w:rPr>
                <w:rFonts w:ascii="Palatino Linotype" w:hAnsi="Palatino Linotype"/>
                <w:sz w:val="20"/>
                <w:szCs w:val="20"/>
              </w:rPr>
              <w:t>*</w:t>
            </w:r>
          </w:p>
        </w:tc>
        <w:tc>
          <w:tcPr>
            <w:tcW w:w="1418" w:type="dxa"/>
            <w:vAlign w:val="center"/>
          </w:tcPr>
          <w:p w14:paraId="26C1A302" w14:textId="77777777" w:rsidR="005171FF" w:rsidRPr="00C72124" w:rsidRDefault="005171FF"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13.000,99</w:t>
            </w:r>
          </w:p>
        </w:tc>
        <w:tc>
          <w:tcPr>
            <w:tcW w:w="850" w:type="dxa"/>
            <w:vAlign w:val="center"/>
          </w:tcPr>
          <w:p w14:paraId="6D9745E3" w14:textId="00E3806C" w:rsidR="005171FF" w:rsidRPr="00C72124" w:rsidRDefault="00EA4391"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30,67</w:t>
            </w:r>
            <w:r w:rsidR="00012B74" w:rsidRPr="00C72124">
              <w:rPr>
                <w:rFonts w:ascii="Palatino Linotype" w:hAnsi="Palatino Linotype"/>
                <w:sz w:val="20"/>
                <w:szCs w:val="20"/>
              </w:rPr>
              <w:t>6</w:t>
            </w:r>
          </w:p>
        </w:tc>
        <w:tc>
          <w:tcPr>
            <w:tcW w:w="992" w:type="dxa"/>
            <w:vAlign w:val="center"/>
          </w:tcPr>
          <w:p w14:paraId="5F60FE37" w14:textId="77777777" w:rsidR="005171FF" w:rsidRPr="00C72124" w:rsidRDefault="00EA4391"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107,20</w:t>
            </w:r>
          </w:p>
        </w:tc>
        <w:tc>
          <w:tcPr>
            <w:tcW w:w="1276" w:type="dxa"/>
            <w:vAlign w:val="center"/>
          </w:tcPr>
          <w:p w14:paraId="27055B6C" w14:textId="77777777" w:rsidR="005171FF" w:rsidRPr="00C72124" w:rsidRDefault="005171FF"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13.937,35</w:t>
            </w:r>
          </w:p>
        </w:tc>
        <w:tc>
          <w:tcPr>
            <w:tcW w:w="1254" w:type="dxa"/>
            <w:vAlign w:val="center"/>
          </w:tcPr>
          <w:p w14:paraId="1391171A" w14:textId="77777777" w:rsidR="005171FF" w:rsidRPr="00C72124" w:rsidRDefault="005171FF"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3.988,22</w:t>
            </w:r>
          </w:p>
        </w:tc>
      </w:tr>
      <w:tr w:rsidR="00C72124" w:rsidRPr="00C72124" w14:paraId="065065CB" w14:textId="77777777" w:rsidTr="00C72124">
        <w:trPr>
          <w:trHeight w:val="205"/>
          <w:jc w:val="center"/>
        </w:trPr>
        <w:tc>
          <w:tcPr>
            <w:tcW w:w="1856" w:type="dxa"/>
            <w:vAlign w:val="center"/>
          </w:tcPr>
          <w:p w14:paraId="0D201A37" w14:textId="6E0DFD94" w:rsidR="005171FF" w:rsidRPr="00C72124" w:rsidRDefault="005171FF" w:rsidP="00C72124">
            <w:pPr>
              <w:spacing w:after="120" w:line="276" w:lineRule="auto"/>
              <w:jc w:val="center"/>
              <w:rPr>
                <w:rFonts w:ascii="Palatino Linotype" w:hAnsi="Palatino Linotype"/>
                <w:b/>
                <w:sz w:val="20"/>
                <w:szCs w:val="20"/>
              </w:rPr>
            </w:pPr>
            <w:r w:rsidRPr="00C72124">
              <w:rPr>
                <w:rFonts w:ascii="Palatino Linotype" w:hAnsi="Palatino Linotype"/>
                <w:b/>
                <w:sz w:val="20"/>
                <w:szCs w:val="20"/>
              </w:rPr>
              <w:t>T</w:t>
            </w:r>
            <w:r w:rsidR="00225E1A" w:rsidRPr="00C72124">
              <w:rPr>
                <w:rFonts w:ascii="Palatino Linotype" w:hAnsi="Palatino Linotype"/>
                <w:b/>
                <w:sz w:val="20"/>
                <w:szCs w:val="20"/>
              </w:rPr>
              <w:t>otal</w:t>
            </w:r>
          </w:p>
        </w:tc>
        <w:tc>
          <w:tcPr>
            <w:tcW w:w="1701" w:type="dxa"/>
            <w:vAlign w:val="center"/>
          </w:tcPr>
          <w:p w14:paraId="239A7956" w14:textId="77777777" w:rsidR="005171FF" w:rsidRPr="00C72124" w:rsidRDefault="005171FF" w:rsidP="00C72124">
            <w:pPr>
              <w:spacing w:after="120" w:line="276" w:lineRule="auto"/>
              <w:jc w:val="center"/>
              <w:rPr>
                <w:rFonts w:ascii="Palatino Linotype" w:hAnsi="Palatino Linotype"/>
                <w:sz w:val="20"/>
                <w:szCs w:val="20"/>
              </w:rPr>
            </w:pPr>
          </w:p>
        </w:tc>
        <w:tc>
          <w:tcPr>
            <w:tcW w:w="709" w:type="dxa"/>
            <w:vAlign w:val="center"/>
          </w:tcPr>
          <w:p w14:paraId="782DAB69" w14:textId="77777777" w:rsidR="005171FF" w:rsidRPr="00C72124" w:rsidRDefault="005171FF" w:rsidP="00C72124">
            <w:pPr>
              <w:spacing w:after="120" w:line="276" w:lineRule="auto"/>
              <w:jc w:val="center"/>
              <w:rPr>
                <w:rFonts w:ascii="Palatino Linotype" w:hAnsi="Palatino Linotype"/>
                <w:sz w:val="20"/>
                <w:szCs w:val="20"/>
              </w:rPr>
            </w:pPr>
          </w:p>
        </w:tc>
        <w:tc>
          <w:tcPr>
            <w:tcW w:w="1418" w:type="dxa"/>
            <w:vAlign w:val="center"/>
          </w:tcPr>
          <w:p w14:paraId="0B15CCD0" w14:textId="77777777" w:rsidR="005171FF" w:rsidRPr="00C72124" w:rsidRDefault="005171FF"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13.000,99</w:t>
            </w:r>
          </w:p>
        </w:tc>
        <w:tc>
          <w:tcPr>
            <w:tcW w:w="850" w:type="dxa"/>
            <w:vAlign w:val="center"/>
          </w:tcPr>
          <w:p w14:paraId="5E5F102B" w14:textId="32C25812" w:rsidR="005171FF" w:rsidRPr="00C72124" w:rsidRDefault="00EA4391"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30,67</w:t>
            </w:r>
            <w:r w:rsidR="00012B74" w:rsidRPr="00C72124">
              <w:rPr>
                <w:rFonts w:ascii="Palatino Linotype" w:hAnsi="Palatino Linotype"/>
                <w:sz w:val="20"/>
                <w:szCs w:val="20"/>
              </w:rPr>
              <w:t>6</w:t>
            </w:r>
          </w:p>
        </w:tc>
        <w:tc>
          <w:tcPr>
            <w:tcW w:w="992" w:type="dxa"/>
            <w:vAlign w:val="center"/>
          </w:tcPr>
          <w:p w14:paraId="7FFC1BD5" w14:textId="77777777" w:rsidR="005171FF" w:rsidRPr="00C72124" w:rsidRDefault="00EA4391"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107,20</w:t>
            </w:r>
          </w:p>
        </w:tc>
        <w:tc>
          <w:tcPr>
            <w:tcW w:w="1276" w:type="dxa"/>
            <w:vAlign w:val="center"/>
          </w:tcPr>
          <w:p w14:paraId="05C4AEE5" w14:textId="77777777" w:rsidR="005171FF" w:rsidRPr="00C72124" w:rsidRDefault="005171FF"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13.937,35</w:t>
            </w:r>
          </w:p>
        </w:tc>
        <w:tc>
          <w:tcPr>
            <w:tcW w:w="1254" w:type="dxa"/>
            <w:vAlign w:val="center"/>
          </w:tcPr>
          <w:p w14:paraId="65764C0C" w14:textId="77777777" w:rsidR="005171FF" w:rsidRPr="00C72124" w:rsidRDefault="005171FF" w:rsidP="00C72124">
            <w:pPr>
              <w:spacing w:after="120" w:line="276" w:lineRule="auto"/>
              <w:jc w:val="center"/>
              <w:rPr>
                <w:rFonts w:ascii="Palatino Linotype" w:hAnsi="Palatino Linotype"/>
                <w:sz w:val="20"/>
                <w:szCs w:val="20"/>
              </w:rPr>
            </w:pPr>
            <w:r w:rsidRPr="00C72124">
              <w:rPr>
                <w:rFonts w:ascii="Palatino Linotype" w:hAnsi="Palatino Linotype"/>
                <w:sz w:val="20"/>
                <w:szCs w:val="20"/>
              </w:rPr>
              <w:t>3.988,22</w:t>
            </w:r>
          </w:p>
        </w:tc>
      </w:tr>
    </w:tbl>
    <w:p w14:paraId="0B6BA7FC" w14:textId="60BE58F3" w:rsidR="00A41947" w:rsidRPr="00225E1A" w:rsidRDefault="00A41947" w:rsidP="00694D76">
      <w:pPr>
        <w:spacing w:after="120"/>
        <w:rPr>
          <w:rFonts w:ascii="Palatino Linotype" w:hAnsi="Palatino Linotype"/>
          <w:sz w:val="18"/>
          <w:szCs w:val="18"/>
        </w:rPr>
      </w:pPr>
      <w:r w:rsidRPr="00225E1A">
        <w:rPr>
          <w:rFonts w:ascii="Palatino Linotype" w:hAnsi="Palatino Linotype"/>
          <w:sz w:val="18"/>
          <w:szCs w:val="18"/>
        </w:rPr>
        <w:t xml:space="preserve">* La altura total </w:t>
      </w:r>
      <w:r w:rsidR="00B11041" w:rsidRPr="00225E1A">
        <w:rPr>
          <w:rFonts w:ascii="Palatino Linotype" w:hAnsi="Palatino Linotype"/>
          <w:sz w:val="18"/>
          <w:szCs w:val="18"/>
        </w:rPr>
        <w:t>de</w:t>
      </w:r>
      <w:r w:rsidRPr="00225E1A">
        <w:rPr>
          <w:rFonts w:ascii="Palatino Linotype" w:hAnsi="Palatino Linotype"/>
          <w:sz w:val="18"/>
          <w:szCs w:val="18"/>
        </w:rPr>
        <w:t xml:space="preserve"> los </w:t>
      </w:r>
      <w:r w:rsidR="004A58B0" w:rsidRPr="00225E1A">
        <w:rPr>
          <w:rFonts w:ascii="Palatino Linotype" w:hAnsi="Palatino Linotype"/>
          <w:sz w:val="18"/>
          <w:szCs w:val="18"/>
        </w:rPr>
        <w:t xml:space="preserve">cuatro </w:t>
      </w:r>
      <w:r w:rsidRPr="00225E1A">
        <w:rPr>
          <w:rFonts w:ascii="Palatino Linotype" w:hAnsi="Palatino Linotype"/>
          <w:sz w:val="18"/>
          <w:szCs w:val="18"/>
        </w:rPr>
        <w:t>(</w:t>
      </w:r>
      <w:r w:rsidR="004A58B0" w:rsidRPr="00225E1A">
        <w:rPr>
          <w:rFonts w:ascii="Palatino Linotype" w:hAnsi="Palatino Linotype"/>
          <w:sz w:val="18"/>
          <w:szCs w:val="18"/>
        </w:rPr>
        <w:t>4</w:t>
      </w:r>
      <w:r w:rsidRPr="00225E1A">
        <w:rPr>
          <w:rFonts w:ascii="Palatino Linotype" w:hAnsi="Palatino Linotype"/>
          <w:sz w:val="18"/>
          <w:szCs w:val="18"/>
        </w:rPr>
        <w:t>) pisos</w:t>
      </w:r>
      <w:r w:rsidR="00B11041" w:rsidRPr="00225E1A">
        <w:rPr>
          <w:rFonts w:ascii="Palatino Linotype" w:hAnsi="Palatino Linotype"/>
          <w:sz w:val="18"/>
          <w:szCs w:val="18"/>
        </w:rPr>
        <w:t>,</w:t>
      </w:r>
      <w:r w:rsidRPr="00225E1A">
        <w:rPr>
          <w:rFonts w:ascii="Palatino Linotype" w:hAnsi="Palatino Linotype"/>
          <w:sz w:val="18"/>
          <w:szCs w:val="18"/>
        </w:rPr>
        <w:t xml:space="preserve"> incluyendo cuartos de máquinas</w:t>
      </w:r>
      <w:r w:rsidR="00B11041" w:rsidRPr="00225E1A">
        <w:rPr>
          <w:rFonts w:ascii="Palatino Linotype" w:hAnsi="Palatino Linotype"/>
          <w:sz w:val="18"/>
          <w:szCs w:val="18"/>
        </w:rPr>
        <w:t xml:space="preserve">, </w:t>
      </w:r>
      <w:proofErr w:type="spellStart"/>
      <w:r w:rsidRPr="00225E1A">
        <w:rPr>
          <w:rFonts w:ascii="Palatino Linotype" w:hAnsi="Palatino Linotype"/>
          <w:sz w:val="18"/>
          <w:szCs w:val="18"/>
        </w:rPr>
        <w:t>sobrerecorridos</w:t>
      </w:r>
      <w:proofErr w:type="spellEnd"/>
      <w:r w:rsidRPr="00225E1A">
        <w:rPr>
          <w:rFonts w:ascii="Palatino Linotype" w:hAnsi="Palatino Linotype"/>
          <w:sz w:val="18"/>
          <w:szCs w:val="18"/>
        </w:rPr>
        <w:t xml:space="preserve"> de ascensores</w:t>
      </w:r>
      <w:r w:rsidR="003F1CBD" w:rsidRPr="00225E1A">
        <w:rPr>
          <w:rFonts w:ascii="Palatino Linotype" w:hAnsi="Palatino Linotype"/>
          <w:sz w:val="18"/>
          <w:szCs w:val="18"/>
        </w:rPr>
        <w:t>,</w:t>
      </w:r>
      <w:r w:rsidR="00B11041" w:rsidRPr="00225E1A">
        <w:rPr>
          <w:rFonts w:ascii="Palatino Linotype" w:hAnsi="Palatino Linotype"/>
          <w:sz w:val="18"/>
          <w:szCs w:val="18"/>
        </w:rPr>
        <w:t xml:space="preserve"> entre otros elementos,</w:t>
      </w:r>
      <w:r w:rsidRPr="00225E1A">
        <w:rPr>
          <w:rFonts w:ascii="Palatino Linotype" w:hAnsi="Palatino Linotype"/>
          <w:sz w:val="18"/>
          <w:szCs w:val="18"/>
        </w:rPr>
        <w:t xml:space="preserve"> no podrá ser superior a 12.00</w:t>
      </w:r>
      <w:r w:rsidR="00C72124">
        <w:rPr>
          <w:rFonts w:ascii="Palatino Linotype" w:hAnsi="Palatino Linotype"/>
          <w:sz w:val="18"/>
          <w:szCs w:val="18"/>
        </w:rPr>
        <w:t xml:space="preserve"> </w:t>
      </w:r>
      <w:r w:rsidRPr="00225E1A">
        <w:rPr>
          <w:rFonts w:ascii="Palatino Linotype" w:hAnsi="Palatino Linotype"/>
          <w:sz w:val="18"/>
          <w:szCs w:val="18"/>
        </w:rPr>
        <w:t xml:space="preserve">m </w:t>
      </w:r>
      <w:r w:rsidR="00B11041" w:rsidRPr="00225E1A">
        <w:rPr>
          <w:rFonts w:ascii="Palatino Linotype" w:hAnsi="Palatino Linotype"/>
          <w:sz w:val="18"/>
          <w:szCs w:val="18"/>
        </w:rPr>
        <w:t xml:space="preserve">medidos </w:t>
      </w:r>
      <w:r w:rsidRPr="00225E1A">
        <w:rPr>
          <w:rFonts w:ascii="Palatino Linotype" w:hAnsi="Palatino Linotype"/>
          <w:sz w:val="18"/>
          <w:szCs w:val="18"/>
        </w:rPr>
        <w:t>a partir de la cota topográfica 2.467,36 msnm de la Calle Cotopaxi</w:t>
      </w:r>
      <w:r w:rsidR="003F1CBD" w:rsidRPr="00225E1A">
        <w:rPr>
          <w:rFonts w:ascii="Palatino Linotype" w:hAnsi="Palatino Linotype"/>
          <w:sz w:val="18"/>
          <w:szCs w:val="18"/>
        </w:rPr>
        <w:t>,</w:t>
      </w:r>
      <w:r w:rsidR="002C097B" w:rsidRPr="00225E1A">
        <w:rPr>
          <w:rFonts w:ascii="Palatino Linotype" w:hAnsi="Palatino Linotype"/>
          <w:sz w:val="18"/>
          <w:szCs w:val="18"/>
        </w:rPr>
        <w:t xml:space="preserve"> </w:t>
      </w:r>
      <w:r w:rsidR="00B11041" w:rsidRPr="00225E1A">
        <w:rPr>
          <w:rFonts w:ascii="Palatino Linotype" w:hAnsi="Palatino Linotype"/>
          <w:sz w:val="18"/>
          <w:szCs w:val="18"/>
        </w:rPr>
        <w:t>según lo establecido en el</w:t>
      </w:r>
      <w:r w:rsidR="002C097B" w:rsidRPr="00225E1A">
        <w:rPr>
          <w:rFonts w:ascii="Palatino Linotype" w:hAnsi="Palatino Linotype"/>
          <w:sz w:val="18"/>
          <w:szCs w:val="18"/>
        </w:rPr>
        <w:t xml:space="preserve"> informe </w:t>
      </w:r>
      <w:r w:rsidR="00B11041" w:rsidRPr="00225E1A">
        <w:rPr>
          <w:rFonts w:ascii="Palatino Linotype" w:hAnsi="Palatino Linotype"/>
          <w:sz w:val="18"/>
          <w:szCs w:val="18"/>
        </w:rPr>
        <w:t xml:space="preserve">No. DGAC-JX-2013-0792-O </w:t>
      </w:r>
      <w:r w:rsidR="002C097B" w:rsidRPr="00225E1A">
        <w:rPr>
          <w:rFonts w:ascii="Palatino Linotype" w:hAnsi="Palatino Linotype"/>
          <w:sz w:val="18"/>
          <w:szCs w:val="18"/>
        </w:rPr>
        <w:t xml:space="preserve">de la Dirección </w:t>
      </w:r>
      <w:r w:rsidR="00B11041" w:rsidRPr="00225E1A">
        <w:rPr>
          <w:rFonts w:ascii="Palatino Linotype" w:hAnsi="Palatino Linotype" w:cs="Times New Roman"/>
          <w:sz w:val="18"/>
          <w:szCs w:val="18"/>
          <w:lang w:val="es-EC"/>
        </w:rPr>
        <w:t xml:space="preserve">General </w:t>
      </w:r>
      <w:r w:rsidR="002C097B" w:rsidRPr="00225E1A">
        <w:rPr>
          <w:rFonts w:ascii="Palatino Linotype" w:hAnsi="Palatino Linotype"/>
          <w:sz w:val="18"/>
          <w:szCs w:val="18"/>
        </w:rPr>
        <w:t xml:space="preserve">de Aviación </w:t>
      </w:r>
      <w:r w:rsidR="001C553A" w:rsidRPr="00225E1A">
        <w:rPr>
          <w:rFonts w:ascii="Palatino Linotype" w:hAnsi="Palatino Linotype"/>
          <w:sz w:val="18"/>
          <w:szCs w:val="18"/>
        </w:rPr>
        <w:t xml:space="preserve">Civil (Anexo 2 de la presente ordenanza) </w:t>
      </w:r>
    </w:p>
    <w:p w14:paraId="06CC7B9C" w14:textId="77777777" w:rsidR="00684F71" w:rsidRPr="00694D76" w:rsidRDefault="00684F71" w:rsidP="00694D76">
      <w:pPr>
        <w:autoSpaceDE w:val="0"/>
        <w:spacing w:after="120"/>
        <w:rPr>
          <w:rFonts w:ascii="Palatino Linotype" w:hAnsi="Palatino Linotype" w:cs="Times New Roman"/>
          <w:lang w:val="es-EC"/>
        </w:rPr>
      </w:pPr>
      <w:r w:rsidRPr="00694D76">
        <w:rPr>
          <w:rFonts w:ascii="Palatino Linotype" w:hAnsi="Palatino Linotype" w:cs="Times New Roman"/>
          <w:b/>
        </w:rPr>
        <w:t xml:space="preserve">Artículo 9.- Etapas de </w:t>
      </w:r>
      <w:proofErr w:type="gramStart"/>
      <w:r w:rsidRPr="00694D76">
        <w:rPr>
          <w:rFonts w:ascii="Palatino Linotype" w:hAnsi="Palatino Linotype" w:cs="Times New Roman"/>
          <w:b/>
        </w:rPr>
        <w:t>desarrollo.-</w:t>
      </w:r>
      <w:proofErr w:type="gramEnd"/>
      <w:r w:rsidRPr="00694D76">
        <w:rPr>
          <w:rFonts w:ascii="Palatino Linotype" w:hAnsi="Palatino Linotype" w:cs="Times New Roman"/>
          <w:b/>
        </w:rPr>
        <w:t xml:space="preserve"> </w:t>
      </w:r>
      <w:r w:rsidRPr="00694D76">
        <w:rPr>
          <w:rFonts w:ascii="Palatino Linotype" w:hAnsi="Palatino Linotype" w:cs="Times New Roman"/>
          <w:lang w:val="es-EC"/>
        </w:rPr>
        <w:t>El desarrollo del proyecto contempla dos etapas. La primera consiste en la construcción del bloque frontal (hacia el conector Alpachaca) del hotel</w:t>
      </w:r>
      <w:r w:rsidR="003F1CBD" w:rsidRPr="00694D76">
        <w:rPr>
          <w:rFonts w:ascii="Palatino Linotype" w:hAnsi="Palatino Linotype" w:cs="Times New Roman"/>
          <w:lang w:val="es-EC"/>
        </w:rPr>
        <w:t>.</w:t>
      </w:r>
      <w:r w:rsidRPr="00694D76">
        <w:rPr>
          <w:rFonts w:ascii="Palatino Linotype" w:hAnsi="Palatino Linotype" w:cs="Times New Roman"/>
          <w:lang w:val="es-EC"/>
        </w:rPr>
        <w:t xml:space="preserve"> </w:t>
      </w:r>
      <w:r w:rsidR="003F1CBD" w:rsidRPr="00694D76">
        <w:rPr>
          <w:rFonts w:ascii="Palatino Linotype" w:hAnsi="Palatino Linotype" w:cs="Times New Roman"/>
          <w:lang w:val="es-EC"/>
        </w:rPr>
        <w:t>L</w:t>
      </w:r>
      <w:r w:rsidRPr="00694D76">
        <w:rPr>
          <w:rFonts w:ascii="Palatino Linotype" w:hAnsi="Palatino Linotype" w:cs="Times New Roman"/>
          <w:lang w:val="es-EC"/>
        </w:rPr>
        <w:t xml:space="preserve">a segunda, que se desarrollará en un segundo bloque, mediante un proyecto ampliatorio o modificatorio, podrá </w:t>
      </w:r>
      <w:r w:rsidRPr="00694D76">
        <w:rPr>
          <w:rFonts w:ascii="Palatino Linotype" w:hAnsi="Palatino Linotype" w:cs="Times New Roman"/>
          <w:lang w:val="es-EC"/>
        </w:rPr>
        <w:lastRenderedPageBreak/>
        <w:t xml:space="preserve">contemplar un programa de ampliación del hotel o de servicios </w:t>
      </w:r>
      <w:r w:rsidR="000F4CB4" w:rsidRPr="00694D76">
        <w:rPr>
          <w:rFonts w:ascii="Palatino Linotype" w:hAnsi="Palatino Linotype" w:cs="Times New Roman"/>
          <w:lang w:val="es-EC"/>
        </w:rPr>
        <w:t xml:space="preserve">complementarios, de acuerdo a los siguientes cuadros: </w:t>
      </w:r>
    </w:p>
    <w:p w14:paraId="6DAED6C7" w14:textId="77777777" w:rsidR="003F1CBD" w:rsidRPr="00694D76" w:rsidRDefault="000F4CB4" w:rsidP="00C72124">
      <w:pPr>
        <w:spacing w:after="120"/>
        <w:jc w:val="center"/>
        <w:rPr>
          <w:rFonts w:ascii="Palatino Linotype" w:hAnsi="Palatino Linotype" w:cstheme="minorHAnsi"/>
          <w:b/>
        </w:rPr>
      </w:pPr>
      <w:r w:rsidRPr="00694D76">
        <w:rPr>
          <w:rFonts w:ascii="Palatino Linotype" w:hAnsi="Palatino Linotype" w:cstheme="minorHAnsi"/>
          <w:b/>
        </w:rPr>
        <w:t>Cuadro No. 2</w:t>
      </w:r>
    </w:p>
    <w:tbl>
      <w:tblPr>
        <w:tblW w:w="8740" w:type="dxa"/>
        <w:jc w:val="center"/>
        <w:tblCellMar>
          <w:left w:w="70" w:type="dxa"/>
          <w:right w:w="70" w:type="dxa"/>
        </w:tblCellMar>
        <w:tblLook w:val="04A0" w:firstRow="1" w:lastRow="0" w:firstColumn="1" w:lastColumn="0" w:noHBand="0" w:noVBand="1"/>
      </w:tblPr>
      <w:tblGrid>
        <w:gridCol w:w="1803"/>
        <w:gridCol w:w="1825"/>
        <w:gridCol w:w="2328"/>
        <w:gridCol w:w="2784"/>
      </w:tblGrid>
      <w:tr w:rsidR="00B41680" w:rsidRPr="00694D76" w14:paraId="2D893311" w14:textId="77777777" w:rsidTr="00C72124">
        <w:trPr>
          <w:trHeight w:val="390"/>
          <w:jc w:val="center"/>
        </w:trPr>
        <w:tc>
          <w:tcPr>
            <w:tcW w:w="8740" w:type="dxa"/>
            <w:gridSpan w:val="4"/>
            <w:tcBorders>
              <w:top w:val="single" w:sz="8" w:space="0" w:color="auto"/>
              <w:left w:val="single" w:sz="8" w:space="0" w:color="auto"/>
              <w:bottom w:val="single" w:sz="8" w:space="0" w:color="auto"/>
              <w:right w:val="single" w:sz="8" w:space="0" w:color="000000"/>
            </w:tcBorders>
            <w:shd w:val="clear" w:color="auto" w:fill="0070C0"/>
            <w:noWrap/>
            <w:vAlign w:val="center"/>
            <w:hideMark/>
          </w:tcPr>
          <w:p w14:paraId="67727897" w14:textId="448ECC74" w:rsidR="00B41680" w:rsidRPr="00C72124" w:rsidRDefault="00C72124" w:rsidP="00694D76">
            <w:pPr>
              <w:spacing w:after="120"/>
              <w:jc w:val="center"/>
              <w:rPr>
                <w:rFonts w:ascii="Palatino Linotype" w:eastAsia="Times New Roman" w:hAnsi="Palatino Linotype" w:cs="Times New Roman"/>
                <w:b/>
                <w:bCs/>
                <w:color w:val="FFFFFF" w:themeColor="background1"/>
                <w:lang w:val="es-EC" w:eastAsia="es-EC"/>
              </w:rPr>
            </w:pPr>
            <w:r>
              <w:rPr>
                <w:rFonts w:ascii="Palatino Linotype" w:eastAsia="Times New Roman" w:hAnsi="Palatino Linotype" w:cs="Times New Roman"/>
                <w:b/>
                <w:bCs/>
                <w:color w:val="FFFFFF" w:themeColor="background1"/>
                <w:lang w:val="es-EC" w:eastAsia="es-EC"/>
              </w:rPr>
              <w:t>Primera etapa del proyecto (B</w:t>
            </w:r>
            <w:r w:rsidRPr="00C72124">
              <w:rPr>
                <w:rFonts w:ascii="Palatino Linotype" w:eastAsia="Times New Roman" w:hAnsi="Palatino Linotype" w:cs="Times New Roman"/>
                <w:b/>
                <w:bCs/>
                <w:color w:val="FFFFFF" w:themeColor="background1"/>
                <w:lang w:val="es-EC" w:eastAsia="es-EC"/>
              </w:rPr>
              <w:t>loque 1)</w:t>
            </w:r>
          </w:p>
        </w:tc>
      </w:tr>
      <w:tr w:rsidR="00B41680" w:rsidRPr="00694D76" w14:paraId="4289E360" w14:textId="77777777" w:rsidTr="00C72124">
        <w:trPr>
          <w:trHeight w:val="300"/>
          <w:jc w:val="center"/>
        </w:trPr>
        <w:tc>
          <w:tcPr>
            <w:tcW w:w="1803" w:type="dxa"/>
            <w:vMerge w:val="restart"/>
            <w:tcBorders>
              <w:top w:val="nil"/>
              <w:left w:val="single" w:sz="8" w:space="0" w:color="auto"/>
              <w:bottom w:val="single" w:sz="8" w:space="0" w:color="000000"/>
              <w:right w:val="single" w:sz="8" w:space="0" w:color="auto"/>
            </w:tcBorders>
            <w:shd w:val="clear" w:color="auto" w:fill="0070C0"/>
            <w:noWrap/>
            <w:vAlign w:val="center"/>
            <w:hideMark/>
          </w:tcPr>
          <w:p w14:paraId="0378D079" w14:textId="0997BE33" w:rsidR="00B41680" w:rsidRPr="00C72124" w:rsidRDefault="00C72124" w:rsidP="00694D76">
            <w:pPr>
              <w:spacing w:after="120"/>
              <w:jc w:val="center"/>
              <w:rPr>
                <w:rFonts w:ascii="Palatino Linotype" w:eastAsia="Times New Roman" w:hAnsi="Palatino Linotype" w:cs="Times New Roman"/>
                <w:b/>
                <w:bCs/>
                <w:iCs/>
                <w:color w:val="FFFFFF" w:themeColor="background1"/>
                <w:lang w:val="es-EC" w:eastAsia="es-EC"/>
              </w:rPr>
            </w:pPr>
            <w:r w:rsidRPr="00C72124">
              <w:rPr>
                <w:rFonts w:ascii="Palatino Linotype" w:eastAsia="Times New Roman" w:hAnsi="Palatino Linotype" w:cs="Times New Roman"/>
                <w:b/>
                <w:bCs/>
                <w:iCs/>
                <w:color w:val="FFFFFF" w:themeColor="background1"/>
                <w:lang w:val="es-EC" w:eastAsia="es-EC"/>
              </w:rPr>
              <w:t>Descripción</w:t>
            </w:r>
          </w:p>
        </w:tc>
        <w:tc>
          <w:tcPr>
            <w:tcW w:w="1825" w:type="dxa"/>
            <w:vMerge w:val="restart"/>
            <w:tcBorders>
              <w:top w:val="nil"/>
              <w:left w:val="single" w:sz="8" w:space="0" w:color="auto"/>
              <w:bottom w:val="single" w:sz="8" w:space="0" w:color="000000"/>
              <w:right w:val="single" w:sz="8" w:space="0" w:color="auto"/>
            </w:tcBorders>
            <w:shd w:val="clear" w:color="auto" w:fill="0070C0"/>
            <w:noWrap/>
            <w:vAlign w:val="center"/>
            <w:hideMark/>
          </w:tcPr>
          <w:p w14:paraId="4CE25566" w14:textId="6222EBDD" w:rsidR="00B41680" w:rsidRPr="00C72124" w:rsidRDefault="00C72124" w:rsidP="00C72124">
            <w:pPr>
              <w:spacing w:after="120"/>
              <w:jc w:val="center"/>
              <w:rPr>
                <w:rFonts w:ascii="Palatino Linotype" w:eastAsia="Times New Roman" w:hAnsi="Palatino Linotype" w:cs="Times New Roman"/>
                <w:b/>
                <w:bCs/>
                <w:iCs/>
                <w:color w:val="FFFFFF" w:themeColor="background1"/>
                <w:lang w:val="es-EC" w:eastAsia="es-EC"/>
              </w:rPr>
            </w:pPr>
            <w:r>
              <w:rPr>
                <w:rFonts w:ascii="Palatino Linotype" w:eastAsia="Times New Roman" w:hAnsi="Palatino Linotype" w:cs="Times New Roman"/>
                <w:b/>
                <w:bCs/>
                <w:iCs/>
                <w:color w:val="FFFFFF" w:themeColor="background1"/>
                <w:lang w:val="es-EC" w:eastAsia="es-EC"/>
              </w:rPr>
              <w:t>Á</w:t>
            </w:r>
            <w:r w:rsidRPr="00C72124">
              <w:rPr>
                <w:rFonts w:ascii="Palatino Linotype" w:eastAsia="Times New Roman" w:hAnsi="Palatino Linotype" w:cs="Times New Roman"/>
                <w:b/>
                <w:bCs/>
                <w:iCs/>
                <w:color w:val="FFFFFF" w:themeColor="background1"/>
                <w:lang w:val="es-EC" w:eastAsia="es-EC"/>
              </w:rPr>
              <w:t xml:space="preserve">rea </w:t>
            </w:r>
            <w:r>
              <w:rPr>
                <w:rFonts w:ascii="Palatino Linotype" w:eastAsia="Times New Roman" w:hAnsi="Palatino Linotype" w:cs="Times New Roman"/>
                <w:b/>
                <w:bCs/>
                <w:iCs/>
                <w:color w:val="FFFFFF" w:themeColor="background1"/>
                <w:lang w:val="es-EC" w:eastAsia="es-EC"/>
              </w:rPr>
              <w:t>ú</w:t>
            </w:r>
            <w:r w:rsidRPr="00C72124">
              <w:rPr>
                <w:rFonts w:ascii="Palatino Linotype" w:eastAsia="Times New Roman" w:hAnsi="Palatino Linotype" w:cs="Times New Roman"/>
                <w:b/>
                <w:bCs/>
                <w:iCs/>
                <w:color w:val="FFFFFF" w:themeColor="background1"/>
                <w:lang w:val="es-EC" w:eastAsia="es-EC"/>
              </w:rPr>
              <w:t xml:space="preserve">til </w:t>
            </w:r>
            <w:r>
              <w:rPr>
                <w:rFonts w:ascii="Palatino Linotype" w:eastAsia="Times New Roman" w:hAnsi="Palatino Linotype" w:cs="Times New Roman"/>
                <w:b/>
                <w:bCs/>
                <w:iCs/>
                <w:color w:val="FFFFFF" w:themeColor="background1"/>
                <w:lang w:val="es-EC" w:eastAsia="es-EC"/>
              </w:rPr>
              <w:t>PB</w:t>
            </w:r>
            <w:r w:rsidR="003F1CBD" w:rsidRPr="00C72124">
              <w:rPr>
                <w:rFonts w:ascii="Palatino Linotype" w:eastAsia="Times New Roman" w:hAnsi="Palatino Linotype" w:cs="Times New Roman"/>
                <w:b/>
                <w:bCs/>
                <w:iCs/>
                <w:color w:val="FFFFFF" w:themeColor="background1"/>
                <w:lang w:val="es-EC" w:eastAsia="es-EC"/>
              </w:rPr>
              <w:t xml:space="preserve"> (m</w:t>
            </w:r>
            <w:r w:rsidR="003F1CBD" w:rsidRPr="00C72124">
              <w:rPr>
                <w:rFonts w:ascii="Palatino Linotype" w:eastAsia="Times New Roman" w:hAnsi="Palatino Linotype" w:cs="Times New Roman"/>
                <w:b/>
                <w:bCs/>
                <w:iCs/>
                <w:color w:val="FFFFFF" w:themeColor="background1"/>
                <w:vertAlign w:val="superscript"/>
                <w:lang w:val="es-EC" w:eastAsia="es-EC"/>
              </w:rPr>
              <w:t>2</w:t>
            </w:r>
            <w:r w:rsidR="003F1CBD" w:rsidRPr="00C72124">
              <w:rPr>
                <w:rFonts w:ascii="Palatino Linotype" w:eastAsia="Times New Roman" w:hAnsi="Palatino Linotype" w:cs="Times New Roman"/>
                <w:b/>
                <w:bCs/>
                <w:iCs/>
                <w:color w:val="FFFFFF" w:themeColor="background1"/>
                <w:lang w:val="es-EC" w:eastAsia="es-EC"/>
              </w:rPr>
              <w:t>)</w:t>
            </w:r>
          </w:p>
        </w:tc>
        <w:tc>
          <w:tcPr>
            <w:tcW w:w="2328" w:type="dxa"/>
            <w:vMerge w:val="restart"/>
            <w:tcBorders>
              <w:top w:val="nil"/>
              <w:left w:val="single" w:sz="8" w:space="0" w:color="auto"/>
              <w:bottom w:val="single" w:sz="8" w:space="0" w:color="000000"/>
              <w:right w:val="single" w:sz="8" w:space="0" w:color="auto"/>
            </w:tcBorders>
            <w:shd w:val="clear" w:color="auto" w:fill="0070C0"/>
            <w:noWrap/>
            <w:vAlign w:val="center"/>
            <w:hideMark/>
          </w:tcPr>
          <w:p w14:paraId="21F300AD" w14:textId="6F60A227" w:rsidR="00B41680" w:rsidRPr="00C72124" w:rsidRDefault="00C72124" w:rsidP="00694D76">
            <w:pPr>
              <w:spacing w:after="120"/>
              <w:jc w:val="center"/>
              <w:rPr>
                <w:rFonts w:ascii="Palatino Linotype" w:eastAsia="Times New Roman" w:hAnsi="Palatino Linotype" w:cs="Times New Roman"/>
                <w:b/>
                <w:bCs/>
                <w:iCs/>
                <w:color w:val="FFFFFF" w:themeColor="background1"/>
                <w:lang w:val="es-EC" w:eastAsia="es-EC"/>
              </w:rPr>
            </w:pPr>
            <w:r w:rsidRPr="00C72124">
              <w:rPr>
                <w:rFonts w:ascii="Palatino Linotype" w:eastAsia="Times New Roman" w:hAnsi="Palatino Linotype" w:cs="Times New Roman"/>
                <w:b/>
                <w:bCs/>
                <w:iCs/>
                <w:color w:val="FFFFFF" w:themeColor="background1"/>
                <w:lang w:val="es-EC" w:eastAsia="es-EC"/>
              </w:rPr>
              <w:t>Área útil total</w:t>
            </w:r>
            <w:r w:rsidR="003F1CBD" w:rsidRPr="00C72124">
              <w:rPr>
                <w:rFonts w:ascii="Palatino Linotype" w:eastAsia="Times New Roman" w:hAnsi="Palatino Linotype" w:cs="Times New Roman"/>
                <w:b/>
                <w:bCs/>
                <w:iCs/>
                <w:color w:val="FFFFFF" w:themeColor="background1"/>
                <w:lang w:val="es-EC" w:eastAsia="es-EC"/>
              </w:rPr>
              <w:t xml:space="preserve"> (m</w:t>
            </w:r>
            <w:r w:rsidR="003F1CBD" w:rsidRPr="00C72124">
              <w:rPr>
                <w:rFonts w:ascii="Palatino Linotype" w:eastAsia="Times New Roman" w:hAnsi="Palatino Linotype" w:cs="Times New Roman"/>
                <w:b/>
                <w:bCs/>
                <w:iCs/>
                <w:color w:val="FFFFFF" w:themeColor="background1"/>
                <w:vertAlign w:val="superscript"/>
                <w:lang w:val="es-EC" w:eastAsia="es-EC"/>
              </w:rPr>
              <w:t>2</w:t>
            </w:r>
            <w:r w:rsidR="003F1CBD" w:rsidRPr="00C72124">
              <w:rPr>
                <w:rFonts w:ascii="Palatino Linotype" w:eastAsia="Times New Roman" w:hAnsi="Palatino Linotype" w:cs="Times New Roman"/>
                <w:b/>
                <w:bCs/>
                <w:iCs/>
                <w:color w:val="FFFFFF" w:themeColor="background1"/>
                <w:lang w:val="es-EC" w:eastAsia="es-EC"/>
              </w:rPr>
              <w:t>)</w:t>
            </w:r>
          </w:p>
        </w:tc>
        <w:tc>
          <w:tcPr>
            <w:tcW w:w="2784" w:type="dxa"/>
            <w:tcBorders>
              <w:top w:val="nil"/>
              <w:left w:val="nil"/>
              <w:bottom w:val="nil"/>
              <w:right w:val="single" w:sz="8" w:space="0" w:color="auto"/>
            </w:tcBorders>
            <w:shd w:val="clear" w:color="auto" w:fill="0070C0"/>
            <w:noWrap/>
            <w:vAlign w:val="center"/>
            <w:hideMark/>
          </w:tcPr>
          <w:p w14:paraId="026D9F6E" w14:textId="161B05BD" w:rsidR="00B41680" w:rsidRPr="00C72124" w:rsidRDefault="00B41680" w:rsidP="00694D76">
            <w:pPr>
              <w:spacing w:after="120"/>
              <w:jc w:val="center"/>
              <w:rPr>
                <w:rFonts w:ascii="Palatino Linotype" w:eastAsia="Times New Roman" w:hAnsi="Palatino Linotype" w:cs="Times New Roman"/>
                <w:b/>
                <w:bCs/>
                <w:iCs/>
                <w:color w:val="FFFFFF" w:themeColor="background1"/>
                <w:lang w:val="es-EC" w:eastAsia="es-EC"/>
              </w:rPr>
            </w:pPr>
            <w:r w:rsidRPr="00C72124">
              <w:rPr>
                <w:rFonts w:ascii="Palatino Linotype" w:eastAsia="Times New Roman" w:hAnsi="Palatino Linotype" w:cs="Times New Roman"/>
                <w:b/>
                <w:bCs/>
                <w:iCs/>
                <w:color w:val="FFFFFF" w:themeColor="background1"/>
                <w:lang w:val="es-EC" w:eastAsia="es-EC"/>
              </w:rPr>
              <w:t>N</w:t>
            </w:r>
            <w:r w:rsidR="00C72124" w:rsidRPr="00C72124">
              <w:rPr>
                <w:rFonts w:ascii="Palatino Linotype" w:eastAsia="Times New Roman" w:hAnsi="Palatino Linotype" w:cs="Times New Roman"/>
                <w:b/>
                <w:bCs/>
                <w:iCs/>
                <w:color w:val="FFFFFF" w:themeColor="background1"/>
                <w:lang w:val="es-EC" w:eastAsia="es-EC"/>
              </w:rPr>
              <w:t xml:space="preserve">umero de </w:t>
            </w:r>
          </w:p>
        </w:tc>
      </w:tr>
      <w:tr w:rsidR="00B41680" w:rsidRPr="00694D76" w14:paraId="19754CC0" w14:textId="77777777" w:rsidTr="00C72124">
        <w:trPr>
          <w:trHeight w:val="315"/>
          <w:jc w:val="center"/>
        </w:trPr>
        <w:tc>
          <w:tcPr>
            <w:tcW w:w="1803" w:type="dxa"/>
            <w:vMerge/>
            <w:tcBorders>
              <w:top w:val="nil"/>
              <w:left w:val="single" w:sz="8" w:space="0" w:color="auto"/>
              <w:bottom w:val="single" w:sz="8" w:space="0" w:color="000000"/>
              <w:right w:val="single" w:sz="8" w:space="0" w:color="auto"/>
            </w:tcBorders>
            <w:shd w:val="clear" w:color="auto" w:fill="0070C0"/>
            <w:vAlign w:val="center"/>
            <w:hideMark/>
          </w:tcPr>
          <w:p w14:paraId="3EE4BE5B" w14:textId="77777777" w:rsidR="00B41680" w:rsidRPr="00C72124" w:rsidRDefault="00B41680" w:rsidP="00694D76">
            <w:pPr>
              <w:spacing w:after="120"/>
              <w:jc w:val="left"/>
              <w:rPr>
                <w:rFonts w:ascii="Palatino Linotype" w:eastAsia="Times New Roman" w:hAnsi="Palatino Linotype" w:cs="Times New Roman"/>
                <w:b/>
                <w:bCs/>
                <w:iCs/>
                <w:color w:val="FFFFFF" w:themeColor="background1"/>
                <w:lang w:val="es-EC" w:eastAsia="es-EC"/>
              </w:rPr>
            </w:pPr>
          </w:p>
        </w:tc>
        <w:tc>
          <w:tcPr>
            <w:tcW w:w="1825" w:type="dxa"/>
            <w:vMerge/>
            <w:tcBorders>
              <w:top w:val="nil"/>
              <w:left w:val="single" w:sz="8" w:space="0" w:color="auto"/>
              <w:bottom w:val="single" w:sz="8" w:space="0" w:color="000000"/>
              <w:right w:val="single" w:sz="8" w:space="0" w:color="auto"/>
            </w:tcBorders>
            <w:shd w:val="clear" w:color="auto" w:fill="0070C0"/>
            <w:vAlign w:val="center"/>
            <w:hideMark/>
          </w:tcPr>
          <w:p w14:paraId="686789CA" w14:textId="77777777" w:rsidR="00B41680" w:rsidRPr="00C72124" w:rsidRDefault="00B41680" w:rsidP="00694D76">
            <w:pPr>
              <w:spacing w:after="120"/>
              <w:jc w:val="left"/>
              <w:rPr>
                <w:rFonts w:ascii="Palatino Linotype" w:eastAsia="Times New Roman" w:hAnsi="Palatino Linotype" w:cs="Times New Roman"/>
                <w:b/>
                <w:bCs/>
                <w:iCs/>
                <w:color w:val="FFFFFF" w:themeColor="background1"/>
                <w:lang w:val="es-EC" w:eastAsia="es-EC"/>
              </w:rPr>
            </w:pPr>
          </w:p>
        </w:tc>
        <w:tc>
          <w:tcPr>
            <w:tcW w:w="2328" w:type="dxa"/>
            <w:vMerge/>
            <w:tcBorders>
              <w:top w:val="nil"/>
              <w:left w:val="single" w:sz="8" w:space="0" w:color="auto"/>
              <w:bottom w:val="single" w:sz="8" w:space="0" w:color="000000"/>
              <w:right w:val="single" w:sz="8" w:space="0" w:color="auto"/>
            </w:tcBorders>
            <w:shd w:val="clear" w:color="auto" w:fill="0070C0"/>
            <w:vAlign w:val="center"/>
            <w:hideMark/>
          </w:tcPr>
          <w:p w14:paraId="671DF754" w14:textId="77777777" w:rsidR="00B41680" w:rsidRPr="00C72124" w:rsidRDefault="00B41680" w:rsidP="00694D76">
            <w:pPr>
              <w:spacing w:after="120"/>
              <w:jc w:val="left"/>
              <w:rPr>
                <w:rFonts w:ascii="Palatino Linotype" w:eastAsia="Times New Roman" w:hAnsi="Palatino Linotype" w:cs="Times New Roman"/>
                <w:b/>
                <w:bCs/>
                <w:iCs/>
                <w:color w:val="FFFFFF" w:themeColor="background1"/>
                <w:lang w:val="es-EC" w:eastAsia="es-EC"/>
              </w:rPr>
            </w:pPr>
          </w:p>
        </w:tc>
        <w:tc>
          <w:tcPr>
            <w:tcW w:w="2784" w:type="dxa"/>
            <w:tcBorders>
              <w:top w:val="nil"/>
              <w:left w:val="nil"/>
              <w:bottom w:val="single" w:sz="8" w:space="0" w:color="auto"/>
              <w:right w:val="single" w:sz="8" w:space="0" w:color="auto"/>
            </w:tcBorders>
            <w:shd w:val="clear" w:color="auto" w:fill="0070C0"/>
            <w:noWrap/>
            <w:vAlign w:val="center"/>
            <w:hideMark/>
          </w:tcPr>
          <w:p w14:paraId="03A62F68" w14:textId="62CB5063" w:rsidR="00B41680" w:rsidRPr="00C72124" w:rsidRDefault="00C72124" w:rsidP="00694D76">
            <w:pPr>
              <w:spacing w:after="120"/>
              <w:jc w:val="center"/>
              <w:rPr>
                <w:rFonts w:ascii="Palatino Linotype" w:eastAsia="Times New Roman" w:hAnsi="Palatino Linotype" w:cs="Times New Roman"/>
                <w:b/>
                <w:bCs/>
                <w:iCs/>
                <w:color w:val="FFFFFF" w:themeColor="background1"/>
                <w:lang w:val="es-EC" w:eastAsia="es-EC"/>
              </w:rPr>
            </w:pPr>
            <w:r>
              <w:rPr>
                <w:rFonts w:ascii="Palatino Linotype" w:eastAsia="Times New Roman" w:hAnsi="Palatino Linotype" w:cs="Times New Roman"/>
                <w:b/>
                <w:bCs/>
                <w:iCs/>
                <w:color w:val="FFFFFF" w:themeColor="background1"/>
                <w:lang w:val="es-EC" w:eastAsia="es-EC"/>
              </w:rPr>
              <w:t>es</w:t>
            </w:r>
            <w:r w:rsidRPr="00C72124">
              <w:rPr>
                <w:rFonts w:ascii="Palatino Linotype" w:eastAsia="Times New Roman" w:hAnsi="Palatino Linotype" w:cs="Times New Roman"/>
                <w:b/>
                <w:bCs/>
                <w:iCs/>
                <w:color w:val="FFFFFF" w:themeColor="background1"/>
                <w:lang w:val="es-EC" w:eastAsia="es-EC"/>
              </w:rPr>
              <w:t>tacionamientos</w:t>
            </w:r>
            <w:r w:rsidR="00BC22A5" w:rsidRPr="00C72124">
              <w:rPr>
                <w:rFonts w:ascii="Palatino Linotype" w:eastAsia="Times New Roman" w:hAnsi="Palatino Linotype" w:cs="Times New Roman"/>
                <w:b/>
                <w:bCs/>
                <w:iCs/>
                <w:color w:val="FFFFFF" w:themeColor="background1"/>
                <w:lang w:val="es-EC" w:eastAsia="es-EC"/>
              </w:rPr>
              <w:t xml:space="preserve"> (máximo)</w:t>
            </w:r>
          </w:p>
        </w:tc>
      </w:tr>
      <w:tr w:rsidR="00B41680" w:rsidRPr="00694D76" w14:paraId="0AF19C6C" w14:textId="77777777" w:rsidTr="00FC19BF">
        <w:trPr>
          <w:trHeight w:val="390"/>
          <w:jc w:val="center"/>
        </w:trPr>
        <w:tc>
          <w:tcPr>
            <w:tcW w:w="1803" w:type="dxa"/>
            <w:tcBorders>
              <w:top w:val="nil"/>
              <w:left w:val="single" w:sz="8" w:space="0" w:color="auto"/>
              <w:bottom w:val="single" w:sz="8" w:space="0" w:color="auto"/>
              <w:right w:val="nil"/>
            </w:tcBorders>
            <w:shd w:val="clear" w:color="auto" w:fill="auto"/>
            <w:noWrap/>
            <w:vAlign w:val="center"/>
            <w:hideMark/>
          </w:tcPr>
          <w:p w14:paraId="440E1C6B" w14:textId="139D8B9D" w:rsidR="00B41680" w:rsidRPr="00694D76" w:rsidRDefault="00B41680" w:rsidP="00C72124">
            <w:pPr>
              <w:spacing w:after="120"/>
              <w:jc w:val="center"/>
              <w:rPr>
                <w:rFonts w:ascii="Palatino Linotype" w:eastAsia="Times New Roman" w:hAnsi="Palatino Linotype" w:cs="Times New Roman"/>
                <w:b/>
                <w:bCs/>
                <w:iCs/>
                <w:color w:val="000000"/>
                <w:lang w:val="es-EC" w:eastAsia="es-EC"/>
              </w:rPr>
            </w:pPr>
            <w:r w:rsidRPr="00694D76">
              <w:rPr>
                <w:rFonts w:ascii="Palatino Linotype" w:eastAsia="Times New Roman" w:hAnsi="Palatino Linotype" w:cs="Times New Roman"/>
                <w:b/>
                <w:bCs/>
                <w:iCs/>
                <w:color w:val="000000"/>
                <w:lang w:val="es-EC" w:eastAsia="es-EC"/>
              </w:rPr>
              <w:t>H</w:t>
            </w:r>
            <w:r w:rsidR="00C72124">
              <w:rPr>
                <w:rFonts w:ascii="Palatino Linotype" w:eastAsia="Times New Roman" w:hAnsi="Palatino Linotype" w:cs="Times New Roman"/>
                <w:b/>
                <w:bCs/>
                <w:iCs/>
                <w:color w:val="000000"/>
                <w:lang w:val="es-EC" w:eastAsia="es-EC"/>
              </w:rPr>
              <w:t>otel</w:t>
            </w:r>
          </w:p>
        </w:tc>
        <w:tc>
          <w:tcPr>
            <w:tcW w:w="1825" w:type="dxa"/>
            <w:tcBorders>
              <w:top w:val="nil"/>
              <w:left w:val="single" w:sz="8" w:space="0" w:color="auto"/>
              <w:bottom w:val="single" w:sz="8" w:space="0" w:color="auto"/>
              <w:right w:val="single" w:sz="8" w:space="0" w:color="auto"/>
            </w:tcBorders>
            <w:shd w:val="clear" w:color="auto" w:fill="auto"/>
            <w:noWrap/>
            <w:vAlign w:val="center"/>
            <w:hideMark/>
          </w:tcPr>
          <w:p w14:paraId="6C651753" w14:textId="65397F4F" w:rsidR="00B41680" w:rsidRPr="00694D76" w:rsidRDefault="00B41680" w:rsidP="00C72124">
            <w:pPr>
              <w:spacing w:after="120"/>
              <w:jc w:val="center"/>
              <w:rPr>
                <w:rFonts w:ascii="Palatino Linotype" w:eastAsia="Times New Roman" w:hAnsi="Palatino Linotype" w:cs="Times New Roman"/>
                <w:color w:val="000000"/>
                <w:lang w:val="es-EC" w:eastAsia="es-EC"/>
              </w:rPr>
            </w:pPr>
            <w:r w:rsidRPr="00694D76">
              <w:rPr>
                <w:rFonts w:ascii="Palatino Linotype" w:eastAsia="Times New Roman" w:hAnsi="Palatino Linotype" w:cs="Times New Roman"/>
                <w:color w:val="000000"/>
                <w:lang w:val="es-EC" w:eastAsia="es-EC"/>
              </w:rPr>
              <w:t>2</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628</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14</w:t>
            </w:r>
          </w:p>
        </w:tc>
        <w:tc>
          <w:tcPr>
            <w:tcW w:w="2328" w:type="dxa"/>
            <w:tcBorders>
              <w:top w:val="nil"/>
              <w:left w:val="nil"/>
              <w:bottom w:val="single" w:sz="8" w:space="0" w:color="auto"/>
              <w:right w:val="single" w:sz="8" w:space="0" w:color="auto"/>
            </w:tcBorders>
            <w:shd w:val="clear" w:color="auto" w:fill="auto"/>
            <w:noWrap/>
            <w:vAlign w:val="center"/>
            <w:hideMark/>
          </w:tcPr>
          <w:p w14:paraId="7D3CBEEA" w14:textId="44548C56" w:rsidR="00B41680" w:rsidRPr="00694D76" w:rsidRDefault="00C72124" w:rsidP="00694D76">
            <w:pPr>
              <w:spacing w:after="120"/>
              <w:jc w:val="center"/>
              <w:rPr>
                <w:rFonts w:ascii="Palatino Linotype" w:eastAsia="Times New Roman" w:hAnsi="Palatino Linotype" w:cs="Times New Roman"/>
                <w:color w:val="000000"/>
                <w:lang w:val="es-EC" w:eastAsia="es-EC"/>
              </w:rPr>
            </w:pPr>
            <w:r>
              <w:rPr>
                <w:rFonts w:ascii="Palatino Linotype" w:eastAsia="Times New Roman" w:hAnsi="Palatino Linotype" w:cs="Times New Roman"/>
                <w:color w:val="000000"/>
                <w:lang w:val="es-EC" w:eastAsia="es-EC"/>
              </w:rPr>
              <w:t>9.402,</w:t>
            </w:r>
            <w:r w:rsidR="00B41680" w:rsidRPr="00694D76">
              <w:rPr>
                <w:rFonts w:ascii="Palatino Linotype" w:eastAsia="Times New Roman" w:hAnsi="Palatino Linotype" w:cs="Times New Roman"/>
                <w:color w:val="000000"/>
                <w:lang w:val="es-EC" w:eastAsia="es-EC"/>
              </w:rPr>
              <w:t>28</w:t>
            </w:r>
          </w:p>
        </w:tc>
        <w:tc>
          <w:tcPr>
            <w:tcW w:w="2784" w:type="dxa"/>
            <w:tcBorders>
              <w:top w:val="nil"/>
              <w:left w:val="nil"/>
              <w:bottom w:val="single" w:sz="8" w:space="0" w:color="auto"/>
              <w:right w:val="single" w:sz="8" w:space="0" w:color="auto"/>
            </w:tcBorders>
            <w:shd w:val="clear" w:color="auto" w:fill="auto"/>
            <w:noWrap/>
            <w:vAlign w:val="center"/>
            <w:hideMark/>
          </w:tcPr>
          <w:p w14:paraId="1E750947" w14:textId="1BD7C0CB" w:rsidR="00B41680" w:rsidRPr="00694D76" w:rsidRDefault="00B41680" w:rsidP="00C72124">
            <w:pPr>
              <w:spacing w:after="120"/>
              <w:jc w:val="center"/>
              <w:rPr>
                <w:rFonts w:ascii="Palatino Linotype" w:eastAsia="Times New Roman" w:hAnsi="Palatino Linotype" w:cs="Times New Roman"/>
                <w:color w:val="000000"/>
                <w:lang w:val="es-EC" w:eastAsia="es-EC"/>
              </w:rPr>
            </w:pPr>
            <w:r w:rsidRPr="00694D76">
              <w:rPr>
                <w:rFonts w:ascii="Palatino Linotype" w:eastAsia="Times New Roman" w:hAnsi="Palatino Linotype" w:cs="Times New Roman"/>
                <w:color w:val="000000"/>
                <w:lang w:val="es-EC" w:eastAsia="es-EC"/>
              </w:rPr>
              <w:t>76 P</w:t>
            </w:r>
            <w:r w:rsidR="00C72124">
              <w:rPr>
                <w:rFonts w:ascii="Palatino Linotype" w:eastAsia="Times New Roman" w:hAnsi="Palatino Linotype" w:cs="Times New Roman"/>
                <w:color w:val="000000"/>
                <w:lang w:val="es-EC" w:eastAsia="es-EC"/>
              </w:rPr>
              <w:t>arqueos</w:t>
            </w:r>
          </w:p>
        </w:tc>
      </w:tr>
    </w:tbl>
    <w:p w14:paraId="056F6418" w14:textId="77777777" w:rsidR="00C72124" w:rsidRDefault="00C72124" w:rsidP="00C72124">
      <w:pPr>
        <w:spacing w:after="120"/>
        <w:jc w:val="center"/>
        <w:rPr>
          <w:rFonts w:ascii="Palatino Linotype" w:hAnsi="Palatino Linotype" w:cstheme="minorHAnsi"/>
          <w:b/>
        </w:rPr>
      </w:pPr>
    </w:p>
    <w:p w14:paraId="1AEF03D5" w14:textId="5ADDAE2A" w:rsidR="003F1CBD" w:rsidRPr="00694D76" w:rsidRDefault="000F4CB4" w:rsidP="00C72124">
      <w:pPr>
        <w:spacing w:after="120"/>
        <w:jc w:val="center"/>
        <w:rPr>
          <w:rFonts w:ascii="Palatino Linotype" w:hAnsi="Palatino Linotype" w:cstheme="minorHAnsi"/>
          <w:b/>
        </w:rPr>
      </w:pPr>
      <w:r w:rsidRPr="00694D76">
        <w:rPr>
          <w:rFonts w:ascii="Palatino Linotype" w:hAnsi="Palatino Linotype" w:cstheme="minorHAnsi"/>
          <w:b/>
        </w:rPr>
        <w:t>Cuadro No. 3</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3"/>
        <w:gridCol w:w="1535"/>
        <w:gridCol w:w="1959"/>
        <w:gridCol w:w="2343"/>
      </w:tblGrid>
      <w:tr w:rsidR="00B41680" w:rsidRPr="00694D76" w14:paraId="75D934A3" w14:textId="77777777" w:rsidTr="00C72124">
        <w:trPr>
          <w:trHeight w:val="390"/>
          <w:jc w:val="center"/>
        </w:trPr>
        <w:tc>
          <w:tcPr>
            <w:tcW w:w="8740" w:type="dxa"/>
            <w:gridSpan w:val="4"/>
            <w:shd w:val="clear" w:color="auto" w:fill="0070C0"/>
            <w:noWrap/>
            <w:vAlign w:val="center"/>
            <w:hideMark/>
          </w:tcPr>
          <w:p w14:paraId="5E72D16D" w14:textId="391CAF48" w:rsidR="00B41680" w:rsidRPr="00C72124" w:rsidRDefault="003F1CBD" w:rsidP="00C72124">
            <w:pPr>
              <w:spacing w:after="120"/>
              <w:jc w:val="center"/>
              <w:rPr>
                <w:rFonts w:ascii="Palatino Linotype" w:eastAsia="Times New Roman" w:hAnsi="Palatino Linotype" w:cs="Times New Roman"/>
                <w:b/>
                <w:bCs/>
                <w:color w:val="FFFFFF" w:themeColor="background1"/>
                <w:lang w:val="es-EC" w:eastAsia="es-EC"/>
              </w:rPr>
            </w:pPr>
            <w:r w:rsidRPr="00C72124">
              <w:rPr>
                <w:rFonts w:ascii="Palatino Linotype" w:eastAsia="Times New Roman" w:hAnsi="Palatino Linotype" w:cs="Times New Roman"/>
                <w:b/>
                <w:bCs/>
                <w:color w:val="FFFFFF" w:themeColor="background1"/>
                <w:lang w:val="es-EC" w:eastAsia="es-EC"/>
              </w:rPr>
              <w:t>S</w:t>
            </w:r>
            <w:r w:rsidR="00C72124" w:rsidRPr="00C72124">
              <w:rPr>
                <w:rFonts w:ascii="Palatino Linotype" w:eastAsia="Times New Roman" w:hAnsi="Palatino Linotype" w:cs="Times New Roman"/>
                <w:b/>
                <w:bCs/>
                <w:color w:val="FFFFFF" w:themeColor="background1"/>
                <w:lang w:val="es-EC" w:eastAsia="es-EC"/>
              </w:rPr>
              <w:t>egunda etapa del proyecto (Bloque 2)</w:t>
            </w:r>
          </w:p>
        </w:tc>
      </w:tr>
      <w:tr w:rsidR="00BC22A5" w:rsidRPr="00694D76" w14:paraId="08B043AE" w14:textId="77777777" w:rsidTr="00C72124">
        <w:trPr>
          <w:trHeight w:val="625"/>
          <w:jc w:val="center"/>
        </w:trPr>
        <w:tc>
          <w:tcPr>
            <w:tcW w:w="2903" w:type="dxa"/>
            <w:shd w:val="clear" w:color="auto" w:fill="0070C0"/>
            <w:noWrap/>
            <w:vAlign w:val="center"/>
            <w:hideMark/>
          </w:tcPr>
          <w:p w14:paraId="28C53C97" w14:textId="31623EFB" w:rsidR="00BC22A5" w:rsidRPr="00C72124" w:rsidRDefault="00C72124" w:rsidP="00694D76">
            <w:pPr>
              <w:spacing w:after="120"/>
              <w:jc w:val="center"/>
              <w:rPr>
                <w:rFonts w:ascii="Palatino Linotype" w:eastAsia="Times New Roman" w:hAnsi="Palatino Linotype" w:cs="Times New Roman"/>
                <w:b/>
                <w:bCs/>
                <w:iCs/>
                <w:color w:val="FFFFFF" w:themeColor="background1"/>
                <w:lang w:val="es-EC" w:eastAsia="es-EC"/>
              </w:rPr>
            </w:pPr>
            <w:r w:rsidRPr="00C72124">
              <w:rPr>
                <w:rFonts w:ascii="Palatino Linotype" w:eastAsia="Times New Roman" w:hAnsi="Palatino Linotype" w:cs="Times New Roman"/>
                <w:b/>
                <w:bCs/>
                <w:iCs/>
                <w:color w:val="FFFFFF" w:themeColor="background1"/>
                <w:lang w:val="es-EC" w:eastAsia="es-EC"/>
              </w:rPr>
              <w:t>Área útil total</w:t>
            </w:r>
          </w:p>
        </w:tc>
        <w:tc>
          <w:tcPr>
            <w:tcW w:w="1535" w:type="dxa"/>
            <w:shd w:val="clear" w:color="auto" w:fill="0070C0"/>
            <w:noWrap/>
            <w:vAlign w:val="center"/>
            <w:hideMark/>
          </w:tcPr>
          <w:p w14:paraId="31B22B92" w14:textId="7A9CE17E" w:rsidR="00BC22A5" w:rsidRPr="00C72124" w:rsidRDefault="00C72124" w:rsidP="00C72124">
            <w:pPr>
              <w:spacing w:after="120"/>
              <w:jc w:val="center"/>
              <w:rPr>
                <w:rFonts w:ascii="Palatino Linotype" w:eastAsia="Times New Roman" w:hAnsi="Palatino Linotype" w:cs="Times New Roman"/>
                <w:b/>
                <w:bCs/>
                <w:iCs/>
                <w:color w:val="FFFFFF" w:themeColor="background1"/>
                <w:lang w:val="es-EC" w:eastAsia="es-EC"/>
              </w:rPr>
            </w:pPr>
            <w:r w:rsidRPr="00C72124">
              <w:rPr>
                <w:rFonts w:ascii="Palatino Linotype" w:eastAsia="Times New Roman" w:hAnsi="Palatino Linotype" w:cs="Times New Roman"/>
                <w:b/>
                <w:bCs/>
                <w:iCs/>
                <w:color w:val="FFFFFF" w:themeColor="background1"/>
                <w:lang w:val="es-EC" w:eastAsia="es-EC"/>
              </w:rPr>
              <w:t xml:space="preserve">Área útil </w:t>
            </w:r>
            <w:r>
              <w:rPr>
                <w:rFonts w:ascii="Palatino Linotype" w:eastAsia="Times New Roman" w:hAnsi="Palatino Linotype" w:cs="Times New Roman"/>
                <w:b/>
                <w:bCs/>
                <w:iCs/>
                <w:color w:val="FFFFFF" w:themeColor="background1"/>
                <w:lang w:val="es-EC" w:eastAsia="es-EC"/>
              </w:rPr>
              <w:t>PB</w:t>
            </w:r>
            <w:r w:rsidRPr="00C72124">
              <w:rPr>
                <w:rFonts w:ascii="Palatino Linotype" w:eastAsia="Times New Roman" w:hAnsi="Palatino Linotype" w:cs="Times New Roman"/>
                <w:b/>
                <w:bCs/>
                <w:iCs/>
                <w:color w:val="FFFFFF" w:themeColor="background1"/>
                <w:lang w:val="es-EC" w:eastAsia="es-EC"/>
              </w:rPr>
              <w:t xml:space="preserve"> (m</w:t>
            </w:r>
            <w:r w:rsidR="00BC22A5" w:rsidRPr="00C72124">
              <w:rPr>
                <w:rFonts w:ascii="Palatino Linotype" w:eastAsia="Times New Roman" w:hAnsi="Palatino Linotype" w:cs="Times New Roman"/>
                <w:b/>
                <w:bCs/>
                <w:iCs/>
                <w:color w:val="FFFFFF" w:themeColor="background1"/>
                <w:vertAlign w:val="superscript"/>
                <w:lang w:val="es-EC" w:eastAsia="es-EC"/>
              </w:rPr>
              <w:t>2</w:t>
            </w:r>
            <w:r w:rsidR="00BC22A5" w:rsidRPr="00C72124">
              <w:rPr>
                <w:rFonts w:ascii="Palatino Linotype" w:eastAsia="Times New Roman" w:hAnsi="Palatino Linotype" w:cs="Times New Roman"/>
                <w:b/>
                <w:bCs/>
                <w:iCs/>
                <w:color w:val="FFFFFF" w:themeColor="background1"/>
                <w:lang w:val="es-EC" w:eastAsia="es-EC"/>
              </w:rPr>
              <w:t>)</w:t>
            </w:r>
          </w:p>
        </w:tc>
        <w:tc>
          <w:tcPr>
            <w:tcW w:w="1959" w:type="dxa"/>
            <w:shd w:val="clear" w:color="auto" w:fill="0070C0"/>
            <w:noWrap/>
            <w:vAlign w:val="center"/>
            <w:hideMark/>
          </w:tcPr>
          <w:p w14:paraId="1B3E5B28" w14:textId="45877129" w:rsidR="00BC22A5" w:rsidRPr="00C72124" w:rsidRDefault="00C72124" w:rsidP="00694D76">
            <w:pPr>
              <w:spacing w:after="120"/>
              <w:jc w:val="center"/>
              <w:rPr>
                <w:rFonts w:ascii="Palatino Linotype" w:eastAsia="Times New Roman" w:hAnsi="Palatino Linotype" w:cs="Times New Roman"/>
                <w:b/>
                <w:bCs/>
                <w:iCs/>
                <w:color w:val="FFFFFF" w:themeColor="background1"/>
                <w:lang w:val="es-EC" w:eastAsia="es-EC"/>
              </w:rPr>
            </w:pPr>
            <w:r w:rsidRPr="00C72124">
              <w:rPr>
                <w:rFonts w:ascii="Palatino Linotype" w:eastAsia="Times New Roman" w:hAnsi="Palatino Linotype" w:cs="Times New Roman"/>
                <w:b/>
                <w:bCs/>
                <w:iCs/>
                <w:color w:val="FFFFFF" w:themeColor="background1"/>
                <w:lang w:val="es-EC" w:eastAsia="es-EC"/>
              </w:rPr>
              <w:t>Área útil total (m</w:t>
            </w:r>
            <w:r w:rsidR="00BC22A5" w:rsidRPr="00C72124">
              <w:rPr>
                <w:rFonts w:ascii="Palatino Linotype" w:eastAsia="Times New Roman" w:hAnsi="Palatino Linotype" w:cs="Times New Roman"/>
                <w:b/>
                <w:bCs/>
                <w:iCs/>
                <w:color w:val="FFFFFF" w:themeColor="background1"/>
                <w:vertAlign w:val="superscript"/>
                <w:lang w:val="es-EC" w:eastAsia="es-EC"/>
              </w:rPr>
              <w:t>2</w:t>
            </w:r>
            <w:r w:rsidR="00BC22A5" w:rsidRPr="00C72124">
              <w:rPr>
                <w:rFonts w:ascii="Palatino Linotype" w:eastAsia="Times New Roman" w:hAnsi="Palatino Linotype" w:cs="Times New Roman"/>
                <w:b/>
                <w:bCs/>
                <w:iCs/>
                <w:color w:val="FFFFFF" w:themeColor="background1"/>
                <w:lang w:val="es-EC" w:eastAsia="es-EC"/>
              </w:rPr>
              <w:t>)</w:t>
            </w:r>
          </w:p>
        </w:tc>
        <w:tc>
          <w:tcPr>
            <w:tcW w:w="2343" w:type="dxa"/>
            <w:shd w:val="clear" w:color="auto" w:fill="0070C0"/>
            <w:noWrap/>
            <w:vAlign w:val="center"/>
            <w:hideMark/>
          </w:tcPr>
          <w:p w14:paraId="6D576C26" w14:textId="7017F220" w:rsidR="00BC22A5" w:rsidRPr="00C72124" w:rsidRDefault="00C72124" w:rsidP="00694D76">
            <w:pPr>
              <w:spacing w:after="120"/>
              <w:jc w:val="center"/>
              <w:rPr>
                <w:rFonts w:ascii="Palatino Linotype" w:eastAsia="Times New Roman" w:hAnsi="Palatino Linotype" w:cs="Times New Roman"/>
                <w:b/>
                <w:bCs/>
                <w:iCs/>
                <w:color w:val="FFFFFF" w:themeColor="background1"/>
                <w:lang w:val="es-EC" w:eastAsia="es-EC"/>
              </w:rPr>
            </w:pPr>
            <w:r w:rsidRPr="00C72124">
              <w:rPr>
                <w:rFonts w:ascii="Palatino Linotype" w:eastAsia="Times New Roman" w:hAnsi="Palatino Linotype" w:cs="Times New Roman"/>
                <w:b/>
                <w:bCs/>
                <w:iCs/>
                <w:color w:val="FFFFFF" w:themeColor="background1"/>
                <w:lang w:val="es-EC" w:eastAsia="es-EC"/>
              </w:rPr>
              <w:t xml:space="preserve">Numero de </w:t>
            </w:r>
          </w:p>
          <w:p w14:paraId="423BBC36" w14:textId="6BFBC3B5" w:rsidR="00BC22A5" w:rsidRPr="00C72124" w:rsidRDefault="00C72124" w:rsidP="00694D76">
            <w:pPr>
              <w:spacing w:after="120"/>
              <w:jc w:val="center"/>
              <w:rPr>
                <w:rFonts w:ascii="Palatino Linotype" w:eastAsia="Times New Roman" w:hAnsi="Palatino Linotype" w:cs="Times New Roman"/>
                <w:b/>
                <w:bCs/>
                <w:iCs/>
                <w:color w:val="FFFFFF" w:themeColor="background1"/>
                <w:lang w:val="es-EC" w:eastAsia="es-EC"/>
              </w:rPr>
            </w:pPr>
            <w:r>
              <w:rPr>
                <w:rFonts w:ascii="Palatino Linotype" w:eastAsia="Times New Roman" w:hAnsi="Palatino Linotype" w:cs="Times New Roman"/>
                <w:b/>
                <w:bCs/>
                <w:iCs/>
                <w:color w:val="FFFFFF" w:themeColor="background1"/>
                <w:lang w:val="es-EC" w:eastAsia="es-EC"/>
              </w:rPr>
              <w:t>e</w:t>
            </w:r>
            <w:r w:rsidRPr="00C72124">
              <w:rPr>
                <w:rFonts w:ascii="Palatino Linotype" w:eastAsia="Times New Roman" w:hAnsi="Palatino Linotype" w:cs="Times New Roman"/>
                <w:b/>
                <w:bCs/>
                <w:iCs/>
                <w:color w:val="FFFFFF" w:themeColor="background1"/>
                <w:lang w:val="es-EC" w:eastAsia="es-EC"/>
              </w:rPr>
              <w:t xml:space="preserve">stacionamientos </w:t>
            </w:r>
            <w:r w:rsidR="00BC22A5" w:rsidRPr="00C72124">
              <w:rPr>
                <w:rFonts w:ascii="Palatino Linotype" w:eastAsia="Times New Roman" w:hAnsi="Palatino Linotype" w:cs="Times New Roman"/>
                <w:b/>
                <w:bCs/>
                <w:iCs/>
                <w:color w:val="FFFFFF" w:themeColor="background1"/>
                <w:lang w:val="es-EC" w:eastAsia="es-EC"/>
              </w:rPr>
              <w:t>(máximo)</w:t>
            </w:r>
          </w:p>
        </w:tc>
      </w:tr>
      <w:tr w:rsidR="00B41680" w:rsidRPr="00694D76" w14:paraId="0D606A57" w14:textId="77777777" w:rsidTr="00C72124">
        <w:trPr>
          <w:trHeight w:val="589"/>
          <w:jc w:val="center"/>
        </w:trPr>
        <w:tc>
          <w:tcPr>
            <w:tcW w:w="2903" w:type="dxa"/>
            <w:shd w:val="clear" w:color="auto" w:fill="auto"/>
            <w:vAlign w:val="center"/>
            <w:hideMark/>
          </w:tcPr>
          <w:p w14:paraId="487B657E" w14:textId="3842FCA3" w:rsidR="00B41680" w:rsidRPr="00694D76" w:rsidRDefault="00C72124" w:rsidP="00C72124">
            <w:pPr>
              <w:spacing w:after="120"/>
              <w:rPr>
                <w:rFonts w:ascii="Palatino Linotype" w:eastAsia="Times New Roman" w:hAnsi="Palatino Linotype" w:cs="Times New Roman"/>
                <w:b/>
                <w:bCs/>
                <w:iCs/>
                <w:color w:val="000000"/>
                <w:lang w:val="es-EC" w:eastAsia="es-EC"/>
              </w:rPr>
            </w:pPr>
            <w:r w:rsidRPr="00694D76">
              <w:rPr>
                <w:rFonts w:ascii="Palatino Linotype" w:eastAsia="Times New Roman" w:hAnsi="Palatino Linotype" w:cs="Times New Roman"/>
                <w:b/>
                <w:bCs/>
                <w:iCs/>
                <w:color w:val="000000"/>
                <w:lang w:val="es-EC" w:eastAsia="es-EC"/>
              </w:rPr>
              <w:t>Ampliación de hotel o servicios complementarios</w:t>
            </w:r>
          </w:p>
        </w:tc>
        <w:tc>
          <w:tcPr>
            <w:tcW w:w="1535" w:type="dxa"/>
            <w:shd w:val="clear" w:color="auto" w:fill="auto"/>
            <w:noWrap/>
            <w:vAlign w:val="center"/>
            <w:hideMark/>
          </w:tcPr>
          <w:p w14:paraId="40F1639F" w14:textId="256C3A24" w:rsidR="00B41680" w:rsidRPr="00694D76" w:rsidRDefault="00B41680" w:rsidP="00C72124">
            <w:pPr>
              <w:spacing w:after="120"/>
              <w:jc w:val="center"/>
              <w:rPr>
                <w:rFonts w:ascii="Palatino Linotype" w:eastAsia="Times New Roman" w:hAnsi="Palatino Linotype" w:cs="Times New Roman"/>
                <w:color w:val="000000"/>
                <w:lang w:val="es-EC" w:eastAsia="es-EC"/>
              </w:rPr>
            </w:pPr>
            <w:r w:rsidRPr="00694D76">
              <w:rPr>
                <w:rFonts w:ascii="Palatino Linotype" w:eastAsia="Times New Roman" w:hAnsi="Palatino Linotype" w:cs="Times New Roman"/>
                <w:color w:val="000000"/>
                <w:lang w:val="es-EC" w:eastAsia="es-EC"/>
              </w:rPr>
              <w:t>1</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360</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08</w:t>
            </w:r>
          </w:p>
        </w:tc>
        <w:tc>
          <w:tcPr>
            <w:tcW w:w="1959" w:type="dxa"/>
            <w:shd w:val="clear" w:color="auto" w:fill="auto"/>
            <w:noWrap/>
            <w:vAlign w:val="center"/>
            <w:hideMark/>
          </w:tcPr>
          <w:p w14:paraId="0787A43B" w14:textId="3A0F313F" w:rsidR="00B41680" w:rsidRPr="00694D76" w:rsidRDefault="00B41680" w:rsidP="00C72124">
            <w:pPr>
              <w:spacing w:after="120"/>
              <w:jc w:val="center"/>
              <w:rPr>
                <w:rFonts w:ascii="Palatino Linotype" w:eastAsia="Times New Roman" w:hAnsi="Palatino Linotype" w:cs="Times New Roman"/>
                <w:color w:val="000000"/>
                <w:lang w:val="es-EC" w:eastAsia="es-EC"/>
              </w:rPr>
            </w:pPr>
            <w:r w:rsidRPr="00694D76">
              <w:rPr>
                <w:rFonts w:ascii="Palatino Linotype" w:eastAsia="Times New Roman" w:hAnsi="Palatino Linotype" w:cs="Times New Roman"/>
                <w:color w:val="000000"/>
                <w:lang w:val="es-EC" w:eastAsia="es-EC"/>
              </w:rPr>
              <w:t>4</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535</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07</w:t>
            </w:r>
          </w:p>
        </w:tc>
        <w:tc>
          <w:tcPr>
            <w:tcW w:w="2343" w:type="dxa"/>
            <w:shd w:val="clear" w:color="auto" w:fill="auto"/>
            <w:noWrap/>
            <w:vAlign w:val="center"/>
            <w:hideMark/>
          </w:tcPr>
          <w:p w14:paraId="79B41A43" w14:textId="1FC569C4" w:rsidR="00B41680" w:rsidRPr="00694D76" w:rsidRDefault="004B3071" w:rsidP="00C72124">
            <w:pPr>
              <w:spacing w:after="120"/>
              <w:jc w:val="center"/>
              <w:rPr>
                <w:rFonts w:ascii="Palatino Linotype" w:eastAsia="Times New Roman" w:hAnsi="Palatino Linotype" w:cs="Times New Roman"/>
                <w:color w:val="000000"/>
                <w:lang w:val="es-EC" w:eastAsia="es-EC"/>
              </w:rPr>
            </w:pPr>
            <w:r w:rsidRPr="00694D76">
              <w:rPr>
                <w:rFonts w:ascii="Palatino Linotype" w:eastAsia="Times New Roman" w:hAnsi="Palatino Linotype" w:cs="Times New Roman"/>
                <w:color w:val="000000"/>
                <w:lang w:val="es-EC" w:eastAsia="es-EC"/>
              </w:rPr>
              <w:t>137</w:t>
            </w:r>
            <w:r w:rsidR="00721060" w:rsidRPr="00694D76">
              <w:rPr>
                <w:rFonts w:ascii="Palatino Linotype" w:eastAsia="Times New Roman" w:hAnsi="Palatino Linotype" w:cs="Times New Roman"/>
                <w:color w:val="000000"/>
                <w:lang w:val="es-EC" w:eastAsia="es-EC"/>
              </w:rPr>
              <w:t xml:space="preserve"> </w:t>
            </w:r>
            <w:r w:rsidR="00750694" w:rsidRPr="00694D76">
              <w:rPr>
                <w:rFonts w:ascii="Palatino Linotype" w:eastAsia="Times New Roman" w:hAnsi="Palatino Linotype" w:cs="Times New Roman"/>
                <w:color w:val="000000"/>
                <w:lang w:val="es-EC" w:eastAsia="es-EC"/>
              </w:rPr>
              <w:t xml:space="preserve"> </w:t>
            </w:r>
            <w:r w:rsidR="00721060" w:rsidRPr="00694D76">
              <w:rPr>
                <w:rFonts w:ascii="Palatino Linotype" w:eastAsia="Times New Roman" w:hAnsi="Palatino Linotype" w:cs="Times New Roman"/>
                <w:color w:val="000000"/>
                <w:lang w:val="es-EC" w:eastAsia="es-EC"/>
              </w:rPr>
              <w:t>P</w:t>
            </w:r>
            <w:r w:rsidR="00C72124">
              <w:rPr>
                <w:rFonts w:ascii="Palatino Linotype" w:eastAsia="Times New Roman" w:hAnsi="Palatino Linotype" w:cs="Times New Roman"/>
                <w:color w:val="000000"/>
                <w:lang w:val="es-EC" w:eastAsia="es-EC"/>
              </w:rPr>
              <w:t>arqueos</w:t>
            </w:r>
          </w:p>
        </w:tc>
      </w:tr>
      <w:tr w:rsidR="00721060" w:rsidRPr="00694D76" w14:paraId="538DD36C" w14:textId="77777777" w:rsidTr="00C72124">
        <w:trPr>
          <w:trHeight w:val="589"/>
          <w:jc w:val="center"/>
        </w:trPr>
        <w:tc>
          <w:tcPr>
            <w:tcW w:w="2903" w:type="dxa"/>
            <w:shd w:val="clear" w:color="auto" w:fill="auto"/>
            <w:vAlign w:val="center"/>
          </w:tcPr>
          <w:p w14:paraId="46DC3198" w14:textId="7285002C" w:rsidR="00721060" w:rsidRPr="00694D76" w:rsidRDefault="000C6965" w:rsidP="00694D76">
            <w:pPr>
              <w:spacing w:after="120"/>
              <w:jc w:val="center"/>
              <w:rPr>
                <w:rFonts w:ascii="Palatino Linotype" w:eastAsia="Times New Roman" w:hAnsi="Palatino Linotype" w:cs="Times New Roman"/>
                <w:b/>
                <w:bCs/>
                <w:iCs/>
                <w:color w:val="000000"/>
                <w:lang w:val="es-EC" w:eastAsia="es-EC"/>
              </w:rPr>
            </w:pPr>
            <w:r w:rsidRPr="00694D76">
              <w:rPr>
                <w:rFonts w:ascii="Palatino Linotype" w:eastAsia="Times New Roman" w:hAnsi="Palatino Linotype" w:cs="Times New Roman"/>
                <w:b/>
                <w:bCs/>
                <w:iCs/>
                <w:color w:val="000000"/>
                <w:lang w:val="es-EC" w:eastAsia="es-EC"/>
              </w:rPr>
              <w:t>T</w:t>
            </w:r>
            <w:r w:rsidR="00C72124" w:rsidRPr="00694D76">
              <w:rPr>
                <w:rFonts w:ascii="Palatino Linotype" w:eastAsia="Times New Roman" w:hAnsi="Palatino Linotype" w:cs="Times New Roman"/>
                <w:b/>
                <w:bCs/>
                <w:iCs/>
                <w:color w:val="000000"/>
                <w:lang w:val="es-EC" w:eastAsia="es-EC"/>
              </w:rPr>
              <w:t xml:space="preserve">otal etapas </w:t>
            </w:r>
            <w:r w:rsidRPr="00694D76">
              <w:rPr>
                <w:rFonts w:ascii="Palatino Linotype" w:eastAsia="Times New Roman" w:hAnsi="Palatino Linotype" w:cs="Times New Roman"/>
                <w:b/>
                <w:bCs/>
                <w:iCs/>
                <w:color w:val="000000"/>
                <w:lang w:val="es-EC" w:eastAsia="es-EC"/>
              </w:rPr>
              <w:t>1 + 2</w:t>
            </w:r>
          </w:p>
        </w:tc>
        <w:tc>
          <w:tcPr>
            <w:tcW w:w="1535" w:type="dxa"/>
            <w:shd w:val="clear" w:color="auto" w:fill="auto"/>
            <w:noWrap/>
            <w:vAlign w:val="center"/>
          </w:tcPr>
          <w:p w14:paraId="08677195" w14:textId="1055C445" w:rsidR="00721060" w:rsidRPr="00694D76" w:rsidRDefault="00750694" w:rsidP="00694D76">
            <w:pPr>
              <w:spacing w:after="120"/>
              <w:jc w:val="center"/>
              <w:rPr>
                <w:rFonts w:ascii="Palatino Linotype" w:eastAsia="Times New Roman" w:hAnsi="Palatino Linotype" w:cs="Times New Roman"/>
                <w:color w:val="000000"/>
                <w:lang w:val="es-EC" w:eastAsia="es-EC"/>
              </w:rPr>
            </w:pPr>
            <w:r w:rsidRPr="00694D76">
              <w:rPr>
                <w:rFonts w:ascii="Palatino Linotype" w:eastAsia="Times New Roman" w:hAnsi="Palatino Linotype" w:cs="Times New Roman"/>
                <w:color w:val="000000"/>
                <w:lang w:val="es-EC" w:eastAsia="es-EC"/>
              </w:rPr>
              <w:t>3</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988,22</w:t>
            </w:r>
          </w:p>
        </w:tc>
        <w:tc>
          <w:tcPr>
            <w:tcW w:w="1959" w:type="dxa"/>
            <w:shd w:val="clear" w:color="auto" w:fill="auto"/>
            <w:noWrap/>
            <w:vAlign w:val="center"/>
          </w:tcPr>
          <w:p w14:paraId="037D210C" w14:textId="6811936C" w:rsidR="00721060" w:rsidRPr="00694D76" w:rsidRDefault="00750694" w:rsidP="00694D76">
            <w:pPr>
              <w:spacing w:after="120"/>
              <w:jc w:val="center"/>
              <w:rPr>
                <w:rFonts w:ascii="Palatino Linotype" w:eastAsia="Times New Roman" w:hAnsi="Palatino Linotype" w:cs="Times New Roman"/>
                <w:color w:val="000000"/>
                <w:lang w:val="es-EC" w:eastAsia="es-EC"/>
              </w:rPr>
            </w:pPr>
            <w:r w:rsidRPr="00694D76">
              <w:rPr>
                <w:rFonts w:ascii="Palatino Linotype" w:eastAsia="Times New Roman" w:hAnsi="Palatino Linotype" w:cs="Times New Roman"/>
                <w:color w:val="000000"/>
                <w:lang w:val="es-EC" w:eastAsia="es-EC"/>
              </w:rPr>
              <w:t>13</w:t>
            </w:r>
            <w:r w:rsidR="00C72124">
              <w:rPr>
                <w:rFonts w:ascii="Palatino Linotype" w:eastAsia="Times New Roman" w:hAnsi="Palatino Linotype" w:cs="Times New Roman"/>
                <w:color w:val="000000"/>
                <w:lang w:val="es-EC" w:eastAsia="es-EC"/>
              </w:rPr>
              <w:t>.</w:t>
            </w:r>
            <w:r w:rsidRPr="00694D76">
              <w:rPr>
                <w:rFonts w:ascii="Palatino Linotype" w:eastAsia="Times New Roman" w:hAnsi="Palatino Linotype" w:cs="Times New Roman"/>
                <w:color w:val="000000"/>
                <w:lang w:val="es-EC" w:eastAsia="es-EC"/>
              </w:rPr>
              <w:t>937,35</w:t>
            </w:r>
          </w:p>
        </w:tc>
        <w:tc>
          <w:tcPr>
            <w:tcW w:w="2343" w:type="dxa"/>
            <w:shd w:val="clear" w:color="auto" w:fill="auto"/>
            <w:noWrap/>
            <w:vAlign w:val="center"/>
          </w:tcPr>
          <w:p w14:paraId="72697A82" w14:textId="0BDD3E11" w:rsidR="00721060" w:rsidRPr="00C72124" w:rsidRDefault="00BC22A5" w:rsidP="00694D76">
            <w:pPr>
              <w:spacing w:after="120"/>
              <w:jc w:val="center"/>
              <w:rPr>
                <w:rFonts w:ascii="Palatino Linotype" w:eastAsia="Times New Roman" w:hAnsi="Palatino Linotype" w:cs="Times New Roman"/>
                <w:color w:val="000000"/>
                <w:lang w:val="es-EC" w:eastAsia="es-EC"/>
              </w:rPr>
            </w:pPr>
            <w:r w:rsidRPr="00C72124">
              <w:rPr>
                <w:rFonts w:ascii="Palatino Linotype" w:eastAsia="Times New Roman" w:hAnsi="Palatino Linotype" w:cs="Times New Roman"/>
                <w:color w:val="000000"/>
                <w:lang w:val="es-EC" w:eastAsia="es-EC"/>
              </w:rPr>
              <w:t>Total de parqueos (máximo</w:t>
            </w:r>
            <w:r w:rsidR="004B3071" w:rsidRPr="00C72124">
              <w:rPr>
                <w:rFonts w:ascii="Palatino Linotype" w:eastAsia="Times New Roman" w:hAnsi="Palatino Linotype" w:cs="Times New Roman"/>
                <w:color w:val="000000"/>
                <w:lang w:val="es-EC" w:eastAsia="es-EC"/>
              </w:rPr>
              <w:t>)= 213</w:t>
            </w:r>
            <w:r w:rsidR="00012B74" w:rsidRPr="00C72124">
              <w:rPr>
                <w:rFonts w:ascii="Palatino Linotype" w:eastAsia="Times New Roman" w:hAnsi="Palatino Linotype" w:cs="Times New Roman"/>
                <w:color w:val="000000"/>
                <w:lang w:val="es-EC" w:eastAsia="es-EC"/>
              </w:rPr>
              <w:t>*</w:t>
            </w:r>
          </w:p>
        </w:tc>
      </w:tr>
    </w:tbl>
    <w:p w14:paraId="02F4BC5E" w14:textId="6E0096D0" w:rsidR="00684F71" w:rsidRPr="00C72124" w:rsidRDefault="00012B74" w:rsidP="00694D76">
      <w:pPr>
        <w:pStyle w:val="Textodebloque"/>
        <w:tabs>
          <w:tab w:val="left" w:pos="851"/>
        </w:tabs>
        <w:spacing w:after="120" w:line="276" w:lineRule="auto"/>
        <w:ind w:right="-1"/>
        <w:rPr>
          <w:rFonts w:ascii="Palatino Linotype" w:eastAsiaTheme="minorHAnsi" w:hAnsi="Palatino Linotype"/>
          <w:sz w:val="18"/>
          <w:szCs w:val="18"/>
          <w:lang w:val="es-MX" w:eastAsia="en-US"/>
        </w:rPr>
      </w:pPr>
      <w:r w:rsidRPr="00694D76">
        <w:rPr>
          <w:rFonts w:ascii="Palatino Linotype" w:eastAsiaTheme="minorHAnsi" w:hAnsi="Palatino Linotype"/>
          <w:lang w:val="es-MX" w:eastAsia="en-US"/>
        </w:rPr>
        <w:tab/>
      </w:r>
      <w:r w:rsidRPr="00C72124">
        <w:rPr>
          <w:rFonts w:ascii="Palatino Linotype" w:eastAsiaTheme="minorHAnsi" w:hAnsi="Palatino Linotype"/>
          <w:sz w:val="18"/>
          <w:szCs w:val="18"/>
          <w:lang w:val="es-MX" w:eastAsia="en-US"/>
        </w:rPr>
        <w:t>* Del total de estacionamientos, se contemplará al menos uno (1) por cada 25 estacionamientos, para personas con discapacidad.</w:t>
      </w:r>
    </w:p>
    <w:p w14:paraId="01EB055E" w14:textId="77777777" w:rsidR="00DF5660" w:rsidRPr="00694D76" w:rsidRDefault="00A90DBD" w:rsidP="00694D76">
      <w:pPr>
        <w:tabs>
          <w:tab w:val="left" w:pos="993"/>
        </w:tabs>
        <w:spacing w:after="120"/>
        <w:ind w:right="-1"/>
        <w:rPr>
          <w:rFonts w:ascii="Palatino Linotype" w:hAnsi="Palatino Linotype" w:cs="Times New Roman"/>
        </w:rPr>
      </w:pPr>
      <w:r w:rsidRPr="00694D76">
        <w:rPr>
          <w:rFonts w:ascii="Palatino Linotype" w:hAnsi="Palatino Linotype" w:cs="Times New Roman"/>
          <w:b/>
        </w:rPr>
        <w:t xml:space="preserve">Artículo </w:t>
      </w:r>
      <w:r w:rsidR="00684F71" w:rsidRPr="00694D76">
        <w:rPr>
          <w:rFonts w:ascii="Palatino Linotype" w:hAnsi="Palatino Linotype" w:cs="Times New Roman"/>
          <w:b/>
        </w:rPr>
        <w:t>10</w:t>
      </w:r>
      <w:r w:rsidR="00DF5660" w:rsidRPr="00694D76">
        <w:rPr>
          <w:rFonts w:ascii="Palatino Linotype" w:hAnsi="Palatino Linotype" w:cs="Times New Roman"/>
          <w:b/>
        </w:rPr>
        <w:t xml:space="preserve">.- </w:t>
      </w:r>
      <w:r w:rsidR="00E651C1" w:rsidRPr="00694D76">
        <w:rPr>
          <w:rFonts w:ascii="Palatino Linotype" w:hAnsi="Palatino Linotype" w:cs="Times New Roman"/>
          <w:b/>
          <w:bCs/>
        </w:rPr>
        <w:t xml:space="preserve">Normativa constructiva de las </w:t>
      </w:r>
      <w:proofErr w:type="gramStart"/>
      <w:r w:rsidR="00E651C1" w:rsidRPr="00694D76">
        <w:rPr>
          <w:rFonts w:ascii="Palatino Linotype" w:hAnsi="Palatino Linotype" w:cs="Times New Roman"/>
          <w:b/>
          <w:bCs/>
        </w:rPr>
        <w:t>edificaciones</w:t>
      </w:r>
      <w:r w:rsidR="00A41947" w:rsidRPr="00694D76">
        <w:rPr>
          <w:rFonts w:ascii="Palatino Linotype" w:hAnsi="Palatino Linotype" w:cs="Times New Roman"/>
          <w:b/>
          <w:bCs/>
        </w:rPr>
        <w:t>.-</w:t>
      </w:r>
      <w:proofErr w:type="gramEnd"/>
      <w:r w:rsidR="00DF5660" w:rsidRPr="00694D76">
        <w:rPr>
          <w:rFonts w:ascii="Palatino Linotype" w:hAnsi="Palatino Linotype" w:cs="Times New Roman"/>
          <w:b/>
          <w:bCs/>
        </w:rPr>
        <w:t xml:space="preserve"> </w:t>
      </w:r>
      <w:r w:rsidR="00DF5660" w:rsidRPr="00694D76">
        <w:rPr>
          <w:rFonts w:ascii="Palatino Linotype" w:hAnsi="Palatino Linotype" w:cs="Times New Roman"/>
        </w:rPr>
        <w:t xml:space="preserve">El </w:t>
      </w:r>
      <w:r w:rsidR="007816B0" w:rsidRPr="00694D76">
        <w:rPr>
          <w:rFonts w:ascii="Palatino Linotype" w:hAnsi="Palatino Linotype" w:cs="Times New Roman"/>
        </w:rPr>
        <w:t xml:space="preserve">Proyecto Hotel Holiday Inn </w:t>
      </w:r>
      <w:r w:rsidR="00E47F36" w:rsidRPr="00694D76">
        <w:rPr>
          <w:rFonts w:ascii="Palatino Linotype" w:hAnsi="Palatino Linotype" w:cs="Times New Roman"/>
        </w:rPr>
        <w:t xml:space="preserve">Quito Airport </w:t>
      </w:r>
      <w:r w:rsidR="00DF5660" w:rsidRPr="00694D76">
        <w:rPr>
          <w:rFonts w:ascii="Palatino Linotype" w:hAnsi="Palatino Linotype" w:cs="Times New Roman"/>
        </w:rPr>
        <w:t xml:space="preserve">diseñará y construirá las edificaciones conforme a </w:t>
      </w:r>
      <w:r w:rsidR="005171FF" w:rsidRPr="00694D76">
        <w:rPr>
          <w:rFonts w:ascii="Palatino Linotype" w:hAnsi="Palatino Linotype" w:cs="Times New Roman"/>
        </w:rPr>
        <w:t xml:space="preserve">la Norma </w:t>
      </w:r>
      <w:r w:rsidR="00DF5660" w:rsidRPr="00694D76">
        <w:rPr>
          <w:rFonts w:ascii="Palatino Linotype" w:hAnsi="Palatino Linotype" w:cs="Times New Roman"/>
        </w:rPr>
        <w:t>Ecuatorian</w:t>
      </w:r>
      <w:r w:rsidR="005171FF" w:rsidRPr="00694D76">
        <w:rPr>
          <w:rFonts w:ascii="Palatino Linotype" w:hAnsi="Palatino Linotype" w:cs="Times New Roman"/>
        </w:rPr>
        <w:t>a</w:t>
      </w:r>
      <w:r w:rsidR="00DF5660" w:rsidRPr="00694D76">
        <w:rPr>
          <w:rFonts w:ascii="Palatino Linotype" w:hAnsi="Palatino Linotype" w:cs="Times New Roman"/>
        </w:rPr>
        <w:t xml:space="preserve"> de la Construcción y demás normas nacionales y metropolitanas vigentes</w:t>
      </w:r>
      <w:r w:rsidR="002B38FF" w:rsidRPr="00694D76">
        <w:rPr>
          <w:rFonts w:ascii="Palatino Linotype" w:hAnsi="Palatino Linotype" w:cs="Times New Roman"/>
        </w:rPr>
        <w:t>.</w:t>
      </w:r>
      <w:r w:rsidRPr="00694D76">
        <w:rPr>
          <w:rFonts w:ascii="Palatino Linotype" w:hAnsi="Palatino Linotype" w:cs="Times New Roman"/>
        </w:rPr>
        <w:t xml:space="preserve"> </w:t>
      </w:r>
      <w:r w:rsidR="002B38FF" w:rsidRPr="00694D76">
        <w:rPr>
          <w:rFonts w:ascii="Palatino Linotype" w:hAnsi="Palatino Linotype" w:cs="Times New Roman"/>
        </w:rPr>
        <w:t>P</w:t>
      </w:r>
      <w:r w:rsidRPr="00694D76">
        <w:rPr>
          <w:rFonts w:ascii="Palatino Linotype" w:hAnsi="Palatino Linotype" w:cs="Times New Roman"/>
        </w:rPr>
        <w:t xml:space="preserve">odrá </w:t>
      </w:r>
      <w:r w:rsidR="00AF5091" w:rsidRPr="00694D76">
        <w:rPr>
          <w:rFonts w:ascii="Palatino Linotype" w:hAnsi="Palatino Linotype" w:cs="Times New Roman"/>
        </w:rPr>
        <w:t>incorporar normativa internacional en caso de requerirlo</w:t>
      </w:r>
      <w:r w:rsidR="002B38FF" w:rsidRPr="00694D76">
        <w:rPr>
          <w:rFonts w:ascii="Palatino Linotype" w:hAnsi="Palatino Linotype" w:cs="Times New Roman"/>
        </w:rPr>
        <w:t>,</w:t>
      </w:r>
      <w:r w:rsidR="00AF5091" w:rsidRPr="00694D76">
        <w:rPr>
          <w:rFonts w:ascii="Palatino Linotype" w:hAnsi="Palatino Linotype" w:cs="Times New Roman"/>
        </w:rPr>
        <w:t xml:space="preserve"> </w:t>
      </w:r>
      <w:r w:rsidR="002B38FF" w:rsidRPr="00694D76">
        <w:rPr>
          <w:rFonts w:ascii="Palatino Linotype" w:hAnsi="Palatino Linotype" w:cs="Times New Roman"/>
        </w:rPr>
        <w:t>en aspectos no</w:t>
      </w:r>
      <w:r w:rsidR="00AF5091" w:rsidRPr="00694D76">
        <w:rPr>
          <w:rFonts w:ascii="Palatino Linotype" w:hAnsi="Palatino Linotype" w:cs="Times New Roman"/>
        </w:rPr>
        <w:t xml:space="preserve"> contemplad</w:t>
      </w:r>
      <w:r w:rsidR="002B38FF" w:rsidRPr="00694D76">
        <w:rPr>
          <w:rFonts w:ascii="Palatino Linotype" w:hAnsi="Palatino Linotype" w:cs="Times New Roman"/>
        </w:rPr>
        <w:t>os</w:t>
      </w:r>
      <w:r w:rsidR="00AF5091" w:rsidRPr="00694D76">
        <w:rPr>
          <w:rFonts w:ascii="Palatino Linotype" w:hAnsi="Palatino Linotype" w:cs="Times New Roman"/>
        </w:rPr>
        <w:t xml:space="preserve"> en normas locales.</w:t>
      </w:r>
    </w:p>
    <w:p w14:paraId="3039A8DD" w14:textId="48C03F56" w:rsidR="00E738BF" w:rsidRPr="00694D76" w:rsidRDefault="00C72124" w:rsidP="00694D76">
      <w:pPr>
        <w:pStyle w:val="Prrafodelista"/>
        <w:tabs>
          <w:tab w:val="left" w:pos="851"/>
        </w:tabs>
        <w:spacing w:after="120"/>
        <w:ind w:left="0"/>
        <w:jc w:val="center"/>
        <w:rPr>
          <w:rFonts w:ascii="Palatino Linotype" w:hAnsi="Palatino Linotype" w:cs="Times New Roman"/>
          <w:b/>
        </w:rPr>
      </w:pPr>
      <w:r w:rsidRPr="00694D76">
        <w:rPr>
          <w:rFonts w:ascii="Palatino Linotype" w:hAnsi="Palatino Linotype" w:cs="Times New Roman"/>
          <w:b/>
        </w:rPr>
        <w:t>CAPÍTULO II</w:t>
      </w:r>
    </w:p>
    <w:p w14:paraId="2F0FFC39" w14:textId="23DB8848" w:rsidR="00E738BF" w:rsidRPr="00694D76" w:rsidRDefault="00C72124" w:rsidP="00694D76">
      <w:pPr>
        <w:pStyle w:val="Textodebloque"/>
        <w:tabs>
          <w:tab w:val="left" w:pos="851"/>
        </w:tabs>
        <w:spacing w:after="120" w:line="276" w:lineRule="auto"/>
        <w:ind w:left="0" w:right="-1" w:firstLine="0"/>
        <w:jc w:val="center"/>
        <w:rPr>
          <w:rFonts w:ascii="Palatino Linotype" w:hAnsi="Palatino Linotype"/>
          <w:b/>
        </w:rPr>
      </w:pPr>
      <w:r w:rsidRPr="00694D76">
        <w:rPr>
          <w:rFonts w:ascii="Palatino Linotype" w:hAnsi="Palatino Linotype"/>
          <w:b/>
        </w:rPr>
        <w:t xml:space="preserve">APORTES URBANÍSTICOS DEL PUAE HOTEL HOLIDAY INN QUITO AIRPORT </w:t>
      </w:r>
    </w:p>
    <w:p w14:paraId="6429D317" w14:textId="52E6E4CA" w:rsidR="00A41947" w:rsidRPr="00694D76" w:rsidRDefault="00E738BF" w:rsidP="00694D76">
      <w:pPr>
        <w:pStyle w:val="Textodebloque"/>
        <w:tabs>
          <w:tab w:val="left" w:pos="851"/>
        </w:tabs>
        <w:spacing w:after="120" w:line="276" w:lineRule="auto"/>
        <w:ind w:left="0" w:right="-1" w:firstLine="0"/>
        <w:rPr>
          <w:rFonts w:ascii="Palatino Linotype" w:hAnsi="Palatino Linotype"/>
        </w:rPr>
      </w:pPr>
      <w:r w:rsidRPr="00694D76">
        <w:rPr>
          <w:rFonts w:ascii="Palatino Linotype" w:hAnsi="Palatino Linotype"/>
          <w:b/>
        </w:rPr>
        <w:t xml:space="preserve">Artículo </w:t>
      </w:r>
      <w:r w:rsidR="009879E3" w:rsidRPr="00694D76">
        <w:rPr>
          <w:rFonts w:ascii="Palatino Linotype" w:hAnsi="Palatino Linotype"/>
          <w:b/>
        </w:rPr>
        <w:t>11</w:t>
      </w:r>
      <w:r w:rsidRPr="00694D76">
        <w:rPr>
          <w:rFonts w:ascii="Palatino Linotype" w:hAnsi="Palatino Linotype"/>
          <w:b/>
        </w:rPr>
        <w:t>.</w:t>
      </w:r>
      <w:r w:rsidR="00C72124">
        <w:rPr>
          <w:rFonts w:ascii="Palatino Linotype" w:hAnsi="Palatino Linotype"/>
          <w:b/>
        </w:rPr>
        <w:t>-</w:t>
      </w:r>
      <w:r w:rsidRPr="00694D76">
        <w:rPr>
          <w:rFonts w:ascii="Palatino Linotype" w:hAnsi="Palatino Linotype"/>
          <w:b/>
        </w:rPr>
        <w:t xml:space="preserve"> Aportes </w:t>
      </w:r>
      <w:r w:rsidR="007D7E94" w:rsidRPr="00694D76">
        <w:rPr>
          <w:rFonts w:ascii="Palatino Linotype" w:hAnsi="Palatino Linotype"/>
          <w:b/>
        </w:rPr>
        <w:t>urbanísticos.</w:t>
      </w:r>
      <w:r w:rsidRPr="00694D76">
        <w:rPr>
          <w:rFonts w:ascii="Palatino Linotype" w:hAnsi="Palatino Linotype"/>
          <w:b/>
        </w:rPr>
        <w:t xml:space="preserve">- </w:t>
      </w:r>
      <w:r w:rsidR="00640988" w:rsidRPr="00694D76">
        <w:rPr>
          <w:rFonts w:ascii="Palatino Linotype" w:hAnsi="Palatino Linotype"/>
        </w:rPr>
        <w:t xml:space="preserve">El </w:t>
      </w:r>
      <w:r w:rsidR="002B38FF" w:rsidRPr="00694D76">
        <w:rPr>
          <w:rFonts w:ascii="Palatino Linotype" w:hAnsi="Palatino Linotype"/>
        </w:rPr>
        <w:t xml:space="preserve">PUAE </w:t>
      </w:r>
      <w:r w:rsidR="00452F73" w:rsidRPr="00694D76">
        <w:rPr>
          <w:rFonts w:ascii="Palatino Linotype" w:hAnsi="Palatino Linotype"/>
        </w:rPr>
        <w:t xml:space="preserve">Hotel </w:t>
      </w:r>
      <w:proofErr w:type="spellStart"/>
      <w:r w:rsidR="00452F73" w:rsidRPr="00694D76">
        <w:rPr>
          <w:rFonts w:ascii="Palatino Linotype" w:hAnsi="Palatino Linotype"/>
        </w:rPr>
        <w:t>Holiday</w:t>
      </w:r>
      <w:proofErr w:type="spellEnd"/>
      <w:r w:rsidR="00452F73" w:rsidRPr="00694D76">
        <w:rPr>
          <w:rFonts w:ascii="Palatino Linotype" w:hAnsi="Palatino Linotype"/>
        </w:rPr>
        <w:t xml:space="preserve"> </w:t>
      </w:r>
      <w:proofErr w:type="spellStart"/>
      <w:r w:rsidR="00452F73" w:rsidRPr="00694D76">
        <w:rPr>
          <w:rFonts w:ascii="Palatino Linotype" w:hAnsi="Palatino Linotype"/>
        </w:rPr>
        <w:t>Inn</w:t>
      </w:r>
      <w:proofErr w:type="spellEnd"/>
      <w:r w:rsidR="00452F73" w:rsidRPr="00694D76">
        <w:rPr>
          <w:rFonts w:ascii="Palatino Linotype" w:hAnsi="Palatino Linotype"/>
        </w:rPr>
        <w:t xml:space="preserve"> Quito </w:t>
      </w:r>
      <w:proofErr w:type="spellStart"/>
      <w:r w:rsidR="00452F73" w:rsidRPr="00694D76">
        <w:rPr>
          <w:rFonts w:ascii="Palatino Linotype" w:hAnsi="Palatino Linotype"/>
        </w:rPr>
        <w:t>Airport</w:t>
      </w:r>
      <w:proofErr w:type="spellEnd"/>
      <w:r w:rsidR="00452F73" w:rsidRPr="00694D76">
        <w:rPr>
          <w:rFonts w:ascii="Palatino Linotype" w:hAnsi="Palatino Linotype"/>
        </w:rPr>
        <w:t xml:space="preserve"> aportar</w:t>
      </w:r>
      <w:r w:rsidR="00485FBA" w:rsidRPr="00694D76">
        <w:rPr>
          <w:rFonts w:ascii="Palatino Linotype" w:hAnsi="Palatino Linotype"/>
        </w:rPr>
        <w:t>á</w:t>
      </w:r>
      <w:r w:rsidR="00452F73" w:rsidRPr="00694D76">
        <w:rPr>
          <w:rFonts w:ascii="Palatino Linotype" w:hAnsi="Palatino Linotype"/>
        </w:rPr>
        <w:t xml:space="preserve"> con los siguientes componentes urbanístico</w:t>
      </w:r>
      <w:r w:rsidR="00485FBA" w:rsidRPr="00694D76">
        <w:rPr>
          <w:rFonts w:ascii="Palatino Linotype" w:hAnsi="Palatino Linotype"/>
        </w:rPr>
        <w:t>s</w:t>
      </w:r>
      <w:r w:rsidR="00452F73" w:rsidRPr="00694D76">
        <w:rPr>
          <w:rFonts w:ascii="Palatino Linotype" w:hAnsi="Palatino Linotype"/>
        </w:rPr>
        <w:t>:</w:t>
      </w:r>
    </w:p>
    <w:p w14:paraId="3393F8D1" w14:textId="77777777" w:rsidR="00A41947" w:rsidRPr="00694D76" w:rsidRDefault="0095170E" w:rsidP="00250512">
      <w:pPr>
        <w:pStyle w:val="Prrafodelista"/>
        <w:numPr>
          <w:ilvl w:val="0"/>
          <w:numId w:val="9"/>
        </w:numPr>
        <w:tabs>
          <w:tab w:val="left" w:pos="993"/>
        </w:tabs>
        <w:spacing w:after="120"/>
        <w:ind w:right="-1"/>
        <w:rPr>
          <w:rFonts w:ascii="Palatino Linotype" w:hAnsi="Palatino Linotype" w:cs="Times New Roman"/>
        </w:rPr>
      </w:pPr>
      <w:r w:rsidRPr="00694D76">
        <w:rPr>
          <w:rFonts w:ascii="Palatino Linotype" w:hAnsi="Palatino Linotype" w:cs="Times New Roman"/>
        </w:rPr>
        <w:lastRenderedPageBreak/>
        <w:t xml:space="preserve">Perfil urbano hacia la calle Cotopaxi: arborizado, con integración de espacio público y áreas verdes privadas de acceso público, dotado de </w:t>
      </w:r>
      <w:r w:rsidR="00A41947" w:rsidRPr="00694D76">
        <w:rPr>
          <w:rFonts w:ascii="Palatino Linotype" w:hAnsi="Palatino Linotype" w:cs="Times New Roman"/>
        </w:rPr>
        <w:t>adecuada iluminación y visibilidad bajo criterios de seguridad y disfrute en horarios nocturnos.</w:t>
      </w:r>
    </w:p>
    <w:p w14:paraId="4A796EEE" w14:textId="77777777" w:rsidR="00A41947" w:rsidRPr="00694D76" w:rsidRDefault="005C3475" w:rsidP="00250512">
      <w:pPr>
        <w:pStyle w:val="Prrafodelista"/>
        <w:numPr>
          <w:ilvl w:val="0"/>
          <w:numId w:val="9"/>
        </w:numPr>
        <w:tabs>
          <w:tab w:val="left" w:pos="993"/>
        </w:tabs>
        <w:spacing w:after="120"/>
        <w:ind w:right="-1"/>
        <w:rPr>
          <w:rFonts w:ascii="Palatino Linotype" w:hAnsi="Palatino Linotype" w:cs="Times New Roman"/>
        </w:rPr>
      </w:pPr>
      <w:r w:rsidRPr="00694D76">
        <w:rPr>
          <w:rFonts w:ascii="Palatino Linotype" w:hAnsi="Palatino Linotype" w:cs="Times New Roman"/>
        </w:rPr>
        <w:t>Contribución a</w:t>
      </w:r>
      <w:r w:rsidR="00A41947" w:rsidRPr="00694D76">
        <w:rPr>
          <w:rFonts w:ascii="Palatino Linotype" w:hAnsi="Palatino Linotype" w:cs="Times New Roman"/>
        </w:rPr>
        <w:t xml:space="preserve"> la imagen urbana y </w:t>
      </w:r>
      <w:r w:rsidR="0095170E" w:rsidRPr="00694D76">
        <w:rPr>
          <w:rFonts w:ascii="Palatino Linotype" w:hAnsi="Palatino Linotype" w:cs="Times New Roman"/>
        </w:rPr>
        <w:t xml:space="preserve">al </w:t>
      </w:r>
      <w:r w:rsidR="00A41947" w:rsidRPr="00694D76">
        <w:rPr>
          <w:rFonts w:ascii="Palatino Linotype" w:hAnsi="Palatino Linotype" w:cs="Times New Roman"/>
        </w:rPr>
        <w:t>paisaje</w:t>
      </w:r>
      <w:r w:rsidR="0095170E" w:rsidRPr="00694D76">
        <w:rPr>
          <w:rFonts w:ascii="Palatino Linotype" w:hAnsi="Palatino Linotype" w:cs="Times New Roman"/>
        </w:rPr>
        <w:t xml:space="preserve">, </w:t>
      </w:r>
      <w:r w:rsidR="00A41947" w:rsidRPr="00694D76">
        <w:rPr>
          <w:rFonts w:ascii="Palatino Linotype" w:hAnsi="Palatino Linotype" w:cs="Times New Roman"/>
        </w:rPr>
        <w:t>con los siguientes tratamientos:</w:t>
      </w:r>
    </w:p>
    <w:p w14:paraId="63561131" w14:textId="77777777" w:rsidR="00A41947" w:rsidRPr="00694D76" w:rsidRDefault="005C3475" w:rsidP="00250512">
      <w:pPr>
        <w:pStyle w:val="Prrafodelista"/>
        <w:numPr>
          <w:ilvl w:val="0"/>
          <w:numId w:val="10"/>
        </w:numPr>
        <w:tabs>
          <w:tab w:val="left" w:pos="1134"/>
        </w:tabs>
        <w:spacing w:after="120"/>
        <w:ind w:left="993" w:right="-1" w:hanging="284"/>
        <w:rPr>
          <w:rFonts w:ascii="Palatino Linotype" w:hAnsi="Palatino Linotype" w:cs="Times New Roman"/>
        </w:rPr>
      </w:pPr>
      <w:r w:rsidRPr="00694D76">
        <w:rPr>
          <w:rFonts w:ascii="Palatino Linotype" w:hAnsi="Palatino Linotype" w:cs="Times New Roman"/>
        </w:rPr>
        <w:t>Creación de</w:t>
      </w:r>
      <w:r w:rsidR="00A41947" w:rsidRPr="00694D76">
        <w:rPr>
          <w:rFonts w:ascii="Palatino Linotype" w:hAnsi="Palatino Linotype" w:cs="Times New Roman"/>
        </w:rPr>
        <w:t xml:space="preserve"> un ambiente arborizado con especies vegetales nativas, implantadas y combinadas de manera tal que garantice espacios floridos durante todo el año, además de la implementación de juegos de agua de manera de atraer y conservar las aves endémicas. </w:t>
      </w:r>
    </w:p>
    <w:p w14:paraId="77DE6C46" w14:textId="77777777" w:rsidR="00A41947" w:rsidRPr="00694D76" w:rsidRDefault="00A41947" w:rsidP="00250512">
      <w:pPr>
        <w:pStyle w:val="Prrafodelista"/>
        <w:numPr>
          <w:ilvl w:val="0"/>
          <w:numId w:val="10"/>
        </w:numPr>
        <w:tabs>
          <w:tab w:val="left" w:pos="1134"/>
        </w:tabs>
        <w:spacing w:after="120"/>
        <w:ind w:left="993" w:right="-1" w:hanging="284"/>
        <w:rPr>
          <w:rFonts w:ascii="Palatino Linotype" w:hAnsi="Palatino Linotype" w:cs="Times New Roman"/>
        </w:rPr>
      </w:pPr>
      <w:r w:rsidRPr="00694D76">
        <w:rPr>
          <w:rFonts w:ascii="Palatino Linotype" w:hAnsi="Palatino Linotype" w:cs="Times New Roman"/>
        </w:rPr>
        <w:t xml:space="preserve">Componentes ambientales </w:t>
      </w:r>
      <w:r w:rsidR="005C3475" w:rsidRPr="00694D76">
        <w:rPr>
          <w:rFonts w:ascii="Palatino Linotype" w:hAnsi="Palatino Linotype" w:cs="Times New Roman"/>
        </w:rPr>
        <w:t>de la edificación</w:t>
      </w:r>
      <w:r w:rsidRPr="00694D76">
        <w:rPr>
          <w:rFonts w:ascii="Palatino Linotype" w:hAnsi="Palatino Linotype" w:cs="Times New Roman"/>
        </w:rPr>
        <w:t xml:space="preserve">: adoquines ecológicos </w:t>
      </w:r>
      <w:r w:rsidR="002B38FF" w:rsidRPr="00694D76">
        <w:rPr>
          <w:rFonts w:ascii="Palatino Linotype" w:hAnsi="Palatino Linotype" w:cs="Times New Roman"/>
        </w:rPr>
        <w:t xml:space="preserve">o tratamiento de suelo permeable </w:t>
      </w:r>
      <w:r w:rsidRPr="00694D76">
        <w:rPr>
          <w:rFonts w:ascii="Palatino Linotype" w:hAnsi="Palatino Linotype" w:cs="Times New Roman"/>
        </w:rPr>
        <w:t>en los parqueaderos exteriores</w:t>
      </w:r>
      <w:r w:rsidR="002B38FF" w:rsidRPr="00694D76">
        <w:rPr>
          <w:rFonts w:ascii="Palatino Linotype" w:hAnsi="Palatino Linotype" w:cs="Times New Roman"/>
        </w:rPr>
        <w:t>;</w:t>
      </w:r>
      <w:r w:rsidRPr="00694D76">
        <w:rPr>
          <w:rFonts w:ascii="Palatino Linotype" w:hAnsi="Palatino Linotype" w:cs="Times New Roman"/>
        </w:rPr>
        <w:t xml:space="preserve"> aislamiento térmico en muros</w:t>
      </w:r>
      <w:r w:rsidR="00A147EA" w:rsidRPr="00694D76">
        <w:rPr>
          <w:rFonts w:ascii="Palatino Linotype" w:hAnsi="Palatino Linotype" w:cs="Times New Roman"/>
        </w:rPr>
        <w:t xml:space="preserve"> </w:t>
      </w:r>
      <w:r w:rsidR="002B38FF" w:rsidRPr="00694D76">
        <w:rPr>
          <w:rFonts w:ascii="Palatino Linotype" w:hAnsi="Palatino Linotype" w:cs="Times New Roman"/>
        </w:rPr>
        <w:t>y</w:t>
      </w:r>
      <w:r w:rsidR="00A147EA" w:rsidRPr="00694D76">
        <w:rPr>
          <w:rFonts w:ascii="Palatino Linotype" w:hAnsi="Palatino Linotype" w:cs="Times New Roman"/>
        </w:rPr>
        <w:t xml:space="preserve"> paredes interiores</w:t>
      </w:r>
      <w:r w:rsidRPr="00694D76">
        <w:rPr>
          <w:rFonts w:ascii="Palatino Linotype" w:hAnsi="Palatino Linotype" w:cs="Times New Roman"/>
        </w:rPr>
        <w:t xml:space="preserve">, </w:t>
      </w:r>
      <w:r w:rsidR="00DD5ACD" w:rsidRPr="00694D76">
        <w:rPr>
          <w:rFonts w:ascii="Palatino Linotype" w:hAnsi="Palatino Linotype" w:cs="Times New Roman"/>
        </w:rPr>
        <w:t xml:space="preserve">aproximadamente </w:t>
      </w:r>
      <w:r w:rsidRPr="00694D76">
        <w:rPr>
          <w:rFonts w:ascii="Palatino Linotype" w:hAnsi="Palatino Linotype" w:cs="Times New Roman"/>
        </w:rPr>
        <w:t>700 m</w:t>
      </w:r>
      <w:r w:rsidRPr="00694D76">
        <w:rPr>
          <w:rFonts w:ascii="Palatino Linotype" w:hAnsi="Palatino Linotype" w:cs="Times New Roman"/>
          <w:vertAlign w:val="superscript"/>
        </w:rPr>
        <w:t>2</w:t>
      </w:r>
      <w:r w:rsidRPr="00694D76">
        <w:rPr>
          <w:rFonts w:ascii="Palatino Linotype" w:hAnsi="Palatino Linotype" w:cs="Times New Roman"/>
        </w:rPr>
        <w:t xml:space="preserve"> de cubiertas verdes, sistemas de ahorro de energía, tratamiento de desechos, instalación de griferías y sanitarios ahorradores de agua.</w:t>
      </w:r>
    </w:p>
    <w:p w14:paraId="2AECB3B7" w14:textId="77777777" w:rsidR="00A41947" w:rsidRPr="00694D76" w:rsidRDefault="00A41947" w:rsidP="00250512">
      <w:pPr>
        <w:pStyle w:val="Prrafodelista"/>
        <w:numPr>
          <w:ilvl w:val="0"/>
          <w:numId w:val="10"/>
        </w:numPr>
        <w:tabs>
          <w:tab w:val="left" w:pos="1134"/>
        </w:tabs>
        <w:spacing w:after="120"/>
        <w:ind w:left="993" w:right="-1" w:hanging="284"/>
        <w:rPr>
          <w:rFonts w:ascii="Palatino Linotype" w:hAnsi="Palatino Linotype" w:cs="Times New Roman"/>
        </w:rPr>
      </w:pPr>
      <w:r w:rsidRPr="00694D76">
        <w:rPr>
          <w:rFonts w:ascii="Palatino Linotype" w:hAnsi="Palatino Linotype" w:cs="Times New Roman"/>
        </w:rPr>
        <w:t xml:space="preserve">Tratamiento </w:t>
      </w:r>
      <w:r w:rsidR="005C3475" w:rsidRPr="00694D76">
        <w:rPr>
          <w:rFonts w:ascii="Palatino Linotype" w:hAnsi="Palatino Linotype" w:cs="Times New Roman"/>
        </w:rPr>
        <w:t>de</w:t>
      </w:r>
      <w:r w:rsidRPr="00694D76">
        <w:rPr>
          <w:rFonts w:ascii="Palatino Linotype" w:hAnsi="Palatino Linotype" w:cs="Times New Roman"/>
        </w:rPr>
        <w:t xml:space="preserve"> retiros: Hacia el conector Alpachaca y hacia la calle Cotopaxi se conformarán áreas verdes</w:t>
      </w:r>
      <w:r w:rsidR="002B38FF" w:rsidRPr="00694D76">
        <w:rPr>
          <w:rFonts w:ascii="Palatino Linotype" w:hAnsi="Palatino Linotype" w:cs="Times New Roman"/>
        </w:rPr>
        <w:t xml:space="preserve"> privadas</w:t>
      </w:r>
      <w:r w:rsidRPr="00694D76">
        <w:rPr>
          <w:rFonts w:ascii="Palatino Linotype" w:hAnsi="Palatino Linotype" w:cs="Times New Roman"/>
        </w:rPr>
        <w:t xml:space="preserve"> de acceso público.</w:t>
      </w:r>
    </w:p>
    <w:p w14:paraId="55B737BD" w14:textId="1C74F98A" w:rsidR="00A41947" w:rsidRPr="00694D76" w:rsidRDefault="00C72124" w:rsidP="00250512">
      <w:pPr>
        <w:pStyle w:val="Prrafodelista"/>
        <w:numPr>
          <w:ilvl w:val="0"/>
          <w:numId w:val="10"/>
        </w:numPr>
        <w:tabs>
          <w:tab w:val="left" w:pos="1134"/>
        </w:tabs>
        <w:spacing w:after="120"/>
        <w:ind w:left="993" w:right="-1" w:hanging="284"/>
        <w:rPr>
          <w:rFonts w:ascii="Palatino Linotype" w:hAnsi="Palatino Linotype" w:cs="Times New Roman"/>
        </w:rPr>
      </w:pPr>
      <w:r>
        <w:rPr>
          <w:rFonts w:ascii="Palatino Linotype" w:hAnsi="Palatino Linotype" w:cs="Times New Roman"/>
        </w:rPr>
        <w:t>Mobiliario u</w:t>
      </w:r>
      <w:r w:rsidR="00A41947" w:rsidRPr="00694D76">
        <w:rPr>
          <w:rFonts w:ascii="Palatino Linotype" w:hAnsi="Palatino Linotype" w:cs="Times New Roman"/>
        </w:rPr>
        <w:t xml:space="preserve">rbano.- </w:t>
      </w:r>
      <w:r w:rsidR="005C3475" w:rsidRPr="00694D76">
        <w:rPr>
          <w:rFonts w:ascii="Palatino Linotype" w:hAnsi="Palatino Linotype" w:cs="Times New Roman"/>
        </w:rPr>
        <w:t>Colocación de bancas bajo</w:t>
      </w:r>
      <w:r w:rsidR="00A41947" w:rsidRPr="00694D76">
        <w:rPr>
          <w:rFonts w:ascii="Palatino Linotype" w:hAnsi="Palatino Linotype" w:cs="Times New Roman"/>
        </w:rPr>
        <w:t xml:space="preserve"> los árboles</w:t>
      </w:r>
      <w:r w:rsidR="005C3475" w:rsidRPr="00694D76">
        <w:rPr>
          <w:rFonts w:ascii="Palatino Linotype" w:hAnsi="Palatino Linotype" w:cs="Times New Roman"/>
        </w:rPr>
        <w:t>,</w:t>
      </w:r>
      <w:r w:rsidR="00A41947" w:rsidRPr="00694D76">
        <w:rPr>
          <w:rFonts w:ascii="Palatino Linotype" w:hAnsi="Palatino Linotype" w:cs="Times New Roman"/>
        </w:rPr>
        <w:t xml:space="preserve"> hacia los frentes principales</w:t>
      </w:r>
      <w:r w:rsidR="002B38FF" w:rsidRPr="00694D76">
        <w:rPr>
          <w:rFonts w:ascii="Palatino Linotype" w:hAnsi="Palatino Linotype" w:cs="Times New Roman"/>
        </w:rPr>
        <w:t>, según lo prevea el diseño.</w:t>
      </w:r>
    </w:p>
    <w:p w14:paraId="70E239B4" w14:textId="63CA5441" w:rsidR="00A41947" w:rsidRPr="00694D76" w:rsidRDefault="00C72124" w:rsidP="00250512">
      <w:pPr>
        <w:pStyle w:val="Prrafodelista"/>
        <w:numPr>
          <w:ilvl w:val="0"/>
          <w:numId w:val="10"/>
        </w:numPr>
        <w:tabs>
          <w:tab w:val="left" w:pos="1134"/>
        </w:tabs>
        <w:spacing w:after="120"/>
        <w:ind w:left="993" w:right="-1" w:hanging="284"/>
        <w:rPr>
          <w:rFonts w:ascii="Palatino Linotype" w:hAnsi="Palatino Linotype" w:cs="Times New Roman"/>
        </w:rPr>
      </w:pPr>
      <w:r>
        <w:rPr>
          <w:rFonts w:ascii="Palatino Linotype" w:hAnsi="Palatino Linotype" w:cs="Times New Roman"/>
        </w:rPr>
        <w:t>Cerramientos.</w:t>
      </w:r>
      <w:r w:rsidRPr="00694D76">
        <w:rPr>
          <w:rFonts w:ascii="Palatino Linotype" w:hAnsi="Palatino Linotype" w:cs="Times New Roman"/>
        </w:rPr>
        <w:t>-</w:t>
      </w:r>
      <w:r w:rsidR="002B38FF" w:rsidRPr="00694D76">
        <w:rPr>
          <w:rFonts w:ascii="Palatino Linotype" w:hAnsi="Palatino Linotype" w:cs="Times New Roman"/>
        </w:rPr>
        <w:t xml:space="preserve"> Transparentes o c</w:t>
      </w:r>
      <w:r w:rsidR="005C3475" w:rsidRPr="00694D76">
        <w:rPr>
          <w:rFonts w:ascii="Palatino Linotype" w:hAnsi="Palatino Linotype" w:cs="Times New Roman"/>
        </w:rPr>
        <w:t xml:space="preserve">on </w:t>
      </w:r>
      <w:r w:rsidR="00A41947" w:rsidRPr="00694D76">
        <w:rPr>
          <w:rFonts w:ascii="Palatino Linotype" w:hAnsi="Palatino Linotype" w:cs="Times New Roman"/>
        </w:rPr>
        <w:t>vegetación (cercas vivas) hacia los retiros.</w:t>
      </w:r>
    </w:p>
    <w:p w14:paraId="31CCABBF" w14:textId="77777777" w:rsidR="00A41947" w:rsidRPr="00694D76" w:rsidRDefault="00A41947" w:rsidP="00250512">
      <w:pPr>
        <w:pStyle w:val="Prrafodelista"/>
        <w:numPr>
          <w:ilvl w:val="0"/>
          <w:numId w:val="10"/>
        </w:numPr>
        <w:tabs>
          <w:tab w:val="left" w:pos="1134"/>
        </w:tabs>
        <w:spacing w:after="120"/>
        <w:ind w:left="993" w:right="-1" w:hanging="284"/>
        <w:rPr>
          <w:rFonts w:ascii="Palatino Linotype" w:hAnsi="Palatino Linotype" w:cs="Times New Roman"/>
        </w:rPr>
      </w:pPr>
      <w:r w:rsidRPr="00694D76">
        <w:rPr>
          <w:rFonts w:ascii="Palatino Linotype" w:hAnsi="Palatino Linotype" w:cs="Times New Roman"/>
        </w:rPr>
        <w:t xml:space="preserve">Iluminación.- </w:t>
      </w:r>
      <w:r w:rsidR="005C3475" w:rsidRPr="00694D76">
        <w:rPr>
          <w:rFonts w:ascii="Palatino Linotype" w:hAnsi="Palatino Linotype" w:cs="Times New Roman"/>
        </w:rPr>
        <w:t>O</w:t>
      </w:r>
      <w:r w:rsidRPr="00694D76">
        <w:rPr>
          <w:rFonts w:ascii="Palatino Linotype" w:hAnsi="Palatino Linotype" w:cs="Times New Roman"/>
        </w:rPr>
        <w:t>rnamental de manera de crear efectos lumínicos en la noche.</w:t>
      </w:r>
    </w:p>
    <w:p w14:paraId="13E593E2" w14:textId="77777777" w:rsidR="00A41947" w:rsidRPr="00694D76" w:rsidRDefault="005C3475" w:rsidP="00250512">
      <w:pPr>
        <w:pStyle w:val="Prrafodelista"/>
        <w:numPr>
          <w:ilvl w:val="0"/>
          <w:numId w:val="10"/>
        </w:numPr>
        <w:tabs>
          <w:tab w:val="left" w:pos="1134"/>
        </w:tabs>
        <w:spacing w:after="120"/>
        <w:ind w:left="993" w:right="-1" w:hanging="284"/>
        <w:rPr>
          <w:rFonts w:ascii="Palatino Linotype" w:hAnsi="Palatino Linotype" w:cs="Times New Roman"/>
        </w:rPr>
      </w:pPr>
      <w:r w:rsidRPr="00694D76">
        <w:rPr>
          <w:rFonts w:ascii="Palatino Linotype" w:hAnsi="Palatino Linotype" w:cs="Times New Roman"/>
        </w:rPr>
        <w:t xml:space="preserve">Pisos.- Tratamientos </w:t>
      </w:r>
      <w:r w:rsidR="00A41947" w:rsidRPr="00694D76">
        <w:rPr>
          <w:rFonts w:ascii="Palatino Linotype" w:hAnsi="Palatino Linotype" w:cs="Times New Roman"/>
        </w:rPr>
        <w:t>con césped, hiedra enana</w:t>
      </w:r>
      <w:r w:rsidR="00A147EA" w:rsidRPr="00694D76">
        <w:rPr>
          <w:rFonts w:ascii="Palatino Linotype" w:hAnsi="Palatino Linotype" w:cs="Times New Roman"/>
        </w:rPr>
        <w:t xml:space="preserve"> y</w:t>
      </w:r>
      <w:r w:rsidR="00A41947" w:rsidRPr="00694D76">
        <w:rPr>
          <w:rFonts w:ascii="Palatino Linotype" w:hAnsi="Palatino Linotype" w:cs="Times New Roman"/>
        </w:rPr>
        <w:t xml:space="preserve"> adoquín ecológico</w:t>
      </w:r>
      <w:r w:rsidR="002B38FF" w:rsidRPr="00694D76">
        <w:rPr>
          <w:rFonts w:ascii="Palatino Linotype" w:hAnsi="Palatino Linotype" w:cs="Times New Roman"/>
        </w:rPr>
        <w:t>, entre otras soluciones de suelo permeable</w:t>
      </w:r>
      <w:r w:rsidR="00A41947" w:rsidRPr="00694D76">
        <w:rPr>
          <w:rFonts w:ascii="Palatino Linotype" w:hAnsi="Palatino Linotype" w:cs="Times New Roman"/>
        </w:rPr>
        <w:t>.</w:t>
      </w:r>
    </w:p>
    <w:p w14:paraId="2FCDE6C1" w14:textId="092A47E5" w:rsidR="00E651C1" w:rsidRPr="00694D76" w:rsidRDefault="00C72124" w:rsidP="00694D76">
      <w:pPr>
        <w:spacing w:after="120"/>
        <w:ind w:left="703" w:hanging="703"/>
        <w:jc w:val="center"/>
        <w:rPr>
          <w:rFonts w:ascii="Palatino Linotype" w:hAnsi="Palatino Linotype" w:cs="Times New Roman"/>
          <w:b/>
          <w:bCs/>
          <w:lang w:val="es-EC"/>
        </w:rPr>
      </w:pPr>
      <w:r w:rsidRPr="00694D76">
        <w:rPr>
          <w:rFonts w:ascii="Palatino Linotype" w:hAnsi="Palatino Linotype" w:cs="Times New Roman"/>
          <w:b/>
          <w:bCs/>
          <w:lang w:val="es-EC"/>
        </w:rPr>
        <w:t>CAPÍTULO III</w:t>
      </w:r>
    </w:p>
    <w:p w14:paraId="091A58FA" w14:textId="55225F4E" w:rsidR="00DF5660" w:rsidRPr="00694D76" w:rsidRDefault="00C72124" w:rsidP="00694D76">
      <w:pPr>
        <w:spacing w:after="120"/>
        <w:ind w:left="703" w:hanging="703"/>
        <w:jc w:val="center"/>
        <w:rPr>
          <w:rFonts w:ascii="Palatino Linotype" w:hAnsi="Palatino Linotype" w:cs="Times New Roman"/>
          <w:b/>
          <w:bCs/>
          <w:lang w:val="es-EC"/>
        </w:rPr>
      </w:pPr>
      <w:r w:rsidRPr="00694D76">
        <w:rPr>
          <w:rFonts w:ascii="Palatino Linotype" w:hAnsi="Palatino Linotype" w:cs="Times New Roman"/>
          <w:b/>
          <w:bCs/>
          <w:lang w:val="es-EC"/>
        </w:rPr>
        <w:t>DE LA INFRAESTRUCTURA BÁSICA</w:t>
      </w:r>
    </w:p>
    <w:p w14:paraId="52D420A6" w14:textId="6FFB1875" w:rsidR="00DF5660" w:rsidRPr="00694D76" w:rsidRDefault="00DF5660" w:rsidP="00694D76">
      <w:pPr>
        <w:tabs>
          <w:tab w:val="left" w:pos="993"/>
        </w:tabs>
        <w:spacing w:after="120"/>
        <w:ind w:right="-1"/>
        <w:rPr>
          <w:rFonts w:ascii="Palatino Linotype" w:hAnsi="Palatino Linotype" w:cs="Times New Roman"/>
        </w:rPr>
      </w:pPr>
      <w:r w:rsidRPr="00694D76">
        <w:rPr>
          <w:rFonts w:ascii="Palatino Linotype" w:hAnsi="Palatino Linotype" w:cs="Times New Roman"/>
          <w:b/>
        </w:rPr>
        <w:t xml:space="preserve">Artículo </w:t>
      </w:r>
      <w:r w:rsidR="009879E3" w:rsidRPr="00694D76">
        <w:rPr>
          <w:rFonts w:ascii="Palatino Linotype" w:hAnsi="Palatino Linotype" w:cs="Times New Roman"/>
          <w:b/>
        </w:rPr>
        <w:t>12</w:t>
      </w:r>
      <w:r w:rsidRPr="00694D76">
        <w:rPr>
          <w:rFonts w:ascii="Palatino Linotype" w:hAnsi="Palatino Linotype" w:cs="Times New Roman"/>
          <w:b/>
        </w:rPr>
        <w:t xml:space="preserve">.- </w:t>
      </w:r>
      <w:r w:rsidR="00C72124">
        <w:rPr>
          <w:rFonts w:ascii="Palatino Linotype" w:hAnsi="Palatino Linotype" w:cs="Times New Roman"/>
          <w:b/>
          <w:bCs/>
        </w:rPr>
        <w:t>De los servicios p</w:t>
      </w:r>
      <w:r w:rsidRPr="00694D76">
        <w:rPr>
          <w:rFonts w:ascii="Palatino Linotype" w:hAnsi="Palatino Linotype" w:cs="Times New Roman"/>
          <w:b/>
          <w:bCs/>
        </w:rPr>
        <w:t xml:space="preserve">úblicos.- </w:t>
      </w:r>
      <w:r w:rsidRPr="00694D76">
        <w:rPr>
          <w:rFonts w:ascii="Palatino Linotype" w:hAnsi="Palatino Linotype" w:cs="Times New Roman"/>
        </w:rPr>
        <w:t>Los servicios públicos se habilitarán y construirán por parte del promotor</w:t>
      </w:r>
      <w:r w:rsidR="009879E3" w:rsidRPr="00694D76">
        <w:rPr>
          <w:rFonts w:ascii="Palatino Linotype" w:hAnsi="Palatino Linotype" w:cs="Times New Roman"/>
        </w:rPr>
        <w:t xml:space="preserve">, </w:t>
      </w:r>
      <w:r w:rsidRPr="00694D76">
        <w:rPr>
          <w:rFonts w:ascii="Palatino Linotype" w:hAnsi="Palatino Linotype" w:cs="Times New Roman"/>
        </w:rPr>
        <w:t>a su costo</w:t>
      </w:r>
      <w:r w:rsidR="009879E3" w:rsidRPr="00694D76">
        <w:rPr>
          <w:rFonts w:ascii="Palatino Linotype" w:hAnsi="Palatino Linotype" w:cs="Times New Roman"/>
        </w:rPr>
        <w:t>,</w:t>
      </w:r>
      <w:r w:rsidRPr="00694D76">
        <w:rPr>
          <w:rFonts w:ascii="Palatino Linotype" w:hAnsi="Palatino Linotype" w:cs="Times New Roman"/>
        </w:rPr>
        <w:t xml:space="preserve"> según las regulaciones y especificaciones técnicas de la municipalidad y/o </w:t>
      </w:r>
      <w:r w:rsidR="009879E3" w:rsidRPr="00694D76">
        <w:rPr>
          <w:rFonts w:ascii="Palatino Linotype" w:hAnsi="Palatino Linotype" w:cs="Times New Roman"/>
        </w:rPr>
        <w:t xml:space="preserve">empresas </w:t>
      </w:r>
      <w:r w:rsidRPr="00694D76">
        <w:rPr>
          <w:rFonts w:ascii="Palatino Linotype" w:hAnsi="Palatino Linotype" w:cs="Times New Roman"/>
        </w:rPr>
        <w:t>de servicios, con las siguientes particularidades:</w:t>
      </w:r>
    </w:p>
    <w:p w14:paraId="2EF55221" w14:textId="77777777" w:rsidR="00DF5660" w:rsidRPr="00694D76" w:rsidRDefault="00E651C1" w:rsidP="00694D76">
      <w:pPr>
        <w:pStyle w:val="Prrafodelista"/>
        <w:numPr>
          <w:ilvl w:val="0"/>
          <w:numId w:val="2"/>
        </w:numPr>
        <w:spacing w:after="120"/>
        <w:contextualSpacing w:val="0"/>
        <w:rPr>
          <w:rFonts w:ascii="Palatino Linotype" w:hAnsi="Palatino Linotype" w:cs="Times New Roman"/>
        </w:rPr>
      </w:pPr>
      <w:r w:rsidRPr="00694D76">
        <w:rPr>
          <w:rFonts w:ascii="Palatino Linotype" w:hAnsi="Palatino Linotype" w:cs="Times New Roman"/>
        </w:rPr>
        <w:t>L</w:t>
      </w:r>
      <w:r w:rsidR="00DF5660" w:rsidRPr="00694D76">
        <w:rPr>
          <w:rFonts w:ascii="Palatino Linotype" w:hAnsi="Palatino Linotype" w:cs="Times New Roman"/>
        </w:rPr>
        <w:t>a</w:t>
      </w:r>
      <w:r w:rsidR="00CC78E8" w:rsidRPr="00694D76">
        <w:rPr>
          <w:rFonts w:ascii="Palatino Linotype" w:hAnsi="Palatino Linotype" w:cs="Times New Roman"/>
        </w:rPr>
        <w:t>s redes</w:t>
      </w:r>
      <w:r w:rsidR="00DF5660" w:rsidRPr="00694D76">
        <w:rPr>
          <w:rFonts w:ascii="Palatino Linotype" w:hAnsi="Palatino Linotype" w:cs="Times New Roman"/>
        </w:rPr>
        <w:t xml:space="preserve"> </w:t>
      </w:r>
      <w:r w:rsidR="00CC78E8" w:rsidRPr="00694D76">
        <w:rPr>
          <w:rFonts w:ascii="Palatino Linotype" w:hAnsi="Palatino Linotype" w:cs="Times New Roman"/>
        </w:rPr>
        <w:t xml:space="preserve">de </w:t>
      </w:r>
      <w:r w:rsidR="00DF5660" w:rsidRPr="00694D76">
        <w:rPr>
          <w:rFonts w:ascii="Palatino Linotype" w:hAnsi="Palatino Linotype" w:cs="Times New Roman"/>
        </w:rPr>
        <w:t>iluminación del espacio del público</w:t>
      </w:r>
      <w:r w:rsidR="00CC78E8" w:rsidRPr="00694D76">
        <w:rPr>
          <w:rFonts w:ascii="Palatino Linotype" w:hAnsi="Palatino Linotype" w:cs="Times New Roman"/>
        </w:rPr>
        <w:t>,</w:t>
      </w:r>
      <w:r w:rsidR="00DF5660" w:rsidRPr="00694D76">
        <w:rPr>
          <w:rFonts w:ascii="Palatino Linotype" w:hAnsi="Palatino Linotype" w:cs="Times New Roman"/>
        </w:rPr>
        <w:t xml:space="preserve"> áreas verdes y de telecomunicaciones se realizarán con el soterramiento de todos los cables de conformidad a la normativa vigente. </w:t>
      </w:r>
      <w:r w:rsidR="00CC78E8" w:rsidRPr="00694D76">
        <w:rPr>
          <w:rFonts w:ascii="Palatino Linotype" w:hAnsi="Palatino Linotype" w:cs="Times New Roman"/>
        </w:rPr>
        <w:t xml:space="preserve">La iluminación de los </w:t>
      </w:r>
      <w:r w:rsidR="00754864" w:rsidRPr="00694D76">
        <w:rPr>
          <w:rFonts w:ascii="Palatino Linotype" w:hAnsi="Palatino Linotype" w:cs="Times New Roman"/>
        </w:rPr>
        <w:t>espacios públicos y áreas verdes garantizará</w:t>
      </w:r>
      <w:r w:rsidR="00CC78E8" w:rsidRPr="00694D76">
        <w:rPr>
          <w:rFonts w:ascii="Palatino Linotype" w:hAnsi="Palatino Linotype" w:cs="Times New Roman"/>
        </w:rPr>
        <w:t xml:space="preserve"> una</w:t>
      </w:r>
      <w:r w:rsidR="00754864" w:rsidRPr="00694D76">
        <w:rPr>
          <w:rFonts w:ascii="Palatino Linotype" w:hAnsi="Palatino Linotype" w:cs="Times New Roman"/>
        </w:rPr>
        <w:t xml:space="preserve"> adecuada visibilidad bajo criterios de seguridad y disfrute en horarios nocturnos.</w:t>
      </w:r>
    </w:p>
    <w:p w14:paraId="145C7CF4" w14:textId="77777777" w:rsidR="00DF5660" w:rsidRPr="00694D76" w:rsidRDefault="00DF5660" w:rsidP="00694D76">
      <w:pPr>
        <w:pStyle w:val="Prrafodelista"/>
        <w:numPr>
          <w:ilvl w:val="0"/>
          <w:numId w:val="2"/>
        </w:numPr>
        <w:spacing w:after="120"/>
        <w:contextualSpacing w:val="0"/>
        <w:rPr>
          <w:rFonts w:ascii="Palatino Linotype" w:hAnsi="Palatino Linotype" w:cs="Times New Roman"/>
        </w:rPr>
      </w:pPr>
      <w:r w:rsidRPr="00694D76">
        <w:rPr>
          <w:rFonts w:ascii="Palatino Linotype" w:hAnsi="Palatino Linotype" w:cs="Times New Roman"/>
        </w:rPr>
        <w:t xml:space="preserve">El proyecto implementará un sistema especial de clasificación y recolección de basura de fácil acceso para los usuarios y carros recolectores. Para la implementación de este sistema se deberá coordinar con </w:t>
      </w:r>
      <w:r w:rsidR="00CC78E8" w:rsidRPr="00694D76">
        <w:rPr>
          <w:rFonts w:ascii="Palatino Linotype" w:hAnsi="Palatino Linotype" w:cs="Times New Roman"/>
        </w:rPr>
        <w:t>la entidad municipal competente</w:t>
      </w:r>
      <w:r w:rsidRPr="00694D76">
        <w:rPr>
          <w:rFonts w:ascii="Palatino Linotype" w:hAnsi="Palatino Linotype" w:cs="Times New Roman"/>
        </w:rPr>
        <w:t>.</w:t>
      </w:r>
    </w:p>
    <w:p w14:paraId="3B3262A0" w14:textId="77777777" w:rsidR="00DF5660" w:rsidRPr="00694D76" w:rsidRDefault="00DA7C69" w:rsidP="00694D76">
      <w:pPr>
        <w:pStyle w:val="Prrafodelista"/>
        <w:numPr>
          <w:ilvl w:val="0"/>
          <w:numId w:val="2"/>
        </w:numPr>
        <w:spacing w:after="120"/>
        <w:contextualSpacing w:val="0"/>
        <w:rPr>
          <w:rFonts w:ascii="Palatino Linotype" w:hAnsi="Palatino Linotype" w:cs="Times New Roman"/>
        </w:rPr>
      </w:pPr>
      <w:r w:rsidRPr="00694D76">
        <w:rPr>
          <w:rFonts w:ascii="Palatino Linotype" w:hAnsi="Palatino Linotype" w:cs="Times New Roman"/>
        </w:rPr>
        <w:t xml:space="preserve">El proyecto podrá incorporar </w:t>
      </w:r>
      <w:r w:rsidR="00754864" w:rsidRPr="00694D76">
        <w:rPr>
          <w:rFonts w:ascii="Palatino Linotype" w:hAnsi="Palatino Linotype" w:cs="Times New Roman"/>
        </w:rPr>
        <w:t xml:space="preserve">otras </w:t>
      </w:r>
      <w:r w:rsidR="00DF5660" w:rsidRPr="00694D76">
        <w:rPr>
          <w:rFonts w:ascii="Palatino Linotype" w:hAnsi="Palatino Linotype" w:cs="Times New Roman"/>
        </w:rPr>
        <w:t xml:space="preserve">soluciones y tratamientos </w:t>
      </w:r>
      <w:r w:rsidR="00CC78E8" w:rsidRPr="00694D76">
        <w:rPr>
          <w:rFonts w:ascii="Palatino Linotype" w:hAnsi="Palatino Linotype" w:cs="Times New Roman"/>
        </w:rPr>
        <w:t xml:space="preserve">eco-ambientales </w:t>
      </w:r>
      <w:r w:rsidR="00DF5660" w:rsidRPr="00694D76">
        <w:rPr>
          <w:rFonts w:ascii="Palatino Linotype" w:hAnsi="Palatino Linotype" w:cs="Times New Roman"/>
        </w:rPr>
        <w:t>para el ahorro de energía,</w:t>
      </w:r>
      <w:r w:rsidR="00754864" w:rsidRPr="00694D76">
        <w:rPr>
          <w:rFonts w:ascii="Palatino Linotype" w:hAnsi="Palatino Linotype" w:cs="Times New Roman"/>
        </w:rPr>
        <w:t xml:space="preserve"> </w:t>
      </w:r>
      <w:r w:rsidR="00CC78E8" w:rsidRPr="00694D76">
        <w:rPr>
          <w:rFonts w:ascii="Palatino Linotype" w:hAnsi="Palatino Linotype" w:cs="Times New Roman"/>
        </w:rPr>
        <w:t xml:space="preserve">sistemas de ventilación natural, aislamiento término en muros, fachadas y techos, </w:t>
      </w:r>
      <w:r w:rsidR="00754864" w:rsidRPr="00694D76">
        <w:rPr>
          <w:rFonts w:ascii="Palatino Linotype" w:hAnsi="Palatino Linotype" w:cs="Times New Roman"/>
        </w:rPr>
        <w:t xml:space="preserve">tratamiento de desechos, </w:t>
      </w:r>
      <w:r w:rsidR="00DF5660" w:rsidRPr="00694D76">
        <w:rPr>
          <w:rFonts w:ascii="Palatino Linotype" w:hAnsi="Palatino Linotype" w:cs="Times New Roman"/>
        </w:rPr>
        <w:t xml:space="preserve">instalación de griferías y artefactos sanitarios </w:t>
      </w:r>
      <w:r w:rsidR="00DF5660" w:rsidRPr="00694D76">
        <w:rPr>
          <w:rFonts w:ascii="Palatino Linotype" w:hAnsi="Palatino Linotype" w:cs="Times New Roman"/>
        </w:rPr>
        <w:lastRenderedPageBreak/>
        <w:t>ahorradores de agua, terrazas verdes</w:t>
      </w:r>
      <w:r w:rsidR="00754864" w:rsidRPr="00694D76">
        <w:rPr>
          <w:rFonts w:ascii="Palatino Linotype" w:hAnsi="Palatino Linotype" w:cs="Times New Roman"/>
        </w:rPr>
        <w:t>, entre otros componentes de eficiencia y calidad ambiental</w:t>
      </w:r>
      <w:r w:rsidR="00DF5660" w:rsidRPr="00694D76">
        <w:rPr>
          <w:rFonts w:ascii="Palatino Linotype" w:hAnsi="Palatino Linotype" w:cs="Times New Roman"/>
        </w:rPr>
        <w:t>.</w:t>
      </w:r>
    </w:p>
    <w:p w14:paraId="16FE60A1" w14:textId="35F264B3" w:rsidR="00DA7C69" w:rsidRPr="00694D76" w:rsidRDefault="00DA7C69" w:rsidP="00694D76">
      <w:pPr>
        <w:pStyle w:val="Prrafodelista"/>
        <w:numPr>
          <w:ilvl w:val="0"/>
          <w:numId w:val="2"/>
        </w:numPr>
        <w:spacing w:after="120"/>
        <w:contextualSpacing w:val="0"/>
        <w:rPr>
          <w:rFonts w:ascii="Palatino Linotype" w:hAnsi="Palatino Linotype" w:cs="Times New Roman"/>
        </w:rPr>
      </w:pPr>
      <w:r w:rsidRPr="00694D76">
        <w:rPr>
          <w:rFonts w:ascii="Palatino Linotype" w:hAnsi="Palatino Linotype" w:cs="Times New Roman"/>
        </w:rPr>
        <w:t xml:space="preserve">Generará una planta de tratamiento de aguas servidas, cuya construcción y mantenimiento estará bajo responsabilidad de la administración del </w:t>
      </w:r>
      <w:r w:rsidR="0095170E" w:rsidRPr="00694D76">
        <w:rPr>
          <w:rFonts w:ascii="Palatino Linotype" w:hAnsi="Palatino Linotype" w:cs="Times New Roman"/>
        </w:rPr>
        <w:t>hotel</w:t>
      </w:r>
      <w:r w:rsidR="00BE19D0" w:rsidRPr="00694D76">
        <w:rPr>
          <w:rFonts w:ascii="Palatino Linotype" w:hAnsi="Palatino Linotype" w:cs="Times New Roman"/>
        </w:rPr>
        <w:t>.</w:t>
      </w:r>
      <w:r w:rsidR="001E76BA" w:rsidRPr="00694D76">
        <w:rPr>
          <w:rFonts w:ascii="Palatino Linotype" w:hAnsi="Palatino Linotype" w:cs="Times New Roman"/>
        </w:rPr>
        <w:t xml:space="preserve"> </w:t>
      </w:r>
      <w:r w:rsidR="00BE19D0" w:rsidRPr="008F12CB">
        <w:rPr>
          <w:rFonts w:ascii="Palatino Linotype" w:hAnsi="Palatino Linotype" w:cs="Times New Roman"/>
        </w:rPr>
        <w:t>E</w:t>
      </w:r>
      <w:r w:rsidR="001E76BA" w:rsidRPr="008F12CB">
        <w:rPr>
          <w:rFonts w:ascii="Palatino Linotype" w:hAnsi="Palatino Linotype" w:cs="Times New Roman"/>
        </w:rPr>
        <w:t>sta planta</w:t>
      </w:r>
      <w:r w:rsidR="00B46946" w:rsidRPr="008F12CB">
        <w:rPr>
          <w:rFonts w:ascii="Palatino Linotype" w:hAnsi="Palatino Linotype" w:cs="Times New Roman"/>
        </w:rPr>
        <w:t>, localizada al interior del predio,</w:t>
      </w:r>
      <w:r w:rsidR="001E76BA" w:rsidRPr="008F12CB">
        <w:rPr>
          <w:rFonts w:ascii="Palatino Linotype" w:hAnsi="Palatino Linotype" w:cs="Times New Roman"/>
        </w:rPr>
        <w:t xml:space="preserve"> es una infraestructura </w:t>
      </w:r>
      <w:r w:rsidR="00402FEE" w:rsidRPr="008F12CB">
        <w:rPr>
          <w:rFonts w:ascii="Palatino Linotype" w:hAnsi="Palatino Linotype" w:cs="Times New Roman"/>
        </w:rPr>
        <w:t xml:space="preserve">propia del hotel, que se conectará </w:t>
      </w:r>
      <w:r w:rsidR="001E76BA" w:rsidRPr="008F12CB">
        <w:rPr>
          <w:rFonts w:ascii="Palatino Linotype" w:hAnsi="Palatino Linotype" w:cs="Times New Roman"/>
        </w:rPr>
        <w:t xml:space="preserve">al sistema de alcantarillado </w:t>
      </w:r>
      <w:r w:rsidR="00402FEE" w:rsidRPr="008F12CB">
        <w:rPr>
          <w:rFonts w:ascii="Palatino Linotype" w:hAnsi="Palatino Linotype" w:cs="Times New Roman"/>
        </w:rPr>
        <w:t xml:space="preserve">público a cargo </w:t>
      </w:r>
      <w:r w:rsidR="001E76BA" w:rsidRPr="008F12CB">
        <w:rPr>
          <w:rFonts w:ascii="Palatino Linotype" w:hAnsi="Palatino Linotype" w:cs="Times New Roman"/>
        </w:rPr>
        <w:t>de la Empresa Pública Metropolitana de Ag</w:t>
      </w:r>
      <w:r w:rsidR="00A60316" w:rsidRPr="008F12CB">
        <w:rPr>
          <w:rFonts w:ascii="Palatino Linotype" w:hAnsi="Palatino Linotype" w:cs="Times New Roman"/>
        </w:rPr>
        <w:t>ua Potable y Saneamiento</w:t>
      </w:r>
      <w:r w:rsidR="008F12CB" w:rsidRPr="008F12CB">
        <w:rPr>
          <w:rFonts w:ascii="Palatino Linotype" w:hAnsi="Palatino Linotype" w:cs="Times New Roman"/>
        </w:rPr>
        <w:t xml:space="preserve"> -</w:t>
      </w:r>
      <w:r w:rsidR="00A60316" w:rsidRPr="008F12CB">
        <w:rPr>
          <w:rFonts w:ascii="Palatino Linotype" w:hAnsi="Palatino Linotype" w:cs="Times New Roman"/>
        </w:rPr>
        <w:t xml:space="preserve"> EPMAPS</w:t>
      </w:r>
      <w:r w:rsidR="00402FEE" w:rsidRPr="008F12CB">
        <w:rPr>
          <w:rFonts w:ascii="Palatino Linotype" w:hAnsi="Palatino Linotype" w:cs="Times New Roman"/>
        </w:rPr>
        <w:t>. La</w:t>
      </w:r>
      <w:r w:rsidR="00B46946" w:rsidRPr="008F12CB">
        <w:rPr>
          <w:rFonts w:ascii="Palatino Linotype" w:hAnsi="Palatino Linotype" w:cs="Times New Roman"/>
        </w:rPr>
        <w:t xml:space="preserve"> </w:t>
      </w:r>
      <w:r w:rsidR="00A60316" w:rsidRPr="008F12CB">
        <w:rPr>
          <w:rFonts w:ascii="Palatino Linotype" w:hAnsi="Palatino Linotype" w:cs="Times New Roman"/>
        </w:rPr>
        <w:t>aprobación de</w:t>
      </w:r>
      <w:r w:rsidR="00402FEE" w:rsidRPr="008F12CB">
        <w:rPr>
          <w:rFonts w:ascii="Palatino Linotype" w:hAnsi="Palatino Linotype" w:cs="Times New Roman"/>
        </w:rPr>
        <w:t>l</w:t>
      </w:r>
      <w:r w:rsidR="00A60316" w:rsidRPr="008F12CB">
        <w:rPr>
          <w:rFonts w:ascii="Palatino Linotype" w:hAnsi="Palatino Linotype" w:cs="Times New Roman"/>
        </w:rPr>
        <w:t xml:space="preserve"> diseño</w:t>
      </w:r>
      <w:r w:rsidR="00402FEE" w:rsidRPr="008F12CB">
        <w:rPr>
          <w:rFonts w:ascii="Palatino Linotype" w:hAnsi="Palatino Linotype" w:cs="Times New Roman"/>
        </w:rPr>
        <w:t xml:space="preserve">, </w:t>
      </w:r>
      <w:r w:rsidR="00BE19D0" w:rsidRPr="008F12CB">
        <w:rPr>
          <w:rFonts w:ascii="Palatino Linotype" w:hAnsi="Palatino Linotype" w:cs="Times New Roman"/>
        </w:rPr>
        <w:t>supervis</w:t>
      </w:r>
      <w:r w:rsidR="00A60316" w:rsidRPr="008F12CB">
        <w:rPr>
          <w:rFonts w:ascii="Palatino Linotype" w:hAnsi="Palatino Linotype" w:cs="Times New Roman"/>
        </w:rPr>
        <w:t>ión de la construcción</w:t>
      </w:r>
      <w:r w:rsidR="00374A1D" w:rsidRPr="008F12CB">
        <w:rPr>
          <w:rFonts w:ascii="Palatino Linotype" w:hAnsi="Palatino Linotype" w:cs="Times New Roman"/>
        </w:rPr>
        <w:t xml:space="preserve"> y del mantenimiento </w:t>
      </w:r>
      <w:r w:rsidR="00A60316" w:rsidRPr="008F12CB">
        <w:rPr>
          <w:rFonts w:ascii="Palatino Linotype" w:hAnsi="Palatino Linotype" w:cs="Times New Roman"/>
        </w:rPr>
        <w:t>estará a cargo de la EPMAPS.</w:t>
      </w:r>
    </w:p>
    <w:p w14:paraId="6C1B9E44" w14:textId="2C4A7550" w:rsidR="00DF5660" w:rsidRPr="00694D76" w:rsidRDefault="008F12CB" w:rsidP="00694D76">
      <w:pPr>
        <w:spacing w:after="120"/>
        <w:ind w:left="703" w:hanging="703"/>
        <w:jc w:val="center"/>
        <w:rPr>
          <w:rFonts w:ascii="Palatino Linotype" w:hAnsi="Palatino Linotype" w:cs="Times New Roman"/>
          <w:b/>
          <w:bCs/>
          <w:lang w:val="es-EC"/>
        </w:rPr>
      </w:pPr>
      <w:r w:rsidRPr="00694D76">
        <w:rPr>
          <w:rFonts w:ascii="Palatino Linotype" w:hAnsi="Palatino Linotype" w:cs="Times New Roman"/>
          <w:b/>
          <w:bCs/>
          <w:lang w:val="es-EC"/>
        </w:rPr>
        <w:t>CAPÍTULO IV</w:t>
      </w:r>
    </w:p>
    <w:p w14:paraId="7A939554" w14:textId="0FDC45C5" w:rsidR="00DF5660" w:rsidRPr="00694D76" w:rsidRDefault="008F12CB" w:rsidP="00694D76">
      <w:pPr>
        <w:spacing w:after="120"/>
        <w:ind w:right="-1"/>
        <w:jc w:val="center"/>
        <w:rPr>
          <w:rFonts w:ascii="Palatino Linotype" w:hAnsi="Palatino Linotype" w:cs="Times New Roman"/>
          <w:b/>
          <w:bCs/>
          <w:lang w:val="es-EC"/>
        </w:rPr>
      </w:pPr>
      <w:r w:rsidRPr="00694D76">
        <w:rPr>
          <w:rFonts w:ascii="Palatino Linotype" w:hAnsi="Palatino Linotype" w:cs="Times New Roman"/>
          <w:b/>
          <w:bCs/>
          <w:lang w:val="es-EC"/>
        </w:rPr>
        <w:t>DEL ESPACIO PÚBLICO Y EL MOBILIARIO URBANO</w:t>
      </w:r>
    </w:p>
    <w:p w14:paraId="0AD4B6D3" w14:textId="141D85FF" w:rsidR="00017E38" w:rsidRPr="00694D76" w:rsidRDefault="00DF5660" w:rsidP="00694D76">
      <w:pPr>
        <w:spacing w:after="120"/>
        <w:rPr>
          <w:rFonts w:ascii="Palatino Linotype" w:hAnsi="Palatino Linotype" w:cstheme="minorHAnsi"/>
          <w:b/>
        </w:rPr>
      </w:pPr>
      <w:r w:rsidRPr="00694D76">
        <w:rPr>
          <w:rFonts w:ascii="Palatino Linotype" w:hAnsi="Palatino Linotype" w:cs="Times New Roman"/>
          <w:b/>
        </w:rPr>
        <w:t xml:space="preserve">Artículo </w:t>
      </w:r>
      <w:r w:rsidR="0030377D" w:rsidRPr="00694D76">
        <w:rPr>
          <w:rFonts w:ascii="Palatino Linotype" w:hAnsi="Palatino Linotype" w:cs="Times New Roman"/>
          <w:b/>
        </w:rPr>
        <w:t>13</w:t>
      </w:r>
      <w:r w:rsidRPr="00694D76">
        <w:rPr>
          <w:rFonts w:ascii="Palatino Linotype" w:hAnsi="Palatino Linotype" w:cs="Times New Roman"/>
          <w:b/>
        </w:rPr>
        <w:t xml:space="preserve">.- </w:t>
      </w:r>
      <w:r w:rsidRPr="00694D76">
        <w:rPr>
          <w:rFonts w:ascii="Palatino Linotype" w:hAnsi="Palatino Linotype" w:cs="Times New Roman"/>
          <w:b/>
          <w:bCs/>
        </w:rPr>
        <w:t xml:space="preserve">Espacio público y </w:t>
      </w:r>
      <w:r w:rsidR="008F12CB">
        <w:rPr>
          <w:rFonts w:ascii="Palatino Linotype" w:hAnsi="Palatino Linotype" w:cs="Times New Roman"/>
          <w:b/>
          <w:bCs/>
        </w:rPr>
        <w:t>á</w:t>
      </w:r>
      <w:r w:rsidRPr="00694D76">
        <w:rPr>
          <w:rFonts w:ascii="Palatino Linotype" w:hAnsi="Palatino Linotype" w:cs="Times New Roman"/>
          <w:b/>
          <w:bCs/>
        </w:rPr>
        <w:t>reas verdes.-</w:t>
      </w:r>
      <w:r w:rsidR="00907065" w:rsidRPr="00694D76">
        <w:rPr>
          <w:rFonts w:ascii="Palatino Linotype" w:hAnsi="Palatino Linotype" w:cs="Times New Roman"/>
          <w:b/>
          <w:bCs/>
        </w:rPr>
        <w:t xml:space="preserve"> </w:t>
      </w:r>
      <w:r w:rsidR="00907065" w:rsidRPr="00694D76">
        <w:rPr>
          <w:rFonts w:ascii="Palatino Linotype" w:hAnsi="Palatino Linotype" w:cs="Times New Roman"/>
        </w:rPr>
        <w:t>El proyecto generará espacios</w:t>
      </w:r>
      <w:r w:rsidR="0095170E" w:rsidRPr="00694D76">
        <w:rPr>
          <w:rFonts w:ascii="Palatino Linotype" w:hAnsi="Palatino Linotype" w:cs="Times New Roman"/>
        </w:rPr>
        <w:t xml:space="preserve"> descubiertos</w:t>
      </w:r>
      <w:r w:rsidR="00907065" w:rsidRPr="00694D76">
        <w:rPr>
          <w:rFonts w:ascii="Palatino Linotype" w:hAnsi="Palatino Linotype" w:cs="Times New Roman"/>
        </w:rPr>
        <w:t xml:space="preserve"> y áreas verdes privadas de </w:t>
      </w:r>
      <w:r w:rsidR="009879E3" w:rsidRPr="00694D76">
        <w:rPr>
          <w:rFonts w:ascii="Palatino Linotype" w:hAnsi="Palatino Linotype" w:cs="Times New Roman"/>
        </w:rPr>
        <w:t xml:space="preserve">acceso </w:t>
      </w:r>
      <w:r w:rsidR="00907065" w:rsidRPr="00694D76">
        <w:rPr>
          <w:rFonts w:ascii="Palatino Linotype" w:hAnsi="Palatino Linotype" w:cs="Times New Roman"/>
        </w:rPr>
        <w:t>público, que se conectar</w:t>
      </w:r>
      <w:r w:rsidR="00485FBA" w:rsidRPr="00694D76">
        <w:rPr>
          <w:rFonts w:ascii="Palatino Linotype" w:hAnsi="Palatino Linotype" w:cs="Times New Roman"/>
        </w:rPr>
        <w:t>á</w:t>
      </w:r>
      <w:r w:rsidR="00907065" w:rsidRPr="00694D76">
        <w:rPr>
          <w:rFonts w:ascii="Palatino Linotype" w:hAnsi="Palatino Linotype" w:cs="Times New Roman"/>
        </w:rPr>
        <w:t xml:space="preserve">n adecuadamente </w:t>
      </w:r>
      <w:r w:rsidR="00C13A4E" w:rsidRPr="00694D76">
        <w:rPr>
          <w:rFonts w:ascii="Palatino Linotype" w:hAnsi="Palatino Linotype" w:cs="Times New Roman"/>
        </w:rPr>
        <w:t xml:space="preserve">con el </w:t>
      </w:r>
      <w:r w:rsidR="00907065" w:rsidRPr="00694D76">
        <w:rPr>
          <w:rFonts w:ascii="Palatino Linotype" w:hAnsi="Palatino Linotype" w:cs="Times New Roman"/>
        </w:rPr>
        <w:t>espacio público de la ciudad. Dichas áreas se mantendrán siempre como tales, prohibiéndose su cambio de uso y ocupación del suelo.</w:t>
      </w:r>
      <w:r w:rsidR="00C13A4E" w:rsidRPr="00694D76">
        <w:rPr>
          <w:rFonts w:ascii="Palatino Linotype" w:hAnsi="Palatino Linotype" w:cs="Times New Roman"/>
        </w:rPr>
        <w:t xml:space="preserve"> </w:t>
      </w:r>
      <w:r w:rsidR="00907065" w:rsidRPr="00694D76">
        <w:rPr>
          <w:rFonts w:ascii="Palatino Linotype" w:hAnsi="Palatino Linotype" w:cs="Times New Roman"/>
        </w:rPr>
        <w:t xml:space="preserve">Dichos espacios </w:t>
      </w:r>
      <w:r w:rsidR="009879E3" w:rsidRPr="00694D76">
        <w:rPr>
          <w:rFonts w:ascii="Palatino Linotype" w:hAnsi="Palatino Linotype" w:cs="Times New Roman"/>
        </w:rPr>
        <w:t>ser</w:t>
      </w:r>
      <w:r w:rsidR="00C13A4E" w:rsidRPr="00694D76">
        <w:rPr>
          <w:rFonts w:ascii="Palatino Linotype" w:hAnsi="Palatino Linotype" w:cs="Times New Roman"/>
        </w:rPr>
        <w:t>án</w:t>
      </w:r>
      <w:r w:rsidR="009879E3" w:rsidRPr="00694D76">
        <w:rPr>
          <w:rFonts w:ascii="Palatino Linotype" w:hAnsi="Palatino Linotype" w:cs="Times New Roman"/>
        </w:rPr>
        <w:t xml:space="preserve"> accesibles</w:t>
      </w:r>
      <w:r w:rsidR="00C13A4E" w:rsidRPr="00694D76">
        <w:rPr>
          <w:rFonts w:ascii="Palatino Linotype" w:hAnsi="Palatino Linotype" w:cs="Times New Roman"/>
        </w:rPr>
        <w:t>,</w:t>
      </w:r>
      <w:r w:rsidR="00907065" w:rsidRPr="00694D76">
        <w:rPr>
          <w:rFonts w:ascii="Palatino Linotype" w:hAnsi="Palatino Linotype" w:cs="Times New Roman"/>
        </w:rPr>
        <w:t xml:space="preserve"> sin restricciones ni cerramientos frontales que impidan su continuidad </w:t>
      </w:r>
      <w:r w:rsidR="009879E3" w:rsidRPr="00694D76">
        <w:rPr>
          <w:rFonts w:ascii="Palatino Linotype" w:hAnsi="Palatino Linotype" w:cs="Times New Roman"/>
        </w:rPr>
        <w:t xml:space="preserve">con el espacio público </w:t>
      </w:r>
      <w:r w:rsidR="00907065" w:rsidRPr="00694D76">
        <w:rPr>
          <w:rFonts w:ascii="Palatino Linotype" w:hAnsi="Palatino Linotype" w:cs="Times New Roman"/>
        </w:rPr>
        <w:t xml:space="preserve">y serán mantenidos por la administración </w:t>
      </w:r>
      <w:r w:rsidR="00C13A4E" w:rsidRPr="00694D76">
        <w:rPr>
          <w:rFonts w:ascii="Palatino Linotype" w:hAnsi="Palatino Linotype" w:cs="Times New Roman"/>
        </w:rPr>
        <w:t>hotelera.</w:t>
      </w:r>
    </w:p>
    <w:p w14:paraId="61798D86" w14:textId="77777777" w:rsidR="00DF5660" w:rsidRPr="00694D76" w:rsidRDefault="00DF5660" w:rsidP="00694D76">
      <w:pPr>
        <w:spacing w:after="120"/>
        <w:rPr>
          <w:rFonts w:ascii="Palatino Linotype" w:hAnsi="Palatino Linotype" w:cs="Times New Roman"/>
        </w:rPr>
      </w:pPr>
      <w:r w:rsidRPr="00694D76">
        <w:rPr>
          <w:rFonts w:ascii="Palatino Linotype" w:hAnsi="Palatino Linotype" w:cs="Times New Roman"/>
          <w:b/>
        </w:rPr>
        <w:t xml:space="preserve">Artículo </w:t>
      </w:r>
      <w:r w:rsidR="0030377D" w:rsidRPr="00694D76">
        <w:rPr>
          <w:rFonts w:ascii="Palatino Linotype" w:hAnsi="Palatino Linotype" w:cs="Times New Roman"/>
          <w:b/>
        </w:rPr>
        <w:t>14</w:t>
      </w:r>
      <w:r w:rsidRPr="00694D76">
        <w:rPr>
          <w:rFonts w:ascii="Palatino Linotype" w:hAnsi="Palatino Linotype" w:cs="Times New Roman"/>
          <w:b/>
        </w:rPr>
        <w:t xml:space="preserve">.- </w:t>
      </w:r>
      <w:r w:rsidRPr="00694D76">
        <w:rPr>
          <w:rFonts w:ascii="Palatino Linotype" w:hAnsi="Palatino Linotype" w:cs="Times New Roman"/>
          <w:b/>
          <w:bCs/>
        </w:rPr>
        <w:t xml:space="preserve">Aceras.- </w:t>
      </w:r>
      <w:r w:rsidRPr="00694D76">
        <w:rPr>
          <w:rFonts w:ascii="Palatino Linotype" w:hAnsi="Palatino Linotype" w:cs="Times New Roman"/>
        </w:rPr>
        <w:t xml:space="preserve">Las aceras </w:t>
      </w:r>
      <w:r w:rsidR="00121030" w:rsidRPr="00694D76">
        <w:rPr>
          <w:rFonts w:ascii="Palatino Linotype" w:hAnsi="Palatino Linotype" w:cs="Times New Roman"/>
        </w:rPr>
        <w:t xml:space="preserve">previstas </w:t>
      </w:r>
      <w:r w:rsidRPr="00694D76">
        <w:rPr>
          <w:rFonts w:ascii="Palatino Linotype" w:hAnsi="Palatino Linotype" w:cs="Times New Roman"/>
        </w:rPr>
        <w:t xml:space="preserve">en el desarrollo del proyecto </w:t>
      </w:r>
      <w:r w:rsidR="00250049" w:rsidRPr="00694D76">
        <w:rPr>
          <w:rFonts w:ascii="Palatino Linotype" w:hAnsi="Palatino Linotype" w:cs="Times New Roman"/>
        </w:rPr>
        <w:t xml:space="preserve">incluirán </w:t>
      </w:r>
      <w:r w:rsidR="00121030" w:rsidRPr="00694D76">
        <w:rPr>
          <w:rFonts w:ascii="Palatino Linotype" w:hAnsi="Palatino Linotype" w:cs="Times New Roman"/>
        </w:rPr>
        <w:t>tratamientos verdes</w:t>
      </w:r>
      <w:r w:rsidR="00586CBE" w:rsidRPr="00694D76">
        <w:rPr>
          <w:rFonts w:ascii="Palatino Linotype" w:hAnsi="Palatino Linotype" w:cs="Times New Roman"/>
        </w:rPr>
        <w:t>, arborización</w:t>
      </w:r>
      <w:r w:rsidRPr="00694D76">
        <w:rPr>
          <w:rFonts w:ascii="Palatino Linotype" w:hAnsi="Palatino Linotype" w:cs="Times New Roman"/>
        </w:rPr>
        <w:t xml:space="preserve">, </w:t>
      </w:r>
      <w:r w:rsidR="00CC607B" w:rsidRPr="00694D76">
        <w:rPr>
          <w:rFonts w:ascii="Palatino Linotype" w:hAnsi="Palatino Linotype" w:cs="Times New Roman"/>
        </w:rPr>
        <w:t xml:space="preserve">señalización, </w:t>
      </w:r>
      <w:r w:rsidRPr="00694D76">
        <w:rPr>
          <w:rFonts w:ascii="Palatino Linotype" w:hAnsi="Palatino Linotype" w:cs="Times New Roman"/>
        </w:rPr>
        <w:t>mobiliario urbano e iluminación.</w:t>
      </w:r>
    </w:p>
    <w:p w14:paraId="54AB8BB1" w14:textId="77777777" w:rsidR="00DF5660" w:rsidRPr="00694D76" w:rsidRDefault="00586CBE" w:rsidP="00694D76">
      <w:pPr>
        <w:spacing w:after="120"/>
        <w:ind w:right="-1"/>
        <w:rPr>
          <w:rFonts w:ascii="Palatino Linotype" w:hAnsi="Palatino Linotype" w:cs="Times New Roman"/>
        </w:rPr>
      </w:pPr>
      <w:r w:rsidRPr="00694D76">
        <w:rPr>
          <w:rFonts w:ascii="Palatino Linotype" w:hAnsi="Palatino Linotype" w:cs="Times New Roman"/>
        </w:rPr>
        <w:t>Para el diseño y construcción de</w:t>
      </w:r>
      <w:r w:rsidR="00DF5660" w:rsidRPr="00694D76">
        <w:rPr>
          <w:rFonts w:ascii="Palatino Linotype" w:hAnsi="Palatino Linotype" w:cs="Times New Roman"/>
        </w:rPr>
        <w:t xml:space="preserve"> </w:t>
      </w:r>
      <w:r w:rsidRPr="00694D76">
        <w:rPr>
          <w:rFonts w:ascii="Palatino Linotype" w:hAnsi="Palatino Linotype" w:cs="Times New Roman"/>
        </w:rPr>
        <w:t xml:space="preserve">las </w:t>
      </w:r>
      <w:r w:rsidR="00DF5660" w:rsidRPr="00694D76">
        <w:rPr>
          <w:rFonts w:ascii="Palatino Linotype" w:hAnsi="Palatino Linotype" w:cs="Times New Roman"/>
        </w:rPr>
        <w:t xml:space="preserve">aceras </w:t>
      </w:r>
      <w:r w:rsidRPr="00694D76">
        <w:rPr>
          <w:rFonts w:ascii="Palatino Linotype" w:hAnsi="Palatino Linotype" w:cs="Times New Roman"/>
        </w:rPr>
        <w:t xml:space="preserve">se </w:t>
      </w:r>
      <w:r w:rsidR="00DF5660" w:rsidRPr="00694D76">
        <w:rPr>
          <w:rFonts w:ascii="Palatino Linotype" w:hAnsi="Palatino Linotype" w:cs="Times New Roman"/>
        </w:rPr>
        <w:t>observarán las siguientes características:</w:t>
      </w:r>
    </w:p>
    <w:p w14:paraId="541ADED7" w14:textId="4BFACF11" w:rsidR="00DF5660" w:rsidRPr="00694D76" w:rsidRDefault="00DF5660" w:rsidP="00694D76">
      <w:pPr>
        <w:pStyle w:val="Prrafodelista"/>
        <w:numPr>
          <w:ilvl w:val="0"/>
          <w:numId w:val="3"/>
        </w:numPr>
        <w:spacing w:after="120"/>
        <w:contextualSpacing w:val="0"/>
        <w:rPr>
          <w:rFonts w:ascii="Palatino Linotype" w:hAnsi="Palatino Linotype" w:cs="Times New Roman"/>
        </w:rPr>
      </w:pPr>
      <w:r w:rsidRPr="00694D76">
        <w:rPr>
          <w:rFonts w:ascii="Palatino Linotype" w:hAnsi="Palatino Linotype" w:cs="Times New Roman"/>
        </w:rPr>
        <w:t>S</w:t>
      </w:r>
      <w:r w:rsidR="008F12CB">
        <w:rPr>
          <w:rFonts w:ascii="Palatino Linotype" w:hAnsi="Palatino Linotype" w:cs="Times New Roman"/>
        </w:rPr>
        <w:t xml:space="preserve">uperficie continua, </w:t>
      </w:r>
      <w:r w:rsidRPr="00694D76">
        <w:rPr>
          <w:rFonts w:ascii="Palatino Linotype" w:hAnsi="Palatino Linotype" w:cs="Times New Roman"/>
        </w:rPr>
        <w:t>sin obstáculos a la circulación de personas y/o vehículos no motorizados.</w:t>
      </w:r>
    </w:p>
    <w:p w14:paraId="25E3BA45" w14:textId="77777777" w:rsidR="00DF5660" w:rsidRPr="00694D76" w:rsidRDefault="00DF5660" w:rsidP="00694D76">
      <w:pPr>
        <w:pStyle w:val="Prrafodelista"/>
        <w:numPr>
          <w:ilvl w:val="0"/>
          <w:numId w:val="3"/>
        </w:numPr>
        <w:spacing w:after="120"/>
        <w:contextualSpacing w:val="0"/>
        <w:rPr>
          <w:rFonts w:ascii="Palatino Linotype" w:hAnsi="Palatino Linotype" w:cs="Times New Roman"/>
        </w:rPr>
      </w:pPr>
      <w:r w:rsidRPr="00694D76">
        <w:rPr>
          <w:rFonts w:ascii="Palatino Linotype" w:hAnsi="Palatino Linotype" w:cs="Times New Roman"/>
        </w:rPr>
        <w:t xml:space="preserve">Deberán arborizarse de preferencia </w:t>
      </w:r>
      <w:r w:rsidR="00121030" w:rsidRPr="00694D76">
        <w:rPr>
          <w:rFonts w:ascii="Palatino Linotype" w:hAnsi="Palatino Linotype" w:cs="Times New Roman"/>
        </w:rPr>
        <w:t xml:space="preserve">con </w:t>
      </w:r>
      <w:r w:rsidRPr="00694D76">
        <w:rPr>
          <w:rFonts w:ascii="Palatino Linotype" w:hAnsi="Palatino Linotype" w:cs="Times New Roman"/>
        </w:rPr>
        <w:t>especies nativas y adecuadas a las condiciones medioambientales del sitio.</w:t>
      </w:r>
      <w:r w:rsidR="00250049" w:rsidRPr="00694D76">
        <w:rPr>
          <w:rFonts w:ascii="Palatino Linotype" w:hAnsi="Palatino Linotype" w:cs="Times New Roman"/>
        </w:rPr>
        <w:t xml:space="preserve"> El tipo, cantidad y variedad de las especies dependerá de los estudios </w:t>
      </w:r>
      <w:r w:rsidR="00A26855" w:rsidRPr="00694D76">
        <w:rPr>
          <w:rFonts w:ascii="Palatino Linotype" w:hAnsi="Palatino Linotype" w:cs="Times New Roman"/>
        </w:rPr>
        <w:t>y diseños específicos a ser desarro</w:t>
      </w:r>
      <w:r w:rsidR="00513D10" w:rsidRPr="00694D76">
        <w:rPr>
          <w:rFonts w:ascii="Palatino Linotype" w:hAnsi="Palatino Linotype" w:cs="Times New Roman"/>
        </w:rPr>
        <w:t>l</w:t>
      </w:r>
      <w:r w:rsidR="00A26855" w:rsidRPr="00694D76">
        <w:rPr>
          <w:rFonts w:ascii="Palatino Linotype" w:hAnsi="Palatino Linotype" w:cs="Times New Roman"/>
        </w:rPr>
        <w:t>lados por el promotor</w:t>
      </w:r>
      <w:r w:rsidR="00250049" w:rsidRPr="00694D76">
        <w:rPr>
          <w:rFonts w:ascii="Palatino Linotype" w:hAnsi="Palatino Linotype" w:cs="Times New Roman"/>
        </w:rPr>
        <w:t>.</w:t>
      </w:r>
    </w:p>
    <w:p w14:paraId="2C6DAC94" w14:textId="77777777" w:rsidR="00DF5660" w:rsidRPr="00694D76" w:rsidRDefault="00DF5660" w:rsidP="00694D76">
      <w:pPr>
        <w:pStyle w:val="Prrafodelista"/>
        <w:numPr>
          <w:ilvl w:val="0"/>
          <w:numId w:val="3"/>
        </w:numPr>
        <w:spacing w:after="120"/>
        <w:contextualSpacing w:val="0"/>
        <w:rPr>
          <w:rFonts w:ascii="Palatino Linotype" w:hAnsi="Palatino Linotype" w:cs="Times New Roman"/>
        </w:rPr>
      </w:pPr>
      <w:r w:rsidRPr="00694D76">
        <w:rPr>
          <w:rFonts w:ascii="Palatino Linotype" w:hAnsi="Palatino Linotype" w:cs="Times New Roman"/>
        </w:rPr>
        <w:t xml:space="preserve">Las superficies deberán realizarse con materiales antideslizantes que eviten </w:t>
      </w:r>
      <w:r w:rsidR="0030377D" w:rsidRPr="00694D76">
        <w:rPr>
          <w:rFonts w:ascii="Palatino Linotype" w:hAnsi="Palatino Linotype" w:cs="Times New Roman"/>
        </w:rPr>
        <w:t xml:space="preserve">el </w:t>
      </w:r>
      <w:r w:rsidRPr="00694D76">
        <w:rPr>
          <w:rFonts w:ascii="Palatino Linotype" w:hAnsi="Palatino Linotype" w:cs="Times New Roman"/>
        </w:rPr>
        <w:t xml:space="preserve">riesgo </w:t>
      </w:r>
      <w:r w:rsidR="0030377D" w:rsidRPr="00694D76">
        <w:rPr>
          <w:rFonts w:ascii="Palatino Linotype" w:hAnsi="Palatino Linotype" w:cs="Times New Roman"/>
        </w:rPr>
        <w:t xml:space="preserve">de </w:t>
      </w:r>
      <w:r w:rsidR="00513D10" w:rsidRPr="00694D76">
        <w:rPr>
          <w:rFonts w:ascii="Palatino Linotype" w:hAnsi="Palatino Linotype" w:cs="Times New Roman"/>
        </w:rPr>
        <w:t>caída</w:t>
      </w:r>
      <w:r w:rsidR="0030377D" w:rsidRPr="00694D76">
        <w:rPr>
          <w:rFonts w:ascii="Palatino Linotype" w:hAnsi="Palatino Linotype" w:cs="Times New Roman"/>
        </w:rPr>
        <w:t xml:space="preserve"> de</w:t>
      </w:r>
      <w:r w:rsidRPr="00694D76">
        <w:rPr>
          <w:rFonts w:ascii="Palatino Linotype" w:hAnsi="Palatino Linotype" w:cs="Times New Roman"/>
        </w:rPr>
        <w:t xml:space="preserve"> los peatones bajo diversas condiciones climáticas.</w:t>
      </w:r>
    </w:p>
    <w:p w14:paraId="0682767F" w14:textId="77777777" w:rsidR="00DF5660" w:rsidRPr="00694D76" w:rsidRDefault="00121030" w:rsidP="00694D76">
      <w:pPr>
        <w:pStyle w:val="Prrafodelista"/>
        <w:numPr>
          <w:ilvl w:val="0"/>
          <w:numId w:val="3"/>
        </w:numPr>
        <w:spacing w:after="120"/>
        <w:contextualSpacing w:val="0"/>
        <w:rPr>
          <w:rFonts w:ascii="Palatino Linotype" w:hAnsi="Palatino Linotype" w:cs="Times New Roman"/>
        </w:rPr>
      </w:pPr>
      <w:r w:rsidRPr="00694D76">
        <w:rPr>
          <w:rFonts w:ascii="Palatino Linotype" w:hAnsi="Palatino Linotype" w:cs="Times New Roman"/>
        </w:rPr>
        <w:t>Brindarán f</w:t>
      </w:r>
      <w:r w:rsidR="00DF5660" w:rsidRPr="00694D76">
        <w:rPr>
          <w:rFonts w:ascii="Palatino Linotype" w:hAnsi="Palatino Linotype" w:cs="Times New Roman"/>
        </w:rPr>
        <w:t xml:space="preserve">acilidades de accesibilidad para los peatones, primordialmente con discapacidades, coches de niños o sillas de ruedas, principalmente en las zonas de seguridad y/o cruces de calles. </w:t>
      </w:r>
    </w:p>
    <w:p w14:paraId="5608999D" w14:textId="4E3738F3" w:rsidR="00DF5660" w:rsidRPr="00694D76" w:rsidRDefault="00DF5660" w:rsidP="00694D76">
      <w:pPr>
        <w:tabs>
          <w:tab w:val="left" w:pos="993"/>
        </w:tabs>
        <w:spacing w:after="120"/>
        <w:ind w:right="-1"/>
        <w:rPr>
          <w:rFonts w:ascii="Palatino Linotype" w:hAnsi="Palatino Linotype" w:cs="Times New Roman"/>
        </w:rPr>
      </w:pPr>
      <w:r w:rsidRPr="00694D76">
        <w:rPr>
          <w:rFonts w:ascii="Palatino Linotype" w:hAnsi="Palatino Linotype" w:cs="Times New Roman"/>
          <w:b/>
        </w:rPr>
        <w:t xml:space="preserve">Artículo </w:t>
      </w:r>
      <w:r w:rsidR="0030377D" w:rsidRPr="00694D76">
        <w:rPr>
          <w:rFonts w:ascii="Palatino Linotype" w:hAnsi="Palatino Linotype" w:cs="Times New Roman"/>
          <w:b/>
        </w:rPr>
        <w:t>15</w:t>
      </w:r>
      <w:r w:rsidRPr="00694D76">
        <w:rPr>
          <w:rFonts w:ascii="Palatino Linotype" w:hAnsi="Palatino Linotype" w:cs="Times New Roman"/>
          <w:b/>
        </w:rPr>
        <w:t xml:space="preserve">.- </w:t>
      </w:r>
      <w:r w:rsidR="00F07995">
        <w:rPr>
          <w:rFonts w:ascii="Palatino Linotype" w:hAnsi="Palatino Linotype" w:cs="Times New Roman"/>
          <w:b/>
          <w:bCs/>
        </w:rPr>
        <w:t>Mobiliario u</w:t>
      </w:r>
      <w:r w:rsidRPr="00694D76">
        <w:rPr>
          <w:rFonts w:ascii="Palatino Linotype" w:hAnsi="Palatino Linotype" w:cs="Times New Roman"/>
          <w:b/>
          <w:bCs/>
        </w:rPr>
        <w:t xml:space="preserve">rbano.- </w:t>
      </w:r>
      <w:r w:rsidRPr="00694D76">
        <w:rPr>
          <w:rFonts w:ascii="Palatino Linotype" w:hAnsi="Palatino Linotype" w:cs="Times New Roman"/>
        </w:rPr>
        <w:t>La provisión y ubicación de mobiliario urbano cumplirá con lo establecido en las Normas de Arquitectura y Urbanismo del Municipio del Distrito Metropolitano de Quito y adicionalmente se deberá cumplir las siguientes características: diseños cómodos y eficientes, uso de materiales amigables con el medio ambiente</w:t>
      </w:r>
      <w:r w:rsidR="00121030" w:rsidRPr="00694D76">
        <w:rPr>
          <w:rFonts w:ascii="Palatino Linotype" w:hAnsi="Palatino Linotype" w:cs="Times New Roman"/>
        </w:rPr>
        <w:t xml:space="preserve"> y resistentes a uso</w:t>
      </w:r>
      <w:r w:rsidR="00C725CE" w:rsidRPr="00694D76">
        <w:rPr>
          <w:rFonts w:ascii="Palatino Linotype" w:hAnsi="Palatino Linotype" w:cs="Times New Roman"/>
        </w:rPr>
        <w:t>s</w:t>
      </w:r>
      <w:r w:rsidR="00121030" w:rsidRPr="00694D76">
        <w:rPr>
          <w:rFonts w:ascii="Palatino Linotype" w:hAnsi="Palatino Linotype" w:cs="Times New Roman"/>
        </w:rPr>
        <w:t xml:space="preserve"> intensos; </w:t>
      </w:r>
      <w:r w:rsidRPr="00694D76">
        <w:rPr>
          <w:rFonts w:ascii="Palatino Linotype" w:hAnsi="Palatino Linotype" w:cs="Times New Roman"/>
        </w:rPr>
        <w:lastRenderedPageBreak/>
        <w:t xml:space="preserve">colocación de receptores de papeles o de basura en la zona blanda de las aceras, con características especiales para </w:t>
      </w:r>
      <w:r w:rsidR="00A26855" w:rsidRPr="00694D76">
        <w:rPr>
          <w:rFonts w:ascii="Palatino Linotype" w:hAnsi="Palatino Linotype" w:cs="Times New Roman"/>
        </w:rPr>
        <w:t xml:space="preserve">la </w:t>
      </w:r>
      <w:r w:rsidRPr="00694D76">
        <w:rPr>
          <w:rFonts w:ascii="Palatino Linotype" w:hAnsi="Palatino Linotype" w:cs="Times New Roman"/>
        </w:rPr>
        <w:t>clasificación de desechos con el propósito de ser reciclados.</w:t>
      </w:r>
      <w:r w:rsidR="00121030" w:rsidRPr="00694D76">
        <w:rPr>
          <w:rFonts w:ascii="Palatino Linotype" w:hAnsi="Palatino Linotype" w:cs="Times New Roman"/>
        </w:rPr>
        <w:t xml:space="preserve"> De requerirse, se preverá otro tipo de mobiliario urbano orientado a asegurar un adecuado uso, permanencia y disfrute del espacio público.</w:t>
      </w:r>
    </w:p>
    <w:p w14:paraId="69211224" w14:textId="79056BDA" w:rsidR="00CC090F" w:rsidRPr="00694D76" w:rsidRDefault="00F07995" w:rsidP="00694D76">
      <w:pPr>
        <w:spacing w:after="120"/>
        <w:ind w:left="703" w:hanging="703"/>
        <w:jc w:val="center"/>
        <w:rPr>
          <w:rFonts w:ascii="Palatino Linotype" w:hAnsi="Palatino Linotype" w:cs="Times New Roman"/>
          <w:b/>
          <w:bCs/>
          <w:lang w:val="es-EC"/>
        </w:rPr>
      </w:pPr>
      <w:r w:rsidRPr="00694D76">
        <w:rPr>
          <w:rFonts w:ascii="Palatino Linotype" w:hAnsi="Palatino Linotype" w:cs="Times New Roman"/>
          <w:b/>
          <w:bCs/>
          <w:lang w:val="es-EC"/>
        </w:rPr>
        <w:t>CAPÍTULO V</w:t>
      </w:r>
    </w:p>
    <w:p w14:paraId="34C1E3AB" w14:textId="1B556864" w:rsidR="00CC090F" w:rsidRPr="00F07995" w:rsidRDefault="00F07995" w:rsidP="00694D76">
      <w:pPr>
        <w:spacing w:after="120"/>
        <w:ind w:right="-1"/>
        <w:jc w:val="center"/>
        <w:rPr>
          <w:rFonts w:ascii="Palatino Linotype" w:hAnsi="Palatino Linotype" w:cs="Times New Roman"/>
          <w:lang w:val="es-EC"/>
        </w:rPr>
      </w:pPr>
      <w:r w:rsidRPr="00694D76">
        <w:rPr>
          <w:rFonts w:ascii="Palatino Linotype" w:hAnsi="Palatino Linotype" w:cs="Times New Roman"/>
          <w:b/>
          <w:bCs/>
          <w:lang w:val="es-EC"/>
        </w:rPr>
        <w:t xml:space="preserve">DE LA ACCESIBILIDAD, MOVILIDAD Y MEDIDAS DE MITIGACIÓN A LA CIRCULACIÓN </w:t>
      </w:r>
      <w:r w:rsidRPr="00F07995">
        <w:rPr>
          <w:rFonts w:ascii="Palatino Linotype" w:hAnsi="Palatino Linotype" w:cs="Times New Roman"/>
          <w:b/>
          <w:bCs/>
          <w:lang w:val="es-EC"/>
        </w:rPr>
        <w:t>DE TRÁFICO</w:t>
      </w:r>
    </w:p>
    <w:p w14:paraId="0D47E2E1" w14:textId="1FF62E23" w:rsidR="00907065" w:rsidRPr="00F07995" w:rsidRDefault="00DF5660" w:rsidP="00694D76">
      <w:pPr>
        <w:pStyle w:val="Textodebloque"/>
        <w:tabs>
          <w:tab w:val="left" w:pos="851"/>
        </w:tabs>
        <w:spacing w:after="120" w:line="276" w:lineRule="auto"/>
        <w:ind w:left="0" w:right="-1" w:firstLine="0"/>
        <w:rPr>
          <w:rFonts w:ascii="Palatino Linotype" w:eastAsiaTheme="minorHAnsi" w:hAnsi="Palatino Linotype"/>
          <w:lang w:val="es-MX" w:eastAsia="en-US"/>
        </w:rPr>
      </w:pPr>
      <w:r w:rsidRPr="00F07995">
        <w:rPr>
          <w:rFonts w:ascii="Palatino Linotype" w:hAnsi="Palatino Linotype"/>
          <w:b/>
        </w:rPr>
        <w:t xml:space="preserve">Artículo </w:t>
      </w:r>
      <w:r w:rsidR="0030377D" w:rsidRPr="00F07995">
        <w:rPr>
          <w:rFonts w:ascii="Palatino Linotype" w:hAnsi="Palatino Linotype"/>
          <w:b/>
        </w:rPr>
        <w:t>16</w:t>
      </w:r>
      <w:r w:rsidRPr="00F07995">
        <w:rPr>
          <w:rFonts w:ascii="Palatino Linotype" w:hAnsi="Palatino Linotype"/>
          <w:b/>
        </w:rPr>
        <w:t xml:space="preserve">.- </w:t>
      </w:r>
      <w:r w:rsidR="00E04210" w:rsidRPr="00F07995">
        <w:rPr>
          <w:rFonts w:ascii="Palatino Linotype" w:hAnsi="Palatino Linotype"/>
          <w:b/>
        </w:rPr>
        <w:t xml:space="preserve">Accesibilidad, </w:t>
      </w:r>
      <w:r w:rsidR="00F07995" w:rsidRPr="00F07995">
        <w:rPr>
          <w:rFonts w:ascii="Palatino Linotype" w:hAnsi="Palatino Linotype"/>
          <w:b/>
        </w:rPr>
        <w:t xml:space="preserve">movilidad y </w:t>
      </w:r>
      <w:r w:rsidR="00F07995" w:rsidRPr="00F07995">
        <w:rPr>
          <w:rFonts w:ascii="Palatino Linotype" w:eastAsiaTheme="minorHAnsi" w:hAnsi="Palatino Linotype"/>
          <w:b/>
          <w:lang w:val="es-MX" w:eastAsia="en-US"/>
        </w:rPr>
        <w:t>estacionamientos</w:t>
      </w:r>
      <w:r w:rsidRPr="00F07995">
        <w:rPr>
          <w:rFonts w:ascii="Palatino Linotype" w:eastAsiaTheme="minorHAnsi" w:hAnsi="Palatino Linotype"/>
          <w:b/>
          <w:lang w:val="es-MX" w:eastAsia="en-US"/>
        </w:rPr>
        <w:t>.-</w:t>
      </w:r>
      <w:r w:rsidRPr="00F07995">
        <w:rPr>
          <w:rFonts w:ascii="Palatino Linotype" w:eastAsiaTheme="minorHAnsi" w:hAnsi="Palatino Linotype"/>
          <w:lang w:val="es-MX" w:eastAsia="en-US"/>
        </w:rPr>
        <w:t xml:space="preserve"> </w:t>
      </w:r>
      <w:r w:rsidR="00907065" w:rsidRPr="00F07995">
        <w:rPr>
          <w:rFonts w:ascii="Palatino Linotype" w:eastAsiaTheme="minorHAnsi" w:hAnsi="Palatino Linotype"/>
          <w:lang w:val="es-MX" w:eastAsia="en-US"/>
        </w:rPr>
        <w:t xml:space="preserve">El proyecto asegurará una accesibilidad cómoda y segura a las personas que </w:t>
      </w:r>
      <w:r w:rsidR="00A26855" w:rsidRPr="00F07995">
        <w:rPr>
          <w:rFonts w:ascii="Palatino Linotype" w:eastAsiaTheme="minorHAnsi" w:hAnsi="Palatino Linotype"/>
          <w:lang w:val="es-MX" w:eastAsia="en-US"/>
        </w:rPr>
        <w:t xml:space="preserve">utilicen </w:t>
      </w:r>
      <w:r w:rsidR="00907065" w:rsidRPr="00F07995">
        <w:rPr>
          <w:rFonts w:ascii="Palatino Linotype" w:eastAsiaTheme="minorHAnsi" w:hAnsi="Palatino Linotype"/>
          <w:lang w:val="es-MX" w:eastAsia="en-US"/>
        </w:rPr>
        <w:t xml:space="preserve">sus servicios </w:t>
      </w:r>
      <w:r w:rsidR="0030377D" w:rsidRPr="00F07995">
        <w:rPr>
          <w:rFonts w:ascii="Palatino Linotype" w:eastAsiaTheme="minorHAnsi" w:hAnsi="Palatino Linotype"/>
          <w:lang w:val="es-MX" w:eastAsia="en-US"/>
        </w:rPr>
        <w:t xml:space="preserve">o </w:t>
      </w:r>
      <w:r w:rsidR="00907065" w:rsidRPr="00F07995">
        <w:rPr>
          <w:rFonts w:ascii="Palatino Linotype" w:eastAsiaTheme="minorHAnsi" w:hAnsi="Palatino Linotype"/>
          <w:lang w:val="es-MX" w:eastAsia="en-US"/>
        </w:rPr>
        <w:t xml:space="preserve">que </w:t>
      </w:r>
      <w:r w:rsidR="00A26855" w:rsidRPr="00F07995">
        <w:rPr>
          <w:rFonts w:ascii="Palatino Linotype" w:eastAsiaTheme="minorHAnsi" w:hAnsi="Palatino Linotype"/>
          <w:lang w:val="es-MX" w:eastAsia="en-US"/>
        </w:rPr>
        <w:t xml:space="preserve">laboren </w:t>
      </w:r>
      <w:r w:rsidR="00907065" w:rsidRPr="00F07995">
        <w:rPr>
          <w:rFonts w:ascii="Palatino Linotype" w:eastAsiaTheme="minorHAnsi" w:hAnsi="Palatino Linotype"/>
          <w:lang w:val="es-MX" w:eastAsia="en-US"/>
        </w:rPr>
        <w:t>en él</w:t>
      </w:r>
      <w:r w:rsidR="00A26855" w:rsidRPr="00F07995">
        <w:rPr>
          <w:rFonts w:ascii="Palatino Linotype" w:eastAsiaTheme="minorHAnsi" w:hAnsi="Palatino Linotype"/>
          <w:lang w:val="es-MX" w:eastAsia="en-US"/>
        </w:rPr>
        <w:t>.</w:t>
      </w:r>
      <w:r w:rsidR="00907065" w:rsidRPr="00F07995">
        <w:rPr>
          <w:rFonts w:ascii="Palatino Linotype" w:eastAsiaTheme="minorHAnsi" w:hAnsi="Palatino Linotype"/>
          <w:lang w:val="es-MX" w:eastAsia="en-US"/>
        </w:rPr>
        <w:t xml:space="preserve"> </w:t>
      </w:r>
      <w:r w:rsidR="00A26855" w:rsidRPr="00F07995">
        <w:rPr>
          <w:rFonts w:ascii="Palatino Linotype" w:eastAsiaTheme="minorHAnsi" w:hAnsi="Palatino Linotype"/>
          <w:lang w:val="es-MX" w:eastAsia="en-US"/>
        </w:rPr>
        <w:t>Será</w:t>
      </w:r>
      <w:r w:rsidR="00907065" w:rsidRPr="00F07995">
        <w:rPr>
          <w:rFonts w:ascii="Palatino Linotype" w:eastAsiaTheme="minorHAnsi" w:hAnsi="Palatino Linotype"/>
          <w:lang w:val="es-MX" w:eastAsia="en-US"/>
        </w:rPr>
        <w:t xml:space="preserve"> accesible</w:t>
      </w:r>
      <w:r w:rsidR="001433AE" w:rsidRPr="00F07995">
        <w:rPr>
          <w:rFonts w:ascii="Palatino Linotype" w:eastAsiaTheme="minorHAnsi" w:hAnsi="Palatino Linotype"/>
          <w:lang w:val="es-MX" w:eastAsia="en-US"/>
        </w:rPr>
        <w:t xml:space="preserve"> únicamente </w:t>
      </w:r>
      <w:r w:rsidR="00E412B5" w:rsidRPr="00F07995">
        <w:rPr>
          <w:rFonts w:ascii="Palatino Linotype" w:eastAsiaTheme="minorHAnsi" w:hAnsi="Palatino Linotype"/>
          <w:lang w:val="es-MX" w:eastAsia="en-US"/>
        </w:rPr>
        <w:t>a travé</w:t>
      </w:r>
      <w:r w:rsidR="00A147EA" w:rsidRPr="00F07995">
        <w:rPr>
          <w:rFonts w:ascii="Palatino Linotype" w:eastAsiaTheme="minorHAnsi" w:hAnsi="Palatino Linotype"/>
          <w:lang w:val="es-MX" w:eastAsia="en-US"/>
        </w:rPr>
        <w:t>s</w:t>
      </w:r>
      <w:r w:rsidR="00E412B5" w:rsidRPr="00F07995">
        <w:rPr>
          <w:rFonts w:ascii="Palatino Linotype" w:eastAsiaTheme="minorHAnsi" w:hAnsi="Palatino Linotype"/>
          <w:lang w:val="es-MX" w:eastAsia="en-US"/>
        </w:rPr>
        <w:t xml:space="preserve"> de la calle Cotopaxi </w:t>
      </w:r>
      <w:r w:rsidR="00907065" w:rsidRPr="00F07995">
        <w:rPr>
          <w:rFonts w:ascii="Palatino Linotype" w:eastAsiaTheme="minorHAnsi" w:hAnsi="Palatino Linotype"/>
          <w:lang w:val="es-MX" w:eastAsia="en-US"/>
        </w:rPr>
        <w:t>mediante cuatro modalidades:</w:t>
      </w:r>
    </w:p>
    <w:p w14:paraId="19D7775B" w14:textId="77777777" w:rsidR="00907065" w:rsidRPr="00F07995" w:rsidRDefault="00907065" w:rsidP="00250512">
      <w:pPr>
        <w:pStyle w:val="Prrafodelista"/>
        <w:numPr>
          <w:ilvl w:val="0"/>
          <w:numId w:val="8"/>
        </w:numPr>
        <w:tabs>
          <w:tab w:val="left" w:pos="993"/>
        </w:tabs>
        <w:spacing w:after="120"/>
        <w:ind w:right="-1"/>
        <w:rPr>
          <w:rFonts w:ascii="Palatino Linotype" w:hAnsi="Palatino Linotype" w:cs="Times New Roman"/>
        </w:rPr>
      </w:pPr>
      <w:r w:rsidRPr="00F07995">
        <w:rPr>
          <w:rFonts w:ascii="Palatino Linotype" w:hAnsi="Palatino Linotype" w:cs="Times New Roman"/>
        </w:rPr>
        <w:t xml:space="preserve">Transporte </w:t>
      </w:r>
      <w:r w:rsidR="00A26855" w:rsidRPr="00F07995">
        <w:rPr>
          <w:rFonts w:ascii="Palatino Linotype" w:hAnsi="Palatino Linotype" w:cs="Times New Roman"/>
        </w:rPr>
        <w:t xml:space="preserve">público, </w:t>
      </w:r>
      <w:r w:rsidRPr="00F07995">
        <w:rPr>
          <w:rFonts w:ascii="Palatino Linotype" w:hAnsi="Palatino Linotype" w:cs="Times New Roman"/>
        </w:rPr>
        <w:t>institucional y buses de turismo</w:t>
      </w:r>
      <w:r w:rsidR="00A26855" w:rsidRPr="00F07995">
        <w:rPr>
          <w:rFonts w:ascii="Palatino Linotype" w:hAnsi="Palatino Linotype" w:cs="Times New Roman"/>
        </w:rPr>
        <w:t>;</w:t>
      </w:r>
    </w:p>
    <w:p w14:paraId="7A0A9893" w14:textId="77777777" w:rsidR="00A26855" w:rsidRPr="00F07995" w:rsidRDefault="00A26855" w:rsidP="00250512">
      <w:pPr>
        <w:pStyle w:val="Prrafodelista"/>
        <w:numPr>
          <w:ilvl w:val="0"/>
          <w:numId w:val="8"/>
        </w:numPr>
        <w:tabs>
          <w:tab w:val="left" w:pos="993"/>
        </w:tabs>
        <w:spacing w:after="120"/>
        <w:ind w:right="-1"/>
        <w:rPr>
          <w:rFonts w:ascii="Palatino Linotype" w:hAnsi="Palatino Linotype" w:cs="Times New Roman"/>
        </w:rPr>
      </w:pPr>
      <w:r w:rsidRPr="00F07995">
        <w:rPr>
          <w:rFonts w:ascii="Palatino Linotype" w:hAnsi="Palatino Linotype" w:cs="Times New Roman"/>
        </w:rPr>
        <w:t>Peatonal;</w:t>
      </w:r>
    </w:p>
    <w:p w14:paraId="038C3A4A" w14:textId="77777777" w:rsidR="00A26855" w:rsidRPr="00F07995" w:rsidRDefault="00A26855" w:rsidP="00250512">
      <w:pPr>
        <w:pStyle w:val="Prrafodelista"/>
        <w:numPr>
          <w:ilvl w:val="0"/>
          <w:numId w:val="8"/>
        </w:numPr>
        <w:tabs>
          <w:tab w:val="left" w:pos="993"/>
        </w:tabs>
        <w:spacing w:after="120"/>
        <w:ind w:right="-1"/>
        <w:rPr>
          <w:rFonts w:ascii="Palatino Linotype" w:hAnsi="Palatino Linotype" w:cs="Times New Roman"/>
        </w:rPr>
      </w:pPr>
      <w:r w:rsidRPr="00F07995">
        <w:rPr>
          <w:rFonts w:ascii="Palatino Linotype" w:hAnsi="Palatino Linotype" w:cs="Times New Roman"/>
        </w:rPr>
        <w:t>Por bicicleta, y;</w:t>
      </w:r>
    </w:p>
    <w:p w14:paraId="35A4D82A" w14:textId="77777777" w:rsidR="00907065" w:rsidRPr="00F07995" w:rsidRDefault="00FD212F" w:rsidP="00250512">
      <w:pPr>
        <w:pStyle w:val="Prrafodelista"/>
        <w:numPr>
          <w:ilvl w:val="0"/>
          <w:numId w:val="8"/>
        </w:numPr>
        <w:tabs>
          <w:tab w:val="left" w:pos="993"/>
        </w:tabs>
        <w:spacing w:after="120"/>
        <w:ind w:right="-1"/>
        <w:rPr>
          <w:rFonts w:ascii="Palatino Linotype" w:hAnsi="Palatino Linotype" w:cs="Times New Roman"/>
        </w:rPr>
      </w:pPr>
      <w:r w:rsidRPr="00F07995">
        <w:rPr>
          <w:rFonts w:ascii="Palatino Linotype" w:hAnsi="Palatino Linotype" w:cs="Times New Roman"/>
        </w:rPr>
        <w:t>P</w:t>
      </w:r>
      <w:r w:rsidR="00A26855" w:rsidRPr="00F07995">
        <w:rPr>
          <w:rFonts w:ascii="Palatino Linotype" w:hAnsi="Palatino Linotype" w:cs="Times New Roman"/>
        </w:rPr>
        <w:t xml:space="preserve">or vehículo </w:t>
      </w:r>
      <w:r w:rsidR="00907065" w:rsidRPr="00F07995">
        <w:rPr>
          <w:rFonts w:ascii="Palatino Linotype" w:hAnsi="Palatino Linotype" w:cs="Times New Roman"/>
        </w:rPr>
        <w:t>privado</w:t>
      </w:r>
      <w:r w:rsidR="00A26855" w:rsidRPr="00F07995">
        <w:rPr>
          <w:rFonts w:ascii="Palatino Linotype" w:hAnsi="Palatino Linotype" w:cs="Times New Roman"/>
        </w:rPr>
        <w:t>.</w:t>
      </w:r>
    </w:p>
    <w:p w14:paraId="26E61D25" w14:textId="0B2C82C3" w:rsidR="002D797B" w:rsidRPr="00694D76" w:rsidRDefault="00A26855" w:rsidP="00694D76">
      <w:pPr>
        <w:pStyle w:val="Textodebloque"/>
        <w:tabs>
          <w:tab w:val="left" w:pos="851"/>
        </w:tabs>
        <w:spacing w:after="120" w:line="276" w:lineRule="auto"/>
        <w:ind w:left="0" w:right="-1" w:firstLine="0"/>
        <w:rPr>
          <w:rFonts w:ascii="Palatino Linotype" w:eastAsiaTheme="minorHAnsi" w:hAnsi="Palatino Linotype"/>
          <w:lang w:val="es-MX" w:eastAsia="en-US"/>
        </w:rPr>
      </w:pPr>
      <w:r w:rsidRPr="00F07995">
        <w:rPr>
          <w:rFonts w:ascii="Palatino Linotype" w:eastAsiaTheme="minorHAnsi" w:hAnsi="Palatino Linotype"/>
          <w:lang w:val="es-MX" w:eastAsia="en-US"/>
        </w:rPr>
        <w:t>En los ingresos y salidas de los estacionamientos hacia la calle Cotopaxi, e</w:t>
      </w:r>
      <w:r w:rsidR="00907065" w:rsidRPr="00F07995">
        <w:rPr>
          <w:rFonts w:ascii="Palatino Linotype" w:eastAsiaTheme="minorHAnsi" w:hAnsi="Palatino Linotype"/>
          <w:lang w:val="es-MX" w:eastAsia="en-US"/>
        </w:rPr>
        <w:t xml:space="preserve">l proyecto </w:t>
      </w:r>
      <w:r w:rsidR="00E412B5" w:rsidRPr="00F07995">
        <w:rPr>
          <w:rFonts w:ascii="Palatino Linotype" w:eastAsiaTheme="minorHAnsi" w:hAnsi="Palatino Linotype"/>
          <w:lang w:val="es-MX" w:eastAsia="en-US"/>
        </w:rPr>
        <w:t xml:space="preserve">observará </w:t>
      </w:r>
      <w:r w:rsidR="00907065" w:rsidRPr="00F07995">
        <w:rPr>
          <w:rFonts w:ascii="Palatino Linotype" w:eastAsiaTheme="minorHAnsi" w:hAnsi="Palatino Linotype"/>
          <w:lang w:val="es-MX" w:eastAsia="en-US"/>
        </w:rPr>
        <w:t>el diseño de carriles de espera</w:t>
      </w:r>
      <w:r w:rsidRPr="00F07995">
        <w:rPr>
          <w:rFonts w:ascii="Palatino Linotype" w:eastAsiaTheme="minorHAnsi" w:hAnsi="Palatino Linotype"/>
          <w:lang w:val="es-MX" w:eastAsia="en-US"/>
        </w:rPr>
        <w:t>,</w:t>
      </w:r>
      <w:r w:rsidR="00907065" w:rsidRPr="00F07995">
        <w:rPr>
          <w:rFonts w:ascii="Palatino Linotype" w:eastAsiaTheme="minorHAnsi" w:hAnsi="Palatino Linotype"/>
          <w:lang w:val="es-MX" w:eastAsia="en-US"/>
        </w:rPr>
        <w:t xml:space="preserve"> según </w:t>
      </w:r>
      <w:r w:rsidR="002D797B" w:rsidRPr="00F07995">
        <w:rPr>
          <w:rFonts w:ascii="Palatino Linotype" w:eastAsiaTheme="minorHAnsi" w:hAnsi="Palatino Linotype"/>
          <w:lang w:val="es-MX" w:eastAsia="en-US"/>
        </w:rPr>
        <w:t>lo determina</w:t>
      </w:r>
      <w:r w:rsidR="00F07995">
        <w:rPr>
          <w:rFonts w:ascii="Palatino Linotype" w:eastAsiaTheme="minorHAnsi" w:hAnsi="Palatino Linotype"/>
          <w:lang w:val="es-MX" w:eastAsia="en-US"/>
        </w:rPr>
        <w:t>do en el informe de movilidad, a</w:t>
      </w:r>
      <w:r w:rsidR="002D797B" w:rsidRPr="00F07995">
        <w:rPr>
          <w:rFonts w:ascii="Palatino Linotype" w:eastAsiaTheme="minorHAnsi" w:hAnsi="Palatino Linotype"/>
          <w:lang w:val="es-MX" w:eastAsia="en-US"/>
        </w:rPr>
        <w:t>nexo 3 A de la presente ordenanza. Queda prohibido cualquier tipo de acces</w:t>
      </w:r>
      <w:r w:rsidR="006449DD" w:rsidRPr="00F07995">
        <w:rPr>
          <w:rFonts w:ascii="Palatino Linotype" w:eastAsiaTheme="minorHAnsi" w:hAnsi="Palatino Linotype"/>
          <w:lang w:val="es-MX" w:eastAsia="en-US"/>
        </w:rPr>
        <w:t xml:space="preserve">o </w:t>
      </w:r>
      <w:r w:rsidR="00402FEE" w:rsidRPr="00F07995">
        <w:rPr>
          <w:rFonts w:ascii="Palatino Linotype" w:eastAsiaTheme="minorHAnsi" w:hAnsi="Palatino Linotype"/>
          <w:lang w:val="es-MX" w:eastAsia="en-US"/>
        </w:rPr>
        <w:t xml:space="preserve">vehicular </w:t>
      </w:r>
      <w:r w:rsidR="006449DD" w:rsidRPr="00F07995">
        <w:rPr>
          <w:rFonts w:ascii="Palatino Linotype" w:eastAsiaTheme="minorHAnsi" w:hAnsi="Palatino Linotype"/>
          <w:lang w:val="es-MX" w:eastAsia="en-US"/>
        </w:rPr>
        <w:t>al proyecto desde</w:t>
      </w:r>
      <w:r w:rsidR="002D797B" w:rsidRPr="00F07995">
        <w:rPr>
          <w:rFonts w:ascii="Palatino Linotype" w:eastAsiaTheme="minorHAnsi" w:hAnsi="Palatino Linotype"/>
          <w:lang w:val="es-MX" w:eastAsia="en-US"/>
        </w:rPr>
        <w:t xml:space="preserve"> el Conector Alpachaca.</w:t>
      </w:r>
      <w:r w:rsidR="002D797B" w:rsidRPr="00694D76">
        <w:rPr>
          <w:rFonts w:ascii="Palatino Linotype" w:eastAsiaTheme="minorHAnsi" w:hAnsi="Palatino Linotype"/>
          <w:lang w:val="es-MX" w:eastAsia="en-US"/>
        </w:rPr>
        <w:t xml:space="preserve"> </w:t>
      </w:r>
    </w:p>
    <w:p w14:paraId="1F08D143" w14:textId="77777777" w:rsidR="00CC090F" w:rsidRPr="00694D76" w:rsidRDefault="00CC090F" w:rsidP="00694D76">
      <w:pPr>
        <w:spacing w:after="120"/>
        <w:rPr>
          <w:rFonts w:ascii="Palatino Linotype" w:hAnsi="Palatino Linotype" w:cs="Times New Roman"/>
        </w:rPr>
      </w:pPr>
      <w:r w:rsidRPr="00694D76">
        <w:rPr>
          <w:rFonts w:ascii="Palatino Linotype" w:hAnsi="Palatino Linotype"/>
          <w:b/>
        </w:rPr>
        <w:t xml:space="preserve">Artículo </w:t>
      </w:r>
      <w:r w:rsidR="00E412B5" w:rsidRPr="00694D76">
        <w:rPr>
          <w:rFonts w:ascii="Palatino Linotype" w:hAnsi="Palatino Linotype"/>
          <w:b/>
        </w:rPr>
        <w:t>17</w:t>
      </w:r>
      <w:r w:rsidRPr="00694D76">
        <w:rPr>
          <w:rFonts w:ascii="Palatino Linotype" w:hAnsi="Palatino Linotype"/>
          <w:b/>
        </w:rPr>
        <w:t xml:space="preserve">.- Medidas de </w:t>
      </w:r>
      <w:r w:rsidR="00E412B5" w:rsidRPr="00694D76">
        <w:rPr>
          <w:rFonts w:ascii="Palatino Linotype" w:hAnsi="Palatino Linotype"/>
          <w:b/>
        </w:rPr>
        <w:t xml:space="preserve">mitigación </w:t>
      </w:r>
      <w:r w:rsidR="006108D1" w:rsidRPr="00694D76">
        <w:rPr>
          <w:rFonts w:ascii="Palatino Linotype" w:hAnsi="Palatino Linotype"/>
          <w:b/>
        </w:rPr>
        <w:t xml:space="preserve">a la circulación de </w:t>
      </w:r>
      <w:proofErr w:type="gramStart"/>
      <w:r w:rsidR="006108D1" w:rsidRPr="00694D76">
        <w:rPr>
          <w:rFonts w:ascii="Palatino Linotype" w:hAnsi="Palatino Linotype"/>
          <w:b/>
        </w:rPr>
        <w:t>t</w:t>
      </w:r>
      <w:r w:rsidRPr="00694D76">
        <w:rPr>
          <w:rFonts w:ascii="Palatino Linotype" w:hAnsi="Palatino Linotype"/>
          <w:b/>
        </w:rPr>
        <w:t>ráfico.-</w:t>
      </w:r>
      <w:proofErr w:type="gramEnd"/>
      <w:r w:rsidRPr="00694D76">
        <w:rPr>
          <w:rFonts w:ascii="Palatino Linotype" w:hAnsi="Palatino Linotype"/>
          <w:b/>
        </w:rPr>
        <w:t xml:space="preserve"> </w:t>
      </w:r>
      <w:r w:rsidR="00296AAF" w:rsidRPr="00694D76">
        <w:rPr>
          <w:rFonts w:ascii="Palatino Linotype" w:hAnsi="Palatino Linotype"/>
        </w:rPr>
        <w:t>Los promotores del proyecto, a su costo</w:t>
      </w:r>
      <w:r w:rsidR="00581692" w:rsidRPr="00694D76">
        <w:rPr>
          <w:rFonts w:ascii="Palatino Linotype" w:hAnsi="Palatino Linotype"/>
        </w:rPr>
        <w:t>,</w:t>
      </w:r>
      <w:r w:rsidR="00296AAF" w:rsidRPr="00694D76">
        <w:rPr>
          <w:rFonts w:ascii="Palatino Linotype" w:hAnsi="Palatino Linotype"/>
        </w:rPr>
        <w:t xml:space="preserve"> deberán ejecutar las </w:t>
      </w:r>
      <w:r w:rsidR="002836BE" w:rsidRPr="00694D76">
        <w:rPr>
          <w:rFonts w:ascii="Palatino Linotype" w:hAnsi="Palatino Linotype"/>
        </w:rPr>
        <w:t xml:space="preserve">siguientes </w:t>
      </w:r>
      <w:r w:rsidR="00296AAF" w:rsidRPr="00694D76">
        <w:rPr>
          <w:rFonts w:ascii="Palatino Linotype" w:hAnsi="Palatino Linotype"/>
        </w:rPr>
        <w:t>medidas de mitigación a la circulación de tráfico</w:t>
      </w:r>
      <w:r w:rsidR="002836BE" w:rsidRPr="00694D76">
        <w:rPr>
          <w:rFonts w:ascii="Palatino Linotype" w:hAnsi="Palatino Linotype"/>
        </w:rPr>
        <w:t>:</w:t>
      </w:r>
    </w:p>
    <w:p w14:paraId="2353D2FA" w14:textId="439A4ECB" w:rsidR="002836BE" w:rsidRPr="00694D76" w:rsidRDefault="006108D1" w:rsidP="00250512">
      <w:pPr>
        <w:pStyle w:val="Prrafodelista"/>
        <w:numPr>
          <w:ilvl w:val="0"/>
          <w:numId w:val="11"/>
        </w:numPr>
        <w:tabs>
          <w:tab w:val="left" w:pos="993"/>
        </w:tabs>
        <w:spacing w:after="120"/>
        <w:ind w:right="-1"/>
        <w:rPr>
          <w:rFonts w:ascii="Palatino Linotype" w:hAnsi="Palatino Linotype" w:cs="Times New Roman"/>
        </w:rPr>
      </w:pPr>
      <w:r w:rsidRPr="00694D76">
        <w:rPr>
          <w:rFonts w:ascii="Palatino Linotype" w:hAnsi="Palatino Linotype" w:cs="Times New Roman"/>
        </w:rPr>
        <w:t xml:space="preserve">Aquellas establecidas en el </w:t>
      </w:r>
      <w:r w:rsidR="002836BE" w:rsidRPr="00694D76">
        <w:rPr>
          <w:rFonts w:ascii="Palatino Linotype" w:hAnsi="Palatino Linotype" w:cs="Times New Roman"/>
        </w:rPr>
        <w:t xml:space="preserve">Informe de la Secretaría de Movilidad No. SM-180/2015 contenido en el </w:t>
      </w:r>
      <w:r w:rsidR="007C317A" w:rsidRPr="00694D76">
        <w:rPr>
          <w:rFonts w:ascii="Palatino Linotype" w:hAnsi="Palatino Linotype" w:cs="Times New Roman"/>
        </w:rPr>
        <w:t xml:space="preserve">oficio </w:t>
      </w:r>
      <w:r w:rsidR="002836BE" w:rsidRPr="00694D76">
        <w:rPr>
          <w:rFonts w:ascii="Palatino Linotype" w:hAnsi="Palatino Linotype" w:cs="Times New Roman"/>
        </w:rPr>
        <w:t>No. SM 1982 de fecha 29 de julio de 2015 (Anexo No.</w:t>
      </w:r>
      <w:r w:rsidR="00D049BE">
        <w:rPr>
          <w:rFonts w:ascii="Palatino Linotype" w:hAnsi="Palatino Linotype" w:cs="Times New Roman"/>
        </w:rPr>
        <w:t xml:space="preserve"> </w:t>
      </w:r>
      <w:r w:rsidR="001C553A" w:rsidRPr="00694D76">
        <w:rPr>
          <w:rFonts w:ascii="Palatino Linotype" w:hAnsi="Palatino Linotype" w:cs="Times New Roman"/>
        </w:rPr>
        <w:t>3</w:t>
      </w:r>
      <w:r w:rsidR="007C317A" w:rsidRPr="00694D76">
        <w:rPr>
          <w:rFonts w:ascii="Palatino Linotype" w:hAnsi="Palatino Linotype" w:cs="Times New Roman"/>
        </w:rPr>
        <w:t>A</w:t>
      </w:r>
      <w:r w:rsidR="002836BE" w:rsidRPr="00694D76">
        <w:rPr>
          <w:rFonts w:ascii="Palatino Linotype" w:hAnsi="Palatino Linotype" w:cs="Times New Roman"/>
        </w:rPr>
        <w:t>)</w:t>
      </w:r>
      <w:r w:rsidR="007C317A" w:rsidRPr="00694D76">
        <w:rPr>
          <w:rFonts w:ascii="Palatino Linotype" w:hAnsi="Palatino Linotype" w:cs="Times New Roman"/>
        </w:rPr>
        <w:t xml:space="preserve"> y su alcance, contenido en el oficio No. SM</w:t>
      </w:r>
      <w:r w:rsidR="00A64E03" w:rsidRPr="00694D76">
        <w:rPr>
          <w:rFonts w:ascii="Palatino Linotype" w:hAnsi="Palatino Linotype" w:cs="Times New Roman"/>
        </w:rPr>
        <w:t xml:space="preserve">-189-2018 del 2 de febrero de 2018, que </w:t>
      </w:r>
      <w:r w:rsidR="0061535D" w:rsidRPr="00694D76">
        <w:rPr>
          <w:rFonts w:ascii="Palatino Linotype" w:hAnsi="Palatino Linotype" w:cs="Times New Roman"/>
        </w:rPr>
        <w:t>contiene</w:t>
      </w:r>
      <w:r w:rsidR="00A64E03" w:rsidRPr="00694D76">
        <w:rPr>
          <w:rFonts w:ascii="Palatino Linotype" w:hAnsi="Palatino Linotype" w:cs="Times New Roman"/>
        </w:rPr>
        <w:t xml:space="preserve"> el informe técnico No. SM-DPPM-013/</w:t>
      </w:r>
      <w:proofErr w:type="gramStart"/>
      <w:r w:rsidR="00A64E03" w:rsidRPr="00694D76">
        <w:rPr>
          <w:rFonts w:ascii="Palatino Linotype" w:hAnsi="Palatino Linotype" w:cs="Times New Roman"/>
        </w:rPr>
        <w:t>2018</w:t>
      </w:r>
      <w:r w:rsidR="007C317A" w:rsidRPr="00694D76">
        <w:rPr>
          <w:rFonts w:ascii="Palatino Linotype" w:hAnsi="Palatino Linotype" w:cs="Times New Roman"/>
        </w:rPr>
        <w:t xml:space="preserve">  (</w:t>
      </w:r>
      <w:proofErr w:type="gramEnd"/>
      <w:r w:rsidR="007C317A" w:rsidRPr="00694D76">
        <w:rPr>
          <w:rFonts w:ascii="Palatino Linotype" w:hAnsi="Palatino Linotype" w:cs="Times New Roman"/>
        </w:rPr>
        <w:t>Anexo No.</w:t>
      </w:r>
      <w:r w:rsidR="00D049BE">
        <w:rPr>
          <w:rFonts w:ascii="Palatino Linotype" w:hAnsi="Palatino Linotype" w:cs="Times New Roman"/>
        </w:rPr>
        <w:t xml:space="preserve"> </w:t>
      </w:r>
      <w:r w:rsidR="001C553A" w:rsidRPr="00694D76">
        <w:rPr>
          <w:rFonts w:ascii="Palatino Linotype" w:hAnsi="Palatino Linotype" w:cs="Times New Roman"/>
        </w:rPr>
        <w:t>3</w:t>
      </w:r>
      <w:r w:rsidR="007C317A" w:rsidRPr="00694D76">
        <w:rPr>
          <w:rFonts w:ascii="Palatino Linotype" w:hAnsi="Palatino Linotype" w:cs="Times New Roman"/>
        </w:rPr>
        <w:t>B)</w:t>
      </w:r>
      <w:r w:rsidR="00DD5ACD" w:rsidRPr="00694D76">
        <w:rPr>
          <w:rFonts w:ascii="Palatino Linotype" w:hAnsi="Palatino Linotype" w:cs="Times New Roman"/>
        </w:rPr>
        <w:t>.</w:t>
      </w:r>
    </w:p>
    <w:p w14:paraId="1C02FF77" w14:textId="37542362" w:rsidR="009D0108" w:rsidRPr="00694D76" w:rsidRDefault="00D049BE" w:rsidP="00694D76">
      <w:pPr>
        <w:pStyle w:val="Prrafodelista"/>
        <w:tabs>
          <w:tab w:val="left" w:pos="851"/>
        </w:tabs>
        <w:spacing w:after="120"/>
        <w:ind w:left="0"/>
        <w:jc w:val="center"/>
        <w:rPr>
          <w:rFonts w:ascii="Palatino Linotype" w:hAnsi="Palatino Linotype" w:cs="Times New Roman"/>
          <w:b/>
        </w:rPr>
      </w:pPr>
      <w:r w:rsidRPr="00694D76">
        <w:rPr>
          <w:rFonts w:ascii="Palatino Linotype" w:hAnsi="Palatino Linotype" w:cs="Times New Roman"/>
          <w:b/>
        </w:rPr>
        <w:t>CAPÍTULO VI</w:t>
      </w:r>
    </w:p>
    <w:p w14:paraId="3A0F3705" w14:textId="32E8886D" w:rsidR="009D0108" w:rsidRPr="00694D76" w:rsidRDefault="00D049BE" w:rsidP="00694D76">
      <w:pPr>
        <w:pStyle w:val="Textodebloque"/>
        <w:tabs>
          <w:tab w:val="left" w:pos="851"/>
        </w:tabs>
        <w:spacing w:after="120" w:line="276" w:lineRule="auto"/>
        <w:ind w:left="0" w:right="-1" w:firstLine="0"/>
        <w:jc w:val="center"/>
        <w:rPr>
          <w:rFonts w:ascii="Palatino Linotype" w:hAnsi="Palatino Linotype"/>
          <w:b/>
        </w:rPr>
      </w:pPr>
      <w:r w:rsidRPr="00694D76">
        <w:rPr>
          <w:rFonts w:ascii="Palatino Linotype" w:hAnsi="Palatino Linotype"/>
          <w:b/>
        </w:rPr>
        <w:t>DE LAS MEDIDAS DE MITIGACIÓN AL IMPACTO AMBIENTAL Y COMPONENTES DE CONSTRUCCIÓN SUSTENTABLE</w:t>
      </w:r>
    </w:p>
    <w:p w14:paraId="4F95F47A" w14:textId="28B1100D" w:rsidR="009D0108" w:rsidRPr="00694D76" w:rsidRDefault="009D0108" w:rsidP="00694D76">
      <w:pPr>
        <w:tabs>
          <w:tab w:val="left" w:pos="993"/>
        </w:tabs>
        <w:spacing w:after="120"/>
        <w:ind w:right="-1"/>
        <w:rPr>
          <w:rFonts w:ascii="Palatino Linotype" w:hAnsi="Palatino Linotype"/>
        </w:rPr>
      </w:pPr>
      <w:r w:rsidRPr="00694D76">
        <w:rPr>
          <w:rFonts w:ascii="Palatino Linotype" w:hAnsi="Palatino Linotype"/>
          <w:b/>
        </w:rPr>
        <w:t xml:space="preserve">Artículo </w:t>
      </w:r>
      <w:r w:rsidR="00581692" w:rsidRPr="00694D76">
        <w:rPr>
          <w:rFonts w:ascii="Palatino Linotype" w:hAnsi="Palatino Linotype"/>
          <w:b/>
        </w:rPr>
        <w:t>18</w:t>
      </w:r>
      <w:r w:rsidRPr="00694D76">
        <w:rPr>
          <w:rFonts w:ascii="Palatino Linotype" w:hAnsi="Palatino Linotype"/>
          <w:b/>
        </w:rPr>
        <w:t xml:space="preserve">.- Medidas de </w:t>
      </w:r>
      <w:r w:rsidR="00D049BE" w:rsidRPr="00694D76">
        <w:rPr>
          <w:rFonts w:ascii="Palatino Linotype" w:hAnsi="Palatino Linotype"/>
          <w:b/>
        </w:rPr>
        <w:t xml:space="preserve">mitigación al impacto </w:t>
      </w:r>
      <w:proofErr w:type="gramStart"/>
      <w:r w:rsidR="00D049BE" w:rsidRPr="00694D76">
        <w:rPr>
          <w:rFonts w:ascii="Palatino Linotype" w:hAnsi="Palatino Linotype"/>
          <w:b/>
        </w:rPr>
        <w:t>ambiental</w:t>
      </w:r>
      <w:r w:rsidRPr="00694D76">
        <w:rPr>
          <w:rFonts w:ascii="Palatino Linotype" w:hAnsi="Palatino Linotype"/>
          <w:b/>
        </w:rPr>
        <w:t>.-</w:t>
      </w:r>
      <w:proofErr w:type="gramEnd"/>
      <w:r w:rsidRPr="00694D76">
        <w:rPr>
          <w:rFonts w:ascii="Palatino Linotype" w:hAnsi="Palatino Linotype"/>
          <w:b/>
        </w:rPr>
        <w:t xml:space="preserve"> </w:t>
      </w:r>
      <w:r w:rsidRPr="00694D76">
        <w:rPr>
          <w:rFonts w:ascii="Palatino Linotype" w:hAnsi="Palatino Linotype"/>
        </w:rPr>
        <w:t>Los promotores del proyecto,</w:t>
      </w:r>
      <w:r w:rsidR="0059724B" w:rsidRPr="00694D76">
        <w:rPr>
          <w:rFonts w:ascii="Palatino Linotype" w:hAnsi="Palatino Linotype"/>
        </w:rPr>
        <w:t xml:space="preserve"> en base al </w:t>
      </w:r>
      <w:r w:rsidR="0059724B" w:rsidRPr="00694D76">
        <w:rPr>
          <w:rFonts w:ascii="Palatino Linotype" w:hAnsi="Palatino Linotype" w:cs="Times New Roman"/>
        </w:rPr>
        <w:t xml:space="preserve">Oficio No. SA-POL-FIS-2014-7300 de fecha 18 de diciembre de 2014  generado </w:t>
      </w:r>
      <w:r w:rsidR="00D049BE">
        <w:rPr>
          <w:rFonts w:ascii="Palatino Linotype" w:hAnsi="Palatino Linotype" w:cs="Times New Roman"/>
        </w:rPr>
        <w:t>por la Secretaría de Ambiente (a</w:t>
      </w:r>
      <w:r w:rsidR="0059724B" w:rsidRPr="00694D76">
        <w:rPr>
          <w:rFonts w:ascii="Palatino Linotype" w:hAnsi="Palatino Linotype" w:cs="Times New Roman"/>
        </w:rPr>
        <w:t>nexo 4 de la presente ordenanza),</w:t>
      </w:r>
      <w:r w:rsidRPr="00694D76">
        <w:rPr>
          <w:rFonts w:ascii="Palatino Linotype" w:hAnsi="Palatino Linotype"/>
        </w:rPr>
        <w:t xml:space="preserve"> a su costo</w:t>
      </w:r>
      <w:r w:rsidR="00581692" w:rsidRPr="00694D76">
        <w:rPr>
          <w:rFonts w:ascii="Palatino Linotype" w:hAnsi="Palatino Linotype"/>
        </w:rPr>
        <w:t>,</w:t>
      </w:r>
      <w:r w:rsidRPr="00694D76">
        <w:rPr>
          <w:rFonts w:ascii="Palatino Linotype" w:hAnsi="Palatino Linotype"/>
        </w:rPr>
        <w:t xml:space="preserve"> deberán contemplar los siguientes componentes</w:t>
      </w:r>
      <w:r w:rsidR="00581692" w:rsidRPr="00694D76">
        <w:rPr>
          <w:rFonts w:ascii="Palatino Linotype" w:hAnsi="Palatino Linotype"/>
        </w:rPr>
        <w:t xml:space="preserve"> orientados a mitigar los impactos al ambiente</w:t>
      </w:r>
      <w:r w:rsidRPr="00694D76">
        <w:rPr>
          <w:rFonts w:ascii="Palatino Linotype" w:hAnsi="Palatino Linotype"/>
        </w:rPr>
        <w:t xml:space="preserve">: </w:t>
      </w:r>
    </w:p>
    <w:p w14:paraId="46D0CCC1" w14:textId="77777777" w:rsidR="009D0108" w:rsidRPr="00694D76" w:rsidRDefault="001A5A02" w:rsidP="00250512">
      <w:pPr>
        <w:pStyle w:val="Prrafodelista"/>
        <w:numPr>
          <w:ilvl w:val="0"/>
          <w:numId w:val="12"/>
        </w:numPr>
        <w:tabs>
          <w:tab w:val="left" w:pos="993"/>
        </w:tabs>
        <w:spacing w:after="120"/>
        <w:ind w:right="-1"/>
        <w:rPr>
          <w:rFonts w:ascii="Palatino Linotype" w:hAnsi="Palatino Linotype"/>
        </w:rPr>
      </w:pPr>
      <w:r w:rsidRPr="00D049BE">
        <w:rPr>
          <w:rFonts w:ascii="Palatino Linotype" w:hAnsi="Palatino Linotype"/>
          <w:b/>
        </w:rPr>
        <w:t>C</w:t>
      </w:r>
      <w:r w:rsidR="009D0108" w:rsidRPr="00D049BE">
        <w:rPr>
          <w:rFonts w:ascii="Palatino Linotype" w:hAnsi="Palatino Linotype"/>
          <w:b/>
        </w:rPr>
        <w:t>o</w:t>
      </w:r>
      <w:r w:rsidRPr="00D049BE">
        <w:rPr>
          <w:rFonts w:ascii="Palatino Linotype" w:hAnsi="Palatino Linotype"/>
          <w:b/>
        </w:rPr>
        <w:t xml:space="preserve">ntaminación de aguas </w:t>
      </w:r>
      <w:proofErr w:type="gramStart"/>
      <w:r w:rsidRPr="00D049BE">
        <w:rPr>
          <w:rFonts w:ascii="Palatino Linotype" w:hAnsi="Palatino Linotype"/>
          <w:b/>
        </w:rPr>
        <w:t>residuales.-</w:t>
      </w:r>
      <w:proofErr w:type="gramEnd"/>
      <w:r w:rsidR="009D0108" w:rsidRPr="00694D76">
        <w:rPr>
          <w:rFonts w:ascii="Palatino Linotype" w:hAnsi="Palatino Linotype"/>
        </w:rPr>
        <w:t xml:space="preserve"> </w:t>
      </w:r>
      <w:r w:rsidR="00AB1BFF" w:rsidRPr="00694D76">
        <w:rPr>
          <w:rFonts w:ascii="Palatino Linotype" w:hAnsi="Palatino Linotype"/>
        </w:rPr>
        <w:t>I</w:t>
      </w:r>
      <w:r w:rsidRPr="00694D76">
        <w:rPr>
          <w:rFonts w:ascii="Palatino Linotype" w:hAnsi="Palatino Linotype"/>
        </w:rPr>
        <w:t>mplementación de proceso de lodos activados hacia una planta de tratamiento.</w:t>
      </w:r>
    </w:p>
    <w:p w14:paraId="534BD92F" w14:textId="77777777" w:rsidR="001A5A02" w:rsidRPr="00694D76" w:rsidRDefault="001A5A02" w:rsidP="00250512">
      <w:pPr>
        <w:pStyle w:val="Prrafodelista"/>
        <w:numPr>
          <w:ilvl w:val="0"/>
          <w:numId w:val="12"/>
        </w:numPr>
        <w:tabs>
          <w:tab w:val="left" w:pos="993"/>
        </w:tabs>
        <w:spacing w:after="120"/>
        <w:ind w:right="-1"/>
        <w:rPr>
          <w:rFonts w:ascii="Palatino Linotype" w:hAnsi="Palatino Linotype"/>
        </w:rPr>
      </w:pPr>
      <w:r w:rsidRPr="00D049BE">
        <w:rPr>
          <w:rFonts w:ascii="Palatino Linotype" w:hAnsi="Palatino Linotype"/>
          <w:b/>
        </w:rPr>
        <w:lastRenderedPageBreak/>
        <w:t xml:space="preserve">Contaminación del </w:t>
      </w:r>
      <w:proofErr w:type="gramStart"/>
      <w:r w:rsidRPr="00D049BE">
        <w:rPr>
          <w:rFonts w:ascii="Palatino Linotype" w:hAnsi="Palatino Linotype"/>
          <w:b/>
        </w:rPr>
        <w:t>aire.-</w:t>
      </w:r>
      <w:proofErr w:type="gramEnd"/>
      <w:r w:rsidRPr="00D049BE">
        <w:rPr>
          <w:rFonts w:ascii="Palatino Linotype" w:hAnsi="Palatino Linotype"/>
          <w:b/>
        </w:rPr>
        <w:t xml:space="preserve"> </w:t>
      </w:r>
      <w:r w:rsidR="00AB1BFF" w:rsidRPr="00694D76">
        <w:rPr>
          <w:rFonts w:ascii="Palatino Linotype" w:hAnsi="Palatino Linotype"/>
        </w:rPr>
        <w:t>S</w:t>
      </w:r>
      <w:r w:rsidRPr="00694D76">
        <w:rPr>
          <w:rFonts w:ascii="Palatino Linotype" w:hAnsi="Palatino Linotype"/>
        </w:rPr>
        <w:t>istemas de refrigeración ecológica constante y variable para las habitaciones, pasillos y aire fresco.</w:t>
      </w:r>
    </w:p>
    <w:p w14:paraId="1FD7CE72" w14:textId="77777777" w:rsidR="001A5A02" w:rsidRPr="00694D76" w:rsidRDefault="001A5A02" w:rsidP="00250512">
      <w:pPr>
        <w:pStyle w:val="Prrafodelista"/>
        <w:numPr>
          <w:ilvl w:val="0"/>
          <w:numId w:val="12"/>
        </w:numPr>
        <w:tabs>
          <w:tab w:val="left" w:pos="993"/>
        </w:tabs>
        <w:spacing w:after="120"/>
        <w:ind w:right="-1"/>
        <w:rPr>
          <w:rFonts w:ascii="Palatino Linotype" w:hAnsi="Palatino Linotype"/>
        </w:rPr>
      </w:pPr>
      <w:r w:rsidRPr="00D049BE">
        <w:rPr>
          <w:rFonts w:ascii="Palatino Linotype" w:hAnsi="Palatino Linotype"/>
          <w:b/>
        </w:rPr>
        <w:t xml:space="preserve">Contaminación del </w:t>
      </w:r>
      <w:proofErr w:type="gramStart"/>
      <w:r w:rsidRPr="00D049BE">
        <w:rPr>
          <w:rFonts w:ascii="Palatino Linotype" w:hAnsi="Palatino Linotype"/>
          <w:b/>
        </w:rPr>
        <w:t>suelo.-</w:t>
      </w:r>
      <w:proofErr w:type="gramEnd"/>
      <w:r w:rsidRPr="00694D76">
        <w:rPr>
          <w:rFonts w:ascii="Palatino Linotype" w:hAnsi="Palatino Linotype"/>
        </w:rPr>
        <w:t xml:space="preserve"> </w:t>
      </w:r>
      <w:r w:rsidR="00AB1BFF" w:rsidRPr="00694D76">
        <w:rPr>
          <w:rFonts w:ascii="Palatino Linotype" w:hAnsi="Palatino Linotype"/>
        </w:rPr>
        <w:t>P</w:t>
      </w:r>
      <w:r w:rsidRPr="00694D76">
        <w:rPr>
          <w:rFonts w:ascii="Palatino Linotype" w:hAnsi="Palatino Linotype"/>
        </w:rPr>
        <w:t>lan de contingencia para derrame de aceites y combustible, incendios y conformar un manual de seguridad.</w:t>
      </w:r>
    </w:p>
    <w:p w14:paraId="3517B43F" w14:textId="77777777" w:rsidR="001A5A02" w:rsidRPr="00694D76" w:rsidRDefault="001A5A02" w:rsidP="00250512">
      <w:pPr>
        <w:pStyle w:val="Prrafodelista"/>
        <w:numPr>
          <w:ilvl w:val="0"/>
          <w:numId w:val="12"/>
        </w:numPr>
        <w:tabs>
          <w:tab w:val="left" w:pos="993"/>
        </w:tabs>
        <w:spacing w:after="120"/>
        <w:ind w:right="-1"/>
        <w:rPr>
          <w:rFonts w:ascii="Palatino Linotype" w:hAnsi="Palatino Linotype"/>
        </w:rPr>
      </w:pPr>
      <w:r w:rsidRPr="00D049BE">
        <w:rPr>
          <w:rFonts w:ascii="Palatino Linotype" w:hAnsi="Palatino Linotype"/>
          <w:b/>
        </w:rPr>
        <w:t xml:space="preserve">Incendios </w:t>
      </w:r>
      <w:proofErr w:type="gramStart"/>
      <w:r w:rsidRPr="00D049BE">
        <w:rPr>
          <w:rFonts w:ascii="Palatino Linotype" w:hAnsi="Palatino Linotype"/>
          <w:b/>
        </w:rPr>
        <w:t>forestales.-</w:t>
      </w:r>
      <w:proofErr w:type="gramEnd"/>
      <w:r w:rsidRPr="00694D76">
        <w:rPr>
          <w:rFonts w:ascii="Palatino Linotype" w:hAnsi="Palatino Linotype"/>
        </w:rPr>
        <w:t xml:space="preserve"> </w:t>
      </w:r>
      <w:r w:rsidR="00AB1BFF" w:rsidRPr="00694D76">
        <w:rPr>
          <w:rFonts w:ascii="Palatino Linotype" w:hAnsi="Palatino Linotype"/>
        </w:rPr>
        <w:t>S</w:t>
      </w:r>
      <w:r w:rsidRPr="00694D76">
        <w:rPr>
          <w:rFonts w:ascii="Palatino Linotype" w:hAnsi="Palatino Linotype"/>
        </w:rPr>
        <w:t>istema contra incendio previsto para una demanda de 500 galones por minuto por una hora de abastecimiento.</w:t>
      </w:r>
    </w:p>
    <w:p w14:paraId="696A9DA4" w14:textId="77777777" w:rsidR="001A5A02" w:rsidRPr="00694D76" w:rsidRDefault="001A5A02" w:rsidP="00250512">
      <w:pPr>
        <w:pStyle w:val="Prrafodelista"/>
        <w:numPr>
          <w:ilvl w:val="0"/>
          <w:numId w:val="12"/>
        </w:numPr>
        <w:tabs>
          <w:tab w:val="left" w:pos="993"/>
        </w:tabs>
        <w:spacing w:after="120"/>
        <w:ind w:right="-1"/>
        <w:rPr>
          <w:rFonts w:ascii="Palatino Linotype" w:hAnsi="Palatino Linotype"/>
        </w:rPr>
      </w:pPr>
      <w:r w:rsidRPr="00D049BE">
        <w:rPr>
          <w:rFonts w:ascii="Palatino Linotype" w:hAnsi="Palatino Linotype"/>
          <w:b/>
        </w:rPr>
        <w:t xml:space="preserve">Del </w:t>
      </w:r>
      <w:proofErr w:type="gramStart"/>
      <w:r w:rsidR="00E53D99" w:rsidRPr="00D049BE">
        <w:rPr>
          <w:rFonts w:ascii="Palatino Linotype" w:hAnsi="Palatino Linotype"/>
          <w:b/>
        </w:rPr>
        <w:t>p</w:t>
      </w:r>
      <w:r w:rsidRPr="00D049BE">
        <w:rPr>
          <w:rFonts w:ascii="Palatino Linotype" w:hAnsi="Palatino Linotype"/>
          <w:b/>
        </w:rPr>
        <w:t>aisaje.-</w:t>
      </w:r>
      <w:proofErr w:type="gramEnd"/>
      <w:r w:rsidRPr="00D049BE">
        <w:rPr>
          <w:rFonts w:ascii="Palatino Linotype" w:hAnsi="Palatino Linotype"/>
          <w:b/>
        </w:rPr>
        <w:t xml:space="preserve"> </w:t>
      </w:r>
      <w:r w:rsidR="00AB1BFF" w:rsidRPr="00694D76">
        <w:rPr>
          <w:rFonts w:ascii="Palatino Linotype" w:hAnsi="Palatino Linotype"/>
        </w:rPr>
        <w:t>D</w:t>
      </w:r>
      <w:r w:rsidRPr="00694D76">
        <w:rPr>
          <w:rFonts w:ascii="Palatino Linotype" w:hAnsi="Palatino Linotype"/>
        </w:rPr>
        <w:t>iseño paisajístico considerando especie nativas con ambientes propicios para atraer aves silvestres.</w:t>
      </w:r>
    </w:p>
    <w:p w14:paraId="3A2E84BB" w14:textId="77777777" w:rsidR="006D7B49" w:rsidRPr="00694D76" w:rsidRDefault="006D7B49" w:rsidP="00694D76">
      <w:pPr>
        <w:tabs>
          <w:tab w:val="left" w:pos="993"/>
        </w:tabs>
        <w:spacing w:after="120"/>
        <w:ind w:right="-1"/>
        <w:rPr>
          <w:rFonts w:ascii="Palatino Linotype" w:hAnsi="Palatino Linotype"/>
        </w:rPr>
      </w:pPr>
      <w:r w:rsidRPr="00694D76">
        <w:rPr>
          <w:rFonts w:ascii="Palatino Linotype" w:hAnsi="Palatino Linotype"/>
          <w:b/>
        </w:rPr>
        <w:t xml:space="preserve">Artículo </w:t>
      </w:r>
      <w:r w:rsidR="00581692" w:rsidRPr="00694D76">
        <w:rPr>
          <w:rFonts w:ascii="Palatino Linotype" w:hAnsi="Palatino Linotype"/>
          <w:b/>
        </w:rPr>
        <w:t>19</w:t>
      </w:r>
      <w:r w:rsidRPr="00694D76">
        <w:rPr>
          <w:rFonts w:ascii="Palatino Linotype" w:hAnsi="Palatino Linotype"/>
          <w:b/>
        </w:rPr>
        <w:t xml:space="preserve">.- Componentes de construcción </w:t>
      </w:r>
      <w:proofErr w:type="gramStart"/>
      <w:r w:rsidR="000C4286" w:rsidRPr="00694D76">
        <w:rPr>
          <w:rFonts w:ascii="Palatino Linotype" w:hAnsi="Palatino Linotype"/>
          <w:b/>
        </w:rPr>
        <w:t>s</w:t>
      </w:r>
      <w:r w:rsidRPr="00694D76">
        <w:rPr>
          <w:rFonts w:ascii="Palatino Linotype" w:hAnsi="Palatino Linotype"/>
          <w:b/>
        </w:rPr>
        <w:t>ustentable.-</w:t>
      </w:r>
      <w:proofErr w:type="gramEnd"/>
      <w:r w:rsidRPr="00694D76">
        <w:rPr>
          <w:rFonts w:ascii="Palatino Linotype" w:hAnsi="Palatino Linotype"/>
          <w:b/>
        </w:rPr>
        <w:t xml:space="preserve"> </w:t>
      </w:r>
      <w:r w:rsidRPr="00694D76">
        <w:rPr>
          <w:rFonts w:ascii="Palatino Linotype" w:hAnsi="Palatino Linotype"/>
        </w:rPr>
        <w:t>Las edificaciones que integran este proyecto deberán contemplar los siguientes componentes:</w:t>
      </w:r>
    </w:p>
    <w:p w14:paraId="25A6BFD8" w14:textId="77777777" w:rsidR="006D7B49" w:rsidRPr="00694D76" w:rsidRDefault="006D7B49" w:rsidP="00250512">
      <w:pPr>
        <w:pStyle w:val="Prrafodelista"/>
        <w:numPr>
          <w:ilvl w:val="0"/>
          <w:numId w:val="13"/>
        </w:numPr>
        <w:tabs>
          <w:tab w:val="left" w:pos="993"/>
        </w:tabs>
        <w:spacing w:after="120"/>
        <w:ind w:right="-1"/>
        <w:rPr>
          <w:rFonts w:ascii="Palatino Linotype" w:hAnsi="Palatino Linotype"/>
        </w:rPr>
      </w:pPr>
      <w:proofErr w:type="gramStart"/>
      <w:r w:rsidRPr="00D049BE">
        <w:rPr>
          <w:rFonts w:ascii="Palatino Linotype" w:hAnsi="Palatino Linotype"/>
          <w:b/>
        </w:rPr>
        <w:t>Lavado.-</w:t>
      </w:r>
      <w:proofErr w:type="gramEnd"/>
      <w:r w:rsidRPr="00D049BE">
        <w:rPr>
          <w:rFonts w:ascii="Palatino Linotype" w:hAnsi="Palatino Linotype"/>
          <w:b/>
        </w:rPr>
        <w:t xml:space="preserve"> </w:t>
      </w:r>
      <w:r w:rsidR="000C4286" w:rsidRPr="00694D76">
        <w:rPr>
          <w:rFonts w:ascii="Palatino Linotype" w:hAnsi="Palatino Linotype"/>
        </w:rPr>
        <w:t>S</w:t>
      </w:r>
      <w:r w:rsidRPr="00694D76">
        <w:rPr>
          <w:rFonts w:ascii="Palatino Linotype" w:hAnsi="Palatino Linotype"/>
        </w:rPr>
        <w:t>istemas de lavadoras con eficiencia energética y consumo óptimo de agua.</w:t>
      </w:r>
    </w:p>
    <w:p w14:paraId="091A8702" w14:textId="77777777" w:rsidR="006D7B49" w:rsidRPr="00694D76" w:rsidRDefault="006D7B49" w:rsidP="00250512">
      <w:pPr>
        <w:pStyle w:val="Prrafodelista"/>
        <w:numPr>
          <w:ilvl w:val="0"/>
          <w:numId w:val="13"/>
        </w:numPr>
        <w:tabs>
          <w:tab w:val="left" w:pos="993"/>
        </w:tabs>
        <w:spacing w:after="120"/>
        <w:ind w:right="-1"/>
        <w:rPr>
          <w:rFonts w:ascii="Palatino Linotype" w:hAnsi="Palatino Linotype"/>
        </w:rPr>
      </w:pPr>
      <w:r w:rsidRPr="00D049BE">
        <w:rPr>
          <w:rFonts w:ascii="Palatino Linotype" w:hAnsi="Palatino Linotype"/>
          <w:b/>
        </w:rPr>
        <w:t xml:space="preserve">Sistema </w:t>
      </w:r>
      <w:proofErr w:type="gramStart"/>
      <w:r w:rsidRPr="00D049BE">
        <w:rPr>
          <w:rFonts w:ascii="Palatino Linotype" w:hAnsi="Palatino Linotype"/>
          <w:b/>
        </w:rPr>
        <w:t>eléctrico.-</w:t>
      </w:r>
      <w:proofErr w:type="gramEnd"/>
      <w:r w:rsidRPr="00D049BE">
        <w:rPr>
          <w:rFonts w:ascii="Palatino Linotype" w:hAnsi="Palatino Linotype"/>
          <w:b/>
        </w:rPr>
        <w:t xml:space="preserve"> </w:t>
      </w:r>
      <w:r w:rsidRPr="00694D76">
        <w:rPr>
          <w:rFonts w:ascii="Palatino Linotype" w:hAnsi="Palatino Linotype"/>
        </w:rPr>
        <w:t>Se debe</w:t>
      </w:r>
      <w:r w:rsidR="007C317A" w:rsidRPr="00694D76">
        <w:rPr>
          <w:rFonts w:ascii="Palatino Linotype" w:hAnsi="Palatino Linotype"/>
        </w:rPr>
        <w:t>rá</w:t>
      </w:r>
      <w:r w:rsidRPr="00694D76">
        <w:rPr>
          <w:rFonts w:ascii="Palatino Linotype" w:hAnsi="Palatino Linotype"/>
        </w:rPr>
        <w:t xml:space="preserve"> establecer un sistema de control de iluminación y la utilización de </w:t>
      </w:r>
      <w:r w:rsidR="002836BE" w:rsidRPr="00694D76">
        <w:rPr>
          <w:rFonts w:ascii="Palatino Linotype" w:hAnsi="Palatino Linotype"/>
        </w:rPr>
        <w:t>luminaria</w:t>
      </w:r>
      <w:r w:rsidRPr="00694D76">
        <w:rPr>
          <w:rFonts w:ascii="Palatino Linotype" w:hAnsi="Palatino Linotype"/>
        </w:rPr>
        <w:t xml:space="preserve"> </w:t>
      </w:r>
      <w:r w:rsidR="007C317A" w:rsidRPr="00694D76">
        <w:rPr>
          <w:rFonts w:ascii="Palatino Linotype" w:hAnsi="Palatino Linotype"/>
        </w:rPr>
        <w:t>LED</w:t>
      </w:r>
      <w:r w:rsidRPr="00694D76">
        <w:rPr>
          <w:rFonts w:ascii="Palatino Linotype" w:hAnsi="Palatino Linotype"/>
        </w:rPr>
        <w:t>.</w:t>
      </w:r>
    </w:p>
    <w:p w14:paraId="59B9FA6B" w14:textId="77777777" w:rsidR="006D7B49" w:rsidRPr="00694D76" w:rsidRDefault="006D7B49" w:rsidP="00250512">
      <w:pPr>
        <w:pStyle w:val="Prrafodelista"/>
        <w:numPr>
          <w:ilvl w:val="0"/>
          <w:numId w:val="13"/>
        </w:numPr>
        <w:tabs>
          <w:tab w:val="left" w:pos="993"/>
        </w:tabs>
        <w:spacing w:after="120"/>
        <w:ind w:right="-1"/>
        <w:rPr>
          <w:rFonts w:ascii="Palatino Linotype" w:hAnsi="Palatino Linotype"/>
        </w:rPr>
      </w:pPr>
      <w:r w:rsidRPr="00D049BE">
        <w:rPr>
          <w:rFonts w:ascii="Palatino Linotype" w:hAnsi="Palatino Linotype"/>
          <w:b/>
        </w:rPr>
        <w:t xml:space="preserve">Cubiertas </w:t>
      </w:r>
      <w:proofErr w:type="gramStart"/>
      <w:r w:rsidRPr="00D049BE">
        <w:rPr>
          <w:rFonts w:ascii="Palatino Linotype" w:hAnsi="Palatino Linotype"/>
          <w:b/>
        </w:rPr>
        <w:t>verdes.-</w:t>
      </w:r>
      <w:proofErr w:type="gramEnd"/>
      <w:r w:rsidRPr="00D049BE">
        <w:rPr>
          <w:rFonts w:ascii="Palatino Linotype" w:hAnsi="Palatino Linotype"/>
          <w:b/>
        </w:rPr>
        <w:t xml:space="preserve"> </w:t>
      </w:r>
      <w:r w:rsidRPr="00694D76">
        <w:rPr>
          <w:rFonts w:ascii="Palatino Linotype" w:hAnsi="Palatino Linotype"/>
        </w:rPr>
        <w:t>Generará 700 m</w:t>
      </w:r>
      <w:r w:rsidRPr="00694D76">
        <w:rPr>
          <w:rFonts w:ascii="Palatino Linotype" w:hAnsi="Palatino Linotype"/>
          <w:vertAlign w:val="superscript"/>
        </w:rPr>
        <w:t>2</w:t>
      </w:r>
      <w:r w:rsidRPr="00694D76">
        <w:rPr>
          <w:rFonts w:ascii="Palatino Linotype" w:hAnsi="Palatino Linotype"/>
        </w:rPr>
        <w:t xml:space="preserve"> de cubiertas verdes.</w:t>
      </w:r>
    </w:p>
    <w:p w14:paraId="4EC8B888" w14:textId="77777777" w:rsidR="006D7B49" w:rsidRPr="00694D76" w:rsidRDefault="006D7B49" w:rsidP="00250512">
      <w:pPr>
        <w:pStyle w:val="Prrafodelista"/>
        <w:numPr>
          <w:ilvl w:val="0"/>
          <w:numId w:val="13"/>
        </w:numPr>
        <w:tabs>
          <w:tab w:val="left" w:pos="993"/>
        </w:tabs>
        <w:spacing w:after="120"/>
        <w:ind w:right="-1"/>
        <w:rPr>
          <w:rFonts w:ascii="Palatino Linotype" w:hAnsi="Palatino Linotype"/>
        </w:rPr>
      </w:pPr>
      <w:r w:rsidRPr="00694D76">
        <w:rPr>
          <w:rFonts w:ascii="Palatino Linotype" w:hAnsi="Palatino Linotype"/>
        </w:rPr>
        <w:t xml:space="preserve">Separación de </w:t>
      </w:r>
      <w:proofErr w:type="gramStart"/>
      <w:r w:rsidRPr="00694D76">
        <w:rPr>
          <w:rFonts w:ascii="Palatino Linotype" w:hAnsi="Palatino Linotype"/>
        </w:rPr>
        <w:t>aguas.-</w:t>
      </w:r>
      <w:proofErr w:type="gramEnd"/>
      <w:r w:rsidRPr="00694D76">
        <w:rPr>
          <w:rFonts w:ascii="Palatino Linotype" w:hAnsi="Palatino Linotype"/>
        </w:rPr>
        <w:t xml:space="preserve"> Construirá una red para canalizar aguas lluvias y otra para canalizar aguas servidas.</w:t>
      </w:r>
    </w:p>
    <w:p w14:paraId="055C1533" w14:textId="77777777" w:rsidR="006D7B49" w:rsidRPr="00694D76" w:rsidRDefault="00427878" w:rsidP="00250512">
      <w:pPr>
        <w:pStyle w:val="Prrafodelista"/>
        <w:numPr>
          <w:ilvl w:val="0"/>
          <w:numId w:val="13"/>
        </w:numPr>
        <w:tabs>
          <w:tab w:val="left" w:pos="993"/>
        </w:tabs>
        <w:spacing w:after="120"/>
        <w:ind w:right="-1"/>
        <w:rPr>
          <w:rFonts w:ascii="Palatino Linotype" w:hAnsi="Palatino Linotype"/>
        </w:rPr>
      </w:pPr>
      <w:r w:rsidRPr="00D049BE">
        <w:rPr>
          <w:rFonts w:ascii="Palatino Linotype" w:hAnsi="Palatino Linotype"/>
          <w:b/>
        </w:rPr>
        <w:t xml:space="preserve">Porcentaje de áreas </w:t>
      </w:r>
      <w:proofErr w:type="gramStart"/>
      <w:r w:rsidRPr="00D049BE">
        <w:rPr>
          <w:rFonts w:ascii="Palatino Linotype" w:hAnsi="Palatino Linotype"/>
          <w:b/>
        </w:rPr>
        <w:t>verde.-</w:t>
      </w:r>
      <w:proofErr w:type="gramEnd"/>
      <w:r w:rsidRPr="00694D76">
        <w:rPr>
          <w:rFonts w:ascii="Palatino Linotype" w:hAnsi="Palatino Linotype"/>
        </w:rPr>
        <w:t xml:space="preserve"> </w:t>
      </w:r>
      <w:r w:rsidR="00581692" w:rsidRPr="00694D76">
        <w:rPr>
          <w:rFonts w:ascii="Palatino Linotype" w:hAnsi="Palatino Linotype"/>
        </w:rPr>
        <w:t>Mantendrá</w:t>
      </w:r>
      <w:r w:rsidRPr="00694D76">
        <w:rPr>
          <w:rFonts w:ascii="Palatino Linotype" w:hAnsi="Palatino Linotype"/>
        </w:rPr>
        <w:t xml:space="preserve"> una superficie de </w:t>
      </w:r>
      <w:r w:rsidR="00AB1BFF" w:rsidRPr="00694D76">
        <w:rPr>
          <w:rFonts w:ascii="Palatino Linotype" w:hAnsi="Palatino Linotype"/>
        </w:rPr>
        <w:t>área</w:t>
      </w:r>
      <w:r w:rsidRPr="00694D76">
        <w:rPr>
          <w:rFonts w:ascii="Palatino Linotype" w:hAnsi="Palatino Linotype"/>
        </w:rPr>
        <w:t xml:space="preserve"> verde de </w:t>
      </w:r>
      <w:r w:rsidR="00AB1BFF" w:rsidRPr="00694D76">
        <w:rPr>
          <w:rFonts w:ascii="Palatino Linotype" w:hAnsi="Palatino Linotype"/>
        </w:rPr>
        <w:t>más de 2.00</w:t>
      </w:r>
      <w:r w:rsidRPr="00694D76">
        <w:rPr>
          <w:rFonts w:ascii="Palatino Linotype" w:hAnsi="Palatino Linotype"/>
        </w:rPr>
        <w:t>0 m</w:t>
      </w:r>
      <w:r w:rsidRPr="00694D76">
        <w:rPr>
          <w:rFonts w:ascii="Palatino Linotype" w:hAnsi="Palatino Linotype"/>
          <w:vertAlign w:val="superscript"/>
        </w:rPr>
        <w:t>2</w:t>
      </w:r>
      <w:r w:rsidRPr="00694D76">
        <w:rPr>
          <w:rFonts w:ascii="Palatino Linotype" w:hAnsi="Palatino Linotype"/>
        </w:rPr>
        <w:t>.</w:t>
      </w:r>
    </w:p>
    <w:p w14:paraId="38A5E632" w14:textId="77777777" w:rsidR="009D0108" w:rsidRPr="00694D76" w:rsidRDefault="00427878" w:rsidP="00250512">
      <w:pPr>
        <w:pStyle w:val="Prrafodelista"/>
        <w:numPr>
          <w:ilvl w:val="0"/>
          <w:numId w:val="13"/>
        </w:numPr>
        <w:tabs>
          <w:tab w:val="left" w:pos="993"/>
        </w:tabs>
        <w:spacing w:after="120"/>
        <w:ind w:right="-1"/>
        <w:rPr>
          <w:rFonts w:ascii="Palatino Linotype" w:hAnsi="Palatino Linotype"/>
        </w:rPr>
      </w:pPr>
      <w:r w:rsidRPr="00D049BE">
        <w:rPr>
          <w:rFonts w:ascii="Palatino Linotype" w:hAnsi="Palatino Linotype"/>
          <w:b/>
        </w:rPr>
        <w:t xml:space="preserve">Disposición de residuos de </w:t>
      </w:r>
      <w:proofErr w:type="gramStart"/>
      <w:r w:rsidRPr="00D049BE">
        <w:rPr>
          <w:rFonts w:ascii="Palatino Linotype" w:hAnsi="Palatino Linotype"/>
          <w:b/>
        </w:rPr>
        <w:t>construcción.-</w:t>
      </w:r>
      <w:proofErr w:type="gramEnd"/>
      <w:r w:rsidRPr="00D049BE">
        <w:rPr>
          <w:rFonts w:ascii="Palatino Linotype" w:hAnsi="Palatino Linotype"/>
          <w:b/>
        </w:rPr>
        <w:t xml:space="preserve"> </w:t>
      </w:r>
      <w:r w:rsidRPr="00694D76">
        <w:rPr>
          <w:rFonts w:ascii="Palatino Linotype" w:hAnsi="Palatino Linotype"/>
        </w:rPr>
        <w:t xml:space="preserve">Especificará los reglamentos de prevención de riesgos laborales y seguimiento durante toda la fase de construcción, tanto en el ingreso de material como en los desechos sólidos generados en la construcción. </w:t>
      </w:r>
    </w:p>
    <w:p w14:paraId="27F43DBA" w14:textId="5E669C92" w:rsidR="005C3464" w:rsidRPr="00694D76" w:rsidRDefault="00D049BE" w:rsidP="00694D76">
      <w:pPr>
        <w:pStyle w:val="Prrafodelista"/>
        <w:tabs>
          <w:tab w:val="left" w:pos="851"/>
        </w:tabs>
        <w:spacing w:after="120"/>
        <w:ind w:left="0"/>
        <w:jc w:val="center"/>
        <w:rPr>
          <w:rFonts w:ascii="Palatino Linotype" w:hAnsi="Palatino Linotype" w:cs="Times New Roman"/>
          <w:b/>
        </w:rPr>
      </w:pPr>
      <w:r w:rsidRPr="00694D76">
        <w:rPr>
          <w:rFonts w:ascii="Palatino Linotype" w:hAnsi="Palatino Linotype" w:cs="Times New Roman"/>
          <w:b/>
        </w:rPr>
        <w:t>CAPÍTULO VII</w:t>
      </w:r>
    </w:p>
    <w:p w14:paraId="5FF0D5E5" w14:textId="02E15708" w:rsidR="00D61C95" w:rsidRPr="00694D76" w:rsidRDefault="00D049BE" w:rsidP="00694D76">
      <w:pPr>
        <w:pStyle w:val="Textodebloque"/>
        <w:tabs>
          <w:tab w:val="left" w:pos="851"/>
        </w:tabs>
        <w:spacing w:after="120" w:line="276" w:lineRule="auto"/>
        <w:ind w:left="0" w:right="-1" w:firstLine="0"/>
        <w:jc w:val="center"/>
        <w:rPr>
          <w:rFonts w:ascii="Palatino Linotype" w:hAnsi="Palatino Linotype"/>
          <w:b/>
        </w:rPr>
      </w:pPr>
      <w:r w:rsidRPr="00694D76">
        <w:rPr>
          <w:rFonts w:ascii="Palatino Linotype" w:hAnsi="Palatino Linotype"/>
          <w:b/>
        </w:rPr>
        <w:t>CONCESIÓN ONEROSA DE DERECHOS Y FORMA DE PAGO</w:t>
      </w:r>
    </w:p>
    <w:p w14:paraId="0A85C294" w14:textId="24694772" w:rsidR="00907065" w:rsidRPr="00694D76" w:rsidRDefault="00D61C95" w:rsidP="00694D76">
      <w:pPr>
        <w:spacing w:after="120"/>
        <w:rPr>
          <w:rFonts w:ascii="Palatino Linotype" w:eastAsia="Times New Roman" w:hAnsi="Palatino Linotype" w:cs="Times New Roman"/>
          <w:lang w:val="es-ES" w:eastAsia="es-ES"/>
        </w:rPr>
      </w:pPr>
      <w:r w:rsidRPr="00694D76">
        <w:rPr>
          <w:rFonts w:ascii="Palatino Linotype" w:hAnsi="Palatino Linotype"/>
          <w:b/>
        </w:rPr>
        <w:t xml:space="preserve">Artículo </w:t>
      </w:r>
      <w:r w:rsidR="00E916E9" w:rsidRPr="00694D76">
        <w:rPr>
          <w:rFonts w:ascii="Palatino Linotype" w:hAnsi="Palatino Linotype"/>
          <w:b/>
        </w:rPr>
        <w:t>20</w:t>
      </w:r>
      <w:r w:rsidRPr="00694D76">
        <w:rPr>
          <w:rFonts w:ascii="Palatino Linotype" w:hAnsi="Palatino Linotype"/>
          <w:b/>
        </w:rPr>
        <w:t>.</w:t>
      </w:r>
      <w:r w:rsidR="00E916E9" w:rsidRPr="00694D76">
        <w:rPr>
          <w:rFonts w:ascii="Palatino Linotype" w:hAnsi="Palatino Linotype"/>
          <w:b/>
        </w:rPr>
        <w:t>-</w:t>
      </w:r>
      <w:r w:rsidRPr="00694D76">
        <w:rPr>
          <w:rFonts w:ascii="Palatino Linotype" w:hAnsi="Palatino Linotype"/>
          <w:b/>
        </w:rPr>
        <w:t xml:space="preserve"> </w:t>
      </w:r>
      <w:r w:rsidR="00E916E9" w:rsidRPr="00694D76">
        <w:rPr>
          <w:rFonts w:ascii="Palatino Linotype" w:hAnsi="Palatino Linotype"/>
          <w:b/>
        </w:rPr>
        <w:t xml:space="preserve">Cálculo de la Concesión </w:t>
      </w:r>
      <w:r w:rsidR="008F0F37" w:rsidRPr="00694D76">
        <w:rPr>
          <w:rFonts w:ascii="Palatino Linotype" w:hAnsi="Palatino Linotype"/>
          <w:b/>
        </w:rPr>
        <w:t xml:space="preserve">Onerosa </w:t>
      </w:r>
      <w:r w:rsidR="00E916E9" w:rsidRPr="00694D76">
        <w:rPr>
          <w:rFonts w:ascii="Palatino Linotype" w:hAnsi="Palatino Linotype"/>
          <w:b/>
        </w:rPr>
        <w:t xml:space="preserve">de </w:t>
      </w:r>
      <w:r w:rsidR="00D049BE">
        <w:rPr>
          <w:rFonts w:ascii="Palatino Linotype" w:hAnsi="Palatino Linotype"/>
          <w:b/>
        </w:rPr>
        <w:t xml:space="preserve">Derechos (COD) por </w:t>
      </w:r>
      <w:proofErr w:type="gramStart"/>
      <w:r w:rsidR="00D049BE">
        <w:rPr>
          <w:rFonts w:ascii="Palatino Linotype" w:hAnsi="Palatino Linotype"/>
          <w:b/>
        </w:rPr>
        <w:t>e</w:t>
      </w:r>
      <w:r w:rsidR="008F0F37" w:rsidRPr="00694D76">
        <w:rPr>
          <w:rFonts w:ascii="Palatino Linotype" w:hAnsi="Palatino Linotype"/>
          <w:b/>
        </w:rPr>
        <w:t>dificabilidad</w:t>
      </w:r>
      <w:r w:rsidR="00907065" w:rsidRPr="00694D76">
        <w:rPr>
          <w:rFonts w:ascii="Palatino Linotype" w:hAnsi="Palatino Linotype" w:cs="Times New Roman"/>
          <w:b/>
        </w:rPr>
        <w:t>.-</w:t>
      </w:r>
      <w:proofErr w:type="gramEnd"/>
      <w:r w:rsidR="00907065" w:rsidRPr="00694D76">
        <w:rPr>
          <w:rFonts w:ascii="Palatino Linotype" w:hAnsi="Palatino Linotype" w:cs="Times New Roman"/>
          <w:b/>
        </w:rPr>
        <w:t xml:space="preserve"> </w:t>
      </w:r>
      <w:r w:rsidR="000F4CB4" w:rsidRPr="00694D76">
        <w:rPr>
          <w:rFonts w:ascii="Palatino Linotype" w:hAnsi="Palatino Linotype"/>
          <w:lang w:val="es-ES" w:eastAsia="es-ES"/>
        </w:rPr>
        <w:t xml:space="preserve">En base a los datos declarados por el promotor </w:t>
      </w:r>
      <w:r w:rsidR="00D049BE">
        <w:rPr>
          <w:rFonts w:ascii="Palatino Linotype" w:hAnsi="Palatino Linotype"/>
          <w:lang w:val="es-ES" w:eastAsia="es-ES"/>
        </w:rPr>
        <w:t>(a</w:t>
      </w:r>
      <w:r w:rsidR="0059724B" w:rsidRPr="00694D76">
        <w:rPr>
          <w:rFonts w:ascii="Palatino Linotype" w:hAnsi="Palatino Linotype"/>
          <w:lang w:val="es-ES" w:eastAsia="es-ES"/>
        </w:rPr>
        <w:t>nexo 5</w:t>
      </w:r>
      <w:r w:rsidR="000F4CB4" w:rsidRPr="00694D76">
        <w:rPr>
          <w:rFonts w:ascii="Palatino Linotype" w:hAnsi="Palatino Linotype"/>
          <w:lang w:val="es-ES" w:eastAsia="es-ES"/>
        </w:rPr>
        <w:t xml:space="preserve"> de la presente ordenanza) y en aplicación del literal b del artículo 9 de la </w:t>
      </w:r>
      <w:r w:rsidR="000F4CB4" w:rsidRPr="00694D76">
        <w:rPr>
          <w:rFonts w:ascii="Palatino Linotype" w:hAnsi="Palatino Linotype" w:cs="Times New Roman"/>
        </w:rPr>
        <w:t>Ordenanza Metropolitana No. 183, aprobada el 13 de septiembre de 2017</w:t>
      </w:r>
      <w:r w:rsidR="000F4CB4" w:rsidRPr="00694D76">
        <w:rPr>
          <w:rFonts w:ascii="Palatino Linotype" w:hAnsi="Palatino Linotype"/>
          <w:lang w:val="es-ES" w:eastAsia="es-ES"/>
        </w:rPr>
        <w:t xml:space="preserve">, el valor </w:t>
      </w:r>
      <w:r w:rsidR="00907065" w:rsidRPr="00694D76">
        <w:rPr>
          <w:rFonts w:ascii="Palatino Linotype" w:hAnsi="Palatino Linotype"/>
          <w:lang w:val="es-ES" w:eastAsia="es-ES"/>
        </w:rPr>
        <w:t xml:space="preserve">de la </w:t>
      </w:r>
      <w:r w:rsidR="00E916E9" w:rsidRPr="00694D76">
        <w:rPr>
          <w:rFonts w:ascii="Palatino Linotype" w:hAnsi="Palatino Linotype"/>
          <w:lang w:val="es-ES" w:eastAsia="es-ES"/>
        </w:rPr>
        <w:t>COD</w:t>
      </w:r>
      <w:r w:rsidR="00907065" w:rsidRPr="00694D76">
        <w:rPr>
          <w:rFonts w:ascii="Palatino Linotype" w:hAnsi="Palatino Linotype"/>
          <w:lang w:val="es-ES" w:eastAsia="es-ES"/>
        </w:rPr>
        <w:t xml:space="preserve"> correspondiente </w:t>
      </w:r>
      <w:r w:rsidR="00DD5B82" w:rsidRPr="00694D76">
        <w:rPr>
          <w:rFonts w:ascii="Palatino Linotype" w:hAnsi="Palatino Linotype"/>
          <w:lang w:val="es-ES" w:eastAsia="es-ES"/>
        </w:rPr>
        <w:t>al incremento de edificabilidad</w:t>
      </w:r>
      <w:r w:rsidR="008F0F37" w:rsidRPr="00694D76">
        <w:rPr>
          <w:rFonts w:ascii="Palatino Linotype" w:hAnsi="Palatino Linotype"/>
          <w:lang w:val="es-ES" w:eastAsia="es-ES"/>
        </w:rPr>
        <w:t xml:space="preserve"> se determina</w:t>
      </w:r>
      <w:r w:rsidR="000F4CB4" w:rsidRPr="00694D76">
        <w:rPr>
          <w:rFonts w:ascii="Palatino Linotype" w:hAnsi="Palatino Linotype"/>
          <w:lang w:val="es-ES" w:eastAsia="es-ES"/>
        </w:rPr>
        <w:t xml:space="preserve"> mediante la siguiente fórmula</w:t>
      </w:r>
      <w:r w:rsidR="00907065" w:rsidRPr="00694D76">
        <w:rPr>
          <w:rFonts w:ascii="Palatino Linotype" w:hAnsi="Palatino Linotype"/>
          <w:lang w:val="es-ES" w:eastAsia="es-ES"/>
        </w:rPr>
        <w:t>:</w:t>
      </w:r>
    </w:p>
    <w:p w14:paraId="48865DCA" w14:textId="77777777" w:rsidR="005B60E8" w:rsidRPr="00694D76" w:rsidRDefault="008F0F37" w:rsidP="00694D76">
      <w:pPr>
        <w:spacing w:after="120"/>
        <w:jc w:val="left"/>
        <w:rPr>
          <w:rFonts w:ascii="Palatino Linotype" w:hAnsi="Palatino Linotype" w:cs="Times New Roman"/>
          <w:b/>
          <w:lang w:val="es-EC" w:eastAsia="es-ES"/>
        </w:rPr>
      </w:pPr>
      <w:proofErr w:type="spellStart"/>
      <w:r w:rsidRPr="00694D76">
        <w:rPr>
          <w:rFonts w:ascii="Palatino Linotype" w:hAnsi="Palatino Linotype" w:cs="Times New Roman"/>
          <w:b/>
          <w:lang w:val="es-EC" w:eastAsia="es-ES"/>
        </w:rPr>
        <w:t>Fórmula</w:t>
      </w:r>
      <w:proofErr w:type="spellEnd"/>
      <w:r w:rsidRPr="00694D76">
        <w:rPr>
          <w:rFonts w:ascii="Palatino Linotype" w:hAnsi="Palatino Linotype" w:cs="Times New Roman"/>
          <w:b/>
          <w:lang w:val="es-EC" w:eastAsia="es-ES"/>
        </w:rPr>
        <w:t xml:space="preserve">: </w:t>
      </w:r>
    </w:p>
    <w:p w14:paraId="65C8E6CC" w14:textId="77777777" w:rsidR="008F0F37" w:rsidRPr="00694D76" w:rsidRDefault="008F0F37" w:rsidP="00694D76">
      <w:pPr>
        <w:spacing w:after="120"/>
        <w:jc w:val="center"/>
        <w:rPr>
          <w:rFonts w:ascii="Palatino Linotype" w:hAnsi="Palatino Linotype" w:cs="Times New Roman"/>
          <w:lang w:val="es-EC" w:eastAsia="es-ES"/>
        </w:rPr>
      </w:pPr>
      <w:proofErr w:type="spellStart"/>
      <w:r w:rsidRPr="00694D76">
        <w:rPr>
          <w:rFonts w:ascii="Palatino Linotype" w:hAnsi="Palatino Linotype" w:cs="Times New Roman"/>
          <w:lang w:val="es-EC" w:eastAsia="es-ES"/>
        </w:rPr>
        <w:t>CODe</w:t>
      </w:r>
      <w:proofErr w:type="spellEnd"/>
      <w:r w:rsidRPr="00694D76">
        <w:rPr>
          <w:rFonts w:ascii="Palatino Linotype" w:hAnsi="Palatino Linotype" w:cs="Times New Roman"/>
          <w:lang w:val="es-EC" w:eastAsia="es-ES"/>
        </w:rPr>
        <w:t xml:space="preserve">= [(valor del terreno de llegada — valor del terreno de partida) x porcentaje de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por edificabilidad]</w:t>
      </w:r>
      <w:r w:rsidR="00513D10" w:rsidRPr="00694D76">
        <w:rPr>
          <w:rFonts w:ascii="Palatino Linotype" w:hAnsi="Palatino Linotype" w:cs="Times New Roman"/>
          <w:lang w:val="es-EC" w:eastAsia="es-ES"/>
        </w:rPr>
        <w:t xml:space="preserve"> </w:t>
      </w:r>
      <w:r w:rsidR="005B60E8" w:rsidRPr="00694D76">
        <w:rPr>
          <w:rFonts w:ascii="Palatino Linotype" w:hAnsi="Palatino Linotype" w:cs="Times New Roman"/>
          <w:lang w:val="es-EC" w:eastAsia="es-ES"/>
        </w:rPr>
        <w:t xml:space="preserve">x </w:t>
      </w:r>
      <w:r w:rsidR="00317794" w:rsidRPr="00694D76">
        <w:rPr>
          <w:rFonts w:ascii="Palatino Linotype" w:hAnsi="Palatino Linotype" w:cs="Times New Roman"/>
          <w:lang w:val="es-EC" w:eastAsia="es-ES"/>
        </w:rPr>
        <w:t>factor de ajuste</w:t>
      </w:r>
    </w:p>
    <w:p w14:paraId="674B06D6" w14:textId="2CF6F154" w:rsidR="008F0F37" w:rsidRPr="00694D76" w:rsidRDefault="0054209F" w:rsidP="00694D76">
      <w:pPr>
        <w:spacing w:after="120"/>
        <w:jc w:val="left"/>
        <w:rPr>
          <w:rFonts w:ascii="Palatino Linotype" w:hAnsi="Palatino Linotype" w:cs="Times New Roman"/>
          <w:lang w:val="es-EC" w:eastAsia="es-ES"/>
        </w:rPr>
      </w:pPr>
      <w:r w:rsidRPr="00694D76">
        <w:rPr>
          <w:rFonts w:ascii="Palatino Linotype" w:hAnsi="Palatino Linotype" w:cs="Times New Roman"/>
          <w:lang w:val="es-EC" w:eastAsia="es-ES"/>
        </w:rPr>
        <w:t>Dond</w:t>
      </w:r>
      <w:r w:rsidR="00D049BE">
        <w:rPr>
          <w:rFonts w:ascii="Palatino Linotype" w:hAnsi="Palatino Linotype" w:cs="Times New Roman"/>
          <w:lang w:val="es-EC" w:eastAsia="es-ES"/>
        </w:rPr>
        <w:t>e:</w:t>
      </w:r>
    </w:p>
    <w:p w14:paraId="44521AB5" w14:textId="77777777" w:rsidR="005B60E8" w:rsidRPr="00694D76" w:rsidRDefault="008F0F37" w:rsidP="00250512">
      <w:pPr>
        <w:pStyle w:val="NormalWeb"/>
        <w:numPr>
          <w:ilvl w:val="0"/>
          <w:numId w:val="17"/>
        </w:numPr>
        <w:spacing w:before="0" w:beforeAutospacing="0" w:after="120" w:afterAutospacing="0" w:line="276" w:lineRule="auto"/>
        <w:rPr>
          <w:rFonts w:ascii="Palatino Linotype" w:eastAsiaTheme="minorHAnsi" w:hAnsi="Palatino Linotype"/>
          <w:sz w:val="22"/>
          <w:szCs w:val="22"/>
          <w:lang w:val="es-EC"/>
        </w:rPr>
      </w:pPr>
      <w:proofErr w:type="spellStart"/>
      <w:r w:rsidRPr="00694D76">
        <w:rPr>
          <w:rFonts w:ascii="Palatino Linotype" w:hAnsi="Palatino Linotype"/>
          <w:b/>
          <w:sz w:val="22"/>
          <w:szCs w:val="22"/>
          <w:lang w:val="es-EC"/>
        </w:rPr>
        <w:t>CODe</w:t>
      </w:r>
      <w:proofErr w:type="spellEnd"/>
      <w:r w:rsidR="005B60E8" w:rsidRPr="00694D76">
        <w:rPr>
          <w:rFonts w:ascii="Palatino Linotype" w:eastAsiaTheme="minorHAnsi" w:hAnsi="Palatino Linotype"/>
          <w:sz w:val="22"/>
          <w:szCs w:val="22"/>
          <w:lang w:val="es-EC"/>
        </w:rPr>
        <w:t xml:space="preserve"> = </w:t>
      </w:r>
      <w:r w:rsidR="00513D10" w:rsidRPr="00694D76">
        <w:rPr>
          <w:rFonts w:ascii="Palatino Linotype" w:eastAsiaTheme="minorHAnsi" w:hAnsi="Palatino Linotype"/>
          <w:sz w:val="22"/>
          <w:szCs w:val="22"/>
          <w:lang w:val="es-EC"/>
        </w:rPr>
        <w:t>Concesión</w:t>
      </w:r>
      <w:r w:rsidR="005B60E8" w:rsidRPr="00694D76">
        <w:rPr>
          <w:rFonts w:ascii="Palatino Linotype" w:eastAsiaTheme="minorHAnsi" w:hAnsi="Palatino Linotype"/>
          <w:sz w:val="22"/>
          <w:szCs w:val="22"/>
          <w:lang w:val="es-EC"/>
        </w:rPr>
        <w:t xml:space="preserve"> onerosa d</w:t>
      </w:r>
      <w:r w:rsidR="006A730C" w:rsidRPr="00694D76">
        <w:rPr>
          <w:rFonts w:ascii="Palatino Linotype" w:eastAsiaTheme="minorHAnsi" w:hAnsi="Palatino Linotype"/>
          <w:sz w:val="22"/>
          <w:szCs w:val="22"/>
          <w:lang w:val="es-EC"/>
        </w:rPr>
        <w:t>e derechos por incremento</w:t>
      </w:r>
      <w:r w:rsidR="005B60E8" w:rsidRPr="00694D76">
        <w:rPr>
          <w:rFonts w:ascii="Palatino Linotype" w:eastAsiaTheme="minorHAnsi" w:hAnsi="Palatino Linotype"/>
          <w:sz w:val="22"/>
          <w:szCs w:val="22"/>
          <w:lang w:val="es-EC"/>
        </w:rPr>
        <w:t xml:space="preserve"> de edificabilidad</w:t>
      </w:r>
      <w:r w:rsidR="00317794" w:rsidRPr="00694D76">
        <w:rPr>
          <w:rFonts w:ascii="Palatino Linotype" w:eastAsiaTheme="minorHAnsi" w:hAnsi="Palatino Linotype"/>
          <w:sz w:val="22"/>
          <w:szCs w:val="22"/>
          <w:lang w:val="es-EC"/>
        </w:rPr>
        <w:t>.</w:t>
      </w:r>
    </w:p>
    <w:p w14:paraId="1CD758DD" w14:textId="77777777" w:rsidR="008F0F37" w:rsidRPr="00694D76" w:rsidRDefault="008F0F37" w:rsidP="00250512">
      <w:pPr>
        <w:numPr>
          <w:ilvl w:val="0"/>
          <w:numId w:val="16"/>
        </w:numPr>
        <w:spacing w:after="120"/>
        <w:jc w:val="left"/>
        <w:rPr>
          <w:rFonts w:ascii="Palatino Linotype" w:hAnsi="Palatino Linotype" w:cs="Times New Roman"/>
          <w:lang w:val="es-EC" w:eastAsia="es-ES"/>
        </w:rPr>
      </w:pPr>
      <w:r w:rsidRPr="00694D76">
        <w:rPr>
          <w:rFonts w:ascii="Palatino Linotype" w:hAnsi="Palatino Linotype" w:cs="Times New Roman"/>
          <w:b/>
          <w:lang w:val="es-EC" w:eastAsia="es-ES"/>
        </w:rPr>
        <w:lastRenderedPageBreak/>
        <w:t>Valor de terreno de llegada</w:t>
      </w:r>
      <w:r w:rsidR="00317794" w:rsidRPr="00694D76">
        <w:rPr>
          <w:rFonts w:ascii="Palatino Linotype" w:hAnsi="Palatino Linotype" w:cs="Times New Roman"/>
          <w:lang w:val="es-EC" w:eastAsia="es-ES"/>
        </w:rPr>
        <w:t xml:space="preserve"> </w:t>
      </w:r>
      <w:r w:rsidRPr="00694D76">
        <w:rPr>
          <w:rFonts w:ascii="Palatino Linotype" w:hAnsi="Palatino Linotype" w:cs="Times New Roman"/>
          <w:lang w:val="es-EC" w:eastAsia="es-ES"/>
        </w:rPr>
        <w:t xml:space="preserve">= % de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del terreno en la estructura de costos del proyecto x (COS TOTAL llegada x valor del m</w:t>
      </w:r>
      <w:r w:rsidRPr="00694D76">
        <w:rPr>
          <w:rFonts w:ascii="Palatino Linotype" w:hAnsi="Palatino Linotype" w:cs="Times New Roman"/>
          <w:vertAlign w:val="superscript"/>
          <w:lang w:val="es-EC" w:eastAsia="es-ES"/>
        </w:rPr>
        <w:t>2</w:t>
      </w:r>
      <w:r w:rsidRPr="00694D76">
        <w:rPr>
          <w:rFonts w:ascii="Palatino Linotype" w:hAnsi="Palatino Linotype" w:cs="Times New Roman"/>
          <w:lang w:val="es-EC" w:eastAsia="es-ES"/>
        </w:rPr>
        <w:t xml:space="preserve"> </w:t>
      </w:r>
      <w:r w:rsidR="00513D10" w:rsidRPr="00694D76">
        <w:rPr>
          <w:rFonts w:ascii="Palatino Linotype" w:hAnsi="Palatino Linotype" w:cs="Times New Roman"/>
          <w:lang w:val="es-EC" w:eastAsia="es-ES"/>
        </w:rPr>
        <w:t>construcción</w:t>
      </w:r>
      <w:r w:rsidRPr="00694D76">
        <w:rPr>
          <w:rFonts w:ascii="Palatino Linotype" w:hAnsi="Palatino Linotype" w:cs="Times New Roman"/>
          <w:lang w:val="es-EC" w:eastAsia="es-ES"/>
        </w:rPr>
        <w:t xml:space="preserve"> x factor de uso)</w:t>
      </w:r>
    </w:p>
    <w:p w14:paraId="0C78D83A" w14:textId="77777777" w:rsidR="006A730C" w:rsidRPr="00694D76" w:rsidRDefault="006A730C" w:rsidP="00694D76">
      <w:pPr>
        <w:spacing w:after="120"/>
        <w:ind w:left="720"/>
        <w:jc w:val="left"/>
        <w:rPr>
          <w:rFonts w:ascii="Palatino Linotype" w:hAnsi="Palatino Linotype" w:cs="Times New Roman"/>
          <w:lang w:val="es-EC" w:eastAsia="es-ES"/>
        </w:rPr>
      </w:pPr>
      <w:r w:rsidRPr="00694D76">
        <w:rPr>
          <w:rFonts w:ascii="Palatino Linotype" w:hAnsi="Palatino Linotype" w:cs="Times New Roman"/>
          <w:lang w:val="es-EC" w:eastAsia="es-ES"/>
        </w:rPr>
        <w:t xml:space="preserve">Donde: </w:t>
      </w:r>
    </w:p>
    <w:p w14:paraId="130BD68E" w14:textId="77777777" w:rsidR="006A730C" w:rsidRPr="00694D76" w:rsidRDefault="006A730C" w:rsidP="00250512">
      <w:pPr>
        <w:numPr>
          <w:ilvl w:val="1"/>
          <w:numId w:val="16"/>
        </w:numPr>
        <w:spacing w:after="120"/>
        <w:rPr>
          <w:rFonts w:ascii="Palatino Linotype" w:hAnsi="Palatino Linotype" w:cs="Times New Roman"/>
          <w:lang w:val="es-EC" w:eastAsia="es-ES"/>
        </w:rPr>
      </w:pPr>
      <w:r w:rsidRPr="00694D76">
        <w:rPr>
          <w:rFonts w:ascii="Palatino Linotype" w:hAnsi="Palatino Linotype" w:cs="Times New Roman"/>
          <w:lang w:val="es-EC" w:eastAsia="es-ES"/>
        </w:rPr>
        <w:t xml:space="preserve">i)  % de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del terreno en la estructura de costos del proyecto: es la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del terreno en la sumatoria de los costos directos </w:t>
      </w:r>
      <w:r w:rsidR="00513D10" w:rsidRPr="00694D76">
        <w:rPr>
          <w:rFonts w:ascii="Palatino Linotype" w:hAnsi="Palatino Linotype" w:cs="Times New Roman"/>
          <w:lang w:val="es-EC" w:eastAsia="es-ES"/>
        </w:rPr>
        <w:t>más</w:t>
      </w:r>
      <w:r w:rsidRPr="00694D76">
        <w:rPr>
          <w:rFonts w:ascii="Palatino Linotype" w:hAnsi="Palatino Linotype" w:cs="Times New Roman"/>
          <w:lang w:val="es-EC" w:eastAsia="es-ES"/>
        </w:rPr>
        <w:t xml:space="preserve"> los costos indirectos del proyecto, siendo igual al 12%. </w:t>
      </w:r>
    </w:p>
    <w:p w14:paraId="4832C2E1" w14:textId="77777777" w:rsidR="006A730C" w:rsidRPr="00694D76" w:rsidRDefault="006A730C" w:rsidP="00250512">
      <w:pPr>
        <w:numPr>
          <w:ilvl w:val="1"/>
          <w:numId w:val="16"/>
        </w:numPr>
        <w:spacing w:after="120"/>
        <w:rPr>
          <w:rFonts w:ascii="Palatino Linotype" w:hAnsi="Palatino Linotype" w:cs="Times New Roman"/>
          <w:lang w:val="es-EC" w:eastAsia="es-ES"/>
        </w:rPr>
      </w:pPr>
      <w:r w:rsidRPr="00694D76">
        <w:rPr>
          <w:rFonts w:ascii="Palatino Linotype" w:hAnsi="Palatino Linotype" w:cs="Times New Roman"/>
          <w:lang w:val="es-EC" w:eastAsia="es-ES"/>
        </w:rPr>
        <w:t xml:space="preserve">ii)  COS TOTAL llegada: Es el coeficiente de </w:t>
      </w:r>
      <w:r w:rsidR="00513D10" w:rsidRPr="00694D76">
        <w:rPr>
          <w:rFonts w:ascii="Palatino Linotype" w:hAnsi="Palatino Linotype" w:cs="Times New Roman"/>
          <w:lang w:val="es-EC" w:eastAsia="es-ES"/>
        </w:rPr>
        <w:t>ocupación</w:t>
      </w:r>
      <w:r w:rsidRPr="00694D76">
        <w:rPr>
          <w:rFonts w:ascii="Palatino Linotype" w:hAnsi="Palatino Linotype" w:cs="Times New Roman"/>
          <w:lang w:val="es-EC" w:eastAsia="es-ES"/>
        </w:rPr>
        <w:t xml:space="preserve"> de suelo total requerido por el PUAE, para el presente caso igual a </w:t>
      </w:r>
      <w:r w:rsidR="005A0AAD" w:rsidRPr="00694D76">
        <w:rPr>
          <w:rFonts w:ascii="Palatino Linotype" w:hAnsi="Palatino Linotype" w:cs="Times New Roman"/>
          <w:lang w:val="es-EC" w:eastAsia="es-ES"/>
        </w:rPr>
        <w:t>107,20</w:t>
      </w:r>
      <w:proofErr w:type="gramStart"/>
      <w:r w:rsidRPr="00694D76">
        <w:rPr>
          <w:rFonts w:ascii="Palatino Linotype" w:hAnsi="Palatino Linotype" w:cs="Times New Roman"/>
          <w:lang w:val="es-EC" w:eastAsia="es-ES"/>
        </w:rPr>
        <w:t>% .</w:t>
      </w:r>
      <w:proofErr w:type="gramEnd"/>
    </w:p>
    <w:p w14:paraId="5E6AFB8B" w14:textId="77777777" w:rsidR="006A730C" w:rsidRPr="00694D76" w:rsidRDefault="006A730C" w:rsidP="00250512">
      <w:pPr>
        <w:numPr>
          <w:ilvl w:val="1"/>
          <w:numId w:val="16"/>
        </w:numPr>
        <w:spacing w:after="120"/>
        <w:rPr>
          <w:rFonts w:ascii="Palatino Linotype" w:hAnsi="Palatino Linotype" w:cs="Times New Roman"/>
          <w:lang w:val="es-EC" w:eastAsia="es-ES"/>
        </w:rPr>
      </w:pPr>
      <w:r w:rsidRPr="00694D76">
        <w:rPr>
          <w:rFonts w:ascii="Palatino Linotype" w:hAnsi="Palatino Linotype" w:cs="Times New Roman"/>
          <w:lang w:val="es-EC" w:eastAsia="es-ES"/>
        </w:rPr>
        <w:t>iii)  Valor del m</w:t>
      </w:r>
      <w:r w:rsidRPr="00694D76">
        <w:rPr>
          <w:rFonts w:ascii="Palatino Linotype" w:hAnsi="Palatino Linotype" w:cs="Times New Roman"/>
          <w:vertAlign w:val="superscript"/>
          <w:lang w:val="es-EC" w:eastAsia="es-ES"/>
        </w:rPr>
        <w:t>2</w:t>
      </w:r>
      <w:r w:rsidRPr="00694D76">
        <w:rPr>
          <w:rFonts w:ascii="Palatino Linotype" w:hAnsi="Palatino Linotype" w:cs="Times New Roman"/>
          <w:lang w:val="es-EC" w:eastAsia="es-ES"/>
        </w:rPr>
        <w:t xml:space="preserve"> de </w:t>
      </w:r>
      <w:r w:rsidR="00513D10" w:rsidRPr="00694D76">
        <w:rPr>
          <w:rFonts w:ascii="Palatino Linotype" w:hAnsi="Palatino Linotype" w:cs="Times New Roman"/>
          <w:lang w:val="es-EC" w:eastAsia="es-ES"/>
        </w:rPr>
        <w:t>construcción</w:t>
      </w:r>
      <w:r w:rsidRPr="00694D76">
        <w:rPr>
          <w:rFonts w:ascii="Palatino Linotype" w:hAnsi="Palatino Linotype" w:cs="Times New Roman"/>
          <w:lang w:val="es-EC" w:eastAsia="es-ES"/>
        </w:rPr>
        <w:t>: Es el costo del m</w:t>
      </w:r>
      <w:r w:rsidRPr="00694D76">
        <w:rPr>
          <w:rFonts w:ascii="Palatino Linotype" w:hAnsi="Palatino Linotype" w:cs="Times New Roman"/>
          <w:vertAlign w:val="superscript"/>
          <w:lang w:val="es-EC" w:eastAsia="es-ES"/>
        </w:rPr>
        <w:t>2</w:t>
      </w:r>
      <w:r w:rsidRPr="00694D76">
        <w:rPr>
          <w:rFonts w:ascii="Palatino Linotype" w:hAnsi="Palatino Linotype" w:cs="Times New Roman"/>
          <w:lang w:val="es-EC" w:eastAsia="es-ES"/>
        </w:rPr>
        <w:t xml:space="preserve"> de </w:t>
      </w:r>
      <w:r w:rsidR="00513D10" w:rsidRPr="00694D76">
        <w:rPr>
          <w:rFonts w:ascii="Palatino Linotype" w:hAnsi="Palatino Linotype" w:cs="Times New Roman"/>
          <w:lang w:val="es-EC" w:eastAsia="es-ES"/>
        </w:rPr>
        <w:t>construcción</w:t>
      </w:r>
      <w:r w:rsidRPr="00694D76">
        <w:rPr>
          <w:rFonts w:ascii="Palatino Linotype" w:hAnsi="Palatino Linotype" w:cs="Times New Roman"/>
          <w:lang w:val="es-EC" w:eastAsia="es-ES"/>
        </w:rPr>
        <w:t xml:space="preserve"> tomado de la ordenanza de </w:t>
      </w:r>
      <w:r w:rsidR="00513D10" w:rsidRPr="00694D76">
        <w:rPr>
          <w:rFonts w:ascii="Palatino Linotype" w:hAnsi="Palatino Linotype" w:cs="Times New Roman"/>
          <w:lang w:val="es-EC" w:eastAsia="es-ES"/>
        </w:rPr>
        <w:t>valoración</w:t>
      </w:r>
      <w:r w:rsidRPr="00694D76">
        <w:rPr>
          <w:rFonts w:ascii="Palatino Linotype" w:hAnsi="Palatino Linotype" w:cs="Times New Roman"/>
          <w:lang w:val="es-EC" w:eastAsia="es-ES"/>
        </w:rPr>
        <w:t xml:space="preserve"> catastral vigente, para el presente</w:t>
      </w:r>
      <w:r w:rsidR="003F66F6" w:rsidRPr="00694D76">
        <w:rPr>
          <w:rFonts w:ascii="Palatino Linotype" w:hAnsi="Palatino Linotype" w:cs="Times New Roman"/>
          <w:lang w:val="es-EC" w:eastAsia="es-ES"/>
        </w:rPr>
        <w:t xml:space="preserve"> la edificación posee </w:t>
      </w:r>
      <w:proofErr w:type="gramStart"/>
      <w:r w:rsidR="003F66F6" w:rsidRPr="00694D76">
        <w:rPr>
          <w:rFonts w:ascii="Palatino Linotype" w:hAnsi="Palatino Linotype" w:cs="Times New Roman"/>
          <w:lang w:val="es-EC" w:eastAsia="es-ES"/>
        </w:rPr>
        <w:t>un altura</w:t>
      </w:r>
      <w:proofErr w:type="gramEnd"/>
      <w:r w:rsidR="003F66F6" w:rsidRPr="00694D76">
        <w:rPr>
          <w:rFonts w:ascii="Palatino Linotype" w:hAnsi="Palatino Linotype" w:cs="Times New Roman"/>
          <w:lang w:val="es-EC" w:eastAsia="es-ES"/>
        </w:rPr>
        <w:t xml:space="preserve"> de 4 pisos (excluyendo subsuelos), un tipo de estructura de hormigón armado, la propiedad del proyecto será en </w:t>
      </w:r>
      <w:proofErr w:type="spellStart"/>
      <w:r w:rsidR="003F66F6" w:rsidRPr="00694D76">
        <w:rPr>
          <w:rFonts w:ascii="Palatino Linotype" w:hAnsi="Palatino Linotype" w:cs="Times New Roman"/>
          <w:lang w:val="es-EC" w:eastAsia="es-ES"/>
        </w:rPr>
        <w:t>unipropiedad</w:t>
      </w:r>
      <w:proofErr w:type="spellEnd"/>
      <w:r w:rsidR="003F66F6" w:rsidRPr="00694D76">
        <w:rPr>
          <w:rFonts w:ascii="Palatino Linotype" w:hAnsi="Palatino Linotype" w:cs="Times New Roman"/>
          <w:lang w:val="es-EC" w:eastAsia="es-ES"/>
        </w:rPr>
        <w:t xml:space="preserve">, los tipos de </w:t>
      </w:r>
      <w:r w:rsidR="005679B5" w:rsidRPr="00694D76">
        <w:rPr>
          <w:rFonts w:ascii="Palatino Linotype" w:hAnsi="Palatino Linotype" w:cs="Times New Roman"/>
          <w:lang w:val="es-EC" w:eastAsia="es-ES"/>
        </w:rPr>
        <w:t xml:space="preserve">valoración de </w:t>
      </w:r>
      <w:r w:rsidR="003F66F6" w:rsidRPr="00694D76">
        <w:rPr>
          <w:rFonts w:ascii="Palatino Linotype" w:hAnsi="Palatino Linotype" w:cs="Times New Roman"/>
          <w:lang w:val="es-EC" w:eastAsia="es-ES"/>
        </w:rPr>
        <w:t xml:space="preserve">acabados están catalogados como tipo F (Especial), dando un valor de </w:t>
      </w:r>
      <w:r w:rsidR="00234977" w:rsidRPr="00694D76">
        <w:rPr>
          <w:rFonts w:ascii="Palatino Linotype" w:hAnsi="Palatino Linotype" w:cs="Times New Roman"/>
          <w:lang w:val="es-EC" w:eastAsia="es-ES"/>
        </w:rPr>
        <w:t>1115</w:t>
      </w:r>
      <w:r w:rsidR="003F66F6" w:rsidRPr="00694D76">
        <w:rPr>
          <w:rFonts w:ascii="Palatino Linotype" w:hAnsi="Palatino Linotype" w:cs="Times New Roman"/>
          <w:lang w:val="es-EC" w:eastAsia="es-ES"/>
        </w:rPr>
        <w:t xml:space="preserve"> </w:t>
      </w:r>
      <w:r w:rsidRPr="00694D76">
        <w:rPr>
          <w:rFonts w:ascii="Palatino Linotype" w:hAnsi="Palatino Linotype" w:cs="Times New Roman"/>
          <w:lang w:val="es-EC" w:eastAsia="es-ES"/>
        </w:rPr>
        <w:t>$/m</w:t>
      </w:r>
      <w:r w:rsidRPr="00694D76">
        <w:rPr>
          <w:rFonts w:ascii="Palatino Linotype" w:hAnsi="Palatino Linotype" w:cs="Times New Roman"/>
          <w:vertAlign w:val="superscript"/>
          <w:lang w:val="es-EC" w:eastAsia="es-ES"/>
        </w:rPr>
        <w:t>2</w:t>
      </w:r>
      <w:r w:rsidR="0026651D" w:rsidRPr="00694D76">
        <w:rPr>
          <w:rFonts w:ascii="Palatino Linotype" w:hAnsi="Palatino Linotype" w:cs="Times New Roman"/>
          <w:lang w:val="es-EC" w:eastAsia="es-ES"/>
        </w:rPr>
        <w:t>, en base a la normativa catastral vigente.</w:t>
      </w:r>
    </w:p>
    <w:p w14:paraId="4940DA1D" w14:textId="77777777" w:rsidR="00EF27BA" w:rsidRPr="00694D76" w:rsidRDefault="006A730C" w:rsidP="00250512">
      <w:pPr>
        <w:numPr>
          <w:ilvl w:val="1"/>
          <w:numId w:val="16"/>
        </w:numPr>
        <w:spacing w:after="120"/>
        <w:rPr>
          <w:rFonts w:ascii="Palatino Linotype" w:hAnsi="Palatino Linotype" w:cs="Times New Roman"/>
          <w:lang w:val="es-EC" w:eastAsia="es-ES"/>
        </w:rPr>
      </w:pPr>
      <w:r w:rsidRPr="00694D76">
        <w:rPr>
          <w:rFonts w:ascii="Palatino Linotype" w:hAnsi="Palatino Linotype" w:cs="Times New Roman"/>
          <w:lang w:val="es-EC" w:eastAsia="es-ES"/>
        </w:rPr>
        <w:t xml:space="preserve">iv)  Factor de uso: es el factor respecto al uso constructivo al que se destinará la </w:t>
      </w:r>
      <w:r w:rsidR="00513D10" w:rsidRPr="00694D76">
        <w:rPr>
          <w:rFonts w:ascii="Palatino Linotype" w:hAnsi="Palatino Linotype" w:cs="Times New Roman"/>
          <w:lang w:val="es-EC" w:eastAsia="es-ES"/>
        </w:rPr>
        <w:t>edificación</w:t>
      </w:r>
      <w:r w:rsidRPr="00694D76">
        <w:rPr>
          <w:rFonts w:ascii="Palatino Linotype" w:hAnsi="Palatino Linotype" w:cs="Times New Roman"/>
          <w:lang w:val="es-EC" w:eastAsia="es-ES"/>
        </w:rPr>
        <w:t xml:space="preserve"> hotelera, tomado de la ordenanza de </w:t>
      </w:r>
      <w:r w:rsidR="00513D10" w:rsidRPr="00694D76">
        <w:rPr>
          <w:rFonts w:ascii="Palatino Linotype" w:hAnsi="Palatino Linotype" w:cs="Times New Roman"/>
          <w:lang w:val="es-EC" w:eastAsia="es-ES"/>
        </w:rPr>
        <w:t>valoración</w:t>
      </w:r>
      <w:r w:rsidRPr="00694D76">
        <w:rPr>
          <w:rFonts w:ascii="Palatino Linotype" w:hAnsi="Palatino Linotype" w:cs="Times New Roman"/>
          <w:lang w:val="es-EC" w:eastAsia="es-ES"/>
        </w:rPr>
        <w:t xml:space="preserve"> catastral vigente, para el presente caso: </w:t>
      </w:r>
      <w:r w:rsidR="005A0AAD" w:rsidRPr="00694D76">
        <w:rPr>
          <w:rFonts w:ascii="Palatino Linotype" w:hAnsi="Palatino Linotype" w:cs="Times New Roman"/>
          <w:lang w:val="es-EC" w:eastAsia="es-ES"/>
        </w:rPr>
        <w:t>2,07</w:t>
      </w:r>
      <w:r w:rsidRPr="00694D76">
        <w:rPr>
          <w:rFonts w:ascii="Palatino Linotype" w:hAnsi="Palatino Linotype" w:cs="Times New Roman"/>
          <w:lang w:val="es-EC" w:eastAsia="es-ES"/>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
        <w:gridCol w:w="685"/>
        <w:gridCol w:w="1547"/>
        <w:gridCol w:w="2158"/>
        <w:gridCol w:w="791"/>
        <w:gridCol w:w="908"/>
        <w:gridCol w:w="1506"/>
        <w:gridCol w:w="1425"/>
      </w:tblGrid>
      <w:tr w:rsidR="006449DD" w:rsidRPr="00694D76" w14:paraId="50126F0B" w14:textId="77777777" w:rsidTr="006449DD">
        <w:trPr>
          <w:trHeight w:val="600"/>
        </w:trPr>
        <w:tc>
          <w:tcPr>
            <w:tcW w:w="0" w:type="auto"/>
            <w:shd w:val="clear" w:color="auto" w:fill="auto"/>
            <w:noWrap/>
            <w:vAlign w:val="bottom"/>
            <w:hideMark/>
          </w:tcPr>
          <w:p w14:paraId="57FC6379" w14:textId="77777777" w:rsidR="006449DD" w:rsidRPr="00694D76" w:rsidRDefault="006449DD" w:rsidP="00694D76">
            <w:pPr>
              <w:spacing w:after="120"/>
              <w:jc w:val="center"/>
              <w:rPr>
                <w:rFonts w:ascii="Palatino Linotype" w:eastAsia="Times New Roman" w:hAnsi="Palatino Linotype" w:cs="Times New Roman"/>
                <w:lang w:val="es-EC" w:eastAsia="es-EC"/>
              </w:rPr>
            </w:pPr>
          </w:p>
        </w:tc>
        <w:tc>
          <w:tcPr>
            <w:tcW w:w="0" w:type="auto"/>
            <w:shd w:val="clear" w:color="auto" w:fill="auto"/>
            <w:noWrap/>
            <w:vAlign w:val="center"/>
            <w:hideMark/>
          </w:tcPr>
          <w:p w14:paraId="08810A1A" w14:textId="77777777" w:rsidR="006449DD" w:rsidRPr="00694D76" w:rsidRDefault="006449DD" w:rsidP="00694D76">
            <w:pPr>
              <w:spacing w:after="120"/>
              <w:jc w:val="center"/>
              <w:rPr>
                <w:rFonts w:ascii="Palatino Linotype" w:eastAsia="Times New Roman" w:hAnsi="Palatino Linotype" w:cs="Calibri"/>
                <w:b/>
                <w:bCs/>
                <w:lang w:val="es-EC" w:eastAsia="es-EC"/>
              </w:rPr>
            </w:pPr>
          </w:p>
        </w:tc>
        <w:tc>
          <w:tcPr>
            <w:tcW w:w="0" w:type="auto"/>
            <w:gridSpan w:val="6"/>
            <w:shd w:val="clear" w:color="auto" w:fill="auto"/>
            <w:vAlign w:val="center"/>
            <w:hideMark/>
          </w:tcPr>
          <w:p w14:paraId="596D458F" w14:textId="264C53F2"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 xml:space="preserve">Cálculo </w:t>
            </w:r>
            <w:r w:rsidR="00D049BE" w:rsidRPr="00694D76">
              <w:rPr>
                <w:rFonts w:ascii="Palatino Linotype" w:eastAsia="Times New Roman" w:hAnsi="Palatino Linotype" w:cs="Calibri"/>
                <w:b/>
                <w:bCs/>
                <w:lang w:val="es-EC" w:eastAsia="es-EC"/>
              </w:rPr>
              <w:t>del valor del terreno de llegada</w:t>
            </w:r>
          </w:p>
        </w:tc>
      </w:tr>
      <w:tr w:rsidR="00B46946" w:rsidRPr="00694D76" w14:paraId="0FB612E9" w14:textId="77777777" w:rsidTr="006449DD">
        <w:trPr>
          <w:trHeight w:val="1036"/>
        </w:trPr>
        <w:tc>
          <w:tcPr>
            <w:tcW w:w="0" w:type="auto"/>
            <w:shd w:val="clear" w:color="auto" w:fill="auto"/>
            <w:noWrap/>
            <w:vAlign w:val="center"/>
            <w:hideMark/>
          </w:tcPr>
          <w:p w14:paraId="6E3AC8A4" w14:textId="77777777" w:rsidR="006449DD" w:rsidRPr="00694D76" w:rsidRDefault="006449DD" w:rsidP="00694D76">
            <w:pPr>
              <w:spacing w:after="120"/>
              <w:jc w:val="center"/>
              <w:rPr>
                <w:rFonts w:ascii="Palatino Linotype" w:eastAsia="Times New Roman" w:hAnsi="Palatino Linotype" w:cs="Calibri"/>
                <w:lang w:val="es-EC" w:eastAsia="es-EC"/>
              </w:rPr>
            </w:pPr>
          </w:p>
        </w:tc>
        <w:tc>
          <w:tcPr>
            <w:tcW w:w="0" w:type="auto"/>
            <w:shd w:val="clear" w:color="auto" w:fill="auto"/>
            <w:vAlign w:val="center"/>
            <w:hideMark/>
          </w:tcPr>
          <w:p w14:paraId="60303F00"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USO</w:t>
            </w:r>
          </w:p>
        </w:tc>
        <w:tc>
          <w:tcPr>
            <w:tcW w:w="0" w:type="auto"/>
            <w:shd w:val="clear" w:color="auto" w:fill="auto"/>
            <w:vAlign w:val="center"/>
            <w:hideMark/>
          </w:tcPr>
          <w:p w14:paraId="35EDD3EB" w14:textId="0B2EC3E4" w:rsidR="006449DD" w:rsidRPr="00694D76" w:rsidRDefault="00D049BE"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 xml:space="preserve">Área de la construcción llegada </w:t>
            </w:r>
            <w:r w:rsidR="00B46946" w:rsidRPr="00694D76">
              <w:rPr>
                <w:rFonts w:ascii="Palatino Linotype" w:eastAsia="Times New Roman" w:hAnsi="Palatino Linotype" w:cs="Calibri"/>
                <w:b/>
                <w:bCs/>
                <w:lang w:val="es-EC" w:eastAsia="es-EC"/>
              </w:rPr>
              <w:t>en m</w:t>
            </w:r>
            <w:r w:rsidR="00B46946" w:rsidRPr="00D049BE">
              <w:rPr>
                <w:rFonts w:ascii="Palatino Linotype" w:eastAsia="Times New Roman" w:hAnsi="Palatino Linotype" w:cs="Calibri"/>
                <w:b/>
                <w:bCs/>
                <w:vertAlign w:val="superscript"/>
                <w:lang w:val="es-EC" w:eastAsia="es-EC"/>
              </w:rPr>
              <w:t>2</w:t>
            </w:r>
          </w:p>
        </w:tc>
        <w:tc>
          <w:tcPr>
            <w:tcW w:w="0" w:type="auto"/>
            <w:shd w:val="clear" w:color="auto" w:fill="auto"/>
            <w:vAlign w:val="center"/>
            <w:hideMark/>
          </w:tcPr>
          <w:p w14:paraId="7FE7ADF1"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Valor</w:t>
            </w:r>
            <w:r w:rsidR="00B46946" w:rsidRPr="00694D76">
              <w:rPr>
                <w:rFonts w:ascii="Palatino Linotype" w:eastAsia="Times New Roman" w:hAnsi="Palatino Linotype" w:cs="Calibri"/>
                <w:b/>
                <w:bCs/>
                <w:lang w:val="es-EC" w:eastAsia="es-EC"/>
              </w:rPr>
              <w:t xml:space="preserve"> en US$ del</w:t>
            </w:r>
            <w:r w:rsidRPr="00694D76">
              <w:rPr>
                <w:rFonts w:ascii="Palatino Linotype" w:eastAsia="Times New Roman" w:hAnsi="Palatino Linotype" w:cs="Calibri"/>
                <w:b/>
                <w:bCs/>
                <w:lang w:val="es-EC" w:eastAsia="es-EC"/>
              </w:rPr>
              <w:t xml:space="preserve"> m2 de construcción (4</w:t>
            </w:r>
            <w:r w:rsidR="00B46946" w:rsidRPr="00694D76">
              <w:rPr>
                <w:rFonts w:ascii="Palatino Linotype" w:eastAsia="Times New Roman" w:hAnsi="Palatino Linotype" w:cs="Calibri"/>
                <w:b/>
                <w:bCs/>
                <w:lang w:val="es-EC" w:eastAsia="es-EC"/>
              </w:rPr>
              <w:t xml:space="preserve"> </w:t>
            </w:r>
            <w:r w:rsidRPr="00694D76">
              <w:rPr>
                <w:rFonts w:ascii="Palatino Linotype" w:eastAsia="Times New Roman" w:hAnsi="Palatino Linotype" w:cs="Calibri"/>
                <w:b/>
                <w:bCs/>
                <w:lang w:val="es-EC" w:eastAsia="es-EC"/>
              </w:rPr>
              <w:t xml:space="preserve">pisos, estructura de hormigón armado, </w:t>
            </w:r>
            <w:proofErr w:type="spellStart"/>
            <w:r w:rsidRPr="00694D76">
              <w:rPr>
                <w:rFonts w:ascii="Palatino Linotype" w:eastAsia="Times New Roman" w:hAnsi="Palatino Linotype" w:cs="Calibri"/>
                <w:b/>
                <w:bCs/>
                <w:lang w:val="es-EC" w:eastAsia="es-EC"/>
              </w:rPr>
              <w:t>unipropiedad</w:t>
            </w:r>
            <w:proofErr w:type="spellEnd"/>
            <w:r w:rsidRPr="00694D76">
              <w:rPr>
                <w:rFonts w:ascii="Palatino Linotype" w:eastAsia="Times New Roman" w:hAnsi="Palatino Linotype" w:cs="Calibri"/>
                <w:b/>
                <w:bCs/>
                <w:lang w:val="es-EC" w:eastAsia="es-EC"/>
              </w:rPr>
              <w:t>, acabados tipo F (especial)</w:t>
            </w:r>
            <w:r w:rsidR="00B46946" w:rsidRPr="00694D76">
              <w:rPr>
                <w:rFonts w:ascii="Palatino Linotype" w:eastAsia="Times New Roman" w:hAnsi="Palatino Linotype" w:cs="Calibri"/>
                <w:b/>
                <w:bCs/>
                <w:lang w:val="es-EC" w:eastAsia="es-EC"/>
              </w:rPr>
              <w:t>)</w:t>
            </w:r>
          </w:p>
        </w:tc>
        <w:tc>
          <w:tcPr>
            <w:tcW w:w="0" w:type="auto"/>
            <w:shd w:val="clear" w:color="auto" w:fill="auto"/>
            <w:vAlign w:val="center"/>
            <w:hideMark/>
          </w:tcPr>
          <w:p w14:paraId="7608F301"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Factor de uso</w:t>
            </w:r>
          </w:p>
        </w:tc>
        <w:tc>
          <w:tcPr>
            <w:tcW w:w="0" w:type="auto"/>
            <w:shd w:val="clear" w:color="auto" w:fill="auto"/>
            <w:vAlign w:val="center"/>
            <w:hideMark/>
          </w:tcPr>
          <w:p w14:paraId="505F6253"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Valor m</w:t>
            </w:r>
            <w:r w:rsidRPr="00D049BE">
              <w:rPr>
                <w:rFonts w:ascii="Palatino Linotype" w:eastAsia="Times New Roman" w:hAnsi="Palatino Linotype" w:cs="Calibri"/>
                <w:b/>
                <w:bCs/>
                <w:vertAlign w:val="superscript"/>
                <w:lang w:val="es-EC" w:eastAsia="es-EC"/>
              </w:rPr>
              <w:t>2</w:t>
            </w:r>
            <w:r w:rsidRPr="00694D76">
              <w:rPr>
                <w:rFonts w:ascii="Palatino Linotype" w:eastAsia="Times New Roman" w:hAnsi="Palatino Linotype" w:cs="Calibri"/>
                <w:b/>
                <w:bCs/>
                <w:lang w:val="es-EC" w:eastAsia="es-EC"/>
              </w:rPr>
              <w:t xml:space="preserve"> por uso</w:t>
            </w:r>
          </w:p>
        </w:tc>
        <w:tc>
          <w:tcPr>
            <w:tcW w:w="0" w:type="auto"/>
            <w:shd w:val="clear" w:color="auto" w:fill="auto"/>
            <w:vAlign w:val="center"/>
            <w:hideMark/>
          </w:tcPr>
          <w:p w14:paraId="764BF8D2"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 xml:space="preserve">Valor de la construcción </w:t>
            </w:r>
            <w:proofErr w:type="spellStart"/>
            <w:r w:rsidRPr="00694D76">
              <w:rPr>
                <w:rFonts w:ascii="Palatino Linotype" w:eastAsia="Times New Roman" w:hAnsi="Palatino Linotype" w:cs="Calibri"/>
                <w:b/>
                <w:bCs/>
                <w:lang w:val="es-EC" w:eastAsia="es-EC"/>
              </w:rPr>
              <w:t>cd+ci</w:t>
            </w:r>
            <w:proofErr w:type="spellEnd"/>
          </w:p>
        </w:tc>
        <w:tc>
          <w:tcPr>
            <w:tcW w:w="0" w:type="auto"/>
            <w:shd w:val="clear" w:color="auto" w:fill="auto"/>
            <w:vAlign w:val="center"/>
            <w:hideMark/>
          </w:tcPr>
          <w:p w14:paraId="5B9574FE"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Valor del terreno de llegada al 12%</w:t>
            </w:r>
          </w:p>
        </w:tc>
      </w:tr>
      <w:tr w:rsidR="00B46946" w:rsidRPr="00694D76" w14:paraId="0F568F44" w14:textId="77777777" w:rsidTr="006449DD">
        <w:trPr>
          <w:trHeight w:val="658"/>
        </w:trPr>
        <w:tc>
          <w:tcPr>
            <w:tcW w:w="0" w:type="auto"/>
            <w:shd w:val="clear" w:color="auto" w:fill="auto"/>
            <w:noWrap/>
            <w:vAlign w:val="center"/>
            <w:hideMark/>
          </w:tcPr>
          <w:p w14:paraId="570037EE"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Código</w:t>
            </w:r>
          </w:p>
        </w:tc>
        <w:tc>
          <w:tcPr>
            <w:tcW w:w="0" w:type="auto"/>
            <w:shd w:val="clear" w:color="auto" w:fill="auto"/>
            <w:vAlign w:val="center"/>
            <w:hideMark/>
          </w:tcPr>
          <w:p w14:paraId="3E6E83A5"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A</w:t>
            </w:r>
          </w:p>
        </w:tc>
        <w:tc>
          <w:tcPr>
            <w:tcW w:w="0" w:type="auto"/>
            <w:shd w:val="clear" w:color="auto" w:fill="auto"/>
            <w:vAlign w:val="center"/>
            <w:hideMark/>
          </w:tcPr>
          <w:p w14:paraId="30BD3725"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B</w:t>
            </w:r>
          </w:p>
        </w:tc>
        <w:tc>
          <w:tcPr>
            <w:tcW w:w="0" w:type="auto"/>
            <w:shd w:val="clear" w:color="auto" w:fill="auto"/>
            <w:vAlign w:val="center"/>
            <w:hideMark/>
          </w:tcPr>
          <w:p w14:paraId="65F956FD"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C</w:t>
            </w:r>
          </w:p>
        </w:tc>
        <w:tc>
          <w:tcPr>
            <w:tcW w:w="0" w:type="auto"/>
            <w:shd w:val="clear" w:color="auto" w:fill="auto"/>
            <w:vAlign w:val="center"/>
            <w:hideMark/>
          </w:tcPr>
          <w:p w14:paraId="298B0BDE"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D</w:t>
            </w:r>
          </w:p>
        </w:tc>
        <w:tc>
          <w:tcPr>
            <w:tcW w:w="0" w:type="auto"/>
            <w:shd w:val="clear" w:color="auto" w:fill="auto"/>
            <w:vAlign w:val="center"/>
            <w:hideMark/>
          </w:tcPr>
          <w:p w14:paraId="565302F6"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(C*D)</w:t>
            </w:r>
          </w:p>
        </w:tc>
        <w:tc>
          <w:tcPr>
            <w:tcW w:w="0" w:type="auto"/>
            <w:shd w:val="clear" w:color="auto" w:fill="auto"/>
            <w:vAlign w:val="center"/>
            <w:hideMark/>
          </w:tcPr>
          <w:p w14:paraId="49A583DD"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B*(C*D)</w:t>
            </w:r>
          </w:p>
        </w:tc>
        <w:tc>
          <w:tcPr>
            <w:tcW w:w="0" w:type="auto"/>
            <w:shd w:val="clear" w:color="auto" w:fill="auto"/>
            <w:vAlign w:val="center"/>
            <w:hideMark/>
          </w:tcPr>
          <w:p w14:paraId="6DC08FB9"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12% B*(C*D)</w:t>
            </w:r>
          </w:p>
        </w:tc>
      </w:tr>
      <w:tr w:rsidR="00B46946" w:rsidRPr="00694D76" w14:paraId="775CF65E" w14:textId="77777777" w:rsidTr="006449DD">
        <w:trPr>
          <w:trHeight w:val="167"/>
        </w:trPr>
        <w:tc>
          <w:tcPr>
            <w:tcW w:w="0" w:type="auto"/>
            <w:shd w:val="clear" w:color="auto" w:fill="auto"/>
            <w:noWrap/>
            <w:vAlign w:val="center"/>
            <w:hideMark/>
          </w:tcPr>
          <w:p w14:paraId="06C2DC47" w14:textId="77777777" w:rsidR="006449DD" w:rsidRPr="00694D76" w:rsidRDefault="006449DD" w:rsidP="00694D76">
            <w:pPr>
              <w:spacing w:after="120"/>
              <w:jc w:val="center"/>
              <w:rPr>
                <w:rFonts w:ascii="Palatino Linotype" w:eastAsia="Times New Roman" w:hAnsi="Palatino Linotype" w:cs="Calibri"/>
                <w:lang w:val="es-EC" w:eastAsia="es-EC"/>
              </w:rPr>
            </w:pPr>
          </w:p>
        </w:tc>
        <w:tc>
          <w:tcPr>
            <w:tcW w:w="0" w:type="auto"/>
            <w:shd w:val="clear" w:color="auto" w:fill="auto"/>
            <w:noWrap/>
            <w:vAlign w:val="center"/>
            <w:hideMark/>
          </w:tcPr>
          <w:p w14:paraId="7C894896"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Hotel</w:t>
            </w:r>
          </w:p>
        </w:tc>
        <w:tc>
          <w:tcPr>
            <w:tcW w:w="0" w:type="auto"/>
            <w:shd w:val="clear" w:color="auto" w:fill="auto"/>
            <w:noWrap/>
            <w:vAlign w:val="center"/>
            <w:hideMark/>
          </w:tcPr>
          <w:p w14:paraId="39B2968F"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13937,35</w:t>
            </w:r>
          </w:p>
        </w:tc>
        <w:tc>
          <w:tcPr>
            <w:tcW w:w="0" w:type="auto"/>
            <w:shd w:val="clear" w:color="auto" w:fill="auto"/>
            <w:noWrap/>
            <w:vAlign w:val="center"/>
            <w:hideMark/>
          </w:tcPr>
          <w:p w14:paraId="1346AD5D"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1115</w:t>
            </w:r>
          </w:p>
        </w:tc>
        <w:tc>
          <w:tcPr>
            <w:tcW w:w="0" w:type="auto"/>
            <w:shd w:val="clear" w:color="auto" w:fill="auto"/>
            <w:noWrap/>
            <w:vAlign w:val="center"/>
            <w:hideMark/>
          </w:tcPr>
          <w:p w14:paraId="19759238"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2,07</w:t>
            </w:r>
          </w:p>
        </w:tc>
        <w:tc>
          <w:tcPr>
            <w:tcW w:w="0" w:type="auto"/>
            <w:shd w:val="clear" w:color="auto" w:fill="auto"/>
            <w:noWrap/>
            <w:vAlign w:val="center"/>
            <w:hideMark/>
          </w:tcPr>
          <w:p w14:paraId="4E77221E"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2308,05</w:t>
            </w:r>
          </w:p>
        </w:tc>
        <w:tc>
          <w:tcPr>
            <w:tcW w:w="0" w:type="auto"/>
            <w:shd w:val="clear" w:color="auto" w:fill="auto"/>
            <w:noWrap/>
            <w:vAlign w:val="bottom"/>
            <w:hideMark/>
          </w:tcPr>
          <w:p w14:paraId="4B64C671" w14:textId="77777777" w:rsidR="006449DD" w:rsidRPr="00694D76" w:rsidRDefault="006449DD" w:rsidP="00694D76">
            <w:pPr>
              <w:spacing w:after="120"/>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32.168.100,67</w:t>
            </w:r>
          </w:p>
          <w:p w14:paraId="741DCC51" w14:textId="77777777" w:rsidR="006449DD" w:rsidRPr="00694D76" w:rsidRDefault="006449DD" w:rsidP="00694D76">
            <w:pPr>
              <w:spacing w:after="120"/>
              <w:rPr>
                <w:rFonts w:ascii="Palatino Linotype" w:eastAsia="Times New Roman" w:hAnsi="Palatino Linotype" w:cs="Calibri"/>
                <w:lang w:val="es-EC" w:eastAsia="es-EC"/>
              </w:rPr>
            </w:pPr>
          </w:p>
        </w:tc>
        <w:tc>
          <w:tcPr>
            <w:tcW w:w="0" w:type="auto"/>
            <w:shd w:val="clear" w:color="auto" w:fill="auto"/>
            <w:noWrap/>
            <w:vAlign w:val="bottom"/>
            <w:hideMark/>
          </w:tcPr>
          <w:p w14:paraId="36343584" w14:textId="77777777" w:rsidR="006449DD" w:rsidRPr="00694D76" w:rsidRDefault="006449DD" w:rsidP="00694D76">
            <w:pPr>
              <w:spacing w:after="120"/>
              <w:jc w:val="center"/>
              <w:rPr>
                <w:rFonts w:ascii="Palatino Linotype" w:eastAsia="Times New Roman" w:hAnsi="Palatino Linotype" w:cs="Calibri"/>
                <w:lang w:val="es-EC" w:eastAsia="es-EC"/>
              </w:rPr>
            </w:pPr>
          </w:p>
          <w:p w14:paraId="0BF5C69F" w14:textId="77777777" w:rsidR="006449DD" w:rsidRPr="00694D76" w:rsidRDefault="006449DD" w:rsidP="00694D76">
            <w:pPr>
              <w:spacing w:after="120"/>
              <w:jc w:val="center"/>
              <w:rPr>
                <w:rFonts w:ascii="Palatino Linotype" w:eastAsia="Times New Roman" w:hAnsi="Palatino Linotype" w:cs="Calibri"/>
                <w:b/>
                <w:lang w:val="es-EC" w:eastAsia="es-EC"/>
              </w:rPr>
            </w:pPr>
            <w:r w:rsidRPr="00694D76">
              <w:rPr>
                <w:rFonts w:ascii="Palatino Linotype" w:eastAsia="Times New Roman" w:hAnsi="Palatino Linotype" w:cs="Calibri"/>
                <w:b/>
                <w:lang w:val="es-EC" w:eastAsia="es-EC"/>
              </w:rPr>
              <w:t>3.860.172,08</w:t>
            </w:r>
          </w:p>
          <w:p w14:paraId="6ED1880B" w14:textId="77777777" w:rsidR="006449DD" w:rsidRPr="00694D76" w:rsidRDefault="006449DD" w:rsidP="00694D76">
            <w:pPr>
              <w:spacing w:after="120"/>
              <w:jc w:val="center"/>
              <w:rPr>
                <w:rFonts w:ascii="Palatino Linotype" w:eastAsia="Times New Roman" w:hAnsi="Palatino Linotype" w:cs="Calibri"/>
                <w:lang w:val="es-EC" w:eastAsia="es-EC"/>
              </w:rPr>
            </w:pPr>
          </w:p>
        </w:tc>
      </w:tr>
    </w:tbl>
    <w:p w14:paraId="5CF8B0A1" w14:textId="77777777" w:rsidR="005B60E8" w:rsidRPr="00694D76" w:rsidRDefault="005B60E8" w:rsidP="00250512">
      <w:pPr>
        <w:numPr>
          <w:ilvl w:val="0"/>
          <w:numId w:val="16"/>
        </w:numPr>
        <w:spacing w:after="120"/>
        <w:jc w:val="left"/>
        <w:rPr>
          <w:rFonts w:ascii="Palatino Linotype" w:hAnsi="Palatino Linotype" w:cs="Times New Roman"/>
          <w:lang w:val="es-EC" w:eastAsia="es-ES"/>
        </w:rPr>
      </w:pPr>
      <w:r w:rsidRPr="00694D76">
        <w:rPr>
          <w:rFonts w:ascii="Palatino Linotype" w:hAnsi="Palatino Linotype" w:cs="Times New Roman"/>
          <w:b/>
          <w:lang w:val="es-EC" w:eastAsia="es-ES"/>
        </w:rPr>
        <w:lastRenderedPageBreak/>
        <w:t>Valor de terreno de partida</w:t>
      </w:r>
      <w:r w:rsidR="00317794" w:rsidRPr="00694D76">
        <w:rPr>
          <w:rFonts w:ascii="Palatino Linotype" w:hAnsi="Palatino Linotype" w:cs="Times New Roman"/>
          <w:lang w:val="es-EC" w:eastAsia="es-ES"/>
        </w:rPr>
        <w:t xml:space="preserve"> </w:t>
      </w:r>
      <w:r w:rsidRPr="00694D76">
        <w:rPr>
          <w:rFonts w:ascii="Palatino Linotype" w:hAnsi="Palatino Linotype" w:cs="Times New Roman"/>
          <w:lang w:val="es-EC" w:eastAsia="es-ES"/>
        </w:rPr>
        <w:t xml:space="preserve">= % de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del terreno en la estructura de costos del proyecto x (COS TOTAL partida x valor del m</w:t>
      </w:r>
      <w:r w:rsidRPr="00694D76">
        <w:rPr>
          <w:rFonts w:ascii="Palatino Linotype" w:hAnsi="Palatino Linotype" w:cs="Times New Roman"/>
          <w:vertAlign w:val="superscript"/>
          <w:lang w:val="es-EC" w:eastAsia="es-ES"/>
        </w:rPr>
        <w:t>2</w:t>
      </w:r>
      <w:r w:rsidR="006A730C" w:rsidRPr="00694D76">
        <w:rPr>
          <w:rFonts w:ascii="Palatino Linotype" w:hAnsi="Palatino Linotype" w:cs="Times New Roman"/>
          <w:lang w:val="es-EC" w:eastAsia="es-ES"/>
        </w:rPr>
        <w:t xml:space="preserve"> </w:t>
      </w:r>
      <w:r w:rsidR="00513D10" w:rsidRPr="00694D76">
        <w:rPr>
          <w:rFonts w:ascii="Palatino Linotype" w:hAnsi="Palatino Linotype" w:cs="Times New Roman"/>
          <w:lang w:val="es-EC" w:eastAsia="es-ES"/>
        </w:rPr>
        <w:t>construcción</w:t>
      </w:r>
      <w:r w:rsidR="006A730C" w:rsidRPr="00694D76">
        <w:rPr>
          <w:rFonts w:ascii="Palatino Linotype" w:hAnsi="Palatino Linotype" w:cs="Times New Roman"/>
          <w:lang w:val="es-EC" w:eastAsia="es-ES"/>
        </w:rPr>
        <w:t xml:space="preserve"> x factor de uso)</w:t>
      </w:r>
    </w:p>
    <w:p w14:paraId="4B9D03E1" w14:textId="77777777" w:rsidR="006A730C" w:rsidRPr="00694D76" w:rsidRDefault="006A730C" w:rsidP="00694D76">
      <w:pPr>
        <w:spacing w:after="120"/>
        <w:ind w:left="720"/>
        <w:jc w:val="left"/>
        <w:rPr>
          <w:rFonts w:ascii="Palatino Linotype" w:hAnsi="Palatino Linotype" w:cs="Times New Roman"/>
          <w:lang w:val="es-EC" w:eastAsia="es-ES"/>
        </w:rPr>
      </w:pPr>
      <w:r w:rsidRPr="00694D76">
        <w:rPr>
          <w:rFonts w:ascii="Palatino Linotype" w:hAnsi="Palatino Linotype" w:cs="Times New Roman"/>
          <w:lang w:val="es-EC" w:eastAsia="es-ES"/>
        </w:rPr>
        <w:t xml:space="preserve">Donde: </w:t>
      </w:r>
    </w:p>
    <w:p w14:paraId="61AA9E16" w14:textId="77777777" w:rsidR="006A730C" w:rsidRPr="00694D76" w:rsidRDefault="006A730C" w:rsidP="00250512">
      <w:pPr>
        <w:numPr>
          <w:ilvl w:val="1"/>
          <w:numId w:val="16"/>
        </w:numPr>
        <w:spacing w:after="120"/>
        <w:rPr>
          <w:rFonts w:ascii="Palatino Linotype" w:hAnsi="Palatino Linotype" w:cs="Times New Roman"/>
          <w:lang w:val="es-EC" w:eastAsia="es-ES"/>
        </w:rPr>
      </w:pPr>
      <w:r w:rsidRPr="00D049BE">
        <w:rPr>
          <w:rFonts w:ascii="Palatino Linotype" w:hAnsi="Palatino Linotype" w:cs="Times New Roman"/>
          <w:b/>
          <w:lang w:val="es-EC" w:eastAsia="es-ES"/>
        </w:rPr>
        <w:t>i)</w:t>
      </w:r>
      <w:r w:rsidRPr="00694D76">
        <w:rPr>
          <w:rFonts w:ascii="Palatino Linotype" w:hAnsi="Palatino Linotype" w:cs="Times New Roman"/>
          <w:lang w:val="es-EC" w:eastAsia="es-ES"/>
        </w:rPr>
        <w:t xml:space="preserve">  % de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del terreno en la estructura de costos del proyecto: es la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del terreno en la sumatoria de los costos directos </w:t>
      </w:r>
      <w:r w:rsidR="00513D10" w:rsidRPr="00694D76">
        <w:rPr>
          <w:rFonts w:ascii="Palatino Linotype" w:hAnsi="Palatino Linotype" w:cs="Times New Roman"/>
          <w:lang w:val="es-EC" w:eastAsia="es-ES"/>
        </w:rPr>
        <w:t>más</w:t>
      </w:r>
      <w:r w:rsidRPr="00694D76">
        <w:rPr>
          <w:rFonts w:ascii="Palatino Linotype" w:hAnsi="Palatino Linotype" w:cs="Times New Roman"/>
          <w:lang w:val="es-EC" w:eastAsia="es-ES"/>
        </w:rPr>
        <w:t xml:space="preserve"> los costos indirectos del proyecto, siendo igual al 12%. </w:t>
      </w:r>
    </w:p>
    <w:p w14:paraId="697F998A" w14:textId="77777777" w:rsidR="006A730C" w:rsidRPr="00694D76" w:rsidRDefault="006A730C" w:rsidP="00250512">
      <w:pPr>
        <w:pStyle w:val="Prrafodelista"/>
        <w:numPr>
          <w:ilvl w:val="1"/>
          <w:numId w:val="16"/>
        </w:numPr>
        <w:spacing w:after="120"/>
        <w:rPr>
          <w:rFonts w:ascii="Palatino Linotype" w:hAnsi="Palatino Linotype" w:cs="Times New Roman"/>
          <w:lang w:val="es-EC" w:eastAsia="es-ES"/>
        </w:rPr>
      </w:pPr>
      <w:r w:rsidRPr="00D049BE">
        <w:rPr>
          <w:rFonts w:ascii="Palatino Linotype" w:hAnsi="Palatino Linotype" w:cs="Times New Roman"/>
          <w:b/>
          <w:lang w:val="es-EC" w:eastAsia="es-ES"/>
        </w:rPr>
        <w:t>ii)</w:t>
      </w:r>
      <w:r w:rsidRPr="00694D76">
        <w:rPr>
          <w:rFonts w:ascii="Palatino Linotype" w:hAnsi="Palatino Linotype" w:cs="Times New Roman"/>
          <w:lang w:val="es-EC" w:eastAsia="es-ES"/>
        </w:rPr>
        <w:t xml:space="preserve"> COS TOTAL de partida: Es el coeficiente de </w:t>
      </w:r>
      <w:r w:rsidR="00513D10" w:rsidRPr="00694D76">
        <w:rPr>
          <w:rFonts w:ascii="Palatino Linotype" w:hAnsi="Palatino Linotype" w:cs="Times New Roman"/>
          <w:lang w:val="es-EC" w:eastAsia="es-ES"/>
        </w:rPr>
        <w:t>ocupación</w:t>
      </w:r>
      <w:r w:rsidRPr="00694D76">
        <w:rPr>
          <w:rFonts w:ascii="Palatino Linotype" w:hAnsi="Palatino Linotype" w:cs="Times New Roman"/>
          <w:lang w:val="es-EC" w:eastAsia="es-ES"/>
        </w:rPr>
        <w:t xml:space="preserve"> de suelo vigente (establecido en el PUOS) que posee el predio en el cual se desarrolla el proyecto, </w:t>
      </w:r>
      <w:r w:rsidR="00317794" w:rsidRPr="00694D76">
        <w:rPr>
          <w:rFonts w:ascii="Palatino Linotype" w:hAnsi="Palatino Linotype" w:cs="Times New Roman"/>
          <w:lang w:val="es-EC" w:eastAsia="es-ES"/>
        </w:rPr>
        <w:t>para el presente caso igual a 10%.</w:t>
      </w:r>
    </w:p>
    <w:p w14:paraId="5F324462" w14:textId="77777777" w:rsidR="006A730C" w:rsidRPr="00694D76" w:rsidRDefault="006A730C" w:rsidP="00250512">
      <w:pPr>
        <w:pStyle w:val="NormalWeb"/>
        <w:numPr>
          <w:ilvl w:val="0"/>
          <w:numId w:val="18"/>
        </w:numPr>
        <w:spacing w:before="0" w:beforeAutospacing="0" w:after="120" w:afterAutospacing="0" w:line="276" w:lineRule="auto"/>
        <w:ind w:left="1418" w:hanging="284"/>
        <w:jc w:val="both"/>
        <w:rPr>
          <w:rFonts w:ascii="Palatino Linotype" w:hAnsi="Palatino Linotype"/>
          <w:sz w:val="22"/>
          <w:szCs w:val="22"/>
          <w:lang w:val="es-EC"/>
        </w:rPr>
      </w:pPr>
      <w:r w:rsidRPr="00D049BE">
        <w:rPr>
          <w:rFonts w:ascii="Palatino Linotype" w:hAnsi="Palatino Linotype"/>
          <w:b/>
          <w:sz w:val="22"/>
          <w:szCs w:val="22"/>
          <w:lang w:val="es-EC"/>
        </w:rPr>
        <w:t>iii)</w:t>
      </w:r>
      <w:r w:rsidRPr="00694D76">
        <w:rPr>
          <w:rFonts w:ascii="Palatino Linotype" w:hAnsi="Palatino Linotype"/>
          <w:sz w:val="22"/>
          <w:szCs w:val="22"/>
          <w:lang w:val="es-EC"/>
        </w:rPr>
        <w:t xml:space="preserve">  Valor del m</w:t>
      </w:r>
      <w:r w:rsidRPr="00694D76">
        <w:rPr>
          <w:rFonts w:ascii="Palatino Linotype" w:hAnsi="Palatino Linotype"/>
          <w:sz w:val="22"/>
          <w:szCs w:val="22"/>
          <w:vertAlign w:val="superscript"/>
          <w:lang w:val="es-EC"/>
        </w:rPr>
        <w:t>2</w:t>
      </w:r>
      <w:r w:rsidRPr="00694D76">
        <w:rPr>
          <w:rFonts w:ascii="Palatino Linotype" w:hAnsi="Palatino Linotype"/>
          <w:sz w:val="22"/>
          <w:szCs w:val="22"/>
          <w:lang w:val="es-EC"/>
        </w:rPr>
        <w:t xml:space="preserve"> de </w:t>
      </w:r>
      <w:r w:rsidR="00513D10" w:rsidRPr="00694D76">
        <w:rPr>
          <w:rFonts w:ascii="Palatino Linotype" w:hAnsi="Palatino Linotype"/>
          <w:sz w:val="22"/>
          <w:szCs w:val="22"/>
          <w:lang w:val="es-EC"/>
        </w:rPr>
        <w:t>construcción</w:t>
      </w:r>
      <w:r w:rsidRPr="00694D76">
        <w:rPr>
          <w:rFonts w:ascii="Palatino Linotype" w:hAnsi="Palatino Linotype"/>
          <w:sz w:val="22"/>
          <w:szCs w:val="22"/>
          <w:lang w:val="es-EC"/>
        </w:rPr>
        <w:t>: Es el costo del m</w:t>
      </w:r>
      <w:r w:rsidRPr="00694D76">
        <w:rPr>
          <w:rFonts w:ascii="Palatino Linotype" w:hAnsi="Palatino Linotype"/>
          <w:sz w:val="22"/>
          <w:szCs w:val="22"/>
          <w:vertAlign w:val="superscript"/>
          <w:lang w:val="es-EC"/>
        </w:rPr>
        <w:t>2</w:t>
      </w:r>
      <w:r w:rsidRPr="00694D76">
        <w:rPr>
          <w:rFonts w:ascii="Palatino Linotype" w:hAnsi="Palatino Linotype"/>
          <w:sz w:val="22"/>
          <w:szCs w:val="22"/>
          <w:lang w:val="es-EC"/>
        </w:rPr>
        <w:t xml:space="preserve"> de </w:t>
      </w:r>
      <w:r w:rsidR="00513D10" w:rsidRPr="00694D76">
        <w:rPr>
          <w:rFonts w:ascii="Palatino Linotype" w:hAnsi="Palatino Linotype"/>
          <w:sz w:val="22"/>
          <w:szCs w:val="22"/>
          <w:lang w:val="es-EC"/>
        </w:rPr>
        <w:t>construcción</w:t>
      </w:r>
      <w:r w:rsidRPr="00694D76">
        <w:rPr>
          <w:rFonts w:ascii="Palatino Linotype" w:hAnsi="Palatino Linotype"/>
          <w:sz w:val="22"/>
          <w:szCs w:val="22"/>
          <w:lang w:val="es-EC"/>
        </w:rPr>
        <w:t xml:space="preserve"> tomado de la ordenanza de </w:t>
      </w:r>
      <w:r w:rsidR="00513D10" w:rsidRPr="00694D76">
        <w:rPr>
          <w:rFonts w:ascii="Palatino Linotype" w:hAnsi="Palatino Linotype"/>
          <w:sz w:val="22"/>
          <w:szCs w:val="22"/>
          <w:lang w:val="es-EC"/>
        </w:rPr>
        <w:t>valoración</w:t>
      </w:r>
      <w:r w:rsidRPr="00694D76">
        <w:rPr>
          <w:rFonts w:ascii="Palatino Linotype" w:hAnsi="Palatino Linotype"/>
          <w:sz w:val="22"/>
          <w:szCs w:val="22"/>
          <w:lang w:val="es-EC"/>
        </w:rPr>
        <w:t xml:space="preserve"> catastral vigente</w:t>
      </w:r>
      <w:r w:rsidR="00317794" w:rsidRPr="00694D76">
        <w:rPr>
          <w:rFonts w:ascii="Palatino Linotype" w:hAnsi="Palatino Linotype"/>
          <w:sz w:val="22"/>
          <w:szCs w:val="22"/>
          <w:lang w:val="es-EC"/>
        </w:rPr>
        <w:t>. P</w:t>
      </w:r>
      <w:r w:rsidR="00317794" w:rsidRPr="00694D76">
        <w:rPr>
          <w:rFonts w:ascii="Palatino Linotype" w:eastAsiaTheme="minorHAnsi" w:hAnsi="Palatino Linotype"/>
          <w:sz w:val="22"/>
          <w:szCs w:val="22"/>
          <w:lang w:val="es-EC"/>
        </w:rPr>
        <w:t xml:space="preserve">ara determinar este costo, se tomará el </w:t>
      </w:r>
      <w:r w:rsidR="00513D10" w:rsidRPr="00694D76">
        <w:rPr>
          <w:rFonts w:ascii="Palatino Linotype" w:eastAsiaTheme="minorHAnsi" w:hAnsi="Palatino Linotype"/>
          <w:sz w:val="22"/>
          <w:szCs w:val="22"/>
          <w:lang w:val="es-EC"/>
        </w:rPr>
        <w:t>parámetro</w:t>
      </w:r>
      <w:r w:rsidR="00317794" w:rsidRPr="00694D76">
        <w:rPr>
          <w:rFonts w:ascii="Palatino Linotype" w:eastAsiaTheme="minorHAnsi" w:hAnsi="Palatino Linotype"/>
          <w:sz w:val="22"/>
          <w:szCs w:val="22"/>
          <w:lang w:val="es-EC"/>
        </w:rPr>
        <w:t xml:space="preserve"> correspondiente al </w:t>
      </w:r>
      <w:r w:rsidR="00513D10" w:rsidRPr="00694D76">
        <w:rPr>
          <w:rFonts w:ascii="Palatino Linotype" w:eastAsiaTheme="minorHAnsi" w:hAnsi="Palatino Linotype"/>
          <w:sz w:val="22"/>
          <w:szCs w:val="22"/>
          <w:lang w:val="es-EC"/>
        </w:rPr>
        <w:t>número</w:t>
      </w:r>
      <w:r w:rsidR="00317794" w:rsidRPr="00694D76">
        <w:rPr>
          <w:rFonts w:ascii="Palatino Linotype" w:eastAsiaTheme="minorHAnsi" w:hAnsi="Palatino Linotype"/>
          <w:sz w:val="22"/>
          <w:szCs w:val="22"/>
          <w:lang w:val="es-EC"/>
        </w:rPr>
        <w:t xml:space="preserve"> de pisos de partida</w:t>
      </w:r>
      <w:r w:rsidR="00966DE1" w:rsidRPr="00694D76">
        <w:rPr>
          <w:rFonts w:ascii="Palatino Linotype" w:eastAsiaTheme="minorHAnsi" w:hAnsi="Palatino Linotype"/>
          <w:sz w:val="22"/>
          <w:szCs w:val="22"/>
          <w:lang w:val="es-EC"/>
        </w:rPr>
        <w:t xml:space="preserve"> </w:t>
      </w:r>
      <w:r w:rsidR="00317794" w:rsidRPr="00694D76">
        <w:rPr>
          <w:rFonts w:ascii="Palatino Linotype" w:eastAsiaTheme="minorHAnsi" w:hAnsi="Palatino Linotype"/>
          <w:sz w:val="22"/>
          <w:szCs w:val="22"/>
          <w:lang w:val="es-EC"/>
        </w:rPr>
        <w:t xml:space="preserve">, es decir el correspondiente al </w:t>
      </w:r>
      <w:r w:rsidR="00513D10" w:rsidRPr="00694D76">
        <w:rPr>
          <w:rFonts w:ascii="Palatino Linotype" w:eastAsiaTheme="minorHAnsi" w:hAnsi="Palatino Linotype"/>
          <w:sz w:val="22"/>
          <w:szCs w:val="22"/>
          <w:lang w:val="es-EC"/>
        </w:rPr>
        <w:t>número</w:t>
      </w:r>
      <w:r w:rsidR="00317794" w:rsidRPr="00694D76">
        <w:rPr>
          <w:rFonts w:ascii="Palatino Linotype" w:eastAsiaTheme="minorHAnsi" w:hAnsi="Palatino Linotype"/>
          <w:sz w:val="22"/>
          <w:szCs w:val="22"/>
          <w:lang w:val="es-EC"/>
        </w:rPr>
        <w:t xml:space="preserve"> de pisos establecidos en el PUOS vigente para el predio en el cual se desarrolla el proyecto, para el presente caso</w:t>
      </w:r>
      <w:r w:rsidR="00966DE1" w:rsidRPr="00694D76">
        <w:rPr>
          <w:rFonts w:ascii="Palatino Linotype" w:eastAsiaTheme="minorHAnsi" w:hAnsi="Palatino Linotype"/>
          <w:sz w:val="22"/>
          <w:szCs w:val="22"/>
          <w:lang w:val="es-EC"/>
        </w:rPr>
        <w:t xml:space="preserve"> el número de pisos de partida son dos (2), un tipo de estructura de hormigón armado, la propiedad del proyecto será en </w:t>
      </w:r>
      <w:proofErr w:type="spellStart"/>
      <w:r w:rsidR="00966DE1" w:rsidRPr="00694D76">
        <w:rPr>
          <w:rFonts w:ascii="Palatino Linotype" w:eastAsiaTheme="minorHAnsi" w:hAnsi="Palatino Linotype"/>
          <w:sz w:val="22"/>
          <w:szCs w:val="22"/>
          <w:lang w:val="es-EC"/>
        </w:rPr>
        <w:t>unipropiedad</w:t>
      </w:r>
      <w:proofErr w:type="spellEnd"/>
      <w:r w:rsidR="00966DE1" w:rsidRPr="00694D76">
        <w:rPr>
          <w:rFonts w:ascii="Palatino Linotype" w:eastAsiaTheme="minorHAnsi" w:hAnsi="Palatino Linotype"/>
          <w:sz w:val="22"/>
          <w:szCs w:val="22"/>
          <w:lang w:val="es-EC"/>
        </w:rPr>
        <w:t xml:space="preserve">, los tipos de acabados están catalogados como tipo F (Especial), dando un valor de </w:t>
      </w:r>
      <w:r w:rsidR="00234977" w:rsidRPr="00694D76">
        <w:rPr>
          <w:rFonts w:ascii="Palatino Linotype" w:eastAsiaTheme="minorHAnsi" w:hAnsi="Palatino Linotype"/>
          <w:sz w:val="22"/>
          <w:szCs w:val="22"/>
          <w:lang w:val="es-EC"/>
        </w:rPr>
        <w:t>855</w:t>
      </w:r>
      <w:r w:rsidR="00966DE1" w:rsidRPr="00694D76">
        <w:rPr>
          <w:rFonts w:ascii="Palatino Linotype" w:eastAsiaTheme="minorHAnsi" w:hAnsi="Palatino Linotype"/>
          <w:sz w:val="22"/>
          <w:szCs w:val="22"/>
          <w:lang w:val="es-EC"/>
        </w:rPr>
        <w:t xml:space="preserve"> $/m</w:t>
      </w:r>
      <w:r w:rsidR="00966DE1" w:rsidRPr="00D049BE">
        <w:rPr>
          <w:rFonts w:ascii="Palatino Linotype" w:eastAsiaTheme="minorHAnsi" w:hAnsi="Palatino Linotype"/>
          <w:sz w:val="22"/>
          <w:szCs w:val="22"/>
          <w:vertAlign w:val="superscript"/>
          <w:lang w:val="es-EC"/>
        </w:rPr>
        <w:t>2</w:t>
      </w:r>
      <w:r w:rsidR="00966DE1" w:rsidRPr="00694D76">
        <w:rPr>
          <w:rFonts w:ascii="Palatino Linotype" w:eastAsiaTheme="minorHAnsi" w:hAnsi="Palatino Linotype"/>
          <w:sz w:val="22"/>
          <w:szCs w:val="22"/>
          <w:lang w:val="es-EC"/>
        </w:rPr>
        <w:t>, en base a la normativa</w:t>
      </w:r>
      <w:r w:rsidR="00AE10EE" w:rsidRPr="00694D76">
        <w:rPr>
          <w:rFonts w:ascii="Palatino Linotype" w:eastAsiaTheme="minorHAnsi" w:hAnsi="Palatino Linotype"/>
          <w:sz w:val="22"/>
          <w:szCs w:val="22"/>
          <w:lang w:val="es-EC"/>
        </w:rPr>
        <w:t xml:space="preserve"> de valoración</w:t>
      </w:r>
      <w:r w:rsidR="00966DE1" w:rsidRPr="00694D76">
        <w:rPr>
          <w:rFonts w:ascii="Palatino Linotype" w:eastAsiaTheme="minorHAnsi" w:hAnsi="Palatino Linotype"/>
          <w:sz w:val="22"/>
          <w:szCs w:val="22"/>
          <w:lang w:val="es-EC"/>
        </w:rPr>
        <w:t xml:space="preserve"> catastral vigente.</w:t>
      </w:r>
    </w:p>
    <w:p w14:paraId="26764A1B" w14:textId="77777777" w:rsidR="00D562E1" w:rsidRPr="00694D76" w:rsidRDefault="006A730C" w:rsidP="00250512">
      <w:pPr>
        <w:numPr>
          <w:ilvl w:val="1"/>
          <w:numId w:val="16"/>
        </w:numPr>
        <w:spacing w:after="120"/>
        <w:rPr>
          <w:rFonts w:ascii="Palatino Linotype" w:hAnsi="Palatino Linotype" w:cs="Times New Roman"/>
          <w:lang w:val="es-EC" w:eastAsia="es-ES"/>
        </w:rPr>
      </w:pPr>
      <w:r w:rsidRPr="00D049BE">
        <w:rPr>
          <w:rFonts w:ascii="Palatino Linotype" w:hAnsi="Palatino Linotype" w:cs="Times New Roman"/>
          <w:b/>
          <w:lang w:val="es-EC" w:eastAsia="es-ES"/>
        </w:rPr>
        <w:t>iv)</w:t>
      </w:r>
      <w:r w:rsidRPr="00694D76">
        <w:rPr>
          <w:rFonts w:ascii="Palatino Linotype" w:hAnsi="Palatino Linotype" w:cs="Times New Roman"/>
          <w:lang w:val="es-EC" w:eastAsia="es-ES"/>
        </w:rPr>
        <w:t xml:space="preserve">  Factor de uso: es el factor respecto al uso constructivo al que se destinará la </w:t>
      </w:r>
      <w:r w:rsidR="00513D10" w:rsidRPr="00694D76">
        <w:rPr>
          <w:rFonts w:ascii="Palatino Linotype" w:hAnsi="Palatino Linotype" w:cs="Times New Roman"/>
          <w:lang w:val="es-EC" w:eastAsia="es-ES"/>
        </w:rPr>
        <w:t>edificación</w:t>
      </w:r>
      <w:r w:rsidRPr="00694D76">
        <w:rPr>
          <w:rFonts w:ascii="Palatino Linotype" w:hAnsi="Palatino Linotype" w:cs="Times New Roman"/>
          <w:lang w:val="es-EC" w:eastAsia="es-ES"/>
        </w:rPr>
        <w:t xml:space="preserve"> hotelera, tomado de la ordenanza de </w:t>
      </w:r>
      <w:r w:rsidR="00513D10" w:rsidRPr="00694D76">
        <w:rPr>
          <w:rFonts w:ascii="Palatino Linotype" w:hAnsi="Palatino Linotype" w:cs="Times New Roman"/>
          <w:lang w:val="es-EC" w:eastAsia="es-ES"/>
        </w:rPr>
        <w:t>valoración</w:t>
      </w:r>
      <w:r w:rsidRPr="00694D76">
        <w:rPr>
          <w:rFonts w:ascii="Palatino Linotype" w:hAnsi="Palatino Linotype" w:cs="Times New Roman"/>
          <w:lang w:val="es-EC" w:eastAsia="es-ES"/>
        </w:rPr>
        <w:t xml:space="preserve"> catastral vigente, para el presente caso: </w:t>
      </w:r>
      <w:r w:rsidR="00A73FDE" w:rsidRPr="00694D76">
        <w:rPr>
          <w:rFonts w:ascii="Palatino Linotype" w:hAnsi="Palatino Linotype" w:cs="Times New Roman"/>
          <w:lang w:val="es-EC" w:eastAsia="es-ES"/>
        </w:rPr>
        <w:t xml:space="preserve">2,07.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7"/>
        <w:gridCol w:w="3102"/>
        <w:gridCol w:w="854"/>
        <w:gridCol w:w="1042"/>
        <w:gridCol w:w="1660"/>
        <w:gridCol w:w="1492"/>
      </w:tblGrid>
      <w:tr w:rsidR="006449DD" w:rsidRPr="00694D76" w14:paraId="2CD21F1F" w14:textId="77777777" w:rsidTr="006449DD">
        <w:trPr>
          <w:trHeight w:val="600"/>
        </w:trPr>
        <w:tc>
          <w:tcPr>
            <w:tcW w:w="0" w:type="auto"/>
            <w:gridSpan w:val="6"/>
            <w:shd w:val="clear" w:color="auto" w:fill="auto"/>
            <w:vAlign w:val="center"/>
            <w:hideMark/>
          </w:tcPr>
          <w:p w14:paraId="2305B3DE" w14:textId="608A571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 xml:space="preserve">Cálculo del </w:t>
            </w:r>
            <w:r w:rsidR="00D049BE" w:rsidRPr="00694D76">
              <w:rPr>
                <w:rFonts w:ascii="Palatino Linotype" w:eastAsia="Times New Roman" w:hAnsi="Palatino Linotype" w:cs="Calibri"/>
                <w:b/>
                <w:bCs/>
                <w:lang w:val="es-EC" w:eastAsia="es-EC"/>
              </w:rPr>
              <w:t>valor del terreno de partida</w:t>
            </w:r>
          </w:p>
        </w:tc>
      </w:tr>
      <w:tr w:rsidR="00B46946" w:rsidRPr="00694D76" w14:paraId="3B56B966" w14:textId="77777777" w:rsidTr="006449DD">
        <w:trPr>
          <w:trHeight w:val="1084"/>
        </w:trPr>
        <w:tc>
          <w:tcPr>
            <w:tcW w:w="0" w:type="auto"/>
            <w:shd w:val="clear" w:color="auto" w:fill="auto"/>
            <w:vAlign w:val="center"/>
            <w:hideMark/>
          </w:tcPr>
          <w:p w14:paraId="1400A914"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Área de construcción vigente</w:t>
            </w:r>
            <w:r w:rsidR="00B46946" w:rsidRPr="00694D76">
              <w:rPr>
                <w:rFonts w:ascii="Palatino Linotype" w:eastAsia="Times New Roman" w:hAnsi="Palatino Linotype" w:cs="Calibri"/>
                <w:b/>
                <w:bCs/>
                <w:lang w:val="es-EC" w:eastAsia="es-EC"/>
              </w:rPr>
              <w:t xml:space="preserve"> en m</w:t>
            </w:r>
            <w:r w:rsidR="00B46946" w:rsidRPr="00D049BE">
              <w:rPr>
                <w:rFonts w:ascii="Palatino Linotype" w:eastAsia="Times New Roman" w:hAnsi="Palatino Linotype" w:cs="Calibri"/>
                <w:b/>
                <w:bCs/>
                <w:vertAlign w:val="superscript"/>
                <w:lang w:val="es-EC" w:eastAsia="es-EC"/>
              </w:rPr>
              <w:t>2</w:t>
            </w:r>
          </w:p>
        </w:tc>
        <w:tc>
          <w:tcPr>
            <w:tcW w:w="0" w:type="auto"/>
            <w:shd w:val="clear" w:color="auto" w:fill="auto"/>
            <w:vAlign w:val="center"/>
            <w:hideMark/>
          </w:tcPr>
          <w:p w14:paraId="78631C4F"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 xml:space="preserve">Valor </w:t>
            </w:r>
            <w:r w:rsidR="00B46946" w:rsidRPr="00694D76">
              <w:rPr>
                <w:rFonts w:ascii="Palatino Linotype" w:eastAsia="Times New Roman" w:hAnsi="Palatino Linotype" w:cs="Calibri"/>
                <w:b/>
                <w:bCs/>
                <w:lang w:val="es-EC" w:eastAsia="es-EC"/>
              </w:rPr>
              <w:t xml:space="preserve">en US$ por </w:t>
            </w:r>
            <w:r w:rsidRPr="00694D76">
              <w:rPr>
                <w:rFonts w:ascii="Palatino Linotype" w:eastAsia="Times New Roman" w:hAnsi="Palatino Linotype" w:cs="Calibri"/>
                <w:b/>
                <w:bCs/>
                <w:lang w:val="es-EC" w:eastAsia="es-EC"/>
              </w:rPr>
              <w:t>m</w:t>
            </w:r>
            <w:r w:rsidRPr="00D049BE">
              <w:rPr>
                <w:rFonts w:ascii="Palatino Linotype" w:eastAsia="Times New Roman" w:hAnsi="Palatino Linotype" w:cs="Calibri"/>
                <w:b/>
                <w:bCs/>
                <w:vertAlign w:val="superscript"/>
                <w:lang w:val="es-EC" w:eastAsia="es-EC"/>
              </w:rPr>
              <w:t>2</w:t>
            </w:r>
            <w:r w:rsidRPr="00694D76">
              <w:rPr>
                <w:rFonts w:ascii="Palatino Linotype" w:eastAsia="Times New Roman" w:hAnsi="Palatino Linotype" w:cs="Calibri"/>
                <w:b/>
                <w:bCs/>
                <w:lang w:val="es-EC" w:eastAsia="es-EC"/>
              </w:rPr>
              <w:t xml:space="preserve"> de construcción (2 pisos, estructura de hormigón armado, </w:t>
            </w:r>
            <w:proofErr w:type="spellStart"/>
            <w:r w:rsidRPr="00694D76">
              <w:rPr>
                <w:rFonts w:ascii="Palatino Linotype" w:eastAsia="Times New Roman" w:hAnsi="Palatino Linotype" w:cs="Calibri"/>
                <w:b/>
                <w:bCs/>
                <w:lang w:val="es-EC" w:eastAsia="es-EC"/>
              </w:rPr>
              <w:t>unipropiedad</w:t>
            </w:r>
            <w:proofErr w:type="spellEnd"/>
            <w:r w:rsidRPr="00694D76">
              <w:rPr>
                <w:rFonts w:ascii="Palatino Linotype" w:eastAsia="Times New Roman" w:hAnsi="Palatino Linotype" w:cs="Calibri"/>
                <w:b/>
                <w:bCs/>
                <w:lang w:val="es-EC" w:eastAsia="es-EC"/>
              </w:rPr>
              <w:t>, acabados tipo F (especial)</w:t>
            </w:r>
            <w:r w:rsidR="00B46946" w:rsidRPr="00694D76">
              <w:rPr>
                <w:rFonts w:ascii="Palatino Linotype" w:eastAsia="Times New Roman" w:hAnsi="Palatino Linotype" w:cs="Calibri"/>
                <w:b/>
                <w:bCs/>
                <w:lang w:val="es-EC" w:eastAsia="es-EC"/>
              </w:rPr>
              <w:t>)</w:t>
            </w:r>
          </w:p>
        </w:tc>
        <w:tc>
          <w:tcPr>
            <w:tcW w:w="0" w:type="auto"/>
            <w:shd w:val="clear" w:color="auto" w:fill="auto"/>
            <w:vAlign w:val="center"/>
            <w:hideMark/>
          </w:tcPr>
          <w:p w14:paraId="0D41FDCF"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Factor de uso</w:t>
            </w:r>
          </w:p>
        </w:tc>
        <w:tc>
          <w:tcPr>
            <w:tcW w:w="0" w:type="auto"/>
            <w:shd w:val="clear" w:color="auto" w:fill="auto"/>
            <w:vAlign w:val="center"/>
            <w:hideMark/>
          </w:tcPr>
          <w:p w14:paraId="37B2B276" w14:textId="27A69310"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Valor m</w:t>
            </w:r>
            <w:r w:rsidRPr="00D049BE">
              <w:rPr>
                <w:rFonts w:ascii="Palatino Linotype" w:eastAsia="Times New Roman" w:hAnsi="Palatino Linotype" w:cs="Calibri"/>
                <w:b/>
                <w:bCs/>
                <w:vertAlign w:val="superscript"/>
                <w:lang w:val="es-EC" w:eastAsia="es-EC"/>
              </w:rPr>
              <w:t>2</w:t>
            </w:r>
            <w:r w:rsidRPr="00694D76">
              <w:rPr>
                <w:rFonts w:ascii="Palatino Linotype" w:eastAsia="Times New Roman" w:hAnsi="Palatino Linotype" w:cs="Calibri"/>
                <w:b/>
                <w:bCs/>
                <w:lang w:val="es-EC" w:eastAsia="es-EC"/>
              </w:rPr>
              <w:t xml:space="preserve"> </w:t>
            </w:r>
            <w:r w:rsidR="00B46946" w:rsidRPr="00694D76">
              <w:rPr>
                <w:rFonts w:ascii="Palatino Linotype" w:eastAsia="Times New Roman" w:hAnsi="Palatino Linotype" w:cs="Calibri"/>
                <w:b/>
                <w:bCs/>
                <w:lang w:val="es-EC" w:eastAsia="es-EC"/>
              </w:rPr>
              <w:t xml:space="preserve">por </w:t>
            </w:r>
            <w:r w:rsidRPr="00694D76">
              <w:rPr>
                <w:rFonts w:ascii="Palatino Linotype" w:eastAsia="Times New Roman" w:hAnsi="Palatino Linotype" w:cs="Calibri"/>
                <w:b/>
                <w:bCs/>
                <w:lang w:val="es-EC" w:eastAsia="es-EC"/>
              </w:rPr>
              <w:t>us</w:t>
            </w:r>
            <w:r w:rsidR="00B46946" w:rsidRPr="00694D76">
              <w:rPr>
                <w:rFonts w:ascii="Palatino Linotype" w:eastAsia="Times New Roman" w:hAnsi="Palatino Linotype" w:cs="Calibri"/>
                <w:b/>
                <w:bCs/>
                <w:lang w:val="es-EC" w:eastAsia="es-EC"/>
              </w:rPr>
              <w:t>o</w:t>
            </w:r>
          </w:p>
        </w:tc>
        <w:tc>
          <w:tcPr>
            <w:tcW w:w="0" w:type="auto"/>
            <w:shd w:val="clear" w:color="auto" w:fill="auto"/>
            <w:vAlign w:val="center"/>
            <w:hideMark/>
          </w:tcPr>
          <w:p w14:paraId="5D751E8D"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 xml:space="preserve">Valor de la construcción </w:t>
            </w:r>
            <w:proofErr w:type="spellStart"/>
            <w:r w:rsidRPr="00694D76">
              <w:rPr>
                <w:rFonts w:ascii="Palatino Linotype" w:eastAsia="Times New Roman" w:hAnsi="Palatino Linotype" w:cs="Calibri"/>
                <w:b/>
                <w:bCs/>
                <w:lang w:val="es-EC" w:eastAsia="es-EC"/>
              </w:rPr>
              <w:t>cd+ci</w:t>
            </w:r>
            <w:proofErr w:type="spellEnd"/>
          </w:p>
        </w:tc>
        <w:tc>
          <w:tcPr>
            <w:tcW w:w="0" w:type="auto"/>
            <w:shd w:val="clear" w:color="auto" w:fill="auto"/>
            <w:vAlign w:val="center"/>
            <w:hideMark/>
          </w:tcPr>
          <w:p w14:paraId="7121DE36" w14:textId="2844F433" w:rsidR="006449DD" w:rsidRPr="00694D76" w:rsidRDefault="00012B74"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Valor</w:t>
            </w:r>
            <w:r w:rsidR="006449DD" w:rsidRPr="00694D76">
              <w:rPr>
                <w:rFonts w:ascii="Palatino Linotype" w:eastAsia="Times New Roman" w:hAnsi="Palatino Linotype" w:cs="Calibri"/>
                <w:b/>
                <w:bCs/>
                <w:lang w:val="es-EC" w:eastAsia="es-EC"/>
              </w:rPr>
              <w:t xml:space="preserve"> del terreno de partida al 12%</w:t>
            </w:r>
          </w:p>
        </w:tc>
      </w:tr>
      <w:tr w:rsidR="00B46946" w:rsidRPr="00694D76" w14:paraId="3B04B32C" w14:textId="77777777" w:rsidTr="006449DD">
        <w:trPr>
          <w:trHeight w:val="74"/>
        </w:trPr>
        <w:tc>
          <w:tcPr>
            <w:tcW w:w="0" w:type="auto"/>
            <w:shd w:val="clear" w:color="auto" w:fill="auto"/>
            <w:vAlign w:val="center"/>
            <w:hideMark/>
          </w:tcPr>
          <w:p w14:paraId="09135A98"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E</w:t>
            </w:r>
          </w:p>
        </w:tc>
        <w:tc>
          <w:tcPr>
            <w:tcW w:w="0" w:type="auto"/>
            <w:shd w:val="clear" w:color="auto" w:fill="auto"/>
            <w:vAlign w:val="center"/>
            <w:hideMark/>
          </w:tcPr>
          <w:p w14:paraId="46873935"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F</w:t>
            </w:r>
          </w:p>
        </w:tc>
        <w:tc>
          <w:tcPr>
            <w:tcW w:w="0" w:type="auto"/>
            <w:shd w:val="clear" w:color="auto" w:fill="auto"/>
            <w:vAlign w:val="center"/>
            <w:hideMark/>
          </w:tcPr>
          <w:p w14:paraId="4CAA84BD"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D</w:t>
            </w:r>
          </w:p>
        </w:tc>
        <w:tc>
          <w:tcPr>
            <w:tcW w:w="0" w:type="auto"/>
            <w:shd w:val="clear" w:color="auto" w:fill="auto"/>
            <w:vAlign w:val="center"/>
            <w:hideMark/>
          </w:tcPr>
          <w:p w14:paraId="44B3225F"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F*D</w:t>
            </w:r>
          </w:p>
        </w:tc>
        <w:tc>
          <w:tcPr>
            <w:tcW w:w="0" w:type="auto"/>
            <w:shd w:val="clear" w:color="auto" w:fill="auto"/>
            <w:vAlign w:val="center"/>
            <w:hideMark/>
          </w:tcPr>
          <w:p w14:paraId="273A7CF1"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E * (F*D)</w:t>
            </w:r>
          </w:p>
        </w:tc>
        <w:tc>
          <w:tcPr>
            <w:tcW w:w="0" w:type="auto"/>
            <w:shd w:val="clear" w:color="auto" w:fill="auto"/>
            <w:vAlign w:val="center"/>
            <w:hideMark/>
          </w:tcPr>
          <w:p w14:paraId="09D7E8A5" w14:textId="77777777" w:rsidR="006449DD" w:rsidRPr="00694D76" w:rsidRDefault="006449DD" w:rsidP="00694D76">
            <w:pPr>
              <w:spacing w:after="120"/>
              <w:jc w:val="center"/>
              <w:rPr>
                <w:rFonts w:ascii="Palatino Linotype" w:eastAsia="Times New Roman" w:hAnsi="Palatino Linotype" w:cs="Calibri"/>
                <w:b/>
                <w:bCs/>
                <w:lang w:val="es-EC" w:eastAsia="es-EC"/>
              </w:rPr>
            </w:pPr>
            <w:r w:rsidRPr="00694D76">
              <w:rPr>
                <w:rFonts w:ascii="Palatino Linotype" w:eastAsia="Times New Roman" w:hAnsi="Palatino Linotype" w:cs="Calibri"/>
                <w:b/>
                <w:bCs/>
                <w:lang w:val="es-EC" w:eastAsia="es-EC"/>
              </w:rPr>
              <w:t>12% E*(F*D)</w:t>
            </w:r>
          </w:p>
        </w:tc>
      </w:tr>
      <w:tr w:rsidR="00B46946" w:rsidRPr="00694D76" w14:paraId="31F8D091" w14:textId="77777777" w:rsidTr="006449DD">
        <w:trPr>
          <w:trHeight w:val="351"/>
        </w:trPr>
        <w:tc>
          <w:tcPr>
            <w:tcW w:w="0" w:type="auto"/>
            <w:shd w:val="clear" w:color="auto" w:fill="auto"/>
            <w:noWrap/>
            <w:vAlign w:val="center"/>
            <w:hideMark/>
          </w:tcPr>
          <w:p w14:paraId="3E5A5F6C"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1300,099</w:t>
            </w:r>
          </w:p>
        </w:tc>
        <w:tc>
          <w:tcPr>
            <w:tcW w:w="0" w:type="auto"/>
            <w:shd w:val="clear" w:color="auto" w:fill="auto"/>
            <w:noWrap/>
            <w:vAlign w:val="center"/>
            <w:hideMark/>
          </w:tcPr>
          <w:p w14:paraId="2C0B942B"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855</w:t>
            </w:r>
          </w:p>
        </w:tc>
        <w:tc>
          <w:tcPr>
            <w:tcW w:w="0" w:type="auto"/>
            <w:shd w:val="clear" w:color="auto" w:fill="auto"/>
            <w:noWrap/>
            <w:vAlign w:val="bottom"/>
            <w:hideMark/>
          </w:tcPr>
          <w:p w14:paraId="533FF89B"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2,07</w:t>
            </w:r>
          </w:p>
        </w:tc>
        <w:tc>
          <w:tcPr>
            <w:tcW w:w="0" w:type="auto"/>
            <w:shd w:val="clear" w:color="auto" w:fill="auto"/>
            <w:noWrap/>
            <w:vAlign w:val="bottom"/>
            <w:hideMark/>
          </w:tcPr>
          <w:p w14:paraId="58313AFB"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1.769,85</w:t>
            </w:r>
          </w:p>
        </w:tc>
        <w:tc>
          <w:tcPr>
            <w:tcW w:w="0" w:type="auto"/>
            <w:shd w:val="clear" w:color="auto" w:fill="auto"/>
            <w:noWrap/>
            <w:vAlign w:val="bottom"/>
            <w:hideMark/>
          </w:tcPr>
          <w:p w14:paraId="73B0A5DE" w14:textId="77777777" w:rsidR="006449DD" w:rsidRPr="00694D76" w:rsidRDefault="006449DD" w:rsidP="00694D76">
            <w:pPr>
              <w:spacing w:after="120"/>
              <w:jc w:val="center"/>
              <w:rPr>
                <w:rFonts w:ascii="Palatino Linotype" w:eastAsia="Times New Roman" w:hAnsi="Palatino Linotype" w:cs="Calibri"/>
                <w:lang w:val="es-EC" w:eastAsia="es-EC"/>
              </w:rPr>
            </w:pPr>
            <w:r w:rsidRPr="00694D76">
              <w:rPr>
                <w:rFonts w:ascii="Palatino Linotype" w:eastAsia="Times New Roman" w:hAnsi="Palatino Linotype" w:cs="Calibri"/>
                <w:lang w:val="es-EC" w:eastAsia="es-EC"/>
              </w:rPr>
              <w:t>2.300.980,22</w:t>
            </w:r>
          </w:p>
        </w:tc>
        <w:tc>
          <w:tcPr>
            <w:tcW w:w="0" w:type="auto"/>
            <w:shd w:val="clear" w:color="auto" w:fill="auto"/>
            <w:noWrap/>
            <w:vAlign w:val="bottom"/>
            <w:hideMark/>
          </w:tcPr>
          <w:p w14:paraId="5AD82B0F" w14:textId="77777777" w:rsidR="006449DD" w:rsidRPr="00694D76" w:rsidRDefault="006449DD" w:rsidP="00694D76">
            <w:pPr>
              <w:spacing w:after="120"/>
              <w:jc w:val="center"/>
              <w:rPr>
                <w:rFonts w:ascii="Palatino Linotype" w:eastAsia="Times New Roman" w:hAnsi="Palatino Linotype" w:cs="Calibri"/>
                <w:b/>
                <w:lang w:val="es-EC" w:eastAsia="es-EC"/>
              </w:rPr>
            </w:pPr>
            <w:r w:rsidRPr="00694D76">
              <w:rPr>
                <w:rFonts w:ascii="Palatino Linotype" w:eastAsia="Times New Roman" w:hAnsi="Palatino Linotype" w:cs="Calibri"/>
                <w:b/>
                <w:lang w:val="es-EC" w:eastAsia="es-EC"/>
              </w:rPr>
              <w:t>276.117,63</w:t>
            </w:r>
          </w:p>
        </w:tc>
      </w:tr>
    </w:tbl>
    <w:p w14:paraId="316616A7" w14:textId="77777777" w:rsidR="008D334E" w:rsidRPr="00694D76" w:rsidRDefault="008D334E" w:rsidP="00694D76">
      <w:pPr>
        <w:pStyle w:val="Prrafodelista"/>
        <w:spacing w:after="120"/>
        <w:jc w:val="left"/>
        <w:rPr>
          <w:rFonts w:ascii="Palatino Linotype" w:hAnsi="Palatino Linotype" w:cs="Times New Roman"/>
          <w:lang w:val="es-EC" w:eastAsia="es-ES"/>
        </w:rPr>
      </w:pPr>
    </w:p>
    <w:p w14:paraId="347FE58D" w14:textId="77777777" w:rsidR="00317794" w:rsidRPr="00694D76" w:rsidRDefault="00317794" w:rsidP="00250512">
      <w:pPr>
        <w:pStyle w:val="Prrafodelista"/>
        <w:numPr>
          <w:ilvl w:val="0"/>
          <w:numId w:val="16"/>
        </w:numPr>
        <w:spacing w:after="120"/>
        <w:jc w:val="left"/>
        <w:rPr>
          <w:rFonts w:ascii="Palatino Linotype" w:hAnsi="Palatino Linotype" w:cs="Times New Roman"/>
          <w:lang w:val="es-EC" w:eastAsia="es-ES"/>
        </w:rPr>
      </w:pPr>
      <w:r w:rsidRPr="00694D76">
        <w:rPr>
          <w:rFonts w:ascii="Palatino Linotype" w:hAnsi="Palatino Linotype" w:cs="Times New Roman"/>
          <w:b/>
          <w:lang w:val="es-EC" w:eastAsia="es-ES"/>
        </w:rPr>
        <w:lastRenderedPageBreak/>
        <w:t xml:space="preserve">Porcentaje de </w:t>
      </w:r>
      <w:r w:rsidR="00513D10" w:rsidRPr="00694D76">
        <w:rPr>
          <w:rFonts w:ascii="Palatino Linotype" w:hAnsi="Palatino Linotype" w:cs="Times New Roman"/>
          <w:b/>
          <w:lang w:val="es-EC" w:eastAsia="es-ES"/>
        </w:rPr>
        <w:t>participación</w:t>
      </w:r>
      <w:r w:rsidRPr="00694D76">
        <w:rPr>
          <w:rFonts w:ascii="Palatino Linotype" w:hAnsi="Palatino Linotype" w:cs="Times New Roman"/>
          <w:b/>
          <w:lang w:val="es-EC" w:eastAsia="es-ES"/>
        </w:rPr>
        <w:t xml:space="preserve"> por edificabilidad</w:t>
      </w:r>
      <w:r w:rsidRPr="00694D76">
        <w:rPr>
          <w:rFonts w:ascii="Palatino Linotype" w:hAnsi="Palatino Linotype" w:cs="Times New Roman"/>
          <w:lang w:val="es-EC" w:eastAsia="es-ES"/>
        </w:rPr>
        <w:t xml:space="preserve"> = Es el porcentaje de </w:t>
      </w:r>
      <w:r w:rsidR="00513D10" w:rsidRPr="00694D76">
        <w:rPr>
          <w:rFonts w:ascii="Palatino Linotype" w:hAnsi="Palatino Linotype" w:cs="Times New Roman"/>
          <w:lang w:val="es-EC" w:eastAsia="es-ES"/>
        </w:rPr>
        <w:t>participación</w:t>
      </w:r>
      <w:r w:rsidRPr="00694D76">
        <w:rPr>
          <w:rFonts w:ascii="Palatino Linotype" w:hAnsi="Palatino Linotype" w:cs="Times New Roman"/>
          <w:lang w:val="es-EC" w:eastAsia="es-ES"/>
        </w:rPr>
        <w:t xml:space="preserve"> del Municipio del Distrito Metropolitano de Quito correspondiente al </w:t>
      </w:r>
      <w:r w:rsidRPr="00694D76">
        <w:rPr>
          <w:rFonts w:ascii="Palatino Linotype" w:hAnsi="Palatino Linotype" w:cs="Times New Roman"/>
          <w:b/>
          <w:lang w:val="es-EC" w:eastAsia="es-ES"/>
        </w:rPr>
        <w:t xml:space="preserve">18% </w:t>
      </w:r>
      <w:r w:rsidRPr="00694D76">
        <w:rPr>
          <w:rFonts w:ascii="Palatino Linotype" w:hAnsi="Palatino Linotype" w:cs="Times New Roman"/>
          <w:lang w:val="es-EC" w:eastAsia="es-ES"/>
        </w:rPr>
        <w:t xml:space="preserve">de la </w:t>
      </w:r>
      <w:r w:rsidR="00513D10" w:rsidRPr="00694D76">
        <w:rPr>
          <w:rFonts w:ascii="Palatino Linotype" w:hAnsi="Palatino Linotype" w:cs="Times New Roman"/>
          <w:lang w:val="es-EC" w:eastAsia="es-ES"/>
        </w:rPr>
        <w:t>revalorización</w:t>
      </w:r>
      <w:r w:rsidRPr="00694D76">
        <w:rPr>
          <w:rFonts w:ascii="Palatino Linotype" w:hAnsi="Palatino Linotype" w:cs="Times New Roman"/>
          <w:lang w:val="es-EC" w:eastAsia="es-ES"/>
        </w:rPr>
        <w:t xml:space="preserve"> del suelo derivada del incremento de edificabilidad operada mediante el PUAE. </w:t>
      </w:r>
    </w:p>
    <w:p w14:paraId="299626BE" w14:textId="77777777" w:rsidR="006A730C" w:rsidRPr="00D049BE" w:rsidRDefault="00317794" w:rsidP="00250512">
      <w:pPr>
        <w:pStyle w:val="NormalWeb"/>
        <w:numPr>
          <w:ilvl w:val="0"/>
          <w:numId w:val="16"/>
        </w:numPr>
        <w:spacing w:before="0" w:beforeAutospacing="0" w:after="120" w:afterAutospacing="0" w:line="276" w:lineRule="auto"/>
        <w:rPr>
          <w:rFonts w:ascii="Palatino Linotype" w:hAnsi="Palatino Linotype"/>
          <w:sz w:val="22"/>
          <w:szCs w:val="22"/>
          <w:lang w:val="es-EC"/>
        </w:rPr>
      </w:pPr>
      <w:r w:rsidRPr="00694D76">
        <w:rPr>
          <w:rFonts w:ascii="Palatino Linotype" w:hAnsi="Palatino Linotype"/>
          <w:b/>
          <w:sz w:val="22"/>
          <w:szCs w:val="22"/>
          <w:lang w:val="es-EC"/>
        </w:rPr>
        <w:t>Factor de Ajuste</w:t>
      </w:r>
      <w:r w:rsidRPr="00694D76">
        <w:rPr>
          <w:rFonts w:ascii="Palatino Linotype" w:hAnsi="Palatino Linotype"/>
          <w:sz w:val="22"/>
          <w:szCs w:val="22"/>
          <w:lang w:val="es-EC"/>
        </w:rPr>
        <w:t xml:space="preserve">: </w:t>
      </w:r>
      <w:r w:rsidRPr="00694D76">
        <w:rPr>
          <w:rFonts w:ascii="Palatino Linotype" w:eastAsiaTheme="minorHAnsi" w:hAnsi="Palatino Linotype"/>
          <w:sz w:val="22"/>
          <w:szCs w:val="22"/>
          <w:lang w:val="es-EC"/>
        </w:rPr>
        <w:t xml:space="preserve">Para los proyectos hoteleros y de servicios </w:t>
      </w:r>
      <w:r w:rsidR="00513D10" w:rsidRPr="00694D76">
        <w:rPr>
          <w:rFonts w:ascii="Palatino Linotype" w:eastAsiaTheme="minorHAnsi" w:hAnsi="Palatino Linotype"/>
          <w:sz w:val="22"/>
          <w:szCs w:val="22"/>
          <w:lang w:val="es-EC"/>
        </w:rPr>
        <w:t>turísticos</w:t>
      </w:r>
      <w:r w:rsidRPr="00694D76">
        <w:rPr>
          <w:rFonts w:ascii="Palatino Linotype" w:eastAsiaTheme="minorHAnsi" w:hAnsi="Palatino Linotype"/>
          <w:sz w:val="22"/>
          <w:szCs w:val="22"/>
          <w:lang w:val="es-EC"/>
        </w:rPr>
        <w:t xml:space="preserve">, se aplicará al valor </w:t>
      </w:r>
      <w:r w:rsidRPr="00D049BE">
        <w:rPr>
          <w:rFonts w:ascii="Palatino Linotype" w:eastAsiaTheme="minorHAnsi" w:hAnsi="Palatino Linotype"/>
          <w:sz w:val="22"/>
          <w:szCs w:val="22"/>
          <w:lang w:val="es-EC"/>
        </w:rPr>
        <w:t xml:space="preserve">resultante de las </w:t>
      </w:r>
      <w:r w:rsidR="00513D10" w:rsidRPr="00D049BE">
        <w:rPr>
          <w:rFonts w:ascii="Palatino Linotype" w:eastAsiaTheme="minorHAnsi" w:hAnsi="Palatino Linotype"/>
          <w:sz w:val="22"/>
          <w:szCs w:val="22"/>
          <w:lang w:val="es-EC"/>
        </w:rPr>
        <w:t>fórmulas</w:t>
      </w:r>
      <w:r w:rsidRPr="00D049BE">
        <w:rPr>
          <w:rFonts w:ascii="Palatino Linotype" w:eastAsiaTheme="minorHAnsi" w:hAnsi="Palatino Linotype"/>
          <w:sz w:val="22"/>
          <w:szCs w:val="22"/>
          <w:lang w:val="es-EC"/>
        </w:rPr>
        <w:t xml:space="preserve"> contenidas en el presente </w:t>
      </w:r>
      <w:r w:rsidR="00513D10" w:rsidRPr="00D049BE">
        <w:rPr>
          <w:rFonts w:ascii="Palatino Linotype" w:eastAsiaTheme="minorHAnsi" w:hAnsi="Palatino Linotype"/>
          <w:sz w:val="22"/>
          <w:szCs w:val="22"/>
          <w:lang w:val="es-EC"/>
        </w:rPr>
        <w:t>artículo</w:t>
      </w:r>
      <w:r w:rsidRPr="00D049BE">
        <w:rPr>
          <w:rFonts w:ascii="Palatino Linotype" w:eastAsiaTheme="minorHAnsi" w:hAnsi="Palatino Linotype"/>
          <w:sz w:val="22"/>
          <w:szCs w:val="22"/>
          <w:lang w:val="es-EC"/>
        </w:rPr>
        <w:t xml:space="preserve">, un factor de ajuste igual a </w:t>
      </w:r>
      <w:r w:rsidRPr="00D049BE">
        <w:rPr>
          <w:rFonts w:ascii="Palatino Linotype" w:eastAsiaTheme="minorHAnsi" w:hAnsi="Palatino Linotype"/>
          <w:b/>
          <w:sz w:val="22"/>
          <w:szCs w:val="22"/>
          <w:lang w:val="es-EC"/>
        </w:rPr>
        <w:t>0,7</w:t>
      </w:r>
      <w:r w:rsidRPr="00D049BE">
        <w:rPr>
          <w:rFonts w:ascii="Palatino Linotype" w:eastAsiaTheme="minorHAnsi" w:hAnsi="Palatino Linotype"/>
          <w:sz w:val="22"/>
          <w:szCs w:val="22"/>
          <w:lang w:val="es-EC"/>
        </w:rPr>
        <w:t>.</w:t>
      </w:r>
    </w:p>
    <w:p w14:paraId="00591CAC" w14:textId="77777777" w:rsidR="005B60E8" w:rsidRPr="00D049BE" w:rsidRDefault="005B60E8" w:rsidP="00694D76">
      <w:pPr>
        <w:spacing w:after="120"/>
        <w:jc w:val="left"/>
        <w:rPr>
          <w:rFonts w:ascii="Palatino Linotype" w:hAnsi="Palatino Linotype" w:cs="Times New Roman"/>
          <w:b/>
          <w:lang w:val="es-EC" w:eastAsia="es-ES"/>
        </w:rPr>
      </w:pPr>
      <w:r w:rsidRPr="00D049BE">
        <w:rPr>
          <w:rFonts w:ascii="Palatino Linotype" w:hAnsi="Palatino Linotype" w:cs="Times New Roman"/>
          <w:b/>
          <w:lang w:val="es-EC" w:eastAsia="es-ES"/>
        </w:rPr>
        <w:t>Aplicación de la fórmula: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5"/>
        <w:gridCol w:w="1811"/>
        <w:gridCol w:w="2589"/>
        <w:gridCol w:w="2422"/>
        <w:gridCol w:w="1130"/>
      </w:tblGrid>
      <w:tr w:rsidR="003660CD" w:rsidRPr="00D049BE" w14:paraId="10879079" w14:textId="77777777" w:rsidTr="003660CD">
        <w:trPr>
          <w:trHeight w:val="600"/>
        </w:trPr>
        <w:tc>
          <w:tcPr>
            <w:tcW w:w="8642" w:type="dxa"/>
            <w:gridSpan w:val="5"/>
            <w:shd w:val="clear" w:color="auto" w:fill="auto"/>
            <w:vAlign w:val="center"/>
            <w:hideMark/>
          </w:tcPr>
          <w:p w14:paraId="0BCA7F6D" w14:textId="292CD1C6" w:rsidR="003660CD" w:rsidRPr="00D049BE" w:rsidRDefault="003660CD" w:rsidP="00D049BE">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Aplicación de la</w:t>
            </w:r>
            <w:r w:rsidR="00D049BE">
              <w:rPr>
                <w:rFonts w:ascii="Palatino Linotype" w:eastAsia="Times New Roman" w:hAnsi="Palatino Linotype" w:cs="Calibri"/>
                <w:b/>
                <w:bCs/>
                <w:lang w:val="es-EC" w:eastAsia="es-EC"/>
              </w:rPr>
              <w:t xml:space="preserve"> f</w:t>
            </w:r>
            <w:r w:rsidRPr="00D049BE">
              <w:rPr>
                <w:rFonts w:ascii="Palatino Linotype" w:eastAsia="Times New Roman" w:hAnsi="Palatino Linotype" w:cs="Calibri"/>
                <w:b/>
                <w:bCs/>
                <w:lang w:val="es-EC" w:eastAsia="es-EC"/>
              </w:rPr>
              <w:t>órmula</w:t>
            </w:r>
          </w:p>
        </w:tc>
      </w:tr>
      <w:tr w:rsidR="003660CD" w:rsidRPr="00D049BE" w14:paraId="398F8962" w14:textId="77777777" w:rsidTr="003660CD">
        <w:trPr>
          <w:trHeight w:val="1084"/>
        </w:trPr>
        <w:tc>
          <w:tcPr>
            <w:tcW w:w="0" w:type="auto"/>
            <w:shd w:val="clear" w:color="auto" w:fill="auto"/>
            <w:vAlign w:val="center"/>
            <w:hideMark/>
          </w:tcPr>
          <w:p w14:paraId="3BBE1A6B" w14:textId="7DBF5C42"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Valor del terreno de llegada al 12%</w:t>
            </w:r>
          </w:p>
        </w:tc>
        <w:tc>
          <w:tcPr>
            <w:tcW w:w="0" w:type="auto"/>
            <w:shd w:val="clear" w:color="auto" w:fill="auto"/>
            <w:vAlign w:val="center"/>
            <w:hideMark/>
          </w:tcPr>
          <w:p w14:paraId="07085803" w14:textId="3826DB87"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Valor del terreno de partida al 12%</w:t>
            </w:r>
          </w:p>
        </w:tc>
        <w:tc>
          <w:tcPr>
            <w:tcW w:w="0" w:type="auto"/>
            <w:shd w:val="clear" w:color="auto" w:fill="auto"/>
            <w:vAlign w:val="center"/>
          </w:tcPr>
          <w:p w14:paraId="66251619" w14:textId="5A37DDAE"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 xml:space="preserve">Diferencia </w:t>
            </w:r>
          </w:p>
        </w:tc>
        <w:tc>
          <w:tcPr>
            <w:tcW w:w="0" w:type="auto"/>
            <w:shd w:val="clear" w:color="auto" w:fill="auto"/>
            <w:vAlign w:val="center"/>
          </w:tcPr>
          <w:p w14:paraId="37CDA0F6" w14:textId="2232CCBA"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Porcentaje de participación por edificabilidad</w:t>
            </w:r>
          </w:p>
        </w:tc>
        <w:tc>
          <w:tcPr>
            <w:tcW w:w="875" w:type="dxa"/>
            <w:shd w:val="clear" w:color="auto" w:fill="auto"/>
            <w:vAlign w:val="center"/>
          </w:tcPr>
          <w:p w14:paraId="66A4DC13" w14:textId="11E4C813"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Factor de ajuste para proyectos hoteleros</w:t>
            </w:r>
          </w:p>
        </w:tc>
      </w:tr>
      <w:tr w:rsidR="003660CD" w:rsidRPr="00D049BE" w14:paraId="3B3BAC54" w14:textId="77777777" w:rsidTr="003660CD">
        <w:trPr>
          <w:trHeight w:val="74"/>
        </w:trPr>
        <w:tc>
          <w:tcPr>
            <w:tcW w:w="0" w:type="auto"/>
            <w:shd w:val="clear" w:color="auto" w:fill="auto"/>
            <w:vAlign w:val="center"/>
            <w:hideMark/>
          </w:tcPr>
          <w:p w14:paraId="529634D0" w14:textId="7C653D87"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12% B*(C*D)</w:t>
            </w:r>
          </w:p>
        </w:tc>
        <w:tc>
          <w:tcPr>
            <w:tcW w:w="0" w:type="auto"/>
            <w:shd w:val="clear" w:color="auto" w:fill="auto"/>
            <w:vAlign w:val="center"/>
            <w:hideMark/>
          </w:tcPr>
          <w:p w14:paraId="677502F3" w14:textId="093C73B6"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12% E*(F*D)</w:t>
            </w:r>
          </w:p>
        </w:tc>
        <w:tc>
          <w:tcPr>
            <w:tcW w:w="0" w:type="auto"/>
            <w:shd w:val="clear" w:color="auto" w:fill="auto"/>
            <w:vAlign w:val="center"/>
          </w:tcPr>
          <w:p w14:paraId="0EFF19FE" w14:textId="39C33447"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(Valor del terreno de llegada - Valor del terreno de partida)</w:t>
            </w:r>
          </w:p>
        </w:tc>
        <w:tc>
          <w:tcPr>
            <w:tcW w:w="0" w:type="auto"/>
            <w:shd w:val="clear" w:color="auto" w:fill="auto"/>
            <w:vAlign w:val="center"/>
          </w:tcPr>
          <w:p w14:paraId="6B94E675" w14:textId="449B38F6" w:rsidR="003660CD" w:rsidRPr="00D049BE" w:rsidRDefault="003660CD"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18% Diferencia</w:t>
            </w:r>
          </w:p>
        </w:tc>
        <w:tc>
          <w:tcPr>
            <w:tcW w:w="875" w:type="dxa"/>
            <w:shd w:val="clear" w:color="auto" w:fill="auto"/>
            <w:vAlign w:val="center"/>
          </w:tcPr>
          <w:p w14:paraId="4A5A17C1" w14:textId="5D07BC8B" w:rsidR="003660CD" w:rsidRPr="00D049BE" w:rsidRDefault="00402FEE" w:rsidP="00694D76">
            <w:pPr>
              <w:spacing w:after="120"/>
              <w:jc w:val="center"/>
              <w:rPr>
                <w:rFonts w:ascii="Palatino Linotype" w:eastAsia="Times New Roman" w:hAnsi="Palatino Linotype" w:cs="Calibri"/>
                <w:b/>
                <w:bCs/>
                <w:lang w:val="es-EC" w:eastAsia="es-EC"/>
              </w:rPr>
            </w:pPr>
            <w:r w:rsidRPr="00D049BE">
              <w:rPr>
                <w:rFonts w:ascii="Palatino Linotype" w:eastAsia="Times New Roman" w:hAnsi="Palatino Linotype" w:cs="Calibri"/>
                <w:b/>
                <w:bCs/>
                <w:lang w:val="es-EC" w:eastAsia="es-EC"/>
              </w:rPr>
              <w:t>0,7</w:t>
            </w:r>
          </w:p>
        </w:tc>
      </w:tr>
      <w:tr w:rsidR="003660CD" w:rsidRPr="00D049BE" w14:paraId="63C1A63F" w14:textId="77777777" w:rsidTr="008B3C8E">
        <w:trPr>
          <w:trHeight w:val="327"/>
        </w:trPr>
        <w:tc>
          <w:tcPr>
            <w:tcW w:w="0" w:type="auto"/>
            <w:shd w:val="clear" w:color="auto" w:fill="auto"/>
            <w:noWrap/>
            <w:vAlign w:val="center"/>
            <w:hideMark/>
          </w:tcPr>
          <w:p w14:paraId="7B4EE1DD" w14:textId="0CD90D25" w:rsidR="003660CD" w:rsidRPr="00D049BE" w:rsidRDefault="003660CD" w:rsidP="00694D76">
            <w:pPr>
              <w:spacing w:after="120"/>
              <w:jc w:val="center"/>
              <w:rPr>
                <w:rFonts w:ascii="Palatino Linotype" w:eastAsia="Times New Roman" w:hAnsi="Palatino Linotype" w:cs="Calibri"/>
                <w:lang w:val="es-EC" w:eastAsia="es-EC"/>
              </w:rPr>
            </w:pPr>
            <w:r w:rsidRPr="00D049BE">
              <w:rPr>
                <w:rFonts w:ascii="Palatino Linotype" w:eastAsia="Times New Roman" w:hAnsi="Palatino Linotype" w:cs="Calibri"/>
                <w:lang w:val="es-EC" w:eastAsia="es-EC"/>
              </w:rPr>
              <w:t>3.860.172,08</w:t>
            </w:r>
          </w:p>
        </w:tc>
        <w:tc>
          <w:tcPr>
            <w:tcW w:w="0" w:type="auto"/>
            <w:shd w:val="clear" w:color="auto" w:fill="auto"/>
            <w:noWrap/>
            <w:vAlign w:val="center"/>
            <w:hideMark/>
          </w:tcPr>
          <w:p w14:paraId="1C3BC2D7" w14:textId="146FAABE" w:rsidR="003660CD" w:rsidRPr="00D049BE" w:rsidRDefault="003660CD" w:rsidP="00694D76">
            <w:pPr>
              <w:spacing w:after="120"/>
              <w:jc w:val="center"/>
              <w:rPr>
                <w:rFonts w:ascii="Palatino Linotype" w:eastAsia="Times New Roman" w:hAnsi="Palatino Linotype" w:cs="Calibri"/>
                <w:lang w:val="es-EC" w:eastAsia="es-EC"/>
              </w:rPr>
            </w:pPr>
            <w:r w:rsidRPr="00D049BE">
              <w:rPr>
                <w:rFonts w:ascii="Palatino Linotype" w:eastAsia="Times New Roman" w:hAnsi="Palatino Linotype" w:cs="Calibri"/>
                <w:lang w:val="es-EC" w:eastAsia="es-EC"/>
              </w:rPr>
              <w:t>276.117,63</w:t>
            </w:r>
          </w:p>
        </w:tc>
        <w:tc>
          <w:tcPr>
            <w:tcW w:w="0" w:type="auto"/>
            <w:shd w:val="clear" w:color="auto" w:fill="auto"/>
            <w:noWrap/>
            <w:vAlign w:val="center"/>
          </w:tcPr>
          <w:p w14:paraId="3BAE66C8" w14:textId="10B961B6" w:rsidR="003660CD" w:rsidRPr="00D049BE" w:rsidRDefault="003660CD" w:rsidP="00694D76">
            <w:pPr>
              <w:spacing w:after="120"/>
              <w:jc w:val="center"/>
              <w:rPr>
                <w:rFonts w:ascii="Palatino Linotype" w:eastAsia="Times New Roman" w:hAnsi="Palatino Linotype" w:cs="Calibri"/>
                <w:lang w:val="es-EC" w:eastAsia="es-EC"/>
              </w:rPr>
            </w:pPr>
            <w:r w:rsidRPr="00D049BE">
              <w:rPr>
                <w:rFonts w:ascii="Palatino Linotype" w:eastAsia="Times New Roman" w:hAnsi="Palatino Linotype" w:cs="Calibri"/>
                <w:lang w:val="es-EC" w:eastAsia="es-EC"/>
              </w:rPr>
              <w:t>3.584.054,45</w:t>
            </w:r>
          </w:p>
        </w:tc>
        <w:tc>
          <w:tcPr>
            <w:tcW w:w="0" w:type="auto"/>
            <w:shd w:val="clear" w:color="auto" w:fill="auto"/>
            <w:noWrap/>
            <w:vAlign w:val="center"/>
          </w:tcPr>
          <w:p w14:paraId="2CA9D4BC" w14:textId="19D60954" w:rsidR="003660CD" w:rsidRPr="00D049BE" w:rsidRDefault="003660CD" w:rsidP="00694D76">
            <w:pPr>
              <w:spacing w:after="120"/>
              <w:jc w:val="center"/>
              <w:rPr>
                <w:rFonts w:ascii="Palatino Linotype" w:eastAsia="Times New Roman" w:hAnsi="Palatino Linotype" w:cs="Calibri"/>
                <w:lang w:val="es-EC" w:eastAsia="es-EC"/>
              </w:rPr>
            </w:pPr>
            <w:r w:rsidRPr="00D049BE">
              <w:rPr>
                <w:rFonts w:ascii="Palatino Linotype" w:eastAsia="Times New Roman" w:hAnsi="Palatino Linotype" w:cs="Calibri"/>
                <w:lang w:val="es-EC" w:eastAsia="es-EC"/>
              </w:rPr>
              <w:t>645.129,80</w:t>
            </w:r>
          </w:p>
        </w:tc>
        <w:tc>
          <w:tcPr>
            <w:tcW w:w="875" w:type="dxa"/>
            <w:shd w:val="clear" w:color="auto" w:fill="auto"/>
            <w:noWrap/>
            <w:vAlign w:val="center"/>
          </w:tcPr>
          <w:p w14:paraId="0A52EE1E" w14:textId="34620F75" w:rsidR="003660CD" w:rsidRPr="00D049BE" w:rsidRDefault="003660CD" w:rsidP="00694D76">
            <w:pPr>
              <w:spacing w:after="120"/>
              <w:jc w:val="center"/>
              <w:rPr>
                <w:rFonts w:ascii="Palatino Linotype" w:eastAsia="Times New Roman" w:hAnsi="Palatino Linotype" w:cs="Calibri"/>
                <w:b/>
                <w:lang w:val="es-EC" w:eastAsia="es-EC"/>
              </w:rPr>
            </w:pPr>
            <w:r w:rsidRPr="00D049BE">
              <w:rPr>
                <w:rFonts w:ascii="Palatino Linotype" w:eastAsia="Times New Roman" w:hAnsi="Palatino Linotype" w:cs="Calibri"/>
                <w:b/>
                <w:lang w:val="es-EC" w:eastAsia="es-EC"/>
              </w:rPr>
              <w:t>451.</w:t>
            </w:r>
            <w:r w:rsidR="00D80425" w:rsidRPr="00D049BE">
              <w:rPr>
                <w:rFonts w:ascii="Palatino Linotype" w:eastAsia="Times New Roman" w:hAnsi="Palatino Linotype" w:cs="Calibri"/>
                <w:b/>
                <w:lang w:val="es-EC" w:eastAsia="es-EC"/>
              </w:rPr>
              <w:t>590,86</w:t>
            </w:r>
          </w:p>
        </w:tc>
      </w:tr>
    </w:tbl>
    <w:p w14:paraId="5E0A3C4F" w14:textId="77777777" w:rsidR="005B60E8" w:rsidRPr="00D049BE" w:rsidRDefault="006A730C" w:rsidP="00694D76">
      <w:pPr>
        <w:spacing w:after="120"/>
        <w:jc w:val="left"/>
        <w:rPr>
          <w:rFonts w:ascii="Palatino Linotype" w:hAnsi="Palatino Linotype" w:cs="Times New Roman"/>
          <w:lang w:val="es-EC" w:eastAsia="es-ES"/>
        </w:rPr>
      </w:pPr>
      <w:r w:rsidRPr="00D049BE">
        <w:rPr>
          <w:rFonts w:ascii="Palatino Linotype" w:hAnsi="Palatino Linotype" w:cs="Times New Roman"/>
          <w:lang w:val="es-EC" w:eastAsia="es-ES"/>
        </w:rPr>
        <w:t>Por tanto</w:t>
      </w:r>
      <w:r w:rsidR="00AE10EE" w:rsidRPr="00D049BE">
        <w:rPr>
          <w:rFonts w:ascii="Palatino Linotype" w:hAnsi="Palatino Linotype" w:cs="Times New Roman"/>
          <w:lang w:val="es-EC" w:eastAsia="es-ES"/>
        </w:rPr>
        <w:t>,</w:t>
      </w:r>
      <w:r w:rsidRPr="00D049BE">
        <w:rPr>
          <w:rFonts w:ascii="Palatino Linotype" w:hAnsi="Palatino Linotype" w:cs="Times New Roman"/>
          <w:lang w:val="es-EC" w:eastAsia="es-ES"/>
        </w:rPr>
        <w:t xml:space="preserve"> el monto de la </w:t>
      </w:r>
      <w:proofErr w:type="spellStart"/>
      <w:r w:rsidRPr="00D049BE">
        <w:rPr>
          <w:rFonts w:ascii="Palatino Linotype" w:hAnsi="Palatino Linotype" w:cs="Times New Roman"/>
          <w:lang w:val="es-EC" w:eastAsia="es-ES"/>
        </w:rPr>
        <w:t>CODe</w:t>
      </w:r>
      <w:proofErr w:type="spellEnd"/>
      <w:r w:rsidRPr="00D049BE">
        <w:rPr>
          <w:rFonts w:ascii="Palatino Linotype" w:hAnsi="Palatino Linotype" w:cs="Times New Roman"/>
          <w:lang w:val="es-EC" w:eastAsia="es-ES"/>
        </w:rPr>
        <w:t xml:space="preserve"> es (expresado en USD)</w:t>
      </w:r>
      <w:r w:rsidR="005B60E8" w:rsidRPr="00D049BE">
        <w:rPr>
          <w:rFonts w:ascii="Palatino Linotype" w:hAnsi="Palatino Linotype" w:cs="Times New Roman"/>
          <w:lang w:val="es-EC" w:eastAsia="es-ES"/>
        </w:rPr>
        <w:t>:</w:t>
      </w:r>
    </w:p>
    <w:p w14:paraId="49B89D0F" w14:textId="5E47B43D" w:rsidR="00DD52D5" w:rsidRPr="00694D76" w:rsidRDefault="005B60E8" w:rsidP="00694D76">
      <w:pPr>
        <w:spacing w:after="120"/>
        <w:ind w:firstLine="708"/>
        <w:rPr>
          <w:rFonts w:ascii="Palatino Linotype" w:hAnsi="Palatino Linotype"/>
          <w:lang w:val="es-EC" w:eastAsia="es-ES"/>
        </w:rPr>
      </w:pPr>
      <w:proofErr w:type="spellStart"/>
      <w:r w:rsidRPr="00D049BE">
        <w:rPr>
          <w:rFonts w:ascii="Palatino Linotype" w:hAnsi="Palatino Linotype" w:cs="Times New Roman"/>
          <w:lang w:val="es-EC" w:eastAsia="es-ES"/>
        </w:rPr>
        <w:t>CODe</w:t>
      </w:r>
      <w:proofErr w:type="spellEnd"/>
      <w:r w:rsidRPr="00D049BE">
        <w:rPr>
          <w:rFonts w:ascii="Palatino Linotype" w:hAnsi="Palatino Linotype" w:cs="Times New Roman"/>
          <w:lang w:val="es-EC" w:eastAsia="es-ES"/>
        </w:rPr>
        <w:t>= (</w:t>
      </w:r>
      <w:r w:rsidR="001832F7" w:rsidRPr="00D049BE">
        <w:rPr>
          <w:rFonts w:ascii="Palatino Linotype" w:hAnsi="Palatino Linotype" w:cs="Times New Roman"/>
          <w:lang w:val="es-EC" w:eastAsia="es-ES"/>
        </w:rPr>
        <w:t>3.860.172,08</w:t>
      </w:r>
      <w:r w:rsidR="00B46946" w:rsidRPr="00D049BE">
        <w:rPr>
          <w:rFonts w:ascii="Palatino Linotype" w:hAnsi="Palatino Linotype" w:cs="Times New Roman"/>
          <w:lang w:val="es-EC" w:eastAsia="es-ES"/>
        </w:rPr>
        <w:t xml:space="preserve"> </w:t>
      </w:r>
      <w:r w:rsidR="006A730C" w:rsidRPr="00D049BE">
        <w:rPr>
          <w:rFonts w:ascii="Palatino Linotype" w:hAnsi="Palatino Linotype" w:cs="Times New Roman"/>
          <w:lang w:val="es-EC" w:eastAsia="es-ES"/>
        </w:rPr>
        <w:t>$-</w:t>
      </w:r>
      <w:r w:rsidR="00997F2C" w:rsidRPr="00D049BE">
        <w:rPr>
          <w:rFonts w:ascii="Palatino Linotype" w:hAnsi="Palatino Linotype" w:cs="Times New Roman"/>
          <w:lang w:val="es-EC" w:eastAsia="es-ES"/>
        </w:rPr>
        <w:t xml:space="preserve"> </w:t>
      </w:r>
      <w:r w:rsidR="001832F7" w:rsidRPr="00D049BE">
        <w:rPr>
          <w:rFonts w:ascii="Palatino Linotype" w:hAnsi="Palatino Linotype" w:cs="Times New Roman"/>
          <w:lang w:val="es-EC" w:eastAsia="es-ES"/>
        </w:rPr>
        <w:t xml:space="preserve">276.117,63 </w:t>
      </w:r>
      <w:r w:rsidR="006A730C" w:rsidRPr="00D049BE">
        <w:rPr>
          <w:rFonts w:ascii="Palatino Linotype" w:hAnsi="Palatino Linotype" w:cs="Times New Roman"/>
          <w:lang w:val="es-EC" w:eastAsia="es-ES"/>
        </w:rPr>
        <w:t>$)</w:t>
      </w:r>
      <w:r w:rsidR="00997F2C" w:rsidRPr="00D049BE">
        <w:rPr>
          <w:rFonts w:ascii="Palatino Linotype" w:hAnsi="Palatino Linotype" w:cs="Times New Roman"/>
          <w:lang w:val="es-EC" w:eastAsia="es-ES"/>
        </w:rPr>
        <w:t xml:space="preserve"> </w:t>
      </w:r>
      <w:r w:rsidR="006A730C" w:rsidRPr="00D049BE">
        <w:rPr>
          <w:rFonts w:ascii="Palatino Linotype" w:hAnsi="Palatino Linotype" w:cs="Times New Roman"/>
          <w:lang w:val="es-EC" w:eastAsia="es-ES"/>
        </w:rPr>
        <w:t>x</w:t>
      </w:r>
      <w:r w:rsidR="00D562E1" w:rsidRPr="00D049BE">
        <w:rPr>
          <w:rFonts w:ascii="Palatino Linotype" w:hAnsi="Palatino Linotype" w:cs="Times New Roman"/>
          <w:lang w:val="es-EC" w:eastAsia="es-ES"/>
        </w:rPr>
        <w:t xml:space="preserve"> </w:t>
      </w:r>
      <w:r w:rsidR="006A730C" w:rsidRPr="00D049BE">
        <w:rPr>
          <w:rFonts w:ascii="Palatino Linotype" w:hAnsi="Palatino Linotype" w:cs="Times New Roman"/>
          <w:lang w:val="es-EC" w:eastAsia="es-ES"/>
        </w:rPr>
        <w:t xml:space="preserve">0,18 x 0,7 = </w:t>
      </w:r>
      <w:r w:rsidR="001832F7" w:rsidRPr="00D049BE">
        <w:rPr>
          <w:rFonts w:ascii="Palatino Linotype" w:hAnsi="Palatino Linotype" w:cs="Times New Roman"/>
          <w:b/>
          <w:lang w:val="es-EC" w:eastAsia="es-ES"/>
        </w:rPr>
        <w:t>451.590,86</w:t>
      </w:r>
      <w:r w:rsidR="0098500E" w:rsidRPr="00D049BE">
        <w:rPr>
          <w:rFonts w:ascii="Palatino Linotype" w:hAnsi="Palatino Linotype" w:cs="Times New Roman"/>
          <w:b/>
          <w:lang w:val="es-EC" w:eastAsia="es-ES"/>
        </w:rPr>
        <w:t>USD.</w:t>
      </w:r>
    </w:p>
    <w:p w14:paraId="455E5BB5" w14:textId="647706F4" w:rsidR="005B29D9" w:rsidRPr="00694D76" w:rsidRDefault="00D049BE" w:rsidP="00694D76">
      <w:pPr>
        <w:pStyle w:val="NormalWeb"/>
        <w:spacing w:before="0" w:beforeAutospacing="0" w:after="120" w:afterAutospacing="0" w:line="276" w:lineRule="auto"/>
        <w:rPr>
          <w:rFonts w:ascii="Palatino Linotype" w:eastAsiaTheme="minorHAnsi" w:hAnsi="Palatino Linotype"/>
          <w:sz w:val="22"/>
          <w:szCs w:val="22"/>
          <w:lang w:val="es-EC"/>
        </w:rPr>
      </w:pPr>
      <w:r>
        <w:rPr>
          <w:rFonts w:ascii="Palatino Linotype" w:hAnsi="Palatino Linotype"/>
          <w:b/>
          <w:sz w:val="22"/>
          <w:szCs w:val="22"/>
          <w:lang w:val="es-EC"/>
        </w:rPr>
        <w:t>Artículo</w:t>
      </w:r>
      <w:r w:rsidR="00E916E9" w:rsidRPr="00694D76">
        <w:rPr>
          <w:rFonts w:ascii="Palatino Linotype" w:hAnsi="Palatino Linotype"/>
          <w:b/>
          <w:sz w:val="22"/>
          <w:szCs w:val="22"/>
          <w:lang w:val="es-EC"/>
        </w:rPr>
        <w:t xml:space="preserve"> 21</w:t>
      </w:r>
      <w:r w:rsidR="003517F4" w:rsidRPr="00694D76">
        <w:rPr>
          <w:rFonts w:ascii="Palatino Linotype" w:hAnsi="Palatino Linotype"/>
          <w:b/>
          <w:sz w:val="22"/>
          <w:szCs w:val="22"/>
          <w:lang w:val="es-EC"/>
        </w:rPr>
        <w:t>. -</w:t>
      </w:r>
      <w:r w:rsidR="00E916E9" w:rsidRPr="00694D76">
        <w:rPr>
          <w:rFonts w:ascii="Palatino Linotype" w:hAnsi="Palatino Linotype"/>
          <w:b/>
          <w:sz w:val="22"/>
          <w:szCs w:val="22"/>
          <w:lang w:val="es-EC"/>
        </w:rPr>
        <w:t xml:space="preserve"> </w:t>
      </w:r>
      <w:r w:rsidR="00E916E9" w:rsidRPr="00694D76">
        <w:rPr>
          <w:rFonts w:ascii="Palatino Linotype" w:hAnsi="Palatino Linotype"/>
          <w:b/>
          <w:sz w:val="22"/>
          <w:szCs w:val="22"/>
        </w:rPr>
        <w:t xml:space="preserve">Forma de Pago de la </w:t>
      </w:r>
      <w:proofErr w:type="gramStart"/>
      <w:r w:rsidR="00E916E9" w:rsidRPr="00694D76">
        <w:rPr>
          <w:rFonts w:ascii="Palatino Linotype" w:hAnsi="Palatino Linotype"/>
          <w:b/>
          <w:sz w:val="22"/>
          <w:szCs w:val="22"/>
        </w:rPr>
        <w:t>COD.-</w:t>
      </w:r>
      <w:proofErr w:type="gramEnd"/>
      <w:r w:rsidR="00E916E9" w:rsidRPr="00694D76">
        <w:rPr>
          <w:rFonts w:ascii="Palatino Linotype" w:hAnsi="Palatino Linotype"/>
          <w:sz w:val="22"/>
          <w:szCs w:val="22"/>
        </w:rPr>
        <w:t xml:space="preserve"> </w:t>
      </w:r>
      <w:r w:rsidR="0016697B" w:rsidRPr="00694D76">
        <w:rPr>
          <w:rFonts w:ascii="Palatino Linotype" w:eastAsiaTheme="minorHAnsi" w:hAnsi="Palatino Linotype"/>
          <w:sz w:val="22"/>
          <w:szCs w:val="22"/>
          <w:lang w:val="es-EC"/>
        </w:rPr>
        <w:t xml:space="preserve">El pago a favor del Municipio del Distrito Metropolitano de Quito, por concepto de la </w:t>
      </w:r>
      <w:r w:rsidR="00513D10" w:rsidRPr="00694D76">
        <w:rPr>
          <w:rFonts w:ascii="Palatino Linotype" w:eastAsiaTheme="minorHAnsi" w:hAnsi="Palatino Linotype"/>
          <w:sz w:val="22"/>
          <w:szCs w:val="22"/>
          <w:lang w:val="es-EC"/>
        </w:rPr>
        <w:t>concesión</w:t>
      </w:r>
      <w:r w:rsidR="0016697B" w:rsidRPr="00694D76">
        <w:rPr>
          <w:rFonts w:ascii="Palatino Linotype" w:eastAsiaTheme="minorHAnsi" w:hAnsi="Palatino Linotype"/>
          <w:sz w:val="22"/>
          <w:szCs w:val="22"/>
          <w:lang w:val="es-EC"/>
        </w:rPr>
        <w:t xml:space="preserve"> onerosa de derechos de edificabilidad resultante de la </w:t>
      </w:r>
      <w:r w:rsidR="00513D10" w:rsidRPr="00694D76">
        <w:rPr>
          <w:rFonts w:ascii="Palatino Linotype" w:eastAsiaTheme="minorHAnsi" w:hAnsi="Palatino Linotype"/>
          <w:sz w:val="22"/>
          <w:szCs w:val="22"/>
          <w:lang w:val="es-EC"/>
        </w:rPr>
        <w:t>aplicación</w:t>
      </w:r>
      <w:r w:rsidR="0016697B" w:rsidRPr="00694D76">
        <w:rPr>
          <w:rFonts w:ascii="Palatino Linotype" w:eastAsiaTheme="minorHAnsi" w:hAnsi="Palatino Linotype"/>
          <w:sz w:val="22"/>
          <w:szCs w:val="22"/>
          <w:lang w:val="es-EC"/>
        </w:rPr>
        <w:t xml:space="preserve"> de las </w:t>
      </w:r>
      <w:r w:rsidR="00513D10" w:rsidRPr="00694D76">
        <w:rPr>
          <w:rFonts w:ascii="Palatino Linotype" w:eastAsiaTheme="minorHAnsi" w:hAnsi="Palatino Linotype"/>
          <w:sz w:val="22"/>
          <w:szCs w:val="22"/>
          <w:lang w:val="es-EC"/>
        </w:rPr>
        <w:t>fórmulas</w:t>
      </w:r>
      <w:r w:rsidR="0016697B" w:rsidRPr="00694D76">
        <w:rPr>
          <w:rFonts w:ascii="Palatino Linotype" w:eastAsiaTheme="minorHAnsi" w:hAnsi="Palatino Linotype"/>
          <w:sz w:val="22"/>
          <w:szCs w:val="22"/>
          <w:lang w:val="es-EC"/>
        </w:rPr>
        <w:t xml:space="preserve"> establecidas en el </w:t>
      </w:r>
      <w:r w:rsidR="00513D10" w:rsidRPr="00694D76">
        <w:rPr>
          <w:rFonts w:ascii="Palatino Linotype" w:eastAsiaTheme="minorHAnsi" w:hAnsi="Palatino Linotype"/>
          <w:sz w:val="22"/>
          <w:szCs w:val="22"/>
          <w:lang w:val="es-EC"/>
        </w:rPr>
        <w:t>artículo</w:t>
      </w:r>
      <w:r w:rsidR="006827DD" w:rsidRPr="00694D76">
        <w:rPr>
          <w:rFonts w:ascii="Palatino Linotype" w:eastAsiaTheme="minorHAnsi" w:hAnsi="Palatino Linotype"/>
          <w:sz w:val="22"/>
          <w:szCs w:val="22"/>
          <w:lang w:val="es-EC"/>
        </w:rPr>
        <w:t xml:space="preserve"> 20 de la presente O</w:t>
      </w:r>
      <w:r w:rsidR="0016697B" w:rsidRPr="00694D76">
        <w:rPr>
          <w:rFonts w:ascii="Palatino Linotype" w:eastAsiaTheme="minorHAnsi" w:hAnsi="Palatino Linotype"/>
          <w:sz w:val="22"/>
          <w:szCs w:val="22"/>
          <w:lang w:val="es-EC"/>
        </w:rPr>
        <w:t xml:space="preserve">rdenanza, </w:t>
      </w:r>
      <w:r w:rsidR="00F416BF" w:rsidRPr="00694D76">
        <w:rPr>
          <w:rFonts w:ascii="Palatino Linotype" w:eastAsiaTheme="minorHAnsi" w:hAnsi="Palatino Linotype"/>
          <w:sz w:val="22"/>
          <w:szCs w:val="22"/>
          <w:lang w:val="es-EC"/>
        </w:rPr>
        <w:t>será realizado por los propietarios o promotores mediante la suscripción de un convenio de pago que co</w:t>
      </w:r>
      <w:r w:rsidR="008E3F58" w:rsidRPr="00694D76">
        <w:rPr>
          <w:rFonts w:ascii="Palatino Linotype" w:eastAsiaTheme="minorHAnsi" w:hAnsi="Palatino Linotype"/>
          <w:sz w:val="22"/>
          <w:szCs w:val="22"/>
          <w:lang w:val="es-EC"/>
        </w:rPr>
        <w:t>mb</w:t>
      </w:r>
      <w:r w:rsidR="00F416BF" w:rsidRPr="00694D76">
        <w:rPr>
          <w:rFonts w:ascii="Palatino Linotype" w:eastAsiaTheme="minorHAnsi" w:hAnsi="Palatino Linotype"/>
          <w:sz w:val="22"/>
          <w:szCs w:val="22"/>
          <w:lang w:val="es-EC"/>
        </w:rPr>
        <w:t>ine las siguientes formas de pago:</w:t>
      </w:r>
    </w:p>
    <w:p w14:paraId="7BF5BBC5" w14:textId="77777777" w:rsidR="005235A0" w:rsidRPr="00694D76" w:rsidRDefault="00892BFB" w:rsidP="00250512">
      <w:pPr>
        <w:pStyle w:val="NormalWeb"/>
        <w:numPr>
          <w:ilvl w:val="0"/>
          <w:numId w:val="19"/>
        </w:numPr>
        <w:spacing w:before="0" w:beforeAutospacing="0" w:after="120" w:afterAutospacing="0" w:line="276" w:lineRule="auto"/>
        <w:ind w:left="709" w:hanging="283"/>
        <w:jc w:val="both"/>
        <w:rPr>
          <w:rFonts w:ascii="Palatino Linotype" w:hAnsi="Palatino Linotype"/>
          <w:sz w:val="22"/>
          <w:szCs w:val="22"/>
        </w:rPr>
      </w:pPr>
      <w:r w:rsidRPr="00694D76">
        <w:rPr>
          <w:rFonts w:ascii="Palatino Linotype" w:hAnsi="Palatino Linotype"/>
          <w:b/>
          <w:sz w:val="22"/>
          <w:szCs w:val="22"/>
        </w:rPr>
        <w:t>Pago en especie:</w:t>
      </w:r>
      <w:r w:rsidRPr="00694D76">
        <w:rPr>
          <w:rFonts w:ascii="Palatino Linotype" w:hAnsi="Palatino Linotype"/>
          <w:sz w:val="22"/>
          <w:szCs w:val="22"/>
        </w:rPr>
        <w:t xml:space="preserve"> </w:t>
      </w:r>
    </w:p>
    <w:p w14:paraId="1D31724C" w14:textId="77777777" w:rsidR="002F4A62" w:rsidRPr="00694D76" w:rsidRDefault="005235A0" w:rsidP="00250512">
      <w:pPr>
        <w:pStyle w:val="NormalWeb"/>
        <w:numPr>
          <w:ilvl w:val="1"/>
          <w:numId w:val="19"/>
        </w:numPr>
        <w:spacing w:before="0" w:beforeAutospacing="0" w:after="120" w:afterAutospacing="0" w:line="276" w:lineRule="auto"/>
        <w:jc w:val="both"/>
        <w:rPr>
          <w:rFonts w:ascii="Palatino Linotype" w:hAnsi="Palatino Linotype"/>
          <w:sz w:val="22"/>
          <w:szCs w:val="22"/>
        </w:rPr>
      </w:pPr>
      <w:r w:rsidRPr="00694D76">
        <w:rPr>
          <w:rFonts w:ascii="Palatino Linotype" w:eastAsiaTheme="minorHAnsi" w:hAnsi="Palatino Linotype"/>
          <w:sz w:val="22"/>
          <w:szCs w:val="22"/>
          <w:lang w:val="es-EC"/>
        </w:rPr>
        <w:t>M</w:t>
      </w:r>
      <w:r w:rsidR="00892BFB" w:rsidRPr="00694D76">
        <w:rPr>
          <w:rFonts w:ascii="Palatino Linotype" w:eastAsiaTheme="minorHAnsi" w:hAnsi="Palatino Linotype"/>
          <w:sz w:val="22"/>
          <w:szCs w:val="22"/>
          <w:lang w:val="es-EC"/>
        </w:rPr>
        <w:t xml:space="preserve">ediante la entrega a favor del Municipio </w:t>
      </w:r>
      <w:r w:rsidR="009142F2" w:rsidRPr="00694D76">
        <w:rPr>
          <w:rFonts w:ascii="Palatino Linotype" w:eastAsiaTheme="minorHAnsi" w:hAnsi="Palatino Linotype"/>
          <w:sz w:val="22"/>
          <w:szCs w:val="22"/>
          <w:lang w:val="es-EC"/>
        </w:rPr>
        <w:t>de</w:t>
      </w:r>
      <w:r w:rsidR="008E3F58" w:rsidRPr="00694D76">
        <w:rPr>
          <w:rFonts w:ascii="Palatino Linotype" w:hAnsi="Palatino Linotype"/>
          <w:b/>
          <w:sz w:val="22"/>
          <w:szCs w:val="22"/>
          <w:lang w:val="es-EC"/>
        </w:rPr>
        <w:t xml:space="preserve"> </w:t>
      </w:r>
      <w:r w:rsidR="008E3F58" w:rsidRPr="00694D76">
        <w:rPr>
          <w:rFonts w:ascii="Palatino Linotype" w:hAnsi="Palatino Linotype"/>
          <w:sz w:val="22"/>
          <w:szCs w:val="22"/>
          <w:lang w:val="es-EC"/>
        </w:rPr>
        <w:t xml:space="preserve">los </w:t>
      </w:r>
      <w:r w:rsidR="008E3F58" w:rsidRPr="00694D76">
        <w:rPr>
          <w:rFonts w:ascii="Palatino Linotype" w:hAnsi="Palatino Linotype"/>
          <w:sz w:val="22"/>
          <w:szCs w:val="22"/>
        </w:rPr>
        <w:t>es</w:t>
      </w:r>
      <w:r w:rsidR="00892BFB" w:rsidRPr="00694D76">
        <w:rPr>
          <w:rFonts w:ascii="Palatino Linotype" w:hAnsi="Palatino Linotype"/>
          <w:sz w:val="22"/>
          <w:szCs w:val="22"/>
        </w:rPr>
        <w:t>tudios técnicos</w:t>
      </w:r>
      <w:r w:rsidR="00892BFB" w:rsidRPr="00694D76">
        <w:rPr>
          <w:rFonts w:ascii="Palatino Linotype" w:hAnsi="Palatino Linotype"/>
          <w:sz w:val="22"/>
          <w:szCs w:val="22"/>
          <w:lang w:val="es-EC"/>
        </w:rPr>
        <w:t xml:space="preserve"> para el diseño </w:t>
      </w:r>
      <w:r w:rsidR="003517F4" w:rsidRPr="00694D76">
        <w:rPr>
          <w:rFonts w:ascii="Palatino Linotype" w:hAnsi="Palatino Linotype"/>
          <w:sz w:val="22"/>
          <w:szCs w:val="22"/>
          <w:lang w:val="es-EC"/>
        </w:rPr>
        <w:t xml:space="preserve">definitivo </w:t>
      </w:r>
      <w:r w:rsidR="00892BFB" w:rsidRPr="00694D76">
        <w:rPr>
          <w:rFonts w:ascii="Palatino Linotype" w:hAnsi="Palatino Linotype"/>
          <w:sz w:val="22"/>
          <w:szCs w:val="22"/>
          <w:lang w:val="es-EC"/>
        </w:rPr>
        <w:t>de la</w:t>
      </w:r>
      <w:r w:rsidR="002F4A62" w:rsidRPr="00694D76">
        <w:rPr>
          <w:rFonts w:ascii="Palatino Linotype" w:hAnsi="Palatino Linotype"/>
          <w:sz w:val="22"/>
          <w:szCs w:val="22"/>
          <w:lang w:val="es-EC"/>
        </w:rPr>
        <w:t>s</w:t>
      </w:r>
      <w:r w:rsidR="00892BFB" w:rsidRPr="00694D76">
        <w:rPr>
          <w:rFonts w:ascii="Palatino Linotype" w:hAnsi="Palatino Linotype"/>
          <w:sz w:val="22"/>
          <w:szCs w:val="22"/>
          <w:lang w:val="es-EC"/>
        </w:rPr>
        <w:t xml:space="preserve"> vía</w:t>
      </w:r>
      <w:r w:rsidR="002F4A62" w:rsidRPr="00694D76">
        <w:rPr>
          <w:rFonts w:ascii="Palatino Linotype" w:hAnsi="Palatino Linotype"/>
          <w:sz w:val="22"/>
          <w:szCs w:val="22"/>
          <w:lang w:val="es-EC"/>
        </w:rPr>
        <w:t>s</w:t>
      </w:r>
      <w:r w:rsidR="003517F4" w:rsidRPr="00694D76">
        <w:rPr>
          <w:rFonts w:ascii="Palatino Linotype" w:hAnsi="Palatino Linotype"/>
          <w:sz w:val="22"/>
          <w:szCs w:val="22"/>
          <w:lang w:val="es-EC"/>
        </w:rPr>
        <w:t xml:space="preserve"> y la infraestructura de redes de servicios conexa,</w:t>
      </w:r>
      <w:r w:rsidR="002F4A62" w:rsidRPr="00694D76">
        <w:rPr>
          <w:rFonts w:ascii="Palatino Linotype" w:hAnsi="Palatino Linotype"/>
          <w:sz w:val="22"/>
          <w:szCs w:val="22"/>
          <w:lang w:val="es-EC"/>
        </w:rPr>
        <w:t xml:space="preserve"> que conectan la Vía </w:t>
      </w:r>
      <w:r w:rsidR="003517F4" w:rsidRPr="00694D76">
        <w:rPr>
          <w:rFonts w:ascii="Palatino Linotype" w:hAnsi="Palatino Linotype"/>
          <w:sz w:val="22"/>
          <w:szCs w:val="22"/>
          <w:lang w:val="es-EC"/>
        </w:rPr>
        <w:t xml:space="preserve">E-35 con los predios de la futura </w:t>
      </w:r>
      <w:r w:rsidR="002F4A62" w:rsidRPr="00694D76">
        <w:rPr>
          <w:rFonts w:ascii="Palatino Linotype" w:hAnsi="Palatino Linotype"/>
          <w:sz w:val="22"/>
          <w:szCs w:val="22"/>
          <w:lang w:val="es-EC"/>
        </w:rPr>
        <w:t>Zona Especial de Desarrollo Económico (ZEDE) y el Conector Alpachaca</w:t>
      </w:r>
      <w:r w:rsidR="008B28CE" w:rsidRPr="00694D76">
        <w:rPr>
          <w:rFonts w:ascii="Palatino Linotype" w:hAnsi="Palatino Linotype"/>
          <w:sz w:val="22"/>
          <w:szCs w:val="22"/>
          <w:lang w:val="es-EC"/>
        </w:rPr>
        <w:t xml:space="preserve"> (Anexo </w:t>
      </w:r>
      <w:r w:rsidR="00C705F2" w:rsidRPr="00694D76">
        <w:rPr>
          <w:rFonts w:ascii="Palatino Linotype" w:hAnsi="Palatino Linotype"/>
          <w:sz w:val="22"/>
          <w:szCs w:val="22"/>
          <w:lang w:val="es-EC"/>
        </w:rPr>
        <w:t>6</w:t>
      </w:r>
      <w:r w:rsidR="008B28CE" w:rsidRPr="00694D76">
        <w:rPr>
          <w:rFonts w:ascii="Palatino Linotype" w:hAnsi="Palatino Linotype"/>
          <w:sz w:val="22"/>
          <w:szCs w:val="22"/>
          <w:lang w:val="es-EC"/>
        </w:rPr>
        <w:t xml:space="preserve"> de la presente ordenanza)</w:t>
      </w:r>
      <w:r w:rsidR="002F4A62" w:rsidRPr="00694D76">
        <w:rPr>
          <w:rFonts w:ascii="Palatino Linotype" w:hAnsi="Palatino Linotype"/>
          <w:sz w:val="22"/>
          <w:szCs w:val="22"/>
          <w:lang w:val="es-EC"/>
        </w:rPr>
        <w:t xml:space="preserve">, </w:t>
      </w:r>
      <w:r w:rsidR="003517F4" w:rsidRPr="00694D76">
        <w:rPr>
          <w:rFonts w:ascii="Palatino Linotype" w:hAnsi="Palatino Linotype"/>
          <w:sz w:val="22"/>
          <w:szCs w:val="22"/>
          <w:lang w:val="es-EC"/>
        </w:rPr>
        <w:t>correspondiente a</w:t>
      </w:r>
      <w:r w:rsidR="002F4A62" w:rsidRPr="00694D76">
        <w:rPr>
          <w:rFonts w:ascii="Palatino Linotype" w:hAnsi="Palatino Linotype"/>
          <w:sz w:val="22"/>
          <w:szCs w:val="22"/>
          <w:lang w:val="es-EC"/>
        </w:rPr>
        <w:t xml:space="preserve"> los siguientes tramos:</w:t>
      </w:r>
    </w:p>
    <w:p w14:paraId="0CFA9FA9" w14:textId="7C6FC17C" w:rsidR="002F4A62" w:rsidRPr="00D049BE" w:rsidRDefault="00DE2D29" w:rsidP="00250512">
      <w:pPr>
        <w:pStyle w:val="NormalWeb"/>
        <w:numPr>
          <w:ilvl w:val="0"/>
          <w:numId w:val="20"/>
        </w:numPr>
        <w:spacing w:before="0" w:beforeAutospacing="0" w:after="120" w:afterAutospacing="0" w:line="276" w:lineRule="auto"/>
        <w:rPr>
          <w:rFonts w:ascii="Palatino Linotype" w:hAnsi="Palatino Linotype"/>
          <w:sz w:val="22"/>
          <w:szCs w:val="22"/>
        </w:rPr>
      </w:pPr>
      <w:r w:rsidRPr="00D049BE">
        <w:rPr>
          <w:rFonts w:ascii="Palatino Linotype" w:hAnsi="Palatino Linotype"/>
          <w:sz w:val="22"/>
          <w:szCs w:val="22"/>
        </w:rPr>
        <w:t xml:space="preserve">Vía </w:t>
      </w:r>
      <w:r w:rsidR="00426002" w:rsidRPr="00D049BE">
        <w:rPr>
          <w:rFonts w:ascii="Palatino Linotype" w:hAnsi="Palatino Linotype"/>
          <w:sz w:val="22"/>
          <w:szCs w:val="22"/>
        </w:rPr>
        <w:t>paralela a l</w:t>
      </w:r>
      <w:r w:rsidR="00DD6099" w:rsidRPr="00D049BE">
        <w:rPr>
          <w:rFonts w:ascii="Palatino Linotype" w:hAnsi="Palatino Linotype"/>
          <w:sz w:val="22"/>
          <w:szCs w:val="22"/>
        </w:rPr>
        <w:t>a</w:t>
      </w:r>
      <w:r w:rsidR="00426002" w:rsidRPr="00D049BE">
        <w:rPr>
          <w:rFonts w:ascii="Palatino Linotype" w:hAnsi="Palatino Linotype"/>
          <w:sz w:val="22"/>
          <w:szCs w:val="22"/>
        </w:rPr>
        <w:t xml:space="preserve"> vía de acceso a</w:t>
      </w:r>
      <w:r w:rsidR="00DD6099" w:rsidRPr="00D049BE">
        <w:rPr>
          <w:rFonts w:ascii="Palatino Linotype" w:hAnsi="Palatino Linotype"/>
          <w:sz w:val="22"/>
          <w:szCs w:val="22"/>
        </w:rPr>
        <w:t xml:space="preserve"> Tabacarsen</w:t>
      </w:r>
      <w:r w:rsidRPr="00D049BE">
        <w:rPr>
          <w:rFonts w:ascii="Palatino Linotype" w:hAnsi="Palatino Linotype"/>
          <w:sz w:val="22"/>
          <w:szCs w:val="22"/>
        </w:rPr>
        <w:t xml:space="preserve">: En el tramo comprendido entre el Conector Alpachaca y </w:t>
      </w:r>
      <w:r w:rsidR="00DD6099" w:rsidRPr="00D049BE">
        <w:rPr>
          <w:rFonts w:ascii="Palatino Linotype" w:hAnsi="Palatino Linotype"/>
          <w:sz w:val="22"/>
          <w:szCs w:val="22"/>
        </w:rPr>
        <w:t>la</w:t>
      </w:r>
      <w:r w:rsidRPr="00D049BE">
        <w:rPr>
          <w:rFonts w:ascii="Palatino Linotype" w:hAnsi="Palatino Linotype"/>
          <w:sz w:val="22"/>
          <w:szCs w:val="22"/>
        </w:rPr>
        <w:t xml:space="preserve"> calle Cotopaxi.</w:t>
      </w:r>
    </w:p>
    <w:p w14:paraId="05CBC5E7" w14:textId="582E0C1E" w:rsidR="00DE2D29" w:rsidRPr="00D049BE" w:rsidRDefault="00DE2D29" w:rsidP="00250512">
      <w:pPr>
        <w:pStyle w:val="NormalWeb"/>
        <w:numPr>
          <w:ilvl w:val="0"/>
          <w:numId w:val="20"/>
        </w:numPr>
        <w:spacing w:before="0" w:beforeAutospacing="0" w:after="120" w:afterAutospacing="0" w:line="276" w:lineRule="auto"/>
        <w:rPr>
          <w:rFonts w:ascii="Palatino Linotype" w:hAnsi="Palatino Linotype"/>
          <w:sz w:val="22"/>
          <w:szCs w:val="22"/>
        </w:rPr>
      </w:pPr>
      <w:r w:rsidRPr="00D049BE">
        <w:rPr>
          <w:rFonts w:ascii="Palatino Linotype" w:hAnsi="Palatino Linotype"/>
          <w:sz w:val="22"/>
          <w:szCs w:val="22"/>
        </w:rPr>
        <w:lastRenderedPageBreak/>
        <w:t>Calle Cotopaxi</w:t>
      </w:r>
      <w:r w:rsidR="003517F4" w:rsidRPr="00D049BE">
        <w:rPr>
          <w:rFonts w:ascii="Palatino Linotype" w:hAnsi="Palatino Linotype"/>
          <w:sz w:val="22"/>
          <w:szCs w:val="22"/>
        </w:rPr>
        <w:t xml:space="preserve">: </w:t>
      </w:r>
      <w:r w:rsidRPr="00D049BE">
        <w:rPr>
          <w:rFonts w:ascii="Palatino Linotype" w:hAnsi="Palatino Linotype"/>
          <w:sz w:val="22"/>
          <w:szCs w:val="22"/>
        </w:rPr>
        <w:t xml:space="preserve">En el tramo comprendido entre la </w:t>
      </w:r>
      <w:r w:rsidR="003517F4" w:rsidRPr="00D049BE">
        <w:rPr>
          <w:rFonts w:ascii="Palatino Linotype" w:hAnsi="Palatino Linotype"/>
          <w:sz w:val="22"/>
          <w:szCs w:val="22"/>
        </w:rPr>
        <w:t>v</w:t>
      </w:r>
      <w:r w:rsidRPr="00D049BE">
        <w:rPr>
          <w:rFonts w:ascii="Palatino Linotype" w:hAnsi="Palatino Linotype"/>
          <w:sz w:val="22"/>
          <w:szCs w:val="22"/>
        </w:rPr>
        <w:t>ía</w:t>
      </w:r>
      <w:r w:rsidR="00B331E7" w:rsidRPr="00D049BE">
        <w:rPr>
          <w:rFonts w:ascii="Palatino Linotype" w:hAnsi="Palatino Linotype"/>
          <w:sz w:val="22"/>
          <w:szCs w:val="22"/>
        </w:rPr>
        <w:t xml:space="preserve"> paralela</w:t>
      </w:r>
      <w:r w:rsidRPr="00D049BE">
        <w:rPr>
          <w:rFonts w:ascii="Palatino Linotype" w:hAnsi="Palatino Linotype"/>
          <w:sz w:val="22"/>
          <w:szCs w:val="22"/>
        </w:rPr>
        <w:t xml:space="preserve"> </w:t>
      </w:r>
      <w:r w:rsidR="00426002" w:rsidRPr="00D049BE">
        <w:rPr>
          <w:rFonts w:ascii="Palatino Linotype" w:hAnsi="Palatino Linotype"/>
          <w:sz w:val="22"/>
          <w:szCs w:val="22"/>
        </w:rPr>
        <w:t>de acceso a Tabacarsen</w:t>
      </w:r>
      <w:r w:rsidRPr="00D049BE">
        <w:rPr>
          <w:rFonts w:ascii="Palatino Linotype" w:hAnsi="Palatino Linotype"/>
          <w:sz w:val="22"/>
          <w:szCs w:val="22"/>
        </w:rPr>
        <w:t xml:space="preserve"> y la calle Quito.</w:t>
      </w:r>
    </w:p>
    <w:p w14:paraId="7573E889" w14:textId="77777777" w:rsidR="00DE2D29" w:rsidRPr="00694D76" w:rsidRDefault="00DE2D29" w:rsidP="00250512">
      <w:pPr>
        <w:pStyle w:val="NormalWeb"/>
        <w:numPr>
          <w:ilvl w:val="0"/>
          <w:numId w:val="20"/>
        </w:numPr>
        <w:spacing w:before="0" w:beforeAutospacing="0" w:after="120" w:afterAutospacing="0" w:line="276" w:lineRule="auto"/>
        <w:rPr>
          <w:rFonts w:ascii="Palatino Linotype" w:hAnsi="Palatino Linotype"/>
          <w:sz w:val="22"/>
          <w:szCs w:val="22"/>
        </w:rPr>
      </w:pPr>
      <w:r w:rsidRPr="00694D76">
        <w:rPr>
          <w:rFonts w:ascii="Palatino Linotype" w:hAnsi="Palatino Linotype"/>
          <w:sz w:val="22"/>
          <w:szCs w:val="22"/>
        </w:rPr>
        <w:t>Calle Quito</w:t>
      </w:r>
      <w:r w:rsidR="003517F4" w:rsidRPr="00694D76">
        <w:rPr>
          <w:rFonts w:ascii="Palatino Linotype" w:hAnsi="Palatino Linotype"/>
          <w:sz w:val="22"/>
          <w:szCs w:val="22"/>
        </w:rPr>
        <w:t xml:space="preserve">: </w:t>
      </w:r>
      <w:r w:rsidRPr="00694D76">
        <w:rPr>
          <w:rFonts w:ascii="Palatino Linotype" w:hAnsi="Palatino Linotype"/>
          <w:sz w:val="22"/>
          <w:szCs w:val="22"/>
        </w:rPr>
        <w:t xml:space="preserve">En el tramo comprendido entre la calle Cotopaxi y la </w:t>
      </w:r>
      <w:r w:rsidR="003517F4" w:rsidRPr="00694D76">
        <w:rPr>
          <w:rFonts w:ascii="Palatino Linotype" w:hAnsi="Palatino Linotype"/>
          <w:sz w:val="22"/>
          <w:szCs w:val="22"/>
        </w:rPr>
        <w:t>c</w:t>
      </w:r>
      <w:r w:rsidRPr="00694D76">
        <w:rPr>
          <w:rFonts w:ascii="Palatino Linotype" w:hAnsi="Palatino Linotype"/>
          <w:sz w:val="22"/>
          <w:szCs w:val="22"/>
        </w:rPr>
        <w:t>alle de los Vergeles.</w:t>
      </w:r>
    </w:p>
    <w:p w14:paraId="7AACC3C1" w14:textId="77777777" w:rsidR="009142F2" w:rsidRPr="00694D76" w:rsidRDefault="00DE2D29" w:rsidP="00250512">
      <w:pPr>
        <w:pStyle w:val="NormalWeb"/>
        <w:numPr>
          <w:ilvl w:val="0"/>
          <w:numId w:val="20"/>
        </w:numPr>
        <w:spacing w:before="0" w:beforeAutospacing="0" w:after="120" w:afterAutospacing="0" w:line="276" w:lineRule="auto"/>
        <w:rPr>
          <w:rFonts w:ascii="Palatino Linotype" w:hAnsi="Palatino Linotype"/>
          <w:sz w:val="22"/>
          <w:szCs w:val="22"/>
        </w:rPr>
      </w:pPr>
      <w:r w:rsidRPr="00694D76">
        <w:rPr>
          <w:rFonts w:ascii="Palatino Linotype" w:hAnsi="Palatino Linotype"/>
          <w:sz w:val="22"/>
          <w:szCs w:val="22"/>
        </w:rPr>
        <w:t>Calle de los Vergele</w:t>
      </w:r>
      <w:r w:rsidR="003517F4" w:rsidRPr="00694D76">
        <w:rPr>
          <w:rFonts w:ascii="Palatino Linotype" w:hAnsi="Palatino Linotype"/>
          <w:sz w:val="22"/>
          <w:szCs w:val="22"/>
        </w:rPr>
        <w:t xml:space="preserve">s: </w:t>
      </w:r>
      <w:r w:rsidRPr="00694D76">
        <w:rPr>
          <w:rFonts w:ascii="Palatino Linotype" w:hAnsi="Palatino Linotype"/>
          <w:sz w:val="22"/>
          <w:szCs w:val="22"/>
        </w:rPr>
        <w:t xml:space="preserve">En el tramo comprendido entre la calle Quito y su </w:t>
      </w:r>
      <w:r w:rsidR="003517F4" w:rsidRPr="00694D76">
        <w:rPr>
          <w:rFonts w:ascii="Palatino Linotype" w:hAnsi="Palatino Linotype"/>
          <w:sz w:val="22"/>
          <w:szCs w:val="22"/>
        </w:rPr>
        <w:t>intersección con</w:t>
      </w:r>
      <w:r w:rsidRPr="00694D76">
        <w:rPr>
          <w:rFonts w:ascii="Palatino Linotype" w:hAnsi="Palatino Linotype"/>
          <w:sz w:val="22"/>
          <w:szCs w:val="22"/>
        </w:rPr>
        <w:t xml:space="preserve"> la </w:t>
      </w:r>
      <w:r w:rsidR="003517F4" w:rsidRPr="00694D76">
        <w:rPr>
          <w:rFonts w:ascii="Palatino Linotype" w:hAnsi="Palatino Linotype"/>
          <w:sz w:val="22"/>
          <w:szCs w:val="22"/>
        </w:rPr>
        <w:t>v</w:t>
      </w:r>
      <w:r w:rsidRPr="00694D76">
        <w:rPr>
          <w:rFonts w:ascii="Palatino Linotype" w:hAnsi="Palatino Linotype"/>
          <w:sz w:val="22"/>
          <w:szCs w:val="22"/>
        </w:rPr>
        <w:t>ía E-35.</w:t>
      </w:r>
    </w:p>
    <w:p w14:paraId="50DECA35" w14:textId="77777777" w:rsidR="009142F2" w:rsidRPr="00694D76" w:rsidRDefault="009142F2" w:rsidP="00694D76">
      <w:pPr>
        <w:pStyle w:val="Prrafodelista"/>
        <w:spacing w:after="120"/>
        <w:rPr>
          <w:rFonts w:ascii="Palatino Linotype" w:hAnsi="Palatino Linotype"/>
          <w:lang w:val="es-ES" w:eastAsia="es-ES"/>
        </w:rPr>
      </w:pPr>
      <w:r w:rsidRPr="00694D76">
        <w:rPr>
          <w:rFonts w:ascii="Palatino Linotype" w:hAnsi="Palatino Linotype"/>
          <w:lang w:val="es-ES" w:eastAsia="es-ES"/>
        </w:rPr>
        <w:t>El costo resultante de los estudios</w:t>
      </w:r>
      <w:r w:rsidR="00892BFB" w:rsidRPr="00694D76">
        <w:rPr>
          <w:rFonts w:ascii="Palatino Linotype" w:hAnsi="Palatino Linotype"/>
          <w:lang w:val="es-ES" w:eastAsia="es-ES"/>
        </w:rPr>
        <w:t xml:space="preserve"> </w:t>
      </w:r>
      <w:r w:rsidRPr="00694D76">
        <w:rPr>
          <w:rFonts w:ascii="Palatino Linotype" w:hAnsi="Palatino Linotype"/>
          <w:lang w:val="es-ES" w:eastAsia="es-ES"/>
        </w:rPr>
        <w:t xml:space="preserve">se imputará al pago de la </w:t>
      </w:r>
      <w:proofErr w:type="spellStart"/>
      <w:r w:rsidRPr="00694D76">
        <w:rPr>
          <w:rFonts w:ascii="Palatino Linotype" w:hAnsi="Palatino Linotype"/>
          <w:lang w:val="es-ES" w:eastAsia="es-ES"/>
        </w:rPr>
        <w:t>CODe</w:t>
      </w:r>
      <w:proofErr w:type="spellEnd"/>
      <w:r w:rsidRPr="00694D76">
        <w:rPr>
          <w:rFonts w:ascii="Palatino Linotype" w:hAnsi="Palatino Linotype"/>
          <w:lang w:val="es-ES" w:eastAsia="es-ES"/>
        </w:rPr>
        <w:t xml:space="preserve"> y por tanto </w:t>
      </w:r>
      <w:r w:rsidR="00892BFB" w:rsidRPr="00694D76">
        <w:rPr>
          <w:rFonts w:ascii="Palatino Linotype" w:hAnsi="Palatino Linotype"/>
          <w:lang w:val="es-ES" w:eastAsia="es-ES"/>
        </w:rPr>
        <w:t xml:space="preserve">será deducido del valor indicado en el artículo 20. </w:t>
      </w:r>
    </w:p>
    <w:p w14:paraId="0E004047" w14:textId="77777777" w:rsidR="009142F2" w:rsidRPr="00694D76" w:rsidRDefault="009142F2" w:rsidP="00694D76">
      <w:pPr>
        <w:pStyle w:val="Prrafodelista"/>
        <w:spacing w:after="120"/>
        <w:rPr>
          <w:rFonts w:ascii="Palatino Linotype" w:hAnsi="Palatino Linotype"/>
          <w:lang w:val="es-ES" w:eastAsia="es-ES"/>
        </w:rPr>
      </w:pPr>
    </w:p>
    <w:p w14:paraId="3AAEA249" w14:textId="2FF1FC55" w:rsidR="003517F4" w:rsidRPr="00694D76" w:rsidRDefault="00892BFB" w:rsidP="00694D76">
      <w:pPr>
        <w:pStyle w:val="Prrafodelista"/>
        <w:spacing w:after="120"/>
        <w:rPr>
          <w:rFonts w:ascii="Palatino Linotype" w:hAnsi="Palatino Linotype"/>
          <w:lang w:val="es-ES" w:eastAsia="es-ES"/>
        </w:rPr>
      </w:pPr>
      <w:r w:rsidRPr="00694D76">
        <w:rPr>
          <w:rFonts w:ascii="Palatino Linotype" w:hAnsi="Palatino Linotype"/>
          <w:lang w:val="es-ES" w:eastAsia="es-ES"/>
        </w:rPr>
        <w:t>El plazo para la e</w:t>
      </w:r>
      <w:r w:rsidR="008A7DE7" w:rsidRPr="00694D76">
        <w:rPr>
          <w:rFonts w:ascii="Palatino Linotype" w:hAnsi="Palatino Linotype"/>
          <w:lang w:val="es-ES" w:eastAsia="es-ES"/>
        </w:rPr>
        <w:t>ntrega de l</w:t>
      </w:r>
      <w:r w:rsidRPr="00694D76">
        <w:rPr>
          <w:rFonts w:ascii="Palatino Linotype" w:hAnsi="Palatino Linotype"/>
          <w:lang w:val="es-ES" w:eastAsia="es-ES"/>
        </w:rPr>
        <w:t xml:space="preserve">os </w:t>
      </w:r>
      <w:r w:rsidR="008A7DE7" w:rsidRPr="00694D76">
        <w:rPr>
          <w:rFonts w:ascii="Palatino Linotype" w:hAnsi="Palatino Linotype"/>
          <w:lang w:val="es-ES" w:eastAsia="es-ES"/>
        </w:rPr>
        <w:t>estudios</w:t>
      </w:r>
      <w:r w:rsidRPr="00694D76">
        <w:rPr>
          <w:rFonts w:ascii="Palatino Linotype" w:hAnsi="Palatino Linotype"/>
          <w:lang w:val="es-ES" w:eastAsia="es-ES"/>
        </w:rPr>
        <w:t xml:space="preserve"> es de 75 días calendario</w:t>
      </w:r>
      <w:r w:rsidR="008A7DE7" w:rsidRPr="00694D76">
        <w:rPr>
          <w:rFonts w:ascii="Palatino Linotype" w:hAnsi="Palatino Linotype"/>
          <w:lang w:val="es-ES" w:eastAsia="es-ES"/>
        </w:rPr>
        <w:t>, contados</w:t>
      </w:r>
      <w:r w:rsidRPr="00694D76">
        <w:rPr>
          <w:rFonts w:ascii="Palatino Linotype" w:hAnsi="Palatino Linotype"/>
          <w:lang w:val="es-ES" w:eastAsia="es-ES"/>
        </w:rPr>
        <w:t xml:space="preserve"> a partir de la firma del convenio </w:t>
      </w:r>
      <w:r w:rsidR="006827DD" w:rsidRPr="00694D76">
        <w:rPr>
          <w:rFonts w:ascii="Palatino Linotype" w:hAnsi="Palatino Linotype"/>
          <w:lang w:val="es-ES" w:eastAsia="es-ES"/>
        </w:rPr>
        <w:t xml:space="preserve">de pago </w:t>
      </w:r>
      <w:r w:rsidRPr="00694D76">
        <w:rPr>
          <w:rFonts w:ascii="Palatino Linotype" w:hAnsi="Palatino Linotype"/>
          <w:lang w:val="es-ES" w:eastAsia="es-ES"/>
        </w:rPr>
        <w:t>que el municipio suscribirá con el promotor</w:t>
      </w:r>
      <w:r w:rsidR="003517F4" w:rsidRPr="00694D76">
        <w:rPr>
          <w:rFonts w:ascii="Palatino Linotype" w:hAnsi="Palatino Linotype"/>
          <w:lang w:val="es-ES" w:eastAsia="es-ES"/>
        </w:rPr>
        <w:t>, documento que será valedero para obtener la Licencia Metropolitana Urbanística LMU</w:t>
      </w:r>
      <w:r w:rsidR="00D049BE">
        <w:rPr>
          <w:rFonts w:ascii="Palatino Linotype" w:hAnsi="Palatino Linotype"/>
          <w:lang w:val="es-ES" w:eastAsia="es-ES"/>
        </w:rPr>
        <w:t xml:space="preserve"> </w:t>
      </w:r>
      <w:r w:rsidR="003517F4" w:rsidRPr="00694D76">
        <w:rPr>
          <w:rFonts w:ascii="Palatino Linotype" w:hAnsi="Palatino Linotype"/>
          <w:lang w:val="es-ES" w:eastAsia="es-ES"/>
        </w:rPr>
        <w:t>(20) del proyecto</w:t>
      </w:r>
      <w:r w:rsidRPr="00694D76">
        <w:rPr>
          <w:rFonts w:ascii="Palatino Linotype" w:hAnsi="Palatino Linotype"/>
          <w:lang w:val="es-ES" w:eastAsia="es-ES"/>
        </w:rPr>
        <w:t>.</w:t>
      </w:r>
    </w:p>
    <w:p w14:paraId="589490BA" w14:textId="77777777" w:rsidR="003517F4" w:rsidRPr="00694D76" w:rsidRDefault="003517F4" w:rsidP="00694D76">
      <w:pPr>
        <w:pStyle w:val="Prrafodelista"/>
        <w:spacing w:after="120"/>
        <w:rPr>
          <w:rFonts w:ascii="Palatino Linotype" w:hAnsi="Palatino Linotype"/>
          <w:lang w:val="es-ES" w:eastAsia="es-ES"/>
        </w:rPr>
      </w:pPr>
    </w:p>
    <w:p w14:paraId="568110FA" w14:textId="77777777" w:rsidR="009142F2" w:rsidRPr="00694D76" w:rsidRDefault="009142F2" w:rsidP="00694D76">
      <w:pPr>
        <w:pStyle w:val="Prrafodelista"/>
        <w:spacing w:after="120"/>
        <w:rPr>
          <w:rFonts w:ascii="Palatino Linotype" w:hAnsi="Palatino Linotype"/>
          <w:lang w:val="es-ES" w:eastAsia="es-ES"/>
        </w:rPr>
      </w:pPr>
      <w:r w:rsidRPr="00694D76">
        <w:rPr>
          <w:rFonts w:ascii="Palatino Linotype" w:hAnsi="Palatino Linotype"/>
          <w:lang w:eastAsia="es-ES"/>
        </w:rPr>
        <w:t xml:space="preserve">Los diseños referidos en el presente literal </w:t>
      </w:r>
      <w:r w:rsidR="003517F4" w:rsidRPr="00694D76">
        <w:rPr>
          <w:rFonts w:ascii="Palatino Linotype" w:hAnsi="Palatino Linotype"/>
          <w:lang w:eastAsia="es-ES"/>
        </w:rPr>
        <w:t>podrán ser</w:t>
      </w:r>
      <w:r w:rsidRPr="00694D76">
        <w:rPr>
          <w:rFonts w:ascii="Palatino Linotype" w:hAnsi="Palatino Linotype"/>
          <w:lang w:eastAsia="es-ES"/>
        </w:rPr>
        <w:t xml:space="preserve"> ejecutados por la Empresa Pública Metropolitana de Movilidad y Obras Públicas (EPMMOP) y su costo </w:t>
      </w:r>
      <w:r w:rsidR="008A7DE7" w:rsidRPr="00694D76">
        <w:rPr>
          <w:rFonts w:ascii="Palatino Linotype" w:hAnsi="Palatino Linotype"/>
          <w:lang w:eastAsia="es-ES"/>
        </w:rPr>
        <w:t>será</w:t>
      </w:r>
      <w:r w:rsidRPr="00694D76">
        <w:rPr>
          <w:rFonts w:ascii="Palatino Linotype" w:hAnsi="Palatino Linotype"/>
          <w:lang w:eastAsia="es-ES"/>
        </w:rPr>
        <w:t xml:space="preserve"> valorado de acuerdo a la cotización remitida por dicha empresa,</w:t>
      </w:r>
      <w:r w:rsidR="00AE10EE" w:rsidRPr="00694D76">
        <w:rPr>
          <w:rFonts w:ascii="Palatino Linotype" w:hAnsi="Palatino Linotype"/>
          <w:lang w:eastAsia="es-ES"/>
        </w:rPr>
        <w:t xml:space="preserve"> documento que</w:t>
      </w:r>
      <w:r w:rsidRPr="00694D76">
        <w:rPr>
          <w:rFonts w:ascii="Palatino Linotype" w:hAnsi="Palatino Linotype"/>
          <w:lang w:eastAsia="es-ES"/>
        </w:rPr>
        <w:t xml:space="preserve"> será parte del referido convenio.</w:t>
      </w:r>
    </w:p>
    <w:p w14:paraId="307525C1" w14:textId="77777777" w:rsidR="009142F2" w:rsidRPr="00694D76" w:rsidRDefault="009142F2" w:rsidP="00694D76">
      <w:pPr>
        <w:pStyle w:val="Prrafodelista"/>
        <w:spacing w:after="120"/>
        <w:rPr>
          <w:rFonts w:ascii="Palatino Linotype" w:hAnsi="Palatino Linotype"/>
          <w:lang w:val="es-ES" w:eastAsia="es-ES"/>
        </w:rPr>
      </w:pPr>
    </w:p>
    <w:p w14:paraId="19363C46" w14:textId="77777777" w:rsidR="00892BFB" w:rsidRPr="00694D76" w:rsidRDefault="00892BFB" w:rsidP="00694D76">
      <w:pPr>
        <w:pStyle w:val="Prrafodelista"/>
        <w:spacing w:after="120"/>
        <w:rPr>
          <w:rFonts w:ascii="Palatino Linotype" w:hAnsi="Palatino Linotype"/>
          <w:lang w:val="es-ES" w:eastAsia="es-ES"/>
        </w:rPr>
      </w:pPr>
      <w:r w:rsidRPr="00694D76">
        <w:rPr>
          <w:rFonts w:ascii="Palatino Linotype" w:hAnsi="Palatino Linotype"/>
          <w:lang w:val="es-ES" w:eastAsia="es-ES"/>
        </w:rPr>
        <w:t>Los estudios incluirán:</w:t>
      </w:r>
    </w:p>
    <w:p w14:paraId="50B31721" w14:textId="1CB36C34" w:rsidR="00892BFB" w:rsidRPr="00694D76" w:rsidRDefault="00892BFB" w:rsidP="00250512">
      <w:pPr>
        <w:pStyle w:val="Prrafodelista"/>
        <w:numPr>
          <w:ilvl w:val="0"/>
          <w:numId w:val="14"/>
        </w:numPr>
        <w:spacing w:after="120"/>
        <w:ind w:left="993" w:hanging="284"/>
        <w:rPr>
          <w:rFonts w:ascii="Palatino Linotype" w:hAnsi="Palatino Linotype"/>
          <w:lang w:val="es-ES" w:eastAsia="es-ES"/>
        </w:rPr>
      </w:pPr>
      <w:r w:rsidRPr="00694D76">
        <w:rPr>
          <w:rFonts w:ascii="Palatino Linotype" w:hAnsi="Palatino Linotype"/>
          <w:lang w:val="es-ES" w:eastAsia="es-ES"/>
        </w:rPr>
        <w:t xml:space="preserve">Diseño vial con especificaciones técnicas, presupuesto y cronograma valorado </w:t>
      </w:r>
      <w:r w:rsidR="00426002" w:rsidRPr="00694D76">
        <w:rPr>
          <w:rFonts w:ascii="Palatino Linotype" w:hAnsi="Palatino Linotype"/>
          <w:lang w:val="es-ES" w:eastAsia="es-ES"/>
        </w:rPr>
        <w:t>(</w:t>
      </w:r>
      <w:r w:rsidRPr="00694D76">
        <w:rPr>
          <w:rFonts w:ascii="Palatino Linotype" w:hAnsi="Palatino Linotype"/>
          <w:lang w:val="es-ES" w:eastAsia="es-ES"/>
        </w:rPr>
        <w:t>en el cual constará el monto total de la obra y el correspondiente al pago en especie por COD</w:t>
      </w:r>
      <w:r w:rsidR="00426002" w:rsidRPr="00694D76">
        <w:rPr>
          <w:rFonts w:ascii="Palatino Linotype" w:hAnsi="Palatino Linotype"/>
          <w:lang w:val="es-ES" w:eastAsia="es-ES"/>
        </w:rPr>
        <w:t>),</w:t>
      </w:r>
      <w:r w:rsidR="008A7DE7" w:rsidRPr="00694D76">
        <w:rPr>
          <w:rFonts w:ascii="Palatino Linotype" w:hAnsi="Palatino Linotype"/>
          <w:lang w:val="es-ES" w:eastAsia="es-ES"/>
        </w:rPr>
        <w:t xml:space="preserve"> de aplicar;</w:t>
      </w:r>
    </w:p>
    <w:p w14:paraId="018B34B1" w14:textId="77777777" w:rsidR="00892BFB" w:rsidRPr="00694D76" w:rsidRDefault="008A7DE7" w:rsidP="00250512">
      <w:pPr>
        <w:pStyle w:val="Prrafodelista"/>
        <w:numPr>
          <w:ilvl w:val="0"/>
          <w:numId w:val="14"/>
        </w:numPr>
        <w:spacing w:after="120"/>
        <w:ind w:left="993" w:hanging="284"/>
        <w:rPr>
          <w:rFonts w:ascii="Palatino Linotype" w:hAnsi="Palatino Linotype"/>
          <w:lang w:val="es-ES" w:eastAsia="es-ES"/>
        </w:rPr>
      </w:pPr>
      <w:r w:rsidRPr="00694D76">
        <w:rPr>
          <w:rFonts w:ascii="Palatino Linotype" w:hAnsi="Palatino Linotype"/>
          <w:lang w:val="es-ES" w:eastAsia="es-ES"/>
        </w:rPr>
        <w:t>Diseño de iluminación y de soterramiento de redes eléctricas y de telecomunicaciones;</w:t>
      </w:r>
    </w:p>
    <w:p w14:paraId="54712CC3" w14:textId="77777777" w:rsidR="00892BFB" w:rsidRPr="00694D76" w:rsidRDefault="00892BFB" w:rsidP="00250512">
      <w:pPr>
        <w:pStyle w:val="Prrafodelista"/>
        <w:numPr>
          <w:ilvl w:val="0"/>
          <w:numId w:val="14"/>
        </w:numPr>
        <w:spacing w:after="120"/>
        <w:ind w:left="993" w:hanging="284"/>
        <w:rPr>
          <w:rFonts w:ascii="Palatino Linotype" w:hAnsi="Palatino Linotype"/>
          <w:lang w:val="es-ES" w:eastAsia="es-ES"/>
        </w:rPr>
      </w:pPr>
      <w:r w:rsidRPr="00694D76">
        <w:rPr>
          <w:rFonts w:ascii="Palatino Linotype" w:hAnsi="Palatino Linotype"/>
          <w:lang w:val="es-ES" w:eastAsia="es-ES"/>
        </w:rPr>
        <w:t>Dise</w:t>
      </w:r>
      <w:r w:rsidR="008A7DE7" w:rsidRPr="00694D76">
        <w:rPr>
          <w:rFonts w:ascii="Palatino Linotype" w:hAnsi="Palatino Linotype"/>
          <w:lang w:val="es-ES" w:eastAsia="es-ES"/>
        </w:rPr>
        <w:t>ño</w:t>
      </w:r>
      <w:r w:rsidR="0011340D" w:rsidRPr="00694D76">
        <w:rPr>
          <w:rFonts w:ascii="Palatino Linotype" w:hAnsi="Palatino Linotype"/>
          <w:lang w:val="es-ES" w:eastAsia="es-ES"/>
        </w:rPr>
        <w:t xml:space="preserve"> de alcantarillado y drenajes</w:t>
      </w:r>
      <w:r w:rsidR="008A7DE7" w:rsidRPr="00694D76">
        <w:rPr>
          <w:rFonts w:ascii="Palatino Linotype" w:hAnsi="Palatino Linotype"/>
          <w:lang w:val="es-ES" w:eastAsia="es-ES"/>
        </w:rPr>
        <w:t>;</w:t>
      </w:r>
    </w:p>
    <w:p w14:paraId="14CF131B" w14:textId="77777777" w:rsidR="00892BFB" w:rsidRPr="00694D76" w:rsidRDefault="00892BFB"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lang w:val="es-ES" w:eastAsia="es-ES"/>
        </w:rPr>
        <w:t>Diseño de señalización</w:t>
      </w:r>
      <w:r w:rsidR="008A7DE7" w:rsidRPr="00694D76">
        <w:rPr>
          <w:rFonts w:ascii="Palatino Linotype" w:hAnsi="Palatino Linotype"/>
          <w:lang w:val="es-ES" w:eastAsia="es-ES"/>
        </w:rPr>
        <w:t xml:space="preserve"> y, de</w:t>
      </w:r>
      <w:r w:rsidR="003517F4" w:rsidRPr="00694D76">
        <w:rPr>
          <w:rFonts w:ascii="Palatino Linotype" w:hAnsi="Palatino Linotype"/>
          <w:lang w:val="es-ES" w:eastAsia="es-ES"/>
        </w:rPr>
        <w:t xml:space="preserve"> requerirse, de semaforización.</w:t>
      </w:r>
    </w:p>
    <w:p w14:paraId="671C9EB7" w14:textId="77777777" w:rsidR="003517F4" w:rsidRPr="00694D76" w:rsidRDefault="003517F4"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lang w:val="es-ES" w:eastAsia="es-ES"/>
        </w:rPr>
        <w:t>Otros que pudieren requerirse en función de las especificidades del caso.</w:t>
      </w:r>
    </w:p>
    <w:p w14:paraId="5001BD41" w14:textId="77777777" w:rsidR="008A7DE7" w:rsidRPr="00694D76" w:rsidRDefault="008A7DE7" w:rsidP="00694D76">
      <w:pPr>
        <w:spacing w:after="120"/>
        <w:ind w:left="709"/>
        <w:rPr>
          <w:rFonts w:ascii="Palatino Linotype" w:hAnsi="Palatino Linotype"/>
          <w:lang w:val="es-ES" w:eastAsia="es-ES"/>
        </w:rPr>
      </w:pPr>
      <w:r w:rsidRPr="00694D76">
        <w:rPr>
          <w:rFonts w:ascii="Palatino Linotype" w:hAnsi="Palatino Linotype"/>
          <w:lang w:val="es-ES" w:eastAsia="es-ES"/>
        </w:rPr>
        <w:t>El diseño vial y su trazado geométrico definitivo permitirán sustentar técnicamente la aprobación del trazado vial ante el Concejo Metropolitano de Quito.</w:t>
      </w:r>
      <w:r w:rsidR="003517F4" w:rsidRPr="00694D76">
        <w:rPr>
          <w:rFonts w:ascii="Palatino Linotype" w:hAnsi="Palatino Linotype"/>
          <w:lang w:val="es-ES" w:eastAsia="es-ES"/>
        </w:rPr>
        <w:t xml:space="preserve"> De igual forma, el diseño y sus componentes técnicos permitirá</w:t>
      </w:r>
      <w:r w:rsidR="00295018" w:rsidRPr="00694D76">
        <w:rPr>
          <w:rFonts w:ascii="Palatino Linotype" w:hAnsi="Palatino Linotype"/>
          <w:lang w:val="es-ES" w:eastAsia="es-ES"/>
        </w:rPr>
        <w:t>n</w:t>
      </w:r>
      <w:r w:rsidR="003517F4" w:rsidRPr="00694D76">
        <w:rPr>
          <w:rFonts w:ascii="Palatino Linotype" w:hAnsi="Palatino Linotype"/>
          <w:lang w:val="es-ES" w:eastAsia="es-ES"/>
        </w:rPr>
        <w:t xml:space="preserve"> emprender la ejecución de las respectivas obras.</w:t>
      </w:r>
    </w:p>
    <w:p w14:paraId="6DC63A3B" w14:textId="77777777" w:rsidR="005235A0" w:rsidRPr="00694D76" w:rsidRDefault="005235A0" w:rsidP="00250512">
      <w:pPr>
        <w:pStyle w:val="Prrafodelista"/>
        <w:numPr>
          <w:ilvl w:val="1"/>
          <w:numId w:val="19"/>
        </w:numPr>
        <w:spacing w:after="120"/>
        <w:rPr>
          <w:rFonts w:ascii="Palatino Linotype" w:hAnsi="Palatino Linotype"/>
        </w:rPr>
      </w:pPr>
      <w:r w:rsidRPr="00694D76">
        <w:rPr>
          <w:rFonts w:ascii="Palatino Linotype" w:hAnsi="Palatino Linotype"/>
        </w:rPr>
        <w:t xml:space="preserve">Mediante </w:t>
      </w:r>
      <w:r w:rsidR="002C690B" w:rsidRPr="00694D76">
        <w:rPr>
          <w:rFonts w:ascii="Palatino Linotype" w:hAnsi="Palatino Linotype"/>
        </w:rPr>
        <w:t>la participación</w:t>
      </w:r>
      <w:r w:rsidR="00295018" w:rsidRPr="00694D76">
        <w:rPr>
          <w:rFonts w:ascii="Palatino Linotype" w:hAnsi="Palatino Linotype"/>
        </w:rPr>
        <w:t xml:space="preserve"> en la </w:t>
      </w:r>
      <w:r w:rsidRPr="00694D76">
        <w:rPr>
          <w:rFonts w:ascii="Palatino Linotype" w:hAnsi="Palatino Linotype"/>
        </w:rPr>
        <w:t>ejecución de la obra vial derivada de los estudios señalados en el numeral anterior</w:t>
      </w:r>
      <w:r w:rsidR="001F05E3" w:rsidRPr="00694D76">
        <w:rPr>
          <w:rFonts w:ascii="Palatino Linotype" w:hAnsi="Palatino Linotype"/>
        </w:rPr>
        <w:t>,</w:t>
      </w:r>
      <w:r w:rsidR="005F0304" w:rsidRPr="00694D76">
        <w:rPr>
          <w:rFonts w:ascii="Palatino Linotype" w:hAnsi="Palatino Linotype"/>
        </w:rPr>
        <w:t xml:space="preserve"> </w:t>
      </w:r>
      <w:r w:rsidR="00295018" w:rsidRPr="00694D76">
        <w:rPr>
          <w:rFonts w:ascii="Palatino Linotype" w:hAnsi="Palatino Linotype"/>
        </w:rPr>
        <w:t xml:space="preserve">en un valor </w:t>
      </w:r>
      <w:r w:rsidRPr="00694D76">
        <w:rPr>
          <w:rFonts w:ascii="Palatino Linotype" w:hAnsi="Palatino Linotype"/>
        </w:rPr>
        <w:t xml:space="preserve">equivalente al saldo </w:t>
      </w:r>
      <w:r w:rsidR="0082666B" w:rsidRPr="00694D76">
        <w:rPr>
          <w:rFonts w:ascii="Palatino Linotype" w:hAnsi="Palatino Linotype"/>
        </w:rPr>
        <w:t>no devengado</w:t>
      </w:r>
      <w:r w:rsidRPr="00694D76">
        <w:rPr>
          <w:rFonts w:ascii="Palatino Linotype" w:hAnsi="Palatino Linotype"/>
        </w:rPr>
        <w:t xml:space="preserve"> por concepto de </w:t>
      </w:r>
      <w:proofErr w:type="spellStart"/>
      <w:r w:rsidRPr="00694D76">
        <w:rPr>
          <w:rFonts w:ascii="Palatino Linotype" w:hAnsi="Palatino Linotype"/>
        </w:rPr>
        <w:t>CODe</w:t>
      </w:r>
      <w:proofErr w:type="spellEnd"/>
      <w:r w:rsidR="001F05E3" w:rsidRPr="00694D76">
        <w:rPr>
          <w:rFonts w:ascii="Palatino Linotype" w:hAnsi="Palatino Linotype"/>
        </w:rPr>
        <w:t>. La aplicabilidad de este pago en especie observará las siguientes condiciones:</w:t>
      </w:r>
    </w:p>
    <w:p w14:paraId="68B4DE8B" w14:textId="77777777" w:rsidR="00295018" w:rsidRPr="00694D76" w:rsidRDefault="006C08FD"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rPr>
        <w:lastRenderedPageBreak/>
        <w:t xml:space="preserve">El tramo, </w:t>
      </w:r>
      <w:r w:rsidR="001F05E3" w:rsidRPr="00694D76">
        <w:rPr>
          <w:rFonts w:ascii="Palatino Linotype" w:hAnsi="Palatino Linotype"/>
        </w:rPr>
        <w:t xml:space="preserve">segmento </w:t>
      </w:r>
      <w:r w:rsidRPr="00694D76">
        <w:rPr>
          <w:rFonts w:ascii="Palatino Linotype" w:hAnsi="Palatino Linotype"/>
        </w:rPr>
        <w:t xml:space="preserve">o sección </w:t>
      </w:r>
      <w:r w:rsidR="001F05E3" w:rsidRPr="00694D76">
        <w:rPr>
          <w:rFonts w:ascii="Palatino Linotype" w:hAnsi="Palatino Linotype"/>
        </w:rPr>
        <w:t xml:space="preserve">de vía a ejecutarse será determinado en función de las </w:t>
      </w:r>
      <w:r w:rsidR="00295018" w:rsidRPr="00694D76">
        <w:rPr>
          <w:rFonts w:ascii="Palatino Linotype" w:hAnsi="Palatino Linotype"/>
        </w:rPr>
        <w:t xml:space="preserve">necesidades </w:t>
      </w:r>
      <w:r w:rsidR="001F05E3" w:rsidRPr="00694D76">
        <w:rPr>
          <w:rFonts w:ascii="Palatino Linotype" w:hAnsi="Palatino Linotype"/>
        </w:rPr>
        <w:t>institucionales derivadas de la planificació</w:t>
      </w:r>
      <w:r w:rsidR="00295018" w:rsidRPr="00694D76">
        <w:rPr>
          <w:rFonts w:ascii="Palatino Linotype" w:hAnsi="Palatino Linotype"/>
        </w:rPr>
        <w:t xml:space="preserve">n vial y urbanística del sector, </w:t>
      </w:r>
      <w:r w:rsidR="001F05E3" w:rsidRPr="00694D76">
        <w:rPr>
          <w:rFonts w:ascii="Palatino Linotype" w:hAnsi="Palatino Linotype"/>
        </w:rPr>
        <w:t>de la planificación operativa anual</w:t>
      </w:r>
      <w:r w:rsidR="005F0304" w:rsidRPr="00694D76">
        <w:rPr>
          <w:rFonts w:ascii="Palatino Linotype" w:hAnsi="Palatino Linotype"/>
        </w:rPr>
        <w:t xml:space="preserve"> de la</w:t>
      </w:r>
      <w:r w:rsidR="005F0304" w:rsidRPr="00694D76">
        <w:rPr>
          <w:rFonts w:ascii="Palatino Linotype" w:hAnsi="Palatino Linotype"/>
          <w:lang w:eastAsia="es-ES"/>
        </w:rPr>
        <w:t xml:space="preserve"> Empresa Pública Metropolitana de Movilidad y Obras Públicas (EPMMOP)</w:t>
      </w:r>
      <w:r w:rsidR="00295018" w:rsidRPr="00694D76">
        <w:rPr>
          <w:rFonts w:ascii="Palatino Linotype" w:hAnsi="Palatino Linotype"/>
          <w:lang w:eastAsia="es-ES"/>
        </w:rPr>
        <w:t xml:space="preserve">, </w:t>
      </w:r>
      <w:r w:rsidR="002C690B" w:rsidRPr="00694D76">
        <w:rPr>
          <w:rFonts w:ascii="Palatino Linotype" w:hAnsi="Palatino Linotype"/>
          <w:lang w:eastAsia="es-ES"/>
        </w:rPr>
        <w:t xml:space="preserve">y tendrá en cuenta </w:t>
      </w:r>
      <w:r w:rsidR="00295018" w:rsidRPr="00694D76">
        <w:rPr>
          <w:rFonts w:ascii="Palatino Linotype" w:hAnsi="Palatino Linotype"/>
          <w:lang w:eastAsia="es-ES"/>
        </w:rPr>
        <w:t xml:space="preserve">los requerimientos de movilidad que </w:t>
      </w:r>
      <w:r w:rsidR="00404ED1" w:rsidRPr="00694D76">
        <w:rPr>
          <w:rFonts w:ascii="Palatino Linotype" w:hAnsi="Palatino Linotype"/>
          <w:lang w:eastAsia="es-ES"/>
        </w:rPr>
        <w:t xml:space="preserve">demande </w:t>
      </w:r>
      <w:r w:rsidR="002C690B" w:rsidRPr="00694D76">
        <w:rPr>
          <w:rFonts w:ascii="Palatino Linotype" w:hAnsi="Palatino Linotype"/>
          <w:lang w:eastAsia="es-ES"/>
        </w:rPr>
        <w:t xml:space="preserve">este sector de la parroquia así como </w:t>
      </w:r>
      <w:r w:rsidR="00295018" w:rsidRPr="00694D76">
        <w:rPr>
          <w:rFonts w:ascii="Palatino Linotype" w:hAnsi="Palatino Linotype"/>
          <w:lang w:eastAsia="es-ES"/>
        </w:rPr>
        <w:t>la operación del Hotel Holiday Inn Quito Airport</w:t>
      </w:r>
      <w:r w:rsidR="002C690B" w:rsidRPr="00694D76">
        <w:rPr>
          <w:rFonts w:ascii="Palatino Linotype" w:hAnsi="Palatino Linotype"/>
          <w:lang w:eastAsia="es-ES"/>
        </w:rPr>
        <w:t xml:space="preserve"> y</w:t>
      </w:r>
      <w:r w:rsidR="00404ED1" w:rsidRPr="00694D76">
        <w:rPr>
          <w:rFonts w:ascii="Palatino Linotype" w:hAnsi="Palatino Linotype"/>
          <w:lang w:eastAsia="es-ES"/>
        </w:rPr>
        <w:t xml:space="preserve"> </w:t>
      </w:r>
      <w:r w:rsidR="002C690B" w:rsidRPr="00694D76">
        <w:rPr>
          <w:rFonts w:ascii="Palatino Linotype" w:hAnsi="Palatino Linotype"/>
          <w:lang w:eastAsia="es-ES"/>
        </w:rPr>
        <w:t xml:space="preserve">de </w:t>
      </w:r>
      <w:r w:rsidR="00404ED1" w:rsidRPr="00694D76">
        <w:rPr>
          <w:rFonts w:ascii="Palatino Linotype" w:hAnsi="Palatino Linotype"/>
          <w:lang w:eastAsia="es-ES"/>
        </w:rPr>
        <w:t xml:space="preserve">las zonas aledañas incluyendo la </w:t>
      </w:r>
      <w:r w:rsidR="002C690B" w:rsidRPr="00694D76">
        <w:rPr>
          <w:rFonts w:ascii="Palatino Linotype" w:hAnsi="Palatino Linotype"/>
          <w:lang w:eastAsia="es-ES"/>
        </w:rPr>
        <w:t>futura</w:t>
      </w:r>
      <w:r w:rsidR="00404ED1" w:rsidRPr="00694D76">
        <w:rPr>
          <w:rFonts w:ascii="Palatino Linotype" w:hAnsi="Palatino Linotype"/>
          <w:lang w:eastAsia="es-ES"/>
        </w:rPr>
        <w:t xml:space="preserve"> Zona Especial</w:t>
      </w:r>
      <w:r w:rsidR="002C690B" w:rsidRPr="00694D76">
        <w:rPr>
          <w:rFonts w:ascii="Palatino Linotype" w:hAnsi="Palatino Linotype"/>
          <w:lang w:eastAsia="es-ES"/>
        </w:rPr>
        <w:t xml:space="preserve"> de Desarrollo Económico (ZEDE)</w:t>
      </w:r>
      <w:r w:rsidR="00404ED1" w:rsidRPr="00694D76">
        <w:rPr>
          <w:rFonts w:ascii="Palatino Linotype" w:hAnsi="Palatino Linotype"/>
          <w:lang w:eastAsia="es-ES"/>
        </w:rPr>
        <w:t>.</w:t>
      </w:r>
    </w:p>
    <w:p w14:paraId="7DCA7719" w14:textId="77777777" w:rsidR="002C690B" w:rsidRPr="00694D76" w:rsidRDefault="001F05E3"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rPr>
        <w:t xml:space="preserve">La ejecución de la obra </w:t>
      </w:r>
      <w:r w:rsidR="002C690B" w:rsidRPr="00694D76">
        <w:rPr>
          <w:rFonts w:ascii="Palatino Linotype" w:hAnsi="Palatino Linotype"/>
          <w:lang w:val="es-EC"/>
        </w:rPr>
        <w:t xml:space="preserve">estará a cargo de </w:t>
      </w:r>
      <w:r w:rsidRPr="00694D76">
        <w:rPr>
          <w:rFonts w:ascii="Palatino Linotype" w:hAnsi="Palatino Linotype"/>
        </w:rPr>
        <w:t xml:space="preserve">la </w:t>
      </w:r>
      <w:r w:rsidRPr="00694D76">
        <w:rPr>
          <w:rFonts w:ascii="Palatino Linotype" w:hAnsi="Palatino Linotype"/>
          <w:lang w:eastAsia="es-ES"/>
        </w:rPr>
        <w:t>Empresa Pública Metropolitana de Movilidad y Obras Públicas (EPMMOP)</w:t>
      </w:r>
      <w:r w:rsidR="00404ED1" w:rsidRPr="00694D76">
        <w:rPr>
          <w:rFonts w:ascii="Palatino Linotype" w:hAnsi="Palatino Linotype"/>
          <w:lang w:eastAsia="es-ES"/>
        </w:rPr>
        <w:t xml:space="preserve"> </w:t>
      </w:r>
      <w:r w:rsidR="002C690B" w:rsidRPr="00694D76">
        <w:rPr>
          <w:rFonts w:ascii="Palatino Linotype" w:hAnsi="Palatino Linotype"/>
          <w:lang w:eastAsia="es-ES"/>
        </w:rPr>
        <w:t>mediante los mecanismos de administración directa o de contratación de obra previstos para tales efectos</w:t>
      </w:r>
      <w:r w:rsidRPr="00694D76">
        <w:rPr>
          <w:rFonts w:ascii="Palatino Linotype" w:hAnsi="Palatino Linotype"/>
          <w:lang w:eastAsia="es-ES"/>
        </w:rPr>
        <w:t xml:space="preserve">. </w:t>
      </w:r>
    </w:p>
    <w:p w14:paraId="5B47FCE8" w14:textId="77777777" w:rsidR="001F05E3" w:rsidRPr="00694D76" w:rsidRDefault="00404ED1"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lang w:eastAsia="es-ES"/>
        </w:rPr>
        <w:t>L</w:t>
      </w:r>
      <w:r w:rsidR="001F05E3" w:rsidRPr="00694D76">
        <w:rPr>
          <w:rFonts w:ascii="Palatino Linotype" w:hAnsi="Palatino Linotype"/>
          <w:lang w:eastAsia="es-ES"/>
        </w:rPr>
        <w:t xml:space="preserve">os aportes del promotor </w:t>
      </w:r>
      <w:r w:rsidRPr="00694D76">
        <w:rPr>
          <w:rFonts w:ascii="Palatino Linotype" w:hAnsi="Palatino Linotype"/>
          <w:lang w:eastAsia="es-ES"/>
        </w:rPr>
        <w:t xml:space="preserve">se realizarán en </w:t>
      </w:r>
      <w:r w:rsidR="001F05E3" w:rsidRPr="00694D76">
        <w:rPr>
          <w:rFonts w:ascii="Palatino Linotype" w:hAnsi="Palatino Linotype"/>
          <w:lang w:eastAsia="es-ES"/>
        </w:rPr>
        <w:t>mater</w:t>
      </w:r>
      <w:r w:rsidR="005F0304" w:rsidRPr="00694D76">
        <w:rPr>
          <w:rFonts w:ascii="Palatino Linotype" w:hAnsi="Palatino Linotype"/>
          <w:lang w:eastAsia="es-ES"/>
        </w:rPr>
        <w:t xml:space="preserve">iales o insumos de construcción, según el requerimiento de la EPMMOP, los cuales se imputarán al pago de </w:t>
      </w:r>
      <w:proofErr w:type="spellStart"/>
      <w:r w:rsidR="005F0304" w:rsidRPr="00694D76">
        <w:rPr>
          <w:rFonts w:ascii="Palatino Linotype" w:hAnsi="Palatino Linotype"/>
          <w:lang w:eastAsia="es-ES"/>
        </w:rPr>
        <w:t>CODe</w:t>
      </w:r>
      <w:proofErr w:type="spellEnd"/>
      <w:r w:rsidR="005F0304" w:rsidRPr="00694D76">
        <w:rPr>
          <w:rFonts w:ascii="Palatino Linotype" w:hAnsi="Palatino Linotype"/>
          <w:lang w:eastAsia="es-ES"/>
        </w:rPr>
        <w:t>.</w:t>
      </w:r>
    </w:p>
    <w:p w14:paraId="73BE2FD0" w14:textId="77777777" w:rsidR="005F0304" w:rsidRPr="00694D76" w:rsidRDefault="005F0304"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rPr>
        <w:t xml:space="preserve">De aplicar, los costos y gastos derivados de la fiscalización de la obra, en la porción correspondiente al tramo a ser financiado por el promotor, serán igualmente imputables al pago de </w:t>
      </w:r>
      <w:proofErr w:type="spellStart"/>
      <w:r w:rsidRPr="00694D76">
        <w:rPr>
          <w:rFonts w:ascii="Palatino Linotype" w:hAnsi="Palatino Linotype"/>
        </w:rPr>
        <w:t>CODe</w:t>
      </w:r>
      <w:proofErr w:type="spellEnd"/>
      <w:r w:rsidRPr="00694D76">
        <w:rPr>
          <w:rFonts w:ascii="Palatino Linotype" w:hAnsi="Palatino Linotype"/>
        </w:rPr>
        <w:t>.</w:t>
      </w:r>
    </w:p>
    <w:p w14:paraId="623D2F1A" w14:textId="77777777" w:rsidR="00E9186B" w:rsidRPr="00694D76" w:rsidRDefault="00E9186B"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rPr>
        <w:t xml:space="preserve">De aplicar, los gastos y costos derivados de los procesos de declaratoria de utilidad pública con fines de expropiación y las correspondientes indemnizaciones a favor de los propietarios de los predios afectados, estarán a cargo de la EPMMOP o del Municipio del Distrito Metropolitano de Quito, según corresponda. </w:t>
      </w:r>
    </w:p>
    <w:p w14:paraId="6044F20D" w14:textId="77777777" w:rsidR="005F0304" w:rsidRPr="00694D76" w:rsidRDefault="00E9186B"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rPr>
        <w:t xml:space="preserve">El pago en especie previsto en el presente numeral aplicará siempre y cuando la obra inicie su ejecución en un plazo de hasta un año contado a partir de la sanción de la presente ordenanza, caso contrario el promotor quedará facultado a efectuar un pago monetario correspondiente al saldo no devengado por concepto de </w:t>
      </w:r>
      <w:proofErr w:type="spellStart"/>
      <w:r w:rsidRPr="00694D76">
        <w:rPr>
          <w:rFonts w:ascii="Palatino Linotype" w:hAnsi="Palatino Linotype"/>
        </w:rPr>
        <w:t>CODe</w:t>
      </w:r>
      <w:proofErr w:type="spellEnd"/>
      <w:r w:rsidRPr="00694D76">
        <w:rPr>
          <w:rFonts w:ascii="Palatino Linotype" w:hAnsi="Palatino Linotype"/>
        </w:rPr>
        <w:t xml:space="preserve">. </w:t>
      </w:r>
    </w:p>
    <w:p w14:paraId="5006D55B" w14:textId="77777777" w:rsidR="009142F2" w:rsidRPr="00694D76" w:rsidRDefault="009142F2" w:rsidP="00694D76">
      <w:pPr>
        <w:pStyle w:val="Prrafodelista"/>
        <w:spacing w:after="120"/>
        <w:ind w:left="993"/>
        <w:rPr>
          <w:rFonts w:ascii="Palatino Linotype" w:hAnsi="Palatino Linotype"/>
          <w:lang w:val="es-ES"/>
        </w:rPr>
      </w:pPr>
    </w:p>
    <w:p w14:paraId="3133EED5" w14:textId="77777777" w:rsidR="00F416BF" w:rsidRPr="00694D76" w:rsidRDefault="009142F2" w:rsidP="00250512">
      <w:pPr>
        <w:pStyle w:val="Prrafodelista"/>
        <w:numPr>
          <w:ilvl w:val="0"/>
          <w:numId w:val="19"/>
        </w:numPr>
        <w:tabs>
          <w:tab w:val="left" w:pos="993"/>
        </w:tabs>
        <w:spacing w:after="120"/>
        <w:ind w:left="709" w:right="-1" w:hanging="283"/>
        <w:rPr>
          <w:rFonts w:ascii="Palatino Linotype" w:hAnsi="Palatino Linotype"/>
        </w:rPr>
      </w:pPr>
      <w:r w:rsidRPr="00694D76">
        <w:rPr>
          <w:rFonts w:ascii="Palatino Linotype" w:hAnsi="Palatino Linotype"/>
          <w:b/>
        </w:rPr>
        <w:t>Pago monetario</w:t>
      </w:r>
      <w:r w:rsidR="00F222F1" w:rsidRPr="00694D76">
        <w:rPr>
          <w:rFonts w:ascii="Palatino Linotype" w:hAnsi="Palatino Linotype"/>
          <w:b/>
        </w:rPr>
        <w:t>:</w:t>
      </w:r>
      <w:r w:rsidR="00F222F1" w:rsidRPr="00694D76">
        <w:rPr>
          <w:rFonts w:ascii="Palatino Linotype" w:hAnsi="Palatino Linotype"/>
        </w:rPr>
        <w:t xml:space="preserve"> </w:t>
      </w:r>
      <w:r w:rsidR="00E9186B" w:rsidRPr="00694D76">
        <w:rPr>
          <w:rFonts w:ascii="Palatino Linotype" w:hAnsi="Palatino Linotype"/>
        </w:rPr>
        <w:t xml:space="preserve">De aplicar, </w:t>
      </w:r>
      <w:r w:rsidR="00E9186B" w:rsidRPr="00694D76">
        <w:rPr>
          <w:rFonts w:ascii="Palatino Linotype" w:hAnsi="Palatino Linotype"/>
          <w:lang w:val="es-EC"/>
        </w:rPr>
        <w:t>e</w:t>
      </w:r>
      <w:r w:rsidR="00BF2C1A" w:rsidRPr="00694D76">
        <w:rPr>
          <w:rFonts w:ascii="Palatino Linotype" w:hAnsi="Palatino Linotype"/>
          <w:lang w:val="es-EC"/>
        </w:rPr>
        <w:t xml:space="preserve">l </w:t>
      </w:r>
      <w:r w:rsidR="0082666B" w:rsidRPr="00694D76">
        <w:rPr>
          <w:rFonts w:ascii="Palatino Linotype" w:hAnsi="Palatino Linotype"/>
          <w:lang w:val="es-EC"/>
        </w:rPr>
        <w:t>saldo</w:t>
      </w:r>
      <w:r w:rsidR="00BF2C1A" w:rsidRPr="00694D76">
        <w:rPr>
          <w:rFonts w:ascii="Palatino Linotype" w:hAnsi="Palatino Linotype"/>
          <w:lang w:val="es-EC"/>
        </w:rPr>
        <w:t xml:space="preserve"> resultante de la diferencia </w:t>
      </w:r>
      <w:r w:rsidR="0082666B" w:rsidRPr="00694D76">
        <w:rPr>
          <w:rFonts w:ascii="Palatino Linotype" w:hAnsi="Palatino Linotype"/>
          <w:lang w:val="es-EC"/>
        </w:rPr>
        <w:t>entre el</w:t>
      </w:r>
      <w:r w:rsidR="00BF2C1A" w:rsidRPr="00694D76">
        <w:rPr>
          <w:rFonts w:ascii="Palatino Linotype" w:hAnsi="Palatino Linotype"/>
          <w:lang w:val="es-EC"/>
        </w:rPr>
        <w:t xml:space="preserve"> valor por Concesión Onerosa de Derechos </w:t>
      </w:r>
      <w:r w:rsidR="0082666B" w:rsidRPr="00694D76">
        <w:rPr>
          <w:rFonts w:ascii="Palatino Linotype" w:hAnsi="Palatino Linotype"/>
          <w:lang w:val="es-EC"/>
        </w:rPr>
        <w:t xml:space="preserve">y </w:t>
      </w:r>
      <w:r w:rsidR="00BF2C1A" w:rsidRPr="00694D76">
        <w:rPr>
          <w:rFonts w:ascii="Palatino Linotype" w:hAnsi="Palatino Linotype"/>
          <w:lang w:val="es-EC"/>
        </w:rPr>
        <w:t xml:space="preserve">el valor del pago en especie </w:t>
      </w:r>
      <w:r w:rsidR="00E9186B" w:rsidRPr="00694D76">
        <w:rPr>
          <w:rFonts w:ascii="Palatino Linotype" w:hAnsi="Palatino Linotype"/>
          <w:lang w:val="es-EC"/>
        </w:rPr>
        <w:t xml:space="preserve">previsto en el numeral 1.1 del presente artículo, </w:t>
      </w:r>
      <w:r w:rsidR="00BF2C1A" w:rsidRPr="00694D76">
        <w:rPr>
          <w:rFonts w:ascii="Palatino Linotype" w:hAnsi="Palatino Linotype"/>
          <w:lang w:val="es-EC"/>
        </w:rPr>
        <w:t xml:space="preserve">se lo realizará </w:t>
      </w:r>
      <w:r w:rsidR="00F416BF" w:rsidRPr="00694D76">
        <w:rPr>
          <w:rFonts w:ascii="Palatino Linotype" w:hAnsi="Palatino Linotype"/>
          <w:lang w:val="es-EC"/>
        </w:rPr>
        <w:t>mediante el pago monetario conforme las siguientes condiciones:</w:t>
      </w:r>
    </w:p>
    <w:p w14:paraId="305E3500" w14:textId="77777777" w:rsidR="00F416BF" w:rsidRPr="00694D76" w:rsidRDefault="00F416BF" w:rsidP="00694D76">
      <w:pPr>
        <w:pStyle w:val="Prrafodelista"/>
        <w:tabs>
          <w:tab w:val="left" w:pos="993"/>
        </w:tabs>
        <w:spacing w:after="120"/>
        <w:ind w:left="709" w:right="-1"/>
        <w:rPr>
          <w:rFonts w:ascii="Palatino Linotype" w:hAnsi="Palatino Linotype"/>
        </w:rPr>
      </w:pPr>
    </w:p>
    <w:p w14:paraId="29240FC0" w14:textId="79E30BF8" w:rsidR="00F71A06" w:rsidRPr="00694D76" w:rsidRDefault="0082666B" w:rsidP="00250512">
      <w:pPr>
        <w:pStyle w:val="Prrafodelista"/>
        <w:numPr>
          <w:ilvl w:val="0"/>
          <w:numId w:val="14"/>
        </w:numPr>
        <w:spacing w:after="120"/>
        <w:ind w:left="993" w:hanging="284"/>
        <w:rPr>
          <w:rFonts w:ascii="Palatino Linotype" w:hAnsi="Palatino Linotype"/>
        </w:rPr>
      </w:pPr>
      <w:r w:rsidRPr="00694D76">
        <w:rPr>
          <w:rFonts w:ascii="Palatino Linotype" w:hAnsi="Palatino Linotype"/>
        </w:rPr>
        <w:t>M</w:t>
      </w:r>
      <w:r w:rsidR="00FC34CE" w:rsidRPr="00694D76">
        <w:rPr>
          <w:rFonts w:ascii="Palatino Linotype" w:hAnsi="Palatino Linotype"/>
        </w:rPr>
        <w:t xml:space="preserve">ediante </w:t>
      </w:r>
      <w:r w:rsidR="00B44A89" w:rsidRPr="00694D76">
        <w:rPr>
          <w:rFonts w:ascii="Palatino Linotype" w:hAnsi="Palatino Linotype"/>
        </w:rPr>
        <w:t xml:space="preserve">cronograma de pago, en </w:t>
      </w:r>
      <w:r w:rsidRPr="00694D76">
        <w:rPr>
          <w:rFonts w:ascii="Palatino Linotype" w:hAnsi="Palatino Linotype"/>
        </w:rPr>
        <w:t>6</w:t>
      </w:r>
      <w:r w:rsidR="00EA0753" w:rsidRPr="00694D76">
        <w:rPr>
          <w:rFonts w:ascii="Palatino Linotype" w:hAnsi="Palatino Linotype"/>
        </w:rPr>
        <w:t xml:space="preserve"> </w:t>
      </w:r>
      <w:r w:rsidR="00FC34CE" w:rsidRPr="00694D76">
        <w:rPr>
          <w:rFonts w:ascii="Palatino Linotype" w:hAnsi="Palatino Linotype"/>
        </w:rPr>
        <w:t>cuotas mensuales iguales</w:t>
      </w:r>
      <w:r w:rsidR="00B44A89" w:rsidRPr="00694D76">
        <w:rPr>
          <w:rFonts w:ascii="Palatino Linotype" w:hAnsi="Palatino Linotype"/>
        </w:rPr>
        <w:t>,</w:t>
      </w:r>
      <w:r w:rsidR="00FC34CE" w:rsidRPr="00694D76">
        <w:rPr>
          <w:rFonts w:ascii="Palatino Linotype" w:hAnsi="Palatino Linotype"/>
        </w:rPr>
        <w:t xml:space="preserve"> </w:t>
      </w:r>
      <w:r w:rsidRPr="00694D76">
        <w:rPr>
          <w:rFonts w:ascii="Palatino Linotype" w:hAnsi="Palatino Linotype"/>
        </w:rPr>
        <w:t>exigibles a partir del mes 13 posterior a la obtención de la LMU</w:t>
      </w:r>
      <w:r w:rsidR="00D049BE">
        <w:rPr>
          <w:rFonts w:ascii="Palatino Linotype" w:hAnsi="Palatino Linotype"/>
        </w:rPr>
        <w:t xml:space="preserve"> </w:t>
      </w:r>
      <w:r w:rsidRPr="00694D76">
        <w:rPr>
          <w:rFonts w:ascii="Palatino Linotype" w:hAnsi="Palatino Linotype"/>
        </w:rPr>
        <w:t>(20)</w:t>
      </w:r>
      <w:r w:rsidR="00EA0753" w:rsidRPr="00694D76">
        <w:rPr>
          <w:rFonts w:ascii="Palatino Linotype" w:hAnsi="Palatino Linotype"/>
        </w:rPr>
        <w:t>.</w:t>
      </w:r>
    </w:p>
    <w:p w14:paraId="677D0EEA" w14:textId="5E8443A3" w:rsidR="007D1C62" w:rsidRPr="00694D76" w:rsidRDefault="0090583D" w:rsidP="00694D76">
      <w:pPr>
        <w:spacing w:after="120"/>
        <w:rPr>
          <w:rFonts w:ascii="Palatino Linotype" w:hAnsi="Palatino Linotype"/>
          <w:lang w:eastAsia="es-ES"/>
        </w:rPr>
      </w:pPr>
      <w:r w:rsidRPr="00694D76">
        <w:rPr>
          <w:rFonts w:ascii="Palatino Linotype" w:hAnsi="Palatino Linotype"/>
          <w:lang w:val="es-ES" w:eastAsia="es-ES"/>
        </w:rPr>
        <w:t xml:space="preserve">En todos los casos, la suscripción del convenio </w:t>
      </w:r>
      <w:r w:rsidR="00620416" w:rsidRPr="00694D76">
        <w:rPr>
          <w:rFonts w:ascii="Palatino Linotype" w:hAnsi="Palatino Linotype"/>
          <w:lang w:val="es-ES" w:eastAsia="es-ES"/>
        </w:rPr>
        <w:t xml:space="preserve">de pago previsto en el presente artículo, a celebrarse </w:t>
      </w:r>
      <w:r w:rsidRPr="00694D76">
        <w:rPr>
          <w:rFonts w:ascii="Palatino Linotype" w:hAnsi="Palatino Linotype" w:cstheme="minorHAnsi"/>
        </w:rPr>
        <w:t xml:space="preserve">entre el Municipio del Distrito Metropolitano de Quito y promotor - </w:t>
      </w:r>
      <w:proofErr w:type="spellStart"/>
      <w:r w:rsidRPr="00694D76">
        <w:rPr>
          <w:rFonts w:ascii="Palatino Linotype" w:hAnsi="Palatino Linotype" w:cstheme="minorHAnsi"/>
        </w:rPr>
        <w:t>Fidiecomiso</w:t>
      </w:r>
      <w:proofErr w:type="spellEnd"/>
      <w:r w:rsidRPr="00694D76">
        <w:rPr>
          <w:rFonts w:ascii="Palatino Linotype" w:hAnsi="Palatino Linotype" w:cstheme="minorHAnsi"/>
        </w:rPr>
        <w:t xml:space="preserve"> Mercantil Hotel Aeropuerto Quito –</w:t>
      </w:r>
      <w:r w:rsidR="00620416" w:rsidRPr="00694D76">
        <w:rPr>
          <w:rFonts w:ascii="Palatino Linotype" w:hAnsi="Palatino Linotype" w:cstheme="minorHAnsi"/>
        </w:rPr>
        <w:t>,</w:t>
      </w:r>
      <w:r w:rsidRPr="00694D76">
        <w:rPr>
          <w:rFonts w:ascii="Palatino Linotype" w:hAnsi="Palatino Linotype" w:cstheme="minorHAnsi"/>
        </w:rPr>
        <w:t xml:space="preserve"> instrumento que establecerá las formas y condiciones de pago de la concesión onerosa de derechos derivada de la aprobación del presente PUAE, será documento suficiente para </w:t>
      </w:r>
      <w:r w:rsidRPr="00694D76">
        <w:rPr>
          <w:rFonts w:ascii="Palatino Linotype" w:hAnsi="Palatino Linotype"/>
          <w:lang w:val="es-ES" w:eastAsia="es-ES"/>
        </w:rPr>
        <w:t>habilitar al promotor a continuar con el</w:t>
      </w:r>
      <w:r w:rsidR="00620416" w:rsidRPr="00694D76">
        <w:rPr>
          <w:rFonts w:ascii="Palatino Linotype" w:hAnsi="Palatino Linotype"/>
          <w:lang w:val="es-ES" w:eastAsia="es-ES"/>
        </w:rPr>
        <w:t xml:space="preserve"> trámite de obtención de la LMU</w:t>
      </w:r>
      <w:r w:rsidR="00D049BE">
        <w:rPr>
          <w:rFonts w:ascii="Palatino Linotype" w:hAnsi="Palatino Linotype"/>
          <w:lang w:val="es-ES" w:eastAsia="es-ES"/>
        </w:rPr>
        <w:t xml:space="preserve"> </w:t>
      </w:r>
      <w:r w:rsidR="00620416" w:rsidRPr="00694D76">
        <w:rPr>
          <w:rFonts w:ascii="Palatino Linotype" w:hAnsi="Palatino Linotype"/>
          <w:lang w:val="es-ES" w:eastAsia="es-ES"/>
        </w:rPr>
        <w:t>(</w:t>
      </w:r>
      <w:r w:rsidRPr="00694D76">
        <w:rPr>
          <w:rFonts w:ascii="Palatino Linotype" w:hAnsi="Palatino Linotype"/>
          <w:lang w:val="es-ES" w:eastAsia="es-ES"/>
        </w:rPr>
        <w:t>20</w:t>
      </w:r>
      <w:r w:rsidR="00620416" w:rsidRPr="00694D76">
        <w:rPr>
          <w:rFonts w:ascii="Palatino Linotype" w:hAnsi="Palatino Linotype"/>
          <w:lang w:val="es-ES" w:eastAsia="es-ES"/>
        </w:rPr>
        <w:t>)</w:t>
      </w:r>
      <w:r w:rsidRPr="00694D76">
        <w:rPr>
          <w:rFonts w:ascii="Palatino Linotype" w:hAnsi="Palatino Linotype"/>
          <w:lang w:val="es-ES" w:eastAsia="es-ES"/>
        </w:rPr>
        <w:t>.</w:t>
      </w:r>
    </w:p>
    <w:p w14:paraId="678A8AAF" w14:textId="35A4ED92" w:rsidR="00D31686" w:rsidRPr="00694D76" w:rsidRDefault="00D31686" w:rsidP="00694D76">
      <w:pPr>
        <w:pStyle w:val="NormalWeb"/>
        <w:spacing w:before="0" w:beforeAutospacing="0" w:after="120" w:afterAutospacing="0" w:line="276" w:lineRule="auto"/>
        <w:jc w:val="both"/>
        <w:rPr>
          <w:rFonts w:ascii="Palatino Linotype" w:eastAsiaTheme="minorHAnsi" w:hAnsi="Palatino Linotype"/>
          <w:sz w:val="22"/>
          <w:szCs w:val="22"/>
          <w:lang w:val="es-EC"/>
        </w:rPr>
      </w:pPr>
      <w:r w:rsidRPr="00D049BE">
        <w:rPr>
          <w:rFonts w:ascii="Palatino Linotype" w:hAnsi="Palatino Linotype"/>
          <w:b/>
          <w:sz w:val="22"/>
          <w:szCs w:val="22"/>
          <w:lang w:val="es-EC"/>
        </w:rPr>
        <w:lastRenderedPageBreak/>
        <w:t>Art</w:t>
      </w:r>
      <w:r w:rsidR="00D049BE">
        <w:rPr>
          <w:rFonts w:ascii="Palatino Linotype" w:hAnsi="Palatino Linotype"/>
          <w:b/>
          <w:sz w:val="22"/>
          <w:szCs w:val="22"/>
          <w:lang w:val="es-EC"/>
        </w:rPr>
        <w:t>ículo</w:t>
      </w:r>
      <w:r w:rsidRPr="00D049BE">
        <w:rPr>
          <w:rFonts w:ascii="Palatino Linotype" w:hAnsi="Palatino Linotype"/>
          <w:b/>
          <w:sz w:val="22"/>
          <w:szCs w:val="22"/>
          <w:lang w:val="es-EC"/>
        </w:rPr>
        <w:t xml:space="preserve"> 22.</w:t>
      </w:r>
      <w:r w:rsidR="00C17428">
        <w:rPr>
          <w:rFonts w:ascii="Palatino Linotype" w:hAnsi="Palatino Linotype"/>
          <w:b/>
          <w:sz w:val="22"/>
          <w:szCs w:val="22"/>
          <w:lang w:val="es-EC"/>
        </w:rPr>
        <w:t>-</w:t>
      </w:r>
      <w:r w:rsidRPr="00D049BE">
        <w:rPr>
          <w:rFonts w:ascii="Palatino Linotype" w:hAnsi="Palatino Linotype"/>
          <w:b/>
          <w:sz w:val="22"/>
          <w:szCs w:val="22"/>
          <w:lang w:val="es-EC"/>
        </w:rPr>
        <w:t xml:space="preserve"> </w:t>
      </w:r>
      <w:r w:rsidRPr="00D049BE">
        <w:rPr>
          <w:rFonts w:ascii="Palatino Linotype" w:hAnsi="Palatino Linotype"/>
          <w:b/>
          <w:sz w:val="22"/>
          <w:szCs w:val="22"/>
        </w:rPr>
        <w:t xml:space="preserve">Valores </w:t>
      </w:r>
      <w:r w:rsidR="00BC22A5" w:rsidRPr="00D049BE">
        <w:rPr>
          <w:rFonts w:ascii="Palatino Linotype" w:hAnsi="Palatino Linotype"/>
          <w:b/>
          <w:sz w:val="22"/>
          <w:szCs w:val="22"/>
        </w:rPr>
        <w:t xml:space="preserve">imputables y </w:t>
      </w:r>
      <w:r w:rsidRPr="00D049BE">
        <w:rPr>
          <w:rFonts w:ascii="Palatino Linotype" w:hAnsi="Palatino Linotype"/>
          <w:b/>
          <w:sz w:val="22"/>
          <w:szCs w:val="22"/>
        </w:rPr>
        <w:t xml:space="preserve">no imputables </w:t>
      </w:r>
      <w:r w:rsidR="00D049BE" w:rsidRPr="00D049BE">
        <w:rPr>
          <w:rFonts w:ascii="Palatino Linotype" w:hAnsi="Palatino Linotype"/>
          <w:b/>
          <w:sz w:val="22"/>
          <w:szCs w:val="22"/>
        </w:rPr>
        <w:t xml:space="preserve">de la concesión </w:t>
      </w:r>
      <w:proofErr w:type="gramStart"/>
      <w:r w:rsidR="00D049BE" w:rsidRPr="00D049BE">
        <w:rPr>
          <w:rFonts w:ascii="Palatino Linotype" w:hAnsi="Palatino Linotype"/>
          <w:b/>
          <w:sz w:val="22"/>
          <w:szCs w:val="22"/>
        </w:rPr>
        <w:t>onerosa</w:t>
      </w:r>
      <w:r w:rsidRPr="00D049BE">
        <w:rPr>
          <w:rFonts w:ascii="Palatino Linotype" w:hAnsi="Palatino Linotype"/>
          <w:b/>
          <w:sz w:val="22"/>
          <w:szCs w:val="22"/>
        </w:rPr>
        <w:t>.-</w:t>
      </w:r>
      <w:proofErr w:type="gramEnd"/>
      <w:r w:rsidRPr="00D049BE">
        <w:rPr>
          <w:rFonts w:ascii="Palatino Linotype" w:hAnsi="Palatino Linotype"/>
          <w:sz w:val="22"/>
          <w:szCs w:val="22"/>
        </w:rPr>
        <w:t xml:space="preserve"> </w:t>
      </w:r>
      <w:r w:rsidR="00426002" w:rsidRPr="00D049BE">
        <w:rPr>
          <w:rFonts w:ascii="Palatino Linotype" w:eastAsiaTheme="minorHAnsi" w:hAnsi="Palatino Linotype"/>
          <w:sz w:val="22"/>
          <w:szCs w:val="22"/>
          <w:lang w:val="es-EC"/>
        </w:rPr>
        <w:t xml:space="preserve">Con </w:t>
      </w:r>
      <w:r w:rsidR="00BC22A5" w:rsidRPr="00D049BE">
        <w:rPr>
          <w:rFonts w:ascii="Palatino Linotype" w:eastAsiaTheme="minorHAnsi" w:hAnsi="Palatino Linotype"/>
          <w:sz w:val="22"/>
          <w:szCs w:val="22"/>
          <w:lang w:val="es-EC"/>
        </w:rPr>
        <w:t xml:space="preserve">base </w:t>
      </w:r>
      <w:r w:rsidR="002E2CA2" w:rsidRPr="00D049BE">
        <w:rPr>
          <w:rFonts w:ascii="Palatino Linotype" w:eastAsiaTheme="minorHAnsi" w:hAnsi="Palatino Linotype"/>
          <w:sz w:val="22"/>
          <w:szCs w:val="22"/>
          <w:lang w:val="es-EC"/>
        </w:rPr>
        <w:t>en los</w:t>
      </w:r>
      <w:r w:rsidR="00426002" w:rsidRPr="00D049BE">
        <w:rPr>
          <w:rFonts w:ascii="Palatino Linotype" w:eastAsiaTheme="minorHAnsi" w:hAnsi="Palatino Linotype"/>
          <w:sz w:val="22"/>
          <w:szCs w:val="22"/>
          <w:lang w:val="es-EC"/>
        </w:rPr>
        <w:t xml:space="preserve"> </w:t>
      </w:r>
      <w:r w:rsidR="00BC22A5" w:rsidRPr="00D049BE">
        <w:rPr>
          <w:rFonts w:ascii="Palatino Linotype" w:eastAsiaTheme="minorHAnsi" w:hAnsi="Palatino Linotype"/>
          <w:sz w:val="22"/>
          <w:szCs w:val="22"/>
          <w:lang w:val="es-EC"/>
        </w:rPr>
        <w:t>literal</w:t>
      </w:r>
      <w:r w:rsidR="002E2CA2" w:rsidRPr="00D049BE">
        <w:rPr>
          <w:rFonts w:ascii="Palatino Linotype" w:eastAsiaTheme="minorHAnsi" w:hAnsi="Palatino Linotype"/>
          <w:sz w:val="22"/>
          <w:szCs w:val="22"/>
          <w:lang w:val="es-EC"/>
        </w:rPr>
        <w:t xml:space="preserve">es a) del artículo 14 y </w:t>
      </w:r>
      <w:r w:rsidR="00BC22A5" w:rsidRPr="00D049BE">
        <w:rPr>
          <w:rFonts w:ascii="Palatino Linotype" w:eastAsiaTheme="minorHAnsi" w:hAnsi="Palatino Linotype"/>
          <w:sz w:val="22"/>
          <w:szCs w:val="22"/>
          <w:lang w:val="es-EC"/>
        </w:rPr>
        <w:t xml:space="preserve"> b) del</w:t>
      </w:r>
      <w:r w:rsidR="00BC22A5" w:rsidRPr="00694D76">
        <w:rPr>
          <w:rFonts w:ascii="Palatino Linotype" w:eastAsiaTheme="minorHAnsi" w:hAnsi="Palatino Linotype"/>
          <w:sz w:val="22"/>
          <w:szCs w:val="22"/>
          <w:lang w:val="es-EC"/>
        </w:rPr>
        <w:t xml:space="preserve"> artículo 14 de la Ordenanza Metropolitana No. 183 que regula la Concesión Onerosa de Derechos en Proyectos Urbanísticos Arquitectónicos Especiales</w:t>
      </w:r>
      <w:r w:rsidR="00426002" w:rsidRPr="00694D76">
        <w:rPr>
          <w:rFonts w:ascii="Palatino Linotype" w:eastAsiaTheme="minorHAnsi" w:hAnsi="Palatino Linotype"/>
          <w:sz w:val="22"/>
          <w:szCs w:val="22"/>
          <w:lang w:val="es-EC"/>
        </w:rPr>
        <w:t>,</w:t>
      </w:r>
      <w:r w:rsidR="00BC22A5" w:rsidRPr="00694D76">
        <w:rPr>
          <w:rFonts w:ascii="Palatino Linotype" w:eastAsiaTheme="minorHAnsi" w:hAnsi="Palatino Linotype"/>
          <w:sz w:val="22"/>
          <w:szCs w:val="22"/>
          <w:lang w:val="es-EC"/>
        </w:rPr>
        <w:t xml:space="preserve"> se establece la siguiente matriz que justifica </w:t>
      </w:r>
      <w:r w:rsidR="00081CD2" w:rsidRPr="00694D76">
        <w:rPr>
          <w:rFonts w:ascii="Palatino Linotype" w:eastAsiaTheme="minorHAnsi" w:hAnsi="Palatino Linotype"/>
          <w:sz w:val="22"/>
          <w:szCs w:val="22"/>
          <w:lang w:val="es-EC"/>
        </w:rPr>
        <w:t xml:space="preserve">y </w:t>
      </w:r>
      <w:r w:rsidR="002E2CA2" w:rsidRPr="00694D76">
        <w:rPr>
          <w:rFonts w:ascii="Palatino Linotype" w:eastAsiaTheme="minorHAnsi" w:hAnsi="Palatino Linotype"/>
          <w:sz w:val="22"/>
          <w:szCs w:val="22"/>
          <w:lang w:val="es-EC"/>
        </w:rPr>
        <w:t>evalúa</w:t>
      </w:r>
      <w:r w:rsidR="00081CD2" w:rsidRPr="00694D76">
        <w:rPr>
          <w:rFonts w:ascii="Palatino Linotype" w:eastAsiaTheme="minorHAnsi" w:hAnsi="Palatino Linotype"/>
          <w:sz w:val="22"/>
          <w:szCs w:val="22"/>
          <w:lang w:val="es-EC"/>
        </w:rPr>
        <w:t xml:space="preserve"> la pertinencia de </w:t>
      </w:r>
      <w:r w:rsidR="00BC22A5" w:rsidRPr="00694D76">
        <w:rPr>
          <w:rFonts w:ascii="Palatino Linotype" w:eastAsiaTheme="minorHAnsi" w:hAnsi="Palatino Linotype"/>
          <w:sz w:val="22"/>
          <w:szCs w:val="22"/>
          <w:lang w:val="es-EC"/>
        </w:rPr>
        <w:t xml:space="preserve">los valores imputables y no imputables de la Concesión Onerosa: </w:t>
      </w:r>
    </w:p>
    <w:tbl>
      <w:tblPr>
        <w:tblStyle w:val="Tablaconcuadrcula"/>
        <w:tblW w:w="10130" w:type="dxa"/>
        <w:tblLook w:val="04A0" w:firstRow="1" w:lastRow="0" w:firstColumn="1" w:lastColumn="0" w:noHBand="0" w:noVBand="1"/>
      </w:tblPr>
      <w:tblGrid>
        <w:gridCol w:w="1951"/>
        <w:gridCol w:w="4111"/>
        <w:gridCol w:w="4068"/>
      </w:tblGrid>
      <w:tr w:rsidR="00BC22A5" w:rsidRPr="00694D76" w14:paraId="7DC2F6C8" w14:textId="77777777" w:rsidTr="008B3C8E">
        <w:trPr>
          <w:trHeight w:val="389"/>
        </w:trPr>
        <w:tc>
          <w:tcPr>
            <w:tcW w:w="1951" w:type="dxa"/>
            <w:vMerge w:val="restart"/>
          </w:tcPr>
          <w:p w14:paraId="69E33C9C" w14:textId="7D93B5D4" w:rsidR="00BC22A5" w:rsidRPr="00D049BE" w:rsidRDefault="00BC22A5" w:rsidP="00694D76">
            <w:pPr>
              <w:pStyle w:val="NormalWeb"/>
              <w:spacing w:before="0" w:beforeAutospacing="0" w:after="120" w:afterAutospacing="0" w:line="276" w:lineRule="auto"/>
              <w:jc w:val="center"/>
              <w:rPr>
                <w:rFonts w:ascii="Palatino Linotype" w:eastAsiaTheme="minorHAnsi" w:hAnsi="Palatino Linotype"/>
                <w:b/>
                <w:sz w:val="22"/>
                <w:szCs w:val="22"/>
                <w:lang w:val="es-EC"/>
              </w:rPr>
            </w:pPr>
            <w:r w:rsidRPr="00D049BE">
              <w:rPr>
                <w:rFonts w:ascii="Palatino Linotype" w:eastAsiaTheme="minorHAnsi" w:hAnsi="Palatino Linotype"/>
                <w:b/>
                <w:sz w:val="22"/>
                <w:szCs w:val="22"/>
                <w:lang w:val="es-EC"/>
              </w:rPr>
              <w:t>Propuesta de Pago Concesión Onerosa de Derechos</w:t>
            </w:r>
          </w:p>
        </w:tc>
        <w:tc>
          <w:tcPr>
            <w:tcW w:w="4111" w:type="dxa"/>
          </w:tcPr>
          <w:p w14:paraId="4D9916EB" w14:textId="775D4AB0" w:rsidR="00BC22A5" w:rsidRPr="00D049BE" w:rsidRDefault="00BC22A5" w:rsidP="00694D76">
            <w:pPr>
              <w:pStyle w:val="NormalWeb"/>
              <w:spacing w:before="0" w:beforeAutospacing="0" w:after="120" w:afterAutospacing="0" w:line="276" w:lineRule="auto"/>
              <w:jc w:val="center"/>
              <w:rPr>
                <w:rFonts w:ascii="Palatino Linotype" w:eastAsiaTheme="minorHAnsi" w:hAnsi="Palatino Linotype"/>
                <w:sz w:val="22"/>
                <w:szCs w:val="22"/>
                <w:lang w:val="es-EC"/>
              </w:rPr>
            </w:pPr>
            <w:r w:rsidRPr="00D049BE">
              <w:rPr>
                <w:rFonts w:ascii="Palatino Linotype" w:hAnsi="Palatino Linotype"/>
                <w:b/>
                <w:sz w:val="22"/>
                <w:szCs w:val="22"/>
              </w:rPr>
              <w:t>Valores no imputables</w:t>
            </w:r>
          </w:p>
        </w:tc>
        <w:tc>
          <w:tcPr>
            <w:tcW w:w="4068" w:type="dxa"/>
          </w:tcPr>
          <w:p w14:paraId="051124F1" w14:textId="380379AA" w:rsidR="00BC22A5" w:rsidRPr="00D049BE" w:rsidRDefault="00BC22A5" w:rsidP="00694D76">
            <w:pPr>
              <w:pStyle w:val="NormalWeb"/>
              <w:spacing w:before="0" w:beforeAutospacing="0" w:after="120" w:afterAutospacing="0" w:line="276" w:lineRule="auto"/>
              <w:jc w:val="center"/>
              <w:rPr>
                <w:rFonts w:ascii="Palatino Linotype" w:eastAsiaTheme="minorHAnsi" w:hAnsi="Palatino Linotype"/>
                <w:sz w:val="22"/>
                <w:szCs w:val="22"/>
                <w:lang w:val="es-EC"/>
              </w:rPr>
            </w:pPr>
            <w:r w:rsidRPr="00D049BE">
              <w:rPr>
                <w:rFonts w:ascii="Palatino Linotype" w:hAnsi="Palatino Linotype"/>
                <w:b/>
                <w:sz w:val="22"/>
                <w:szCs w:val="22"/>
              </w:rPr>
              <w:t>Valores imputables</w:t>
            </w:r>
          </w:p>
        </w:tc>
      </w:tr>
      <w:tr w:rsidR="00BC22A5" w:rsidRPr="00694D76" w14:paraId="132A81EB" w14:textId="77777777" w:rsidTr="008B3C8E">
        <w:trPr>
          <w:trHeight w:val="1980"/>
        </w:trPr>
        <w:tc>
          <w:tcPr>
            <w:tcW w:w="1951" w:type="dxa"/>
            <w:vMerge/>
          </w:tcPr>
          <w:p w14:paraId="19285BA3" w14:textId="43E68546" w:rsidR="00BC22A5" w:rsidRPr="00D049BE" w:rsidRDefault="00BC22A5" w:rsidP="00694D76">
            <w:pPr>
              <w:pStyle w:val="NormalWeb"/>
              <w:spacing w:before="0" w:beforeAutospacing="0" w:after="120" w:afterAutospacing="0" w:line="276" w:lineRule="auto"/>
              <w:rPr>
                <w:rFonts w:ascii="Palatino Linotype" w:eastAsiaTheme="minorHAnsi" w:hAnsi="Palatino Linotype"/>
                <w:b/>
                <w:sz w:val="22"/>
                <w:szCs w:val="22"/>
                <w:lang w:val="es-EC"/>
              </w:rPr>
            </w:pPr>
          </w:p>
        </w:tc>
        <w:tc>
          <w:tcPr>
            <w:tcW w:w="4111" w:type="dxa"/>
          </w:tcPr>
          <w:p w14:paraId="50E56FA2" w14:textId="2AD29A04" w:rsidR="002E2CA2" w:rsidRPr="00D049BE" w:rsidRDefault="002E2CA2" w:rsidP="00250512">
            <w:pPr>
              <w:pStyle w:val="Prrafodelista"/>
              <w:numPr>
                <w:ilvl w:val="0"/>
                <w:numId w:val="18"/>
              </w:numPr>
              <w:tabs>
                <w:tab w:val="left" w:pos="993"/>
              </w:tabs>
              <w:spacing w:after="120" w:line="276" w:lineRule="auto"/>
              <w:ind w:left="317" w:right="-1" w:hanging="283"/>
              <w:rPr>
                <w:rFonts w:ascii="Palatino Linotype" w:hAnsi="Palatino Linotype"/>
                <w:lang w:val="es-MX"/>
              </w:rPr>
            </w:pPr>
            <w:r w:rsidRPr="00D049BE">
              <w:rPr>
                <w:rFonts w:ascii="Palatino Linotype" w:hAnsi="Palatino Linotype"/>
                <w:lang w:val="es-MX"/>
              </w:rPr>
              <w:t>La implementación de las medidas de mitigación a los impactos directos urbanos, ambientales, sociales y a la movilidad ocasionados por el PUAE, las cuales serán de entera responsabilidad del promotor</w:t>
            </w:r>
          </w:p>
          <w:p w14:paraId="3C503BFB" w14:textId="77777777" w:rsidR="00BC22A5" w:rsidRPr="00D049BE" w:rsidRDefault="00BC22A5" w:rsidP="00250512">
            <w:pPr>
              <w:pStyle w:val="Prrafodelista"/>
              <w:numPr>
                <w:ilvl w:val="0"/>
                <w:numId w:val="18"/>
              </w:numPr>
              <w:tabs>
                <w:tab w:val="left" w:pos="993"/>
              </w:tabs>
              <w:spacing w:after="120" w:line="276" w:lineRule="auto"/>
              <w:ind w:left="317" w:right="-1" w:hanging="283"/>
              <w:rPr>
                <w:rFonts w:ascii="Palatino Linotype" w:hAnsi="Palatino Linotype"/>
              </w:rPr>
            </w:pPr>
            <w:r w:rsidRPr="00D049BE">
              <w:rPr>
                <w:rFonts w:ascii="Palatino Linotype" w:hAnsi="Palatino Linotype"/>
                <w:lang w:val="es-MX"/>
              </w:rPr>
              <w:t>Las obras que beneficien directa o exclusivamente al PUAE</w:t>
            </w:r>
          </w:p>
        </w:tc>
        <w:tc>
          <w:tcPr>
            <w:tcW w:w="4068" w:type="dxa"/>
          </w:tcPr>
          <w:p w14:paraId="6D19D5C3" w14:textId="77777777" w:rsidR="00BC22A5" w:rsidRPr="00D049BE" w:rsidRDefault="00BC22A5" w:rsidP="00250512">
            <w:pPr>
              <w:pStyle w:val="NormalWeb"/>
              <w:numPr>
                <w:ilvl w:val="0"/>
                <w:numId w:val="18"/>
              </w:numPr>
              <w:spacing w:before="0" w:beforeAutospacing="0" w:after="120" w:afterAutospacing="0" w:line="276" w:lineRule="auto"/>
              <w:ind w:left="317" w:hanging="283"/>
              <w:rPr>
                <w:rFonts w:ascii="Palatino Linotype" w:eastAsiaTheme="minorHAnsi" w:hAnsi="Palatino Linotype"/>
                <w:sz w:val="22"/>
                <w:szCs w:val="22"/>
                <w:lang w:val="es-EC"/>
              </w:rPr>
            </w:pPr>
            <w:r w:rsidRPr="00D049BE">
              <w:rPr>
                <w:rFonts w:ascii="Palatino Linotype" w:eastAsiaTheme="minorHAnsi" w:hAnsi="Palatino Linotype"/>
                <w:sz w:val="22"/>
                <w:szCs w:val="22"/>
                <w:lang w:val="es-EC"/>
              </w:rPr>
              <w:t>Obras imputables al pago de la concesión onerosa conllevan un beneficio urbano, ambiental, social, económico o de movilidad cuyo alcance es mayor al del PUAE y contribuyen a disminuir los déficits prioritarios de la ciudad o a mejorar las condiciones urbanísticas del entorno o sector de implantación del PUAE.</w:t>
            </w:r>
          </w:p>
        </w:tc>
      </w:tr>
      <w:tr w:rsidR="00BC22A5" w:rsidRPr="00694D76" w14:paraId="65F3EA10" w14:textId="77777777" w:rsidTr="008B3C8E">
        <w:trPr>
          <w:trHeight w:val="983"/>
        </w:trPr>
        <w:tc>
          <w:tcPr>
            <w:tcW w:w="1951" w:type="dxa"/>
          </w:tcPr>
          <w:p w14:paraId="60C6D362" w14:textId="4F6C23AD" w:rsidR="00BC22A5" w:rsidRPr="00D049BE" w:rsidRDefault="00BC22A5" w:rsidP="00694D76">
            <w:pPr>
              <w:pStyle w:val="NormalWeb"/>
              <w:spacing w:before="0" w:beforeAutospacing="0" w:after="120" w:afterAutospacing="0" w:line="276" w:lineRule="auto"/>
              <w:rPr>
                <w:rFonts w:ascii="Palatino Linotype" w:eastAsiaTheme="minorHAnsi" w:hAnsi="Palatino Linotype"/>
                <w:sz w:val="22"/>
                <w:szCs w:val="22"/>
                <w:lang w:val="es-EC"/>
              </w:rPr>
            </w:pPr>
            <w:r w:rsidRPr="00D049BE">
              <w:rPr>
                <w:rFonts w:ascii="Palatino Linotype" w:eastAsiaTheme="minorHAnsi" w:hAnsi="Palatino Linotype"/>
                <w:sz w:val="22"/>
                <w:szCs w:val="22"/>
                <w:lang w:val="es-EC"/>
              </w:rPr>
              <w:t xml:space="preserve">Propuesta vial eje Av. Cotopaxi – Quito- Los </w:t>
            </w:r>
            <w:r w:rsidR="000B3379" w:rsidRPr="00D049BE">
              <w:rPr>
                <w:rFonts w:ascii="Palatino Linotype" w:eastAsiaTheme="minorHAnsi" w:hAnsi="Palatino Linotype"/>
                <w:sz w:val="22"/>
                <w:szCs w:val="22"/>
                <w:lang w:val="es-EC"/>
              </w:rPr>
              <w:t>Vergeles</w:t>
            </w:r>
          </w:p>
        </w:tc>
        <w:tc>
          <w:tcPr>
            <w:tcW w:w="4111" w:type="dxa"/>
          </w:tcPr>
          <w:p w14:paraId="26A6ED0F" w14:textId="5CAE1278" w:rsidR="000B3379" w:rsidRPr="00D049BE" w:rsidRDefault="00BC22A5" w:rsidP="00250512">
            <w:pPr>
              <w:pStyle w:val="Prrafodelista"/>
              <w:numPr>
                <w:ilvl w:val="0"/>
                <w:numId w:val="18"/>
              </w:numPr>
              <w:tabs>
                <w:tab w:val="left" w:pos="993"/>
              </w:tabs>
              <w:spacing w:after="120" w:line="276" w:lineRule="auto"/>
              <w:ind w:left="317" w:right="-1" w:hanging="283"/>
              <w:rPr>
                <w:rFonts w:ascii="Palatino Linotype" w:hAnsi="Palatino Linotype"/>
              </w:rPr>
            </w:pPr>
            <w:r w:rsidRPr="00D049BE">
              <w:rPr>
                <w:rFonts w:ascii="Palatino Linotype" w:hAnsi="Palatino Linotype"/>
              </w:rPr>
              <w:t xml:space="preserve">La calle Cotopaxi tiene </w:t>
            </w:r>
            <w:r w:rsidR="000B3379" w:rsidRPr="00D049BE">
              <w:rPr>
                <w:rFonts w:ascii="Palatino Linotype" w:hAnsi="Palatino Linotype"/>
              </w:rPr>
              <w:t xml:space="preserve">actualmente </w:t>
            </w:r>
            <w:r w:rsidRPr="00D049BE">
              <w:rPr>
                <w:rFonts w:ascii="Palatino Linotype" w:hAnsi="Palatino Linotype"/>
              </w:rPr>
              <w:t>un ancho de 12</w:t>
            </w:r>
            <w:r w:rsidR="000B3379" w:rsidRPr="00D049BE">
              <w:rPr>
                <w:rFonts w:ascii="Palatino Linotype" w:hAnsi="Palatino Linotype"/>
              </w:rPr>
              <w:t xml:space="preserve"> metros</w:t>
            </w:r>
            <w:r w:rsidRPr="00D049BE">
              <w:rPr>
                <w:rFonts w:ascii="Palatino Linotype" w:hAnsi="Palatino Linotype"/>
              </w:rPr>
              <w:t xml:space="preserve"> con una capacidad de 2 carriles de circulación vehicular</w:t>
            </w:r>
            <w:r w:rsidR="000B3379" w:rsidRPr="00D049BE">
              <w:rPr>
                <w:rFonts w:ascii="Palatino Linotype" w:hAnsi="Palatino Linotype"/>
              </w:rPr>
              <w:t>.</w:t>
            </w:r>
          </w:p>
          <w:p w14:paraId="6F967F28" w14:textId="1C717DF9" w:rsidR="000B3379" w:rsidRPr="00D049BE" w:rsidRDefault="000B3379" w:rsidP="00250512">
            <w:pPr>
              <w:pStyle w:val="Prrafodelista"/>
              <w:numPr>
                <w:ilvl w:val="0"/>
                <w:numId w:val="18"/>
              </w:numPr>
              <w:tabs>
                <w:tab w:val="left" w:pos="993"/>
              </w:tabs>
              <w:spacing w:after="120" w:line="276" w:lineRule="auto"/>
              <w:ind w:left="317" w:right="-1" w:hanging="283"/>
              <w:rPr>
                <w:rFonts w:ascii="Palatino Linotype" w:hAnsi="Palatino Linotype" w:cs="Times New Roman"/>
              </w:rPr>
            </w:pPr>
            <w:r w:rsidRPr="00D049BE">
              <w:rPr>
                <w:rFonts w:ascii="Palatino Linotype" w:hAnsi="Palatino Linotype"/>
              </w:rPr>
              <w:t>El</w:t>
            </w:r>
            <w:r w:rsidR="00BC22A5" w:rsidRPr="00D049BE">
              <w:rPr>
                <w:rFonts w:ascii="Palatino Linotype" w:hAnsi="Palatino Linotype"/>
              </w:rPr>
              <w:t xml:space="preserve"> informe </w:t>
            </w:r>
            <w:r w:rsidR="00BC22A5" w:rsidRPr="00D049BE">
              <w:rPr>
                <w:rFonts w:ascii="Palatino Linotype" w:hAnsi="Palatino Linotype" w:cs="Times New Roman"/>
              </w:rPr>
              <w:t>técnico</w:t>
            </w:r>
            <w:r w:rsidR="00BC22A5" w:rsidRPr="00D049BE">
              <w:rPr>
                <w:rFonts w:ascii="Palatino Linotype" w:hAnsi="Palatino Linotype"/>
              </w:rPr>
              <w:t xml:space="preserve"> de la Secretaría de Movilidad </w:t>
            </w:r>
            <w:r w:rsidR="00BC22A5" w:rsidRPr="00D049BE">
              <w:rPr>
                <w:rFonts w:ascii="Palatino Linotype" w:hAnsi="Palatino Linotype" w:cs="Times New Roman"/>
              </w:rPr>
              <w:t>No. SM-DPPM-013/2018</w:t>
            </w:r>
            <w:r w:rsidRPr="00D049BE">
              <w:rPr>
                <w:rFonts w:ascii="Palatino Linotype" w:hAnsi="Palatino Linotype" w:cs="Times New Roman"/>
              </w:rPr>
              <w:t>,</w:t>
            </w:r>
            <w:r w:rsidR="00BC22A5" w:rsidRPr="00D049BE">
              <w:rPr>
                <w:rFonts w:ascii="Palatino Linotype" w:hAnsi="Palatino Linotype"/>
              </w:rPr>
              <w:t xml:space="preserve"> </w:t>
            </w:r>
            <w:r w:rsidRPr="00D049BE">
              <w:rPr>
                <w:rFonts w:ascii="Palatino Linotype" w:hAnsi="Palatino Linotype" w:cs="Times New Roman"/>
              </w:rPr>
              <w:t xml:space="preserve">señala que </w:t>
            </w:r>
            <w:r w:rsidR="00BC22A5" w:rsidRPr="00D049BE">
              <w:rPr>
                <w:rFonts w:ascii="Palatino Linotype" w:hAnsi="Palatino Linotype" w:cs="Times New Roman"/>
              </w:rPr>
              <w:t>“</w:t>
            </w:r>
            <w:r w:rsidRPr="00D049BE">
              <w:rPr>
                <w:rFonts w:ascii="Palatino Linotype" w:hAnsi="Palatino Linotype" w:cs="Times New Roman"/>
              </w:rPr>
              <w:t xml:space="preserve">los </w:t>
            </w:r>
            <w:r w:rsidR="00BC22A5" w:rsidRPr="00D049BE">
              <w:rPr>
                <w:rFonts w:ascii="Palatino Linotype" w:hAnsi="Palatino Linotype" w:cs="Times New Roman"/>
              </w:rPr>
              <w:t xml:space="preserve">flujos vehiculares </w:t>
            </w:r>
            <w:r w:rsidRPr="00D049BE">
              <w:rPr>
                <w:rFonts w:ascii="Palatino Linotype" w:hAnsi="Palatino Linotype" w:cs="Times New Roman"/>
              </w:rPr>
              <w:t xml:space="preserve">(del Hotel) </w:t>
            </w:r>
            <w:r w:rsidR="00BC22A5" w:rsidRPr="00D049BE">
              <w:rPr>
                <w:rFonts w:ascii="Palatino Linotype" w:hAnsi="Palatino Linotype" w:cs="Times New Roman"/>
              </w:rPr>
              <w:t xml:space="preserve">estimados para las horas pico am y pm llegarán como máximo a 150 vehículos/hora en el escenario más desfavorable, lo que determina que con disponer de un carril de circulación por sentido se tendrá un nivel de servicio A, es decir las condiciones serán de fluidez”. </w:t>
            </w:r>
          </w:p>
          <w:p w14:paraId="7187B452" w14:textId="551FB16A" w:rsidR="00D57832" w:rsidRPr="00D049BE" w:rsidRDefault="000B3379" w:rsidP="00250512">
            <w:pPr>
              <w:pStyle w:val="Prrafodelista"/>
              <w:numPr>
                <w:ilvl w:val="0"/>
                <w:numId w:val="18"/>
              </w:numPr>
              <w:tabs>
                <w:tab w:val="left" w:pos="993"/>
              </w:tabs>
              <w:spacing w:after="120" w:line="276" w:lineRule="auto"/>
              <w:ind w:left="317" w:right="-1" w:hanging="283"/>
              <w:rPr>
                <w:rFonts w:ascii="Palatino Linotype" w:hAnsi="Palatino Linotype" w:cs="Times New Roman"/>
              </w:rPr>
            </w:pPr>
            <w:r w:rsidRPr="00D049BE">
              <w:rPr>
                <w:rFonts w:ascii="Palatino Linotype" w:hAnsi="Palatino Linotype" w:cs="Times New Roman"/>
              </w:rPr>
              <w:t xml:space="preserve">De lo expuesto se desprende que </w:t>
            </w:r>
            <w:r w:rsidR="00BC22A5" w:rsidRPr="00D049BE">
              <w:rPr>
                <w:rFonts w:ascii="Palatino Linotype" w:hAnsi="Palatino Linotype" w:cs="Times New Roman"/>
              </w:rPr>
              <w:t xml:space="preserve">el </w:t>
            </w:r>
            <w:r w:rsidRPr="00D049BE">
              <w:rPr>
                <w:rFonts w:ascii="Palatino Linotype" w:hAnsi="Palatino Linotype" w:cs="Times New Roman"/>
              </w:rPr>
              <w:t xml:space="preserve">hotel </w:t>
            </w:r>
            <w:r w:rsidR="00BC22A5" w:rsidRPr="00D049BE">
              <w:rPr>
                <w:rFonts w:ascii="Palatino Linotype" w:hAnsi="Palatino Linotype" w:cs="Times New Roman"/>
              </w:rPr>
              <w:t xml:space="preserve">podría funcionar bajo las condiciones </w:t>
            </w:r>
            <w:r w:rsidRPr="00D049BE">
              <w:rPr>
                <w:rFonts w:ascii="Palatino Linotype" w:hAnsi="Palatino Linotype" w:cs="Times New Roman"/>
              </w:rPr>
              <w:t xml:space="preserve">viales </w:t>
            </w:r>
            <w:r w:rsidR="00BC22A5" w:rsidRPr="00D049BE">
              <w:rPr>
                <w:rFonts w:ascii="Palatino Linotype" w:hAnsi="Palatino Linotype" w:cs="Times New Roman"/>
              </w:rPr>
              <w:t>actuales</w:t>
            </w:r>
            <w:r w:rsidR="00FC387B" w:rsidRPr="00D049BE">
              <w:rPr>
                <w:rFonts w:ascii="Palatino Linotype" w:hAnsi="Palatino Linotype" w:cs="Times New Roman"/>
              </w:rPr>
              <w:t xml:space="preserve"> Requiere </w:t>
            </w:r>
            <w:r w:rsidR="00FC387B" w:rsidRPr="00D049BE">
              <w:rPr>
                <w:rFonts w:ascii="Palatino Linotype" w:hAnsi="Palatino Linotype" w:cs="Times New Roman"/>
              </w:rPr>
              <w:lastRenderedPageBreak/>
              <w:t>tener bahías</w:t>
            </w:r>
            <w:r w:rsidR="00AA2805" w:rsidRPr="00D049BE">
              <w:rPr>
                <w:rFonts w:ascii="Palatino Linotype" w:hAnsi="Palatino Linotype" w:cs="Times New Roman"/>
              </w:rPr>
              <w:t xml:space="preserve"> de acceso </w:t>
            </w:r>
          </w:p>
          <w:p w14:paraId="46A84D96" w14:textId="75AE725E" w:rsidR="00BC22A5" w:rsidRPr="00D049BE" w:rsidRDefault="00BC22A5" w:rsidP="00694D76">
            <w:pPr>
              <w:pStyle w:val="Prrafodelista"/>
              <w:tabs>
                <w:tab w:val="left" w:pos="993"/>
              </w:tabs>
              <w:spacing w:after="120" w:line="276" w:lineRule="auto"/>
              <w:ind w:left="317" w:right="-1"/>
              <w:rPr>
                <w:rFonts w:ascii="Palatino Linotype" w:hAnsi="Palatino Linotype" w:cs="Times New Roman"/>
              </w:rPr>
            </w:pPr>
          </w:p>
        </w:tc>
        <w:tc>
          <w:tcPr>
            <w:tcW w:w="4068" w:type="dxa"/>
          </w:tcPr>
          <w:p w14:paraId="324254AA" w14:textId="3CD5EE33" w:rsidR="006A2229" w:rsidRPr="00D049BE" w:rsidRDefault="006A2229" w:rsidP="00250512">
            <w:pPr>
              <w:pStyle w:val="NormalWeb"/>
              <w:numPr>
                <w:ilvl w:val="0"/>
                <w:numId w:val="18"/>
              </w:numPr>
              <w:spacing w:before="0" w:beforeAutospacing="0" w:after="120" w:afterAutospacing="0" w:line="276" w:lineRule="auto"/>
              <w:ind w:left="317" w:hanging="283"/>
              <w:jc w:val="both"/>
              <w:rPr>
                <w:rFonts w:ascii="Palatino Linotype" w:eastAsiaTheme="minorHAnsi" w:hAnsi="Palatino Linotype"/>
                <w:sz w:val="22"/>
                <w:szCs w:val="22"/>
                <w:lang w:val="es-EC"/>
              </w:rPr>
            </w:pPr>
            <w:r w:rsidRPr="00D049BE">
              <w:rPr>
                <w:rFonts w:ascii="Palatino Linotype" w:eastAsiaTheme="minorHAnsi" w:hAnsi="Palatino Linotype"/>
                <w:sz w:val="22"/>
                <w:szCs w:val="22"/>
                <w:lang w:val="es-EC"/>
              </w:rPr>
              <w:lastRenderedPageBreak/>
              <w:t xml:space="preserve">El informe técnico de la Secretaría de Movilidad No. SM-DPPM-013/2018, establece que la implementación de la calle Cotopaxi, con la sección </w:t>
            </w:r>
            <w:r w:rsidR="00B04935" w:rsidRPr="00D049BE">
              <w:rPr>
                <w:rFonts w:ascii="Palatino Linotype" w:eastAsiaTheme="minorHAnsi" w:hAnsi="Palatino Linotype"/>
                <w:sz w:val="22"/>
                <w:szCs w:val="22"/>
                <w:lang w:val="es-EC"/>
              </w:rPr>
              <w:t>p</w:t>
            </w:r>
            <w:r w:rsidRPr="00D049BE">
              <w:rPr>
                <w:rFonts w:ascii="Palatino Linotype" w:eastAsiaTheme="minorHAnsi" w:hAnsi="Palatino Linotype"/>
                <w:sz w:val="22"/>
                <w:szCs w:val="22"/>
                <w:lang w:val="es-EC"/>
              </w:rPr>
              <w:t xml:space="preserve">revista de 26 metros no es congruente con los impactos de tráfico generados solo por el proyecto. </w:t>
            </w:r>
          </w:p>
          <w:p w14:paraId="685F1221" w14:textId="34A497FF" w:rsidR="000B3379" w:rsidRPr="00D049BE" w:rsidRDefault="00BC22A5" w:rsidP="00250512">
            <w:pPr>
              <w:pStyle w:val="NormalWeb"/>
              <w:numPr>
                <w:ilvl w:val="0"/>
                <w:numId w:val="18"/>
              </w:numPr>
              <w:spacing w:before="0" w:beforeAutospacing="0" w:after="120" w:afterAutospacing="0" w:line="276" w:lineRule="auto"/>
              <w:ind w:left="317" w:hanging="283"/>
              <w:rPr>
                <w:rFonts w:ascii="Palatino Linotype" w:eastAsiaTheme="minorHAnsi" w:hAnsi="Palatino Linotype"/>
                <w:sz w:val="22"/>
                <w:szCs w:val="22"/>
                <w:lang w:val="es-EC"/>
              </w:rPr>
            </w:pPr>
            <w:r w:rsidRPr="00D049BE">
              <w:rPr>
                <w:rFonts w:ascii="Palatino Linotype" w:eastAsiaTheme="minorHAnsi" w:hAnsi="Palatino Linotype"/>
                <w:sz w:val="22"/>
                <w:szCs w:val="22"/>
                <w:lang w:val="es-EC"/>
              </w:rPr>
              <w:t xml:space="preserve">La propuesta vial </w:t>
            </w:r>
            <w:r w:rsidR="000B3379" w:rsidRPr="00D049BE">
              <w:rPr>
                <w:rFonts w:ascii="Palatino Linotype" w:eastAsiaTheme="minorHAnsi" w:hAnsi="Palatino Linotype"/>
                <w:sz w:val="22"/>
                <w:szCs w:val="22"/>
                <w:lang w:val="es-EC"/>
              </w:rPr>
              <w:t xml:space="preserve">del </w:t>
            </w:r>
            <w:r w:rsidRPr="00D049BE">
              <w:rPr>
                <w:rFonts w:ascii="Palatino Linotype" w:eastAsiaTheme="minorHAnsi" w:hAnsi="Palatino Linotype"/>
                <w:sz w:val="22"/>
                <w:szCs w:val="22"/>
                <w:lang w:val="es-EC"/>
              </w:rPr>
              <w:t xml:space="preserve">eje Av. Cotopaxi – Quito- Los </w:t>
            </w:r>
            <w:r w:rsidR="000B3379" w:rsidRPr="00D049BE">
              <w:rPr>
                <w:rFonts w:ascii="Palatino Linotype" w:eastAsiaTheme="minorHAnsi" w:hAnsi="Palatino Linotype"/>
                <w:sz w:val="22"/>
                <w:szCs w:val="22"/>
                <w:lang w:val="es-EC"/>
              </w:rPr>
              <w:t>Vergeles</w:t>
            </w:r>
            <w:r w:rsidRPr="00D049BE">
              <w:rPr>
                <w:rFonts w:ascii="Palatino Linotype" w:eastAsiaTheme="minorHAnsi" w:hAnsi="Palatino Linotype"/>
                <w:sz w:val="22"/>
                <w:szCs w:val="22"/>
                <w:lang w:val="es-EC"/>
              </w:rPr>
              <w:t xml:space="preserve">, con un ancho vial de 26m, </w:t>
            </w:r>
            <w:r w:rsidR="000B3379" w:rsidRPr="00D049BE">
              <w:rPr>
                <w:rFonts w:ascii="Palatino Linotype" w:eastAsiaTheme="minorHAnsi" w:hAnsi="Palatino Linotype"/>
                <w:sz w:val="22"/>
                <w:szCs w:val="22"/>
                <w:lang w:val="es-EC"/>
              </w:rPr>
              <w:t xml:space="preserve">está </w:t>
            </w:r>
            <w:r w:rsidRPr="00D049BE">
              <w:rPr>
                <w:rFonts w:ascii="Palatino Linotype" w:eastAsiaTheme="minorHAnsi" w:hAnsi="Palatino Linotype"/>
                <w:sz w:val="22"/>
                <w:szCs w:val="22"/>
                <w:lang w:val="es-EC"/>
              </w:rPr>
              <w:t xml:space="preserve">proyectada para servir </w:t>
            </w:r>
            <w:r w:rsidR="000B3379" w:rsidRPr="00D049BE">
              <w:rPr>
                <w:rFonts w:ascii="Palatino Linotype" w:eastAsiaTheme="minorHAnsi" w:hAnsi="Palatino Linotype"/>
                <w:sz w:val="22"/>
                <w:szCs w:val="22"/>
                <w:lang w:val="es-EC"/>
              </w:rPr>
              <w:t>a la</w:t>
            </w:r>
            <w:r w:rsidRPr="00D049BE">
              <w:rPr>
                <w:rFonts w:ascii="Palatino Linotype" w:eastAsiaTheme="minorHAnsi" w:hAnsi="Palatino Linotype"/>
                <w:sz w:val="22"/>
                <w:szCs w:val="22"/>
                <w:lang w:val="es-EC"/>
              </w:rPr>
              <w:t xml:space="preserve"> Zona Especial de Desarrollo Económico (ZEDE)</w:t>
            </w:r>
            <w:r w:rsidR="000B3379" w:rsidRPr="00D049BE">
              <w:rPr>
                <w:rFonts w:ascii="Palatino Linotype" w:eastAsiaTheme="minorHAnsi" w:hAnsi="Palatino Linotype"/>
                <w:sz w:val="22"/>
                <w:szCs w:val="22"/>
                <w:lang w:val="es-EC"/>
              </w:rPr>
              <w:t xml:space="preserve"> y es concordante con la estructura de la red vial prevista para el área suroriental de Tababela.</w:t>
            </w:r>
          </w:p>
          <w:p w14:paraId="7D77CE3D" w14:textId="6238F286" w:rsidR="000B3379" w:rsidRPr="00D049BE" w:rsidRDefault="000B3379" w:rsidP="00250512">
            <w:pPr>
              <w:pStyle w:val="NormalWeb"/>
              <w:numPr>
                <w:ilvl w:val="0"/>
                <w:numId w:val="18"/>
              </w:numPr>
              <w:spacing w:before="0" w:beforeAutospacing="0" w:after="120" w:afterAutospacing="0" w:line="276" w:lineRule="auto"/>
              <w:ind w:left="317" w:hanging="283"/>
              <w:rPr>
                <w:rFonts w:ascii="Palatino Linotype" w:eastAsiaTheme="minorHAnsi" w:hAnsi="Palatino Linotype"/>
                <w:sz w:val="22"/>
                <w:szCs w:val="22"/>
                <w:lang w:val="es-EC"/>
              </w:rPr>
            </w:pPr>
            <w:r w:rsidRPr="00D049BE">
              <w:rPr>
                <w:rFonts w:ascii="Palatino Linotype" w:eastAsiaTheme="minorHAnsi" w:hAnsi="Palatino Linotype"/>
                <w:sz w:val="22"/>
                <w:szCs w:val="22"/>
                <w:lang w:val="es-EC"/>
              </w:rPr>
              <w:t>El perfil</w:t>
            </w:r>
            <w:r w:rsidR="00BC22A5" w:rsidRPr="00D049BE">
              <w:rPr>
                <w:rFonts w:ascii="Palatino Linotype" w:eastAsiaTheme="minorHAnsi" w:hAnsi="Palatino Linotype"/>
                <w:sz w:val="22"/>
                <w:szCs w:val="22"/>
                <w:lang w:val="es-EC"/>
              </w:rPr>
              <w:t xml:space="preserve"> vial</w:t>
            </w:r>
            <w:r w:rsidRPr="00D049BE">
              <w:rPr>
                <w:rFonts w:ascii="Palatino Linotype" w:eastAsiaTheme="minorHAnsi" w:hAnsi="Palatino Linotype"/>
                <w:sz w:val="22"/>
                <w:szCs w:val="22"/>
                <w:lang w:val="es-EC"/>
              </w:rPr>
              <w:t xml:space="preserve"> propuesto</w:t>
            </w:r>
            <w:r w:rsidR="00BC22A5" w:rsidRPr="00D049BE">
              <w:rPr>
                <w:rFonts w:ascii="Palatino Linotype" w:eastAsiaTheme="minorHAnsi" w:hAnsi="Palatino Linotype"/>
                <w:sz w:val="22"/>
                <w:szCs w:val="22"/>
                <w:lang w:val="es-EC"/>
              </w:rPr>
              <w:t xml:space="preserve"> </w:t>
            </w:r>
            <w:r w:rsidR="00081CD2" w:rsidRPr="00D049BE">
              <w:rPr>
                <w:rFonts w:ascii="Palatino Linotype" w:eastAsiaTheme="minorHAnsi" w:hAnsi="Palatino Linotype"/>
                <w:sz w:val="22"/>
                <w:szCs w:val="22"/>
                <w:lang w:val="es-EC"/>
              </w:rPr>
              <w:t>permitirá movilizar</w:t>
            </w:r>
            <w:r w:rsidR="00BC22A5" w:rsidRPr="00D049BE">
              <w:rPr>
                <w:rFonts w:ascii="Palatino Linotype" w:eastAsiaTheme="minorHAnsi" w:hAnsi="Palatino Linotype"/>
                <w:sz w:val="22"/>
                <w:szCs w:val="22"/>
                <w:lang w:val="es-EC"/>
              </w:rPr>
              <w:t xml:space="preserve"> flujos de carga pesada</w:t>
            </w:r>
            <w:r w:rsidR="00081CD2" w:rsidRPr="00D049BE">
              <w:rPr>
                <w:rFonts w:ascii="Palatino Linotype" w:eastAsiaTheme="minorHAnsi" w:hAnsi="Palatino Linotype"/>
                <w:sz w:val="22"/>
                <w:szCs w:val="22"/>
                <w:lang w:val="es-EC"/>
              </w:rPr>
              <w:t xml:space="preserve"> </w:t>
            </w:r>
            <w:r w:rsidR="00081CD2" w:rsidRPr="00D049BE">
              <w:rPr>
                <w:rFonts w:ascii="Palatino Linotype" w:eastAsiaTheme="minorHAnsi" w:hAnsi="Palatino Linotype"/>
                <w:sz w:val="22"/>
                <w:szCs w:val="22"/>
                <w:lang w:val="es-EC"/>
              </w:rPr>
              <w:lastRenderedPageBreak/>
              <w:t>correspondientes a la función logística e industrial de la ZEDE.</w:t>
            </w:r>
          </w:p>
          <w:p w14:paraId="5102598A" w14:textId="77777777" w:rsidR="00BC22A5" w:rsidRPr="00D049BE" w:rsidRDefault="00081CD2" w:rsidP="00250512">
            <w:pPr>
              <w:pStyle w:val="NormalWeb"/>
              <w:numPr>
                <w:ilvl w:val="0"/>
                <w:numId w:val="18"/>
              </w:numPr>
              <w:spacing w:before="0" w:beforeAutospacing="0" w:after="120" w:afterAutospacing="0" w:line="276" w:lineRule="auto"/>
              <w:ind w:left="317" w:hanging="283"/>
              <w:rPr>
                <w:rFonts w:ascii="Palatino Linotype" w:eastAsiaTheme="minorHAnsi" w:hAnsi="Palatino Linotype"/>
                <w:sz w:val="22"/>
                <w:szCs w:val="22"/>
                <w:lang w:val="es-EC"/>
              </w:rPr>
            </w:pPr>
            <w:r w:rsidRPr="00D049BE">
              <w:rPr>
                <w:rFonts w:ascii="Palatino Linotype" w:eastAsiaTheme="minorHAnsi" w:hAnsi="Palatino Linotype"/>
                <w:sz w:val="22"/>
                <w:szCs w:val="22"/>
                <w:lang w:val="es-EC"/>
              </w:rPr>
              <w:t xml:space="preserve">De lo expuesto se desprende que el </w:t>
            </w:r>
            <w:r w:rsidR="00BC22A5" w:rsidRPr="00D049BE">
              <w:rPr>
                <w:rFonts w:ascii="Palatino Linotype" w:eastAsiaTheme="minorHAnsi" w:hAnsi="Palatino Linotype"/>
                <w:sz w:val="22"/>
                <w:szCs w:val="22"/>
                <w:lang w:val="es-EC"/>
              </w:rPr>
              <w:t xml:space="preserve">pago de concesión onerosa en este proyecto conlleva a un beneficio en el ámbito de la movilidad mayor al requerido por el PUAE Hotel </w:t>
            </w:r>
            <w:proofErr w:type="spellStart"/>
            <w:r w:rsidR="00BC22A5" w:rsidRPr="00D049BE">
              <w:rPr>
                <w:rFonts w:ascii="Palatino Linotype" w:eastAsiaTheme="minorHAnsi" w:hAnsi="Palatino Linotype"/>
                <w:sz w:val="22"/>
                <w:szCs w:val="22"/>
                <w:lang w:val="es-EC"/>
              </w:rPr>
              <w:t>Holiday</w:t>
            </w:r>
            <w:proofErr w:type="spellEnd"/>
            <w:r w:rsidR="00BC22A5" w:rsidRPr="00D049BE">
              <w:rPr>
                <w:rFonts w:ascii="Palatino Linotype" w:eastAsiaTheme="minorHAnsi" w:hAnsi="Palatino Linotype"/>
                <w:sz w:val="22"/>
                <w:szCs w:val="22"/>
                <w:lang w:val="es-EC"/>
              </w:rPr>
              <w:t xml:space="preserve"> </w:t>
            </w:r>
            <w:proofErr w:type="spellStart"/>
            <w:r w:rsidR="00BC22A5" w:rsidRPr="00D049BE">
              <w:rPr>
                <w:rFonts w:ascii="Palatino Linotype" w:eastAsiaTheme="minorHAnsi" w:hAnsi="Palatino Linotype"/>
                <w:sz w:val="22"/>
                <w:szCs w:val="22"/>
                <w:lang w:val="es-EC"/>
              </w:rPr>
              <w:t>Inn</w:t>
            </w:r>
            <w:proofErr w:type="spellEnd"/>
            <w:r w:rsidRPr="00D049BE">
              <w:rPr>
                <w:rFonts w:ascii="Palatino Linotype" w:eastAsiaTheme="minorHAnsi" w:hAnsi="Palatino Linotype"/>
                <w:sz w:val="22"/>
                <w:szCs w:val="22"/>
                <w:lang w:val="es-EC"/>
              </w:rPr>
              <w:t xml:space="preserve"> pues genera infraestructura para un sector territorial de importancia metropolitana.</w:t>
            </w:r>
            <w:r w:rsidR="00BC22A5" w:rsidRPr="00D049BE">
              <w:rPr>
                <w:rFonts w:ascii="Palatino Linotype" w:eastAsiaTheme="minorHAnsi" w:hAnsi="Palatino Linotype"/>
                <w:sz w:val="22"/>
                <w:szCs w:val="22"/>
                <w:lang w:val="es-EC"/>
              </w:rPr>
              <w:t xml:space="preserve"> </w:t>
            </w:r>
          </w:p>
          <w:p w14:paraId="41B55E6A" w14:textId="5E8CB712" w:rsidR="00D57832" w:rsidRPr="00D049BE" w:rsidRDefault="005F7087" w:rsidP="00250512">
            <w:pPr>
              <w:pStyle w:val="NormalWeb"/>
              <w:numPr>
                <w:ilvl w:val="0"/>
                <w:numId w:val="18"/>
              </w:numPr>
              <w:spacing w:before="0" w:beforeAutospacing="0" w:after="120" w:afterAutospacing="0" w:line="276" w:lineRule="auto"/>
              <w:ind w:left="317" w:hanging="283"/>
              <w:rPr>
                <w:rFonts w:ascii="Palatino Linotype" w:eastAsiaTheme="minorHAnsi" w:hAnsi="Palatino Linotype"/>
                <w:sz w:val="22"/>
                <w:szCs w:val="22"/>
                <w:lang w:val="es-EC"/>
              </w:rPr>
            </w:pPr>
            <w:r w:rsidRPr="00D049BE">
              <w:rPr>
                <w:rFonts w:ascii="Palatino Linotype" w:eastAsiaTheme="minorHAnsi" w:hAnsi="Palatino Linotype"/>
                <w:sz w:val="22"/>
                <w:szCs w:val="22"/>
                <w:lang w:val="es-EC"/>
              </w:rPr>
              <w:t>Esta vía plantea una estrategia integral</w:t>
            </w:r>
            <w:r w:rsidR="00D57832" w:rsidRPr="00D049BE">
              <w:rPr>
                <w:rFonts w:ascii="Palatino Linotype" w:eastAsiaTheme="minorHAnsi" w:hAnsi="Palatino Linotype"/>
                <w:sz w:val="22"/>
                <w:szCs w:val="22"/>
                <w:lang w:val="es-EC"/>
              </w:rPr>
              <w:t xml:space="preserve"> para el desarrollo económico del sector.</w:t>
            </w:r>
          </w:p>
        </w:tc>
      </w:tr>
    </w:tbl>
    <w:p w14:paraId="43B222DD" w14:textId="5F7234D2" w:rsidR="0039607F" w:rsidRPr="00694D76" w:rsidRDefault="00CC607B" w:rsidP="00694D76">
      <w:pPr>
        <w:spacing w:after="120"/>
        <w:rPr>
          <w:rFonts w:ascii="Palatino Linotype" w:hAnsi="Palatino Linotype" w:cs="Times New Roman"/>
          <w:b/>
        </w:rPr>
      </w:pPr>
      <w:r w:rsidRPr="00694D76">
        <w:rPr>
          <w:rFonts w:ascii="Palatino Linotype" w:hAnsi="Palatino Linotype" w:cs="Times New Roman"/>
          <w:b/>
        </w:rPr>
        <w:lastRenderedPageBreak/>
        <w:t>Disposici</w:t>
      </w:r>
      <w:r w:rsidR="006261C0" w:rsidRPr="00694D76">
        <w:rPr>
          <w:rFonts w:ascii="Palatino Linotype" w:hAnsi="Palatino Linotype" w:cs="Times New Roman"/>
          <w:b/>
        </w:rPr>
        <w:t>ones</w:t>
      </w:r>
      <w:r w:rsidRPr="00694D76">
        <w:rPr>
          <w:rFonts w:ascii="Palatino Linotype" w:hAnsi="Palatino Linotype" w:cs="Times New Roman"/>
          <w:b/>
        </w:rPr>
        <w:t xml:space="preserve"> </w:t>
      </w:r>
      <w:proofErr w:type="gramStart"/>
      <w:r w:rsidR="00C17428">
        <w:rPr>
          <w:rFonts w:ascii="Palatino Linotype" w:hAnsi="Palatino Linotype" w:cs="Times New Roman"/>
          <w:b/>
        </w:rPr>
        <w:t>g</w:t>
      </w:r>
      <w:r w:rsidRPr="00694D76">
        <w:rPr>
          <w:rFonts w:ascii="Palatino Linotype" w:hAnsi="Palatino Linotype" w:cs="Times New Roman"/>
          <w:b/>
        </w:rPr>
        <w:t>eneral</w:t>
      </w:r>
      <w:r w:rsidR="006261C0" w:rsidRPr="00694D76">
        <w:rPr>
          <w:rFonts w:ascii="Palatino Linotype" w:hAnsi="Palatino Linotype" w:cs="Times New Roman"/>
          <w:b/>
        </w:rPr>
        <w:t>es</w:t>
      </w:r>
      <w:r w:rsidR="00515183" w:rsidRPr="00694D76">
        <w:rPr>
          <w:rFonts w:ascii="Palatino Linotype" w:hAnsi="Palatino Linotype" w:cs="Times New Roman"/>
          <w:b/>
        </w:rPr>
        <w:t>.-</w:t>
      </w:r>
      <w:proofErr w:type="gramEnd"/>
      <w:r w:rsidR="00C61315" w:rsidRPr="00694D76">
        <w:rPr>
          <w:rFonts w:ascii="Palatino Linotype" w:hAnsi="Palatino Linotype" w:cs="Times New Roman"/>
          <w:b/>
        </w:rPr>
        <w:t xml:space="preserve"> </w:t>
      </w:r>
    </w:p>
    <w:p w14:paraId="56FE369D" w14:textId="77777777" w:rsidR="0033204F" w:rsidRPr="00694D76" w:rsidRDefault="00E27C9D" w:rsidP="00694D76">
      <w:pPr>
        <w:tabs>
          <w:tab w:val="left" w:pos="6034"/>
        </w:tabs>
        <w:spacing w:after="120"/>
        <w:rPr>
          <w:rFonts w:ascii="Palatino Linotype" w:hAnsi="Palatino Linotype" w:cs="Times New Roman"/>
        </w:rPr>
      </w:pPr>
      <w:proofErr w:type="gramStart"/>
      <w:r w:rsidRPr="00694D76">
        <w:rPr>
          <w:rFonts w:ascii="Palatino Linotype" w:hAnsi="Palatino Linotype" w:cs="Times New Roman"/>
          <w:b/>
        </w:rPr>
        <w:t>Primera</w:t>
      </w:r>
      <w:r w:rsidR="0033204F" w:rsidRPr="00694D76">
        <w:rPr>
          <w:rFonts w:ascii="Palatino Linotype" w:hAnsi="Palatino Linotype" w:cs="Times New Roman"/>
          <w:b/>
        </w:rPr>
        <w:t>.-</w:t>
      </w:r>
      <w:proofErr w:type="gramEnd"/>
      <w:r w:rsidR="0033204F" w:rsidRPr="00694D76">
        <w:rPr>
          <w:rFonts w:ascii="Palatino Linotype" w:hAnsi="Palatino Linotype" w:cs="Times New Roman"/>
        </w:rPr>
        <w:t xml:space="preserve"> Los aspectos técnicos no previstos en la presente </w:t>
      </w:r>
      <w:r w:rsidR="00697882" w:rsidRPr="00694D76">
        <w:rPr>
          <w:rFonts w:ascii="Palatino Linotype" w:hAnsi="Palatino Linotype" w:cs="Times New Roman"/>
        </w:rPr>
        <w:t>O</w:t>
      </w:r>
      <w:r w:rsidR="0033204F" w:rsidRPr="00694D76">
        <w:rPr>
          <w:rFonts w:ascii="Palatino Linotype" w:hAnsi="Palatino Linotype" w:cs="Times New Roman"/>
        </w:rPr>
        <w:t>rdenanza</w:t>
      </w:r>
      <w:r w:rsidR="00DD5B82" w:rsidRPr="00694D76">
        <w:rPr>
          <w:rFonts w:ascii="Palatino Linotype" w:hAnsi="Palatino Linotype" w:cs="Times New Roman"/>
        </w:rPr>
        <w:t>, incluyendo justificadas variaciones al anexo que contiene la implantación referencial del proyecto, siempre y cuando estas no contradigan las condiciones de ocupaci</w:t>
      </w:r>
      <w:r w:rsidR="00C722DB" w:rsidRPr="00694D76">
        <w:rPr>
          <w:rFonts w:ascii="Palatino Linotype" w:hAnsi="Palatino Linotype" w:cs="Times New Roman"/>
        </w:rPr>
        <w:t>ó</w:t>
      </w:r>
      <w:r w:rsidR="00DD5B82" w:rsidRPr="00694D76">
        <w:rPr>
          <w:rFonts w:ascii="Palatino Linotype" w:hAnsi="Palatino Linotype" w:cs="Times New Roman"/>
        </w:rPr>
        <w:t xml:space="preserve">n del suelo establecidas en el artículo 7 de la presente </w:t>
      </w:r>
      <w:r w:rsidR="006827DD" w:rsidRPr="00694D76">
        <w:rPr>
          <w:rFonts w:ascii="Palatino Linotype" w:hAnsi="Palatino Linotype" w:cs="Times New Roman"/>
        </w:rPr>
        <w:t>O</w:t>
      </w:r>
      <w:r w:rsidR="00DD5B82" w:rsidRPr="00694D76">
        <w:rPr>
          <w:rFonts w:ascii="Palatino Linotype" w:hAnsi="Palatino Linotype" w:cs="Times New Roman"/>
        </w:rPr>
        <w:t>rdenanza,</w:t>
      </w:r>
      <w:r w:rsidR="0033204F" w:rsidRPr="00694D76">
        <w:rPr>
          <w:rFonts w:ascii="Palatino Linotype" w:hAnsi="Palatino Linotype" w:cs="Times New Roman"/>
        </w:rPr>
        <w:t xml:space="preserve"> serán resueltos por la </w:t>
      </w:r>
      <w:r w:rsidR="009078E5" w:rsidRPr="00694D76">
        <w:rPr>
          <w:rFonts w:ascii="Palatino Linotype" w:hAnsi="Palatino Linotype" w:cs="Times New Roman"/>
        </w:rPr>
        <w:t>Secretaría de Territorio, Hábitat y Vivienda,</w:t>
      </w:r>
      <w:r w:rsidR="0033204F" w:rsidRPr="00694D76">
        <w:rPr>
          <w:rFonts w:ascii="Palatino Linotype" w:hAnsi="Palatino Linotype" w:cs="Times New Roman"/>
        </w:rPr>
        <w:t xml:space="preserve"> de conformidad a la normativa vigente.</w:t>
      </w:r>
    </w:p>
    <w:p w14:paraId="4A1F6095" w14:textId="36305B16" w:rsidR="005B4C3D" w:rsidRPr="00694D76" w:rsidRDefault="005B4C3D" w:rsidP="00694D76">
      <w:pPr>
        <w:tabs>
          <w:tab w:val="left" w:pos="6034"/>
        </w:tabs>
        <w:spacing w:after="120"/>
        <w:rPr>
          <w:rFonts w:ascii="Palatino Linotype" w:hAnsi="Palatino Linotype" w:cs="Times New Roman"/>
        </w:rPr>
      </w:pPr>
      <w:proofErr w:type="gramStart"/>
      <w:r w:rsidRPr="00D049BE">
        <w:rPr>
          <w:rFonts w:ascii="Palatino Linotype" w:hAnsi="Palatino Linotype" w:cs="Times New Roman"/>
          <w:b/>
        </w:rPr>
        <w:t>Segunda.-</w:t>
      </w:r>
      <w:proofErr w:type="gramEnd"/>
      <w:r w:rsidRPr="00D049BE">
        <w:rPr>
          <w:rFonts w:ascii="Palatino Linotype" w:hAnsi="Palatino Linotype" w:cs="Times New Roman"/>
          <w:b/>
        </w:rPr>
        <w:t xml:space="preserve"> </w:t>
      </w:r>
      <w:r w:rsidRPr="00D049BE">
        <w:rPr>
          <w:rFonts w:ascii="Palatino Linotype" w:hAnsi="Palatino Linotype" w:cs="Times New Roman"/>
        </w:rPr>
        <w:t xml:space="preserve">El Concejo Metropolitano deja en claro que la aprobación de la ordenanza del PUAE Hotel Holiday Inn Quito </w:t>
      </w:r>
      <w:proofErr w:type="spellStart"/>
      <w:r w:rsidRPr="00D049BE">
        <w:rPr>
          <w:rFonts w:ascii="Palatino Linotype" w:hAnsi="Palatino Linotype" w:cs="Times New Roman"/>
        </w:rPr>
        <w:t>Airport</w:t>
      </w:r>
      <w:proofErr w:type="spellEnd"/>
      <w:r w:rsidRPr="00D049BE">
        <w:rPr>
          <w:rFonts w:ascii="Palatino Linotype" w:hAnsi="Palatino Linotype" w:cs="Times New Roman"/>
        </w:rPr>
        <w:t xml:space="preserve"> no </w:t>
      </w:r>
      <w:r w:rsidR="00D049BE" w:rsidRPr="00D049BE">
        <w:rPr>
          <w:rFonts w:ascii="Palatino Linotype" w:hAnsi="Palatino Linotype" w:cs="Times New Roman"/>
        </w:rPr>
        <w:t>se pronuncia sobre</w:t>
      </w:r>
      <w:r w:rsidRPr="00D049BE">
        <w:rPr>
          <w:rFonts w:ascii="Palatino Linotype" w:hAnsi="Palatino Linotype" w:cs="Times New Roman"/>
        </w:rPr>
        <w:t xml:space="preserve"> la extinción de los expedientes sancionadores que estuvieren vigentes o pendientes de resolver para el lote donde se desarrolla este proyecto.</w:t>
      </w:r>
    </w:p>
    <w:p w14:paraId="718203E4" w14:textId="06509723" w:rsidR="00272603" w:rsidRPr="00694D76" w:rsidRDefault="005B4C3D" w:rsidP="00694D76">
      <w:pPr>
        <w:tabs>
          <w:tab w:val="left" w:pos="6034"/>
        </w:tabs>
        <w:spacing w:after="120"/>
        <w:rPr>
          <w:rFonts w:ascii="Palatino Linotype" w:hAnsi="Palatino Linotype" w:cs="Times New Roman"/>
        </w:rPr>
      </w:pPr>
      <w:proofErr w:type="gramStart"/>
      <w:r w:rsidRPr="00694D76">
        <w:rPr>
          <w:rFonts w:ascii="Palatino Linotype" w:hAnsi="Palatino Linotype" w:cs="Times New Roman"/>
          <w:b/>
        </w:rPr>
        <w:t>Tercera</w:t>
      </w:r>
      <w:r w:rsidR="00272603" w:rsidRPr="00694D76">
        <w:rPr>
          <w:rFonts w:ascii="Palatino Linotype" w:hAnsi="Palatino Linotype" w:cs="Times New Roman"/>
          <w:b/>
        </w:rPr>
        <w:t>.-</w:t>
      </w:r>
      <w:proofErr w:type="gramEnd"/>
      <w:r w:rsidR="00272603" w:rsidRPr="00694D76">
        <w:rPr>
          <w:rFonts w:ascii="Palatino Linotype" w:hAnsi="Palatino Linotype" w:cs="Times New Roman"/>
          <w:b/>
        </w:rPr>
        <w:t xml:space="preserve"> </w:t>
      </w:r>
      <w:r w:rsidR="00272603" w:rsidRPr="00694D76">
        <w:rPr>
          <w:rFonts w:ascii="Palatino Linotype" w:hAnsi="Palatino Linotype" w:cs="Times New Roman"/>
        </w:rPr>
        <w:t xml:space="preserve">El proyecto urbanístico arquitectónico especial </w:t>
      </w:r>
      <w:r w:rsidR="009078E5" w:rsidRPr="00694D76">
        <w:rPr>
          <w:rFonts w:ascii="Palatino Linotype" w:hAnsi="Palatino Linotype" w:cs="Times New Roman"/>
        </w:rPr>
        <w:t>se sujetará a</w:t>
      </w:r>
      <w:r w:rsidR="00272603" w:rsidRPr="00694D76">
        <w:rPr>
          <w:rFonts w:ascii="Palatino Linotype" w:hAnsi="Palatino Linotype" w:cs="Times New Roman"/>
        </w:rPr>
        <w:t>l procedimiento</w:t>
      </w:r>
      <w:r w:rsidR="00C57DFC" w:rsidRPr="00694D76">
        <w:rPr>
          <w:rFonts w:ascii="Palatino Linotype" w:hAnsi="Palatino Linotype" w:cs="Times New Roman"/>
        </w:rPr>
        <w:t xml:space="preserve"> ordinario</w:t>
      </w:r>
      <w:r w:rsidR="00272603" w:rsidRPr="00694D76">
        <w:rPr>
          <w:rFonts w:ascii="Palatino Linotype" w:hAnsi="Palatino Linotype" w:cs="Times New Roman"/>
        </w:rPr>
        <w:t xml:space="preserve"> para </w:t>
      </w:r>
      <w:r w:rsidR="009078E5" w:rsidRPr="00694D76">
        <w:rPr>
          <w:rFonts w:ascii="Palatino Linotype" w:hAnsi="Palatino Linotype" w:cs="Times New Roman"/>
        </w:rPr>
        <w:t>la obtención de la Licencia Metropolitana Urbanística LMU (20) para lo cual</w:t>
      </w:r>
      <w:r w:rsidR="00C57DFC" w:rsidRPr="00694D76">
        <w:rPr>
          <w:rFonts w:ascii="Palatino Linotype" w:hAnsi="Palatino Linotype" w:cs="Times New Roman"/>
        </w:rPr>
        <w:t xml:space="preserve"> previo a la obtención de la Licencia Metropolitana Urbanística (LMU20)</w:t>
      </w:r>
      <w:r w:rsidR="009078E5" w:rsidRPr="00694D76">
        <w:rPr>
          <w:rFonts w:ascii="Palatino Linotype" w:hAnsi="Palatino Linotype" w:cs="Times New Roman"/>
        </w:rPr>
        <w:t xml:space="preserve"> deberá presentar ante la</w:t>
      </w:r>
      <w:r w:rsidR="00C57DFC" w:rsidRPr="00694D76">
        <w:rPr>
          <w:rFonts w:ascii="Palatino Linotype" w:hAnsi="Palatino Linotype" w:cs="Times New Roman"/>
        </w:rPr>
        <w:t xml:space="preserve"> respectiva Administración Zonal </w:t>
      </w:r>
      <w:r w:rsidR="009078E5" w:rsidRPr="00694D76">
        <w:rPr>
          <w:rFonts w:ascii="Palatino Linotype" w:hAnsi="Palatino Linotype" w:cs="Times New Roman"/>
        </w:rPr>
        <w:t xml:space="preserve">el convenio suscrito con el municipio en el cual se formalizan las </w:t>
      </w:r>
      <w:r w:rsidR="009078E5" w:rsidRPr="00694D76">
        <w:rPr>
          <w:rFonts w:ascii="Palatino Linotype" w:hAnsi="Palatino Linotype" w:cstheme="minorHAnsi"/>
        </w:rPr>
        <w:t>formas y condiciones de pago de la concesión onerosa de derechos derivada de la aprobación del presente PUAE</w:t>
      </w:r>
      <w:r w:rsidR="009967A3" w:rsidRPr="00694D76">
        <w:rPr>
          <w:rFonts w:ascii="Palatino Linotype" w:hAnsi="Palatino Linotype" w:cs="Times New Roman"/>
        </w:rPr>
        <w:t>.</w:t>
      </w:r>
    </w:p>
    <w:p w14:paraId="23DC4062" w14:textId="0ADBA1EE" w:rsidR="00496D46" w:rsidRPr="00694D76" w:rsidRDefault="005B4C3D" w:rsidP="00694D76">
      <w:pPr>
        <w:tabs>
          <w:tab w:val="left" w:pos="6034"/>
        </w:tabs>
        <w:spacing w:after="120"/>
        <w:rPr>
          <w:rFonts w:ascii="Palatino Linotype" w:hAnsi="Palatino Linotype" w:cs="Times New Roman"/>
        </w:rPr>
      </w:pPr>
      <w:proofErr w:type="gramStart"/>
      <w:r w:rsidRPr="00694D76">
        <w:rPr>
          <w:rFonts w:ascii="Palatino Linotype" w:hAnsi="Palatino Linotype" w:cs="Times New Roman"/>
          <w:b/>
        </w:rPr>
        <w:t>Cuarta</w:t>
      </w:r>
      <w:r w:rsidR="00496D46" w:rsidRPr="00694D76">
        <w:rPr>
          <w:rFonts w:ascii="Palatino Linotype" w:hAnsi="Palatino Linotype" w:cs="Times New Roman"/>
          <w:b/>
        </w:rPr>
        <w:t>.-</w:t>
      </w:r>
      <w:proofErr w:type="gramEnd"/>
      <w:r w:rsidR="00496D46" w:rsidRPr="00694D76">
        <w:rPr>
          <w:rFonts w:ascii="Palatino Linotype" w:hAnsi="Palatino Linotype" w:cs="Times New Roman"/>
        </w:rPr>
        <w:t xml:space="preserve"> Una vez </w:t>
      </w:r>
      <w:r w:rsidR="007143C6" w:rsidRPr="00694D76">
        <w:rPr>
          <w:rFonts w:ascii="Palatino Linotype" w:hAnsi="Palatino Linotype" w:cs="Times New Roman"/>
        </w:rPr>
        <w:t>aprobado</w:t>
      </w:r>
      <w:r w:rsidR="00496D46" w:rsidRPr="00694D76">
        <w:rPr>
          <w:rFonts w:ascii="Palatino Linotype" w:hAnsi="Palatino Linotype" w:cs="Times New Roman"/>
        </w:rPr>
        <w:t xml:space="preserve"> el trazado vial definitivo de la vía Cotopaxi, el área o las áreas de la afectación vi</w:t>
      </w:r>
      <w:r w:rsidR="00620416" w:rsidRPr="00694D76">
        <w:rPr>
          <w:rFonts w:ascii="Palatino Linotype" w:hAnsi="Palatino Linotype" w:cs="Times New Roman"/>
        </w:rPr>
        <w:t xml:space="preserve">al correspondiente al lote con </w:t>
      </w:r>
      <w:r w:rsidR="00496D46" w:rsidRPr="00694D76">
        <w:rPr>
          <w:rFonts w:ascii="Palatino Linotype" w:hAnsi="Palatino Linotype" w:cs="Times New Roman"/>
        </w:rPr>
        <w:t>predio N° 5785946 donde se desarrolla este PUAE , será cedida al Municipio del Distrito Metropolitano de Quito por parte del propietario del proyecto sin que medie pago alguno por dicha</w:t>
      </w:r>
      <w:r w:rsidR="00C57DFC" w:rsidRPr="00694D76">
        <w:rPr>
          <w:rFonts w:ascii="Palatino Linotype" w:hAnsi="Palatino Linotype" w:cs="Times New Roman"/>
        </w:rPr>
        <w:t xml:space="preserve">s </w:t>
      </w:r>
      <w:r w:rsidR="00496D46" w:rsidRPr="00694D76">
        <w:rPr>
          <w:rFonts w:ascii="Palatino Linotype" w:hAnsi="Palatino Linotype" w:cs="Times New Roman"/>
        </w:rPr>
        <w:t>área</w:t>
      </w:r>
      <w:r w:rsidR="00C57DFC" w:rsidRPr="00694D76">
        <w:rPr>
          <w:rFonts w:ascii="Palatino Linotype" w:hAnsi="Palatino Linotype" w:cs="Times New Roman"/>
        </w:rPr>
        <w:t>s</w:t>
      </w:r>
      <w:r w:rsidR="00496D46" w:rsidRPr="00694D76">
        <w:rPr>
          <w:rFonts w:ascii="Palatino Linotype" w:hAnsi="Palatino Linotype" w:cs="Times New Roman"/>
        </w:rPr>
        <w:t xml:space="preserve">. </w:t>
      </w:r>
    </w:p>
    <w:p w14:paraId="539EC17F" w14:textId="677955E2" w:rsidR="00640158" w:rsidRPr="00694D76" w:rsidRDefault="005B4C3D" w:rsidP="00694D76">
      <w:pPr>
        <w:widowControl w:val="0"/>
        <w:shd w:val="clear" w:color="auto" w:fill="FFFFFF" w:themeFill="background1"/>
        <w:autoSpaceDE w:val="0"/>
        <w:autoSpaceDN w:val="0"/>
        <w:adjustRightInd w:val="0"/>
        <w:spacing w:after="120"/>
        <w:rPr>
          <w:rFonts w:ascii="Palatino Linotype" w:hAnsi="Palatino Linotype"/>
          <w:lang w:val="es-EC"/>
        </w:rPr>
      </w:pPr>
      <w:proofErr w:type="gramStart"/>
      <w:r w:rsidRPr="00694D76">
        <w:rPr>
          <w:rFonts w:ascii="Palatino Linotype" w:hAnsi="Palatino Linotype"/>
          <w:b/>
          <w:lang w:val="es-EC"/>
        </w:rPr>
        <w:lastRenderedPageBreak/>
        <w:t>Quinta</w:t>
      </w:r>
      <w:r w:rsidR="003A178F" w:rsidRPr="00694D76">
        <w:rPr>
          <w:rFonts w:ascii="Palatino Linotype" w:hAnsi="Palatino Linotype" w:cs="Times New Roman"/>
          <w:b/>
        </w:rPr>
        <w:t>.-</w:t>
      </w:r>
      <w:proofErr w:type="gramEnd"/>
      <w:r w:rsidR="003A178F" w:rsidRPr="00694D76">
        <w:rPr>
          <w:rFonts w:ascii="Palatino Linotype" w:hAnsi="Palatino Linotype" w:cs="Times New Roman"/>
        </w:rPr>
        <w:t xml:space="preserve"> </w:t>
      </w:r>
      <w:r w:rsidR="00620416" w:rsidRPr="00694D76">
        <w:rPr>
          <w:rFonts w:ascii="Palatino Linotype" w:hAnsi="Palatino Linotype" w:cs="Times New Roman"/>
        </w:rPr>
        <w:t xml:space="preserve">De </w:t>
      </w:r>
      <w:r w:rsidR="00C57DFC" w:rsidRPr="00694D76">
        <w:rPr>
          <w:rFonts w:ascii="Palatino Linotype" w:hAnsi="Palatino Linotype" w:cs="Times New Roman"/>
        </w:rPr>
        <w:t xml:space="preserve">existir </w:t>
      </w:r>
      <w:r w:rsidR="00620416" w:rsidRPr="00694D76">
        <w:rPr>
          <w:rFonts w:ascii="Palatino Linotype" w:hAnsi="Palatino Linotype" w:cs="Times New Roman"/>
        </w:rPr>
        <w:t xml:space="preserve">pago monetario, según lo previsto en el artículo 21 de la presente ordenanza, </w:t>
      </w:r>
      <w:r w:rsidR="00620416" w:rsidRPr="00694D76">
        <w:rPr>
          <w:rFonts w:ascii="Palatino Linotype" w:hAnsi="Palatino Linotype"/>
          <w:lang w:val="es-ES" w:eastAsia="es-ES"/>
        </w:rPr>
        <w:t>l</w:t>
      </w:r>
      <w:r w:rsidR="003A178F" w:rsidRPr="00694D76">
        <w:rPr>
          <w:rFonts w:ascii="Palatino Linotype" w:hAnsi="Palatino Linotype"/>
          <w:lang w:val="es-ES" w:eastAsia="es-ES"/>
        </w:rPr>
        <w:t xml:space="preserve">as entidades municipales competentes en materia de planificación presupuestaria, en función de la planificación y de las prioridades institucionales, asignarán el presupuesto equivalente a los recursos obtenidos por concepto </w:t>
      </w:r>
      <w:r w:rsidR="00620416" w:rsidRPr="00694D76">
        <w:rPr>
          <w:rFonts w:ascii="Palatino Linotype" w:hAnsi="Palatino Linotype"/>
          <w:lang w:val="es-ES" w:eastAsia="es-ES"/>
        </w:rPr>
        <w:t>de este pago</w:t>
      </w:r>
      <w:r w:rsidR="003A178F" w:rsidRPr="00694D76">
        <w:rPr>
          <w:rFonts w:ascii="Palatino Linotype" w:hAnsi="Palatino Linotype"/>
          <w:lang w:val="es-ES" w:eastAsia="es-ES"/>
        </w:rPr>
        <w:t xml:space="preserve">, para la ejecución </w:t>
      </w:r>
      <w:r w:rsidR="00620416" w:rsidRPr="00694D76">
        <w:rPr>
          <w:rFonts w:ascii="Palatino Linotype" w:hAnsi="Palatino Linotype"/>
          <w:lang w:val="es-ES" w:eastAsia="es-ES"/>
        </w:rPr>
        <w:t xml:space="preserve">de las obras de vialidad previstas </w:t>
      </w:r>
      <w:r w:rsidR="00C57DFC" w:rsidRPr="00694D76">
        <w:rPr>
          <w:rFonts w:ascii="Palatino Linotype" w:hAnsi="Palatino Linotype"/>
          <w:lang w:val="es-EC"/>
        </w:rPr>
        <w:t>en el artículo</w:t>
      </w:r>
      <w:r w:rsidR="008F2524" w:rsidRPr="00694D76">
        <w:rPr>
          <w:rFonts w:ascii="Palatino Linotype" w:hAnsi="Palatino Linotype"/>
          <w:lang w:val="es-EC"/>
        </w:rPr>
        <w:t xml:space="preserve"> 21 de la presente ordenanza.</w:t>
      </w:r>
    </w:p>
    <w:p w14:paraId="0C72136F" w14:textId="010090D6" w:rsidR="00D3388D" w:rsidRDefault="005B4C3D" w:rsidP="00694D76">
      <w:pPr>
        <w:widowControl w:val="0"/>
        <w:shd w:val="clear" w:color="auto" w:fill="FFFFFF" w:themeFill="background1"/>
        <w:autoSpaceDE w:val="0"/>
        <w:autoSpaceDN w:val="0"/>
        <w:adjustRightInd w:val="0"/>
        <w:spacing w:after="120"/>
        <w:rPr>
          <w:rFonts w:ascii="Palatino Linotype" w:hAnsi="Palatino Linotype"/>
          <w:lang w:val="es-EC"/>
        </w:rPr>
      </w:pPr>
      <w:proofErr w:type="gramStart"/>
      <w:r w:rsidRPr="00694D76">
        <w:rPr>
          <w:rFonts w:ascii="Palatino Linotype" w:hAnsi="Palatino Linotype"/>
          <w:b/>
          <w:lang w:val="es-EC"/>
        </w:rPr>
        <w:t>Sexta</w:t>
      </w:r>
      <w:r w:rsidR="00D3388D" w:rsidRPr="00694D76">
        <w:rPr>
          <w:rFonts w:ascii="Palatino Linotype" w:hAnsi="Palatino Linotype"/>
          <w:b/>
          <w:lang w:val="es-EC"/>
        </w:rPr>
        <w:t>.-</w:t>
      </w:r>
      <w:proofErr w:type="gramEnd"/>
      <w:r w:rsidR="00D3388D" w:rsidRPr="00694D76">
        <w:rPr>
          <w:rFonts w:ascii="Palatino Linotype" w:hAnsi="Palatino Linotype"/>
          <w:b/>
          <w:lang w:val="es-EC"/>
        </w:rPr>
        <w:t xml:space="preserve"> </w:t>
      </w:r>
      <w:r w:rsidR="00DC25AA" w:rsidRPr="00694D76">
        <w:rPr>
          <w:rFonts w:ascii="Palatino Linotype" w:hAnsi="Palatino Linotype"/>
          <w:lang w:val="es-EC"/>
        </w:rPr>
        <w:t>A partir de la apertura del Hotel, de requerirse, l</w:t>
      </w:r>
      <w:r w:rsidR="00C554FF" w:rsidRPr="00694D76">
        <w:rPr>
          <w:rFonts w:ascii="Palatino Linotype" w:hAnsi="Palatino Linotype"/>
          <w:lang w:val="es-EC"/>
        </w:rPr>
        <w:t>a Agencia Metropolitana de Tránsito (AMT)</w:t>
      </w:r>
      <w:r w:rsidR="00DC25AA" w:rsidRPr="00694D76">
        <w:rPr>
          <w:rFonts w:ascii="Palatino Linotype" w:hAnsi="Palatino Linotype"/>
          <w:lang w:val="es-EC"/>
        </w:rPr>
        <w:t>, en coordinación con la EPMMOP,</w:t>
      </w:r>
      <w:r w:rsidR="00C554FF" w:rsidRPr="00694D76">
        <w:rPr>
          <w:rFonts w:ascii="Palatino Linotype" w:hAnsi="Palatino Linotype"/>
          <w:lang w:val="es-EC"/>
        </w:rPr>
        <w:t xml:space="preserve"> </w:t>
      </w:r>
      <w:r w:rsidR="00DC25AA" w:rsidRPr="00694D76">
        <w:rPr>
          <w:rFonts w:ascii="Palatino Linotype" w:hAnsi="Palatino Linotype"/>
          <w:lang w:val="es-EC"/>
        </w:rPr>
        <w:t>será la encargada de</w:t>
      </w:r>
      <w:r w:rsidR="00C554FF" w:rsidRPr="00694D76">
        <w:rPr>
          <w:rFonts w:ascii="Palatino Linotype" w:hAnsi="Palatino Linotype"/>
          <w:lang w:val="es-EC"/>
        </w:rPr>
        <w:t xml:space="preserve"> </w:t>
      </w:r>
      <w:r w:rsidR="00DC25AA" w:rsidRPr="00694D76">
        <w:rPr>
          <w:rFonts w:ascii="Palatino Linotype" w:hAnsi="Palatino Linotype"/>
          <w:lang w:val="es-EC"/>
        </w:rPr>
        <w:t xml:space="preserve">establecer las medidas de circulación y </w:t>
      </w:r>
      <w:proofErr w:type="spellStart"/>
      <w:r w:rsidR="00DC25AA" w:rsidRPr="00694D76">
        <w:rPr>
          <w:rFonts w:ascii="Palatino Linotype" w:hAnsi="Palatino Linotype"/>
          <w:lang w:val="es-EC"/>
        </w:rPr>
        <w:t>desvios</w:t>
      </w:r>
      <w:proofErr w:type="spellEnd"/>
      <w:r w:rsidR="00DC25AA" w:rsidRPr="00694D76">
        <w:rPr>
          <w:rFonts w:ascii="Palatino Linotype" w:hAnsi="Palatino Linotype"/>
          <w:lang w:val="es-EC"/>
        </w:rPr>
        <w:t xml:space="preserve"> para garantizar </w:t>
      </w:r>
      <w:r w:rsidR="00C554FF" w:rsidRPr="00694D76">
        <w:rPr>
          <w:rFonts w:ascii="Palatino Linotype" w:hAnsi="Palatino Linotype"/>
          <w:lang w:val="es-EC"/>
        </w:rPr>
        <w:t>la oportuna accesibilidad</w:t>
      </w:r>
      <w:r w:rsidR="00DC25AA" w:rsidRPr="00694D76">
        <w:rPr>
          <w:rFonts w:ascii="Palatino Linotype" w:hAnsi="Palatino Linotype"/>
          <w:lang w:val="es-EC"/>
        </w:rPr>
        <w:t xml:space="preserve"> al predio hotelero</w:t>
      </w:r>
      <w:r w:rsidR="00C554FF" w:rsidRPr="00694D76">
        <w:rPr>
          <w:rFonts w:ascii="Palatino Linotype" w:hAnsi="Palatino Linotype"/>
          <w:lang w:val="es-EC"/>
        </w:rPr>
        <w:t>, e</w:t>
      </w:r>
      <w:r w:rsidR="00D3388D" w:rsidRPr="00694D76">
        <w:rPr>
          <w:rFonts w:ascii="Palatino Linotype" w:hAnsi="Palatino Linotype"/>
          <w:lang w:val="es-EC"/>
        </w:rPr>
        <w:t>n el caso no consentido que la</w:t>
      </w:r>
      <w:r w:rsidR="00DC25AA" w:rsidRPr="00694D76">
        <w:rPr>
          <w:rFonts w:ascii="Palatino Linotype" w:hAnsi="Palatino Linotype"/>
          <w:lang w:val="es-EC"/>
        </w:rPr>
        <w:t xml:space="preserve">s obras de construcción de las </w:t>
      </w:r>
      <w:r w:rsidR="00D3388D" w:rsidRPr="00694D76">
        <w:rPr>
          <w:rFonts w:ascii="Palatino Linotype" w:hAnsi="Palatino Linotype"/>
          <w:lang w:val="es-EC"/>
        </w:rPr>
        <w:t>vía</w:t>
      </w:r>
      <w:r w:rsidR="00DC25AA" w:rsidRPr="00694D76">
        <w:rPr>
          <w:rFonts w:ascii="Palatino Linotype" w:hAnsi="Palatino Linotype"/>
          <w:lang w:val="es-EC"/>
        </w:rPr>
        <w:t>s</w:t>
      </w:r>
      <w:r w:rsidR="00D3388D" w:rsidRPr="00694D76">
        <w:rPr>
          <w:rFonts w:ascii="Palatino Linotype" w:hAnsi="Palatino Linotype"/>
          <w:lang w:val="es-EC"/>
        </w:rPr>
        <w:t xml:space="preserve"> descrita</w:t>
      </w:r>
      <w:r w:rsidR="00DC25AA" w:rsidRPr="00694D76">
        <w:rPr>
          <w:rFonts w:ascii="Palatino Linotype" w:hAnsi="Palatino Linotype"/>
          <w:lang w:val="es-EC"/>
        </w:rPr>
        <w:t>s</w:t>
      </w:r>
      <w:r w:rsidR="00D3388D" w:rsidRPr="00694D76">
        <w:rPr>
          <w:rFonts w:ascii="Palatino Linotype" w:hAnsi="Palatino Linotype"/>
          <w:lang w:val="es-EC"/>
        </w:rPr>
        <w:t xml:space="preserve"> en el numeral 1.1 del </w:t>
      </w:r>
      <w:r w:rsidR="00C17428">
        <w:rPr>
          <w:rFonts w:ascii="Palatino Linotype" w:hAnsi="Palatino Linotype"/>
          <w:lang w:val="es-EC"/>
        </w:rPr>
        <w:t>a</w:t>
      </w:r>
      <w:r w:rsidR="00D3388D" w:rsidRPr="00694D76">
        <w:rPr>
          <w:rFonts w:ascii="Palatino Linotype" w:hAnsi="Palatino Linotype"/>
          <w:lang w:val="es-EC"/>
        </w:rPr>
        <w:t>rtículo 21 no se haya</w:t>
      </w:r>
      <w:r w:rsidR="00DC25AA" w:rsidRPr="00694D76">
        <w:rPr>
          <w:rFonts w:ascii="Palatino Linotype" w:hAnsi="Palatino Linotype"/>
          <w:lang w:val="es-EC"/>
        </w:rPr>
        <w:t>n</w:t>
      </w:r>
      <w:r w:rsidR="00D3388D" w:rsidRPr="00694D76">
        <w:rPr>
          <w:rFonts w:ascii="Palatino Linotype" w:hAnsi="Palatino Linotype"/>
          <w:lang w:val="es-EC"/>
        </w:rPr>
        <w:t xml:space="preserve"> culminado</w:t>
      </w:r>
      <w:r w:rsidR="00DC25AA" w:rsidRPr="00694D76">
        <w:rPr>
          <w:rFonts w:ascii="Palatino Linotype" w:hAnsi="Palatino Linotype"/>
          <w:lang w:val="es-EC"/>
        </w:rPr>
        <w:t xml:space="preserve"> o se encuentren en proceso de ejecución.</w:t>
      </w:r>
    </w:p>
    <w:p w14:paraId="20D671D5" w14:textId="62F63EDE" w:rsidR="00D049BE" w:rsidRPr="00D049BE" w:rsidRDefault="00D049BE" w:rsidP="00C17428">
      <w:pPr>
        <w:widowControl w:val="0"/>
        <w:shd w:val="clear" w:color="auto" w:fill="FFFFFF" w:themeFill="background1"/>
        <w:autoSpaceDE w:val="0"/>
        <w:autoSpaceDN w:val="0"/>
        <w:adjustRightInd w:val="0"/>
        <w:spacing w:after="120"/>
        <w:rPr>
          <w:rFonts w:ascii="Palatino Linotype" w:hAnsi="Palatino Linotype"/>
          <w:lang w:val="es-EC"/>
        </w:rPr>
      </w:pPr>
      <w:proofErr w:type="gramStart"/>
      <w:r w:rsidRPr="00D049BE">
        <w:rPr>
          <w:rFonts w:ascii="Palatino Linotype" w:hAnsi="Palatino Linotype"/>
          <w:b/>
          <w:lang w:val="es-EC"/>
        </w:rPr>
        <w:t>Séptima.-</w:t>
      </w:r>
      <w:proofErr w:type="gramEnd"/>
      <w:r w:rsidRPr="00D049BE">
        <w:rPr>
          <w:rFonts w:ascii="Palatino Linotype" w:hAnsi="Palatino Linotype"/>
          <w:b/>
          <w:lang w:val="es-EC"/>
        </w:rPr>
        <w:t xml:space="preserve"> Contratación preferente.- </w:t>
      </w:r>
      <w:r>
        <w:rPr>
          <w:rFonts w:ascii="Palatino Linotype" w:hAnsi="Palatino Linotype"/>
          <w:lang w:val="es-EC"/>
        </w:rPr>
        <w:t>En el proceso de construcción</w:t>
      </w:r>
      <w:r w:rsidR="00C17428">
        <w:rPr>
          <w:rFonts w:ascii="Palatino Linotype" w:hAnsi="Palatino Linotype"/>
          <w:lang w:val="es-EC"/>
        </w:rPr>
        <w:t xml:space="preserve"> y funcionamiento del PUAE </w:t>
      </w:r>
      <w:r w:rsidR="00C17428" w:rsidRPr="00D049BE">
        <w:rPr>
          <w:rFonts w:ascii="Palatino Linotype" w:hAnsi="Palatino Linotype" w:cs="Times New Roman"/>
        </w:rPr>
        <w:t xml:space="preserve">Hotel </w:t>
      </w:r>
      <w:proofErr w:type="spellStart"/>
      <w:r w:rsidR="00C17428" w:rsidRPr="00D049BE">
        <w:rPr>
          <w:rFonts w:ascii="Palatino Linotype" w:hAnsi="Palatino Linotype" w:cs="Times New Roman"/>
        </w:rPr>
        <w:t>Holiday</w:t>
      </w:r>
      <w:proofErr w:type="spellEnd"/>
      <w:r w:rsidR="00C17428" w:rsidRPr="00D049BE">
        <w:rPr>
          <w:rFonts w:ascii="Palatino Linotype" w:hAnsi="Palatino Linotype" w:cs="Times New Roman"/>
        </w:rPr>
        <w:t xml:space="preserve"> </w:t>
      </w:r>
      <w:proofErr w:type="spellStart"/>
      <w:r w:rsidR="00C17428" w:rsidRPr="00D049BE">
        <w:rPr>
          <w:rFonts w:ascii="Palatino Linotype" w:hAnsi="Palatino Linotype" w:cs="Times New Roman"/>
        </w:rPr>
        <w:t>Inn</w:t>
      </w:r>
      <w:proofErr w:type="spellEnd"/>
      <w:r w:rsidR="00C17428" w:rsidRPr="00D049BE">
        <w:rPr>
          <w:rFonts w:ascii="Palatino Linotype" w:hAnsi="Palatino Linotype" w:cs="Times New Roman"/>
        </w:rPr>
        <w:t xml:space="preserve"> Quito </w:t>
      </w:r>
      <w:proofErr w:type="spellStart"/>
      <w:r w:rsidR="00C17428" w:rsidRPr="00D049BE">
        <w:rPr>
          <w:rFonts w:ascii="Palatino Linotype" w:hAnsi="Palatino Linotype" w:cs="Times New Roman"/>
        </w:rPr>
        <w:t>Airport</w:t>
      </w:r>
      <w:proofErr w:type="spellEnd"/>
      <w:r w:rsidR="00C17428">
        <w:rPr>
          <w:rFonts w:ascii="Palatino Linotype" w:hAnsi="Palatino Linotype" w:cs="Times New Roman"/>
        </w:rPr>
        <w:t>, se recomienda la contratación de los servicios, insumos y bienes provenientes de la economía popular y solidaria de las parroquias aledañas.</w:t>
      </w:r>
    </w:p>
    <w:p w14:paraId="0F604B31" w14:textId="4CFD4BCE" w:rsidR="00E412B5" w:rsidRPr="00694D76" w:rsidRDefault="00E412B5" w:rsidP="00694D76">
      <w:pPr>
        <w:tabs>
          <w:tab w:val="left" w:pos="4180"/>
        </w:tabs>
        <w:spacing w:after="120"/>
        <w:rPr>
          <w:rFonts w:ascii="Palatino Linotype" w:hAnsi="Palatino Linotype" w:cs="Times New Roman"/>
          <w:b/>
        </w:rPr>
      </w:pPr>
      <w:r w:rsidRPr="00694D76">
        <w:rPr>
          <w:rFonts w:ascii="Palatino Linotype" w:hAnsi="Palatino Linotype" w:cs="Times New Roman"/>
          <w:b/>
        </w:rPr>
        <w:t>Disposici</w:t>
      </w:r>
      <w:r w:rsidR="000A0421" w:rsidRPr="00694D76">
        <w:rPr>
          <w:rFonts w:ascii="Palatino Linotype" w:hAnsi="Palatino Linotype" w:cs="Times New Roman"/>
          <w:b/>
        </w:rPr>
        <w:t>ones</w:t>
      </w:r>
      <w:r w:rsidR="00C17428">
        <w:rPr>
          <w:rFonts w:ascii="Palatino Linotype" w:hAnsi="Palatino Linotype" w:cs="Times New Roman"/>
          <w:b/>
        </w:rPr>
        <w:t xml:space="preserve"> </w:t>
      </w:r>
      <w:proofErr w:type="gramStart"/>
      <w:r w:rsidR="00C17428">
        <w:rPr>
          <w:rFonts w:ascii="Palatino Linotype" w:hAnsi="Palatino Linotype" w:cs="Times New Roman"/>
          <w:b/>
        </w:rPr>
        <w:t>t</w:t>
      </w:r>
      <w:r w:rsidRPr="00694D76">
        <w:rPr>
          <w:rFonts w:ascii="Palatino Linotype" w:hAnsi="Palatino Linotype" w:cs="Times New Roman"/>
          <w:b/>
        </w:rPr>
        <w:t>ransitoria</w:t>
      </w:r>
      <w:r w:rsidR="000A0421" w:rsidRPr="00694D76">
        <w:rPr>
          <w:rFonts w:ascii="Palatino Linotype" w:hAnsi="Palatino Linotype" w:cs="Times New Roman"/>
          <w:b/>
        </w:rPr>
        <w:t>s</w:t>
      </w:r>
      <w:r w:rsidRPr="00694D76">
        <w:rPr>
          <w:rFonts w:ascii="Palatino Linotype" w:hAnsi="Palatino Linotype" w:cs="Times New Roman"/>
          <w:b/>
        </w:rPr>
        <w:t>.-</w:t>
      </w:r>
      <w:proofErr w:type="gramEnd"/>
    </w:p>
    <w:p w14:paraId="7C313D50" w14:textId="77777777" w:rsidR="00F222F1" w:rsidRPr="00694D76" w:rsidRDefault="00F222F1" w:rsidP="00694D76">
      <w:pPr>
        <w:tabs>
          <w:tab w:val="left" w:pos="4180"/>
        </w:tabs>
        <w:spacing w:after="120"/>
        <w:rPr>
          <w:rFonts w:ascii="Palatino Linotype" w:hAnsi="Palatino Linotype"/>
        </w:rPr>
      </w:pPr>
      <w:proofErr w:type="gramStart"/>
      <w:r w:rsidRPr="00694D76">
        <w:rPr>
          <w:rFonts w:ascii="Palatino Linotype" w:hAnsi="Palatino Linotype"/>
          <w:b/>
        </w:rPr>
        <w:t>Primera.-</w:t>
      </w:r>
      <w:proofErr w:type="gramEnd"/>
      <w:r w:rsidRPr="00694D76">
        <w:rPr>
          <w:rFonts w:ascii="Palatino Linotype" w:hAnsi="Palatino Linotype"/>
          <w:b/>
        </w:rPr>
        <w:t xml:space="preserve"> </w:t>
      </w:r>
      <w:r w:rsidR="00697DE5" w:rsidRPr="00694D76">
        <w:rPr>
          <w:rFonts w:ascii="Palatino Linotype" w:hAnsi="Palatino Linotype"/>
        </w:rPr>
        <w:t>Dispó</w:t>
      </w:r>
      <w:r w:rsidRPr="00694D76">
        <w:rPr>
          <w:rFonts w:ascii="Palatino Linotype" w:hAnsi="Palatino Linotype"/>
        </w:rPr>
        <w:t xml:space="preserve">ngase a la </w:t>
      </w:r>
      <w:r w:rsidR="00A66C9F" w:rsidRPr="00694D76">
        <w:rPr>
          <w:rFonts w:ascii="Palatino Linotype" w:hAnsi="Palatino Linotype"/>
        </w:rPr>
        <w:t xml:space="preserve">Administración General </w:t>
      </w:r>
      <w:r w:rsidR="002E775A" w:rsidRPr="00694D76">
        <w:rPr>
          <w:rFonts w:ascii="Palatino Linotype" w:hAnsi="Palatino Linotype"/>
        </w:rPr>
        <w:t>para que en un término</w:t>
      </w:r>
      <w:r w:rsidRPr="00694D76">
        <w:rPr>
          <w:rFonts w:ascii="Palatino Linotype" w:hAnsi="Palatino Linotype"/>
        </w:rPr>
        <w:t xml:space="preserve"> de </w:t>
      </w:r>
      <w:r w:rsidR="00AB494F" w:rsidRPr="00694D76">
        <w:rPr>
          <w:rFonts w:ascii="Palatino Linotype" w:hAnsi="Palatino Linotype"/>
        </w:rPr>
        <w:t>30</w:t>
      </w:r>
      <w:r w:rsidRPr="00694D76">
        <w:rPr>
          <w:rFonts w:ascii="Palatino Linotype" w:hAnsi="Palatino Linotype"/>
        </w:rPr>
        <w:t xml:space="preserve"> </w:t>
      </w:r>
      <w:r w:rsidR="00252064" w:rsidRPr="00694D76">
        <w:rPr>
          <w:rFonts w:ascii="Palatino Linotype" w:hAnsi="Palatino Linotype"/>
        </w:rPr>
        <w:t>días</w:t>
      </w:r>
      <w:r w:rsidRPr="00694D76">
        <w:rPr>
          <w:rFonts w:ascii="Palatino Linotype" w:hAnsi="Palatino Linotype"/>
        </w:rPr>
        <w:t xml:space="preserve"> contados a partir de la </w:t>
      </w:r>
      <w:r w:rsidR="00252064" w:rsidRPr="00694D76">
        <w:rPr>
          <w:rFonts w:ascii="Palatino Linotype" w:hAnsi="Palatino Linotype"/>
        </w:rPr>
        <w:t>sanción</w:t>
      </w:r>
      <w:r w:rsidRPr="00694D76">
        <w:rPr>
          <w:rFonts w:ascii="Palatino Linotype" w:hAnsi="Palatino Linotype"/>
        </w:rPr>
        <w:t xml:space="preserve"> de la presente </w:t>
      </w:r>
      <w:r w:rsidR="002E775A" w:rsidRPr="00694D76">
        <w:rPr>
          <w:rFonts w:ascii="Palatino Linotype" w:hAnsi="Palatino Linotype"/>
        </w:rPr>
        <w:t>O</w:t>
      </w:r>
      <w:r w:rsidRPr="00694D76">
        <w:rPr>
          <w:rFonts w:ascii="Palatino Linotype" w:hAnsi="Palatino Linotype"/>
        </w:rPr>
        <w:t xml:space="preserve">rdenanza </w:t>
      </w:r>
      <w:r w:rsidR="00697DE5" w:rsidRPr="00694D76">
        <w:rPr>
          <w:rFonts w:ascii="Palatino Linotype" w:hAnsi="Palatino Linotype"/>
        </w:rPr>
        <w:t>prepare</w:t>
      </w:r>
      <w:r w:rsidR="00252064" w:rsidRPr="00694D76">
        <w:rPr>
          <w:rFonts w:ascii="Palatino Linotype" w:hAnsi="Palatino Linotype"/>
        </w:rPr>
        <w:t xml:space="preserve"> y suscriba</w:t>
      </w:r>
      <w:r w:rsidR="00A66C9F" w:rsidRPr="00694D76">
        <w:rPr>
          <w:rFonts w:ascii="Palatino Linotype" w:hAnsi="Palatino Linotype"/>
        </w:rPr>
        <w:t xml:space="preserve"> el </w:t>
      </w:r>
      <w:r w:rsidR="009078E5" w:rsidRPr="00694D76">
        <w:rPr>
          <w:rFonts w:ascii="Palatino Linotype" w:hAnsi="Palatino Linotype"/>
        </w:rPr>
        <w:t>C</w:t>
      </w:r>
      <w:r w:rsidRPr="00694D76">
        <w:rPr>
          <w:rFonts w:ascii="Palatino Linotype" w:hAnsi="Palatino Linotype"/>
        </w:rPr>
        <w:t>onvenio de pago que formalice el pago de la COD en concordancia con lo</w:t>
      </w:r>
      <w:r w:rsidR="00A66C9F" w:rsidRPr="00694D76">
        <w:rPr>
          <w:rFonts w:ascii="Palatino Linotype" w:hAnsi="Palatino Linotype"/>
        </w:rPr>
        <w:t xml:space="preserve"> establecido en la presente ordenanza.</w:t>
      </w:r>
    </w:p>
    <w:p w14:paraId="54654D27" w14:textId="40666DEB" w:rsidR="007023A1" w:rsidRPr="00694D76" w:rsidRDefault="00697DE5" w:rsidP="00694D76">
      <w:pPr>
        <w:widowControl w:val="0"/>
        <w:shd w:val="clear" w:color="auto" w:fill="FFFFFF" w:themeFill="background1"/>
        <w:autoSpaceDE w:val="0"/>
        <w:autoSpaceDN w:val="0"/>
        <w:adjustRightInd w:val="0"/>
        <w:spacing w:after="120"/>
        <w:rPr>
          <w:rFonts w:ascii="Palatino Linotype" w:hAnsi="Palatino Linotype" w:cs="Times New Roman"/>
          <w:b/>
        </w:rPr>
      </w:pPr>
      <w:proofErr w:type="gramStart"/>
      <w:r w:rsidRPr="00694D76">
        <w:rPr>
          <w:rFonts w:ascii="Palatino Linotype" w:hAnsi="Palatino Linotype" w:cs="Times New Roman"/>
          <w:b/>
        </w:rPr>
        <w:t>Segunda</w:t>
      </w:r>
      <w:r w:rsidRPr="00694D76">
        <w:rPr>
          <w:rFonts w:ascii="Palatino Linotype" w:hAnsi="Palatino Linotype" w:cs="Times New Roman"/>
        </w:rPr>
        <w:t>.-</w:t>
      </w:r>
      <w:proofErr w:type="gramEnd"/>
      <w:r w:rsidRPr="00694D76">
        <w:rPr>
          <w:rFonts w:ascii="Palatino Linotype" w:hAnsi="Palatino Linotype" w:cs="Times New Roman"/>
        </w:rPr>
        <w:t xml:space="preserve"> </w:t>
      </w:r>
      <w:r w:rsidR="00640158" w:rsidRPr="00694D76">
        <w:rPr>
          <w:rFonts w:ascii="Palatino Linotype" w:hAnsi="Palatino Linotype" w:cs="Times New Roman"/>
        </w:rPr>
        <w:t xml:space="preserve"> La </w:t>
      </w:r>
      <w:r w:rsidR="00FC07A5" w:rsidRPr="00694D76">
        <w:rPr>
          <w:rFonts w:ascii="Palatino Linotype" w:hAnsi="Palatino Linotype" w:cs="Times New Roman"/>
        </w:rPr>
        <w:t>EPMMOP</w:t>
      </w:r>
      <w:r w:rsidR="00640158" w:rsidRPr="00694D76">
        <w:rPr>
          <w:rFonts w:ascii="Palatino Linotype" w:hAnsi="Palatino Linotype" w:cs="Times New Roman"/>
        </w:rPr>
        <w:t xml:space="preserve"> en un término de </w:t>
      </w:r>
      <w:r w:rsidR="00961F46" w:rsidRPr="00694D76">
        <w:rPr>
          <w:rFonts w:ascii="Palatino Linotype" w:hAnsi="Palatino Linotype" w:cs="Times New Roman"/>
        </w:rPr>
        <w:t>30</w:t>
      </w:r>
      <w:r w:rsidR="00640158" w:rsidRPr="00694D76">
        <w:rPr>
          <w:rFonts w:ascii="Palatino Linotype" w:hAnsi="Palatino Linotype" w:cs="Times New Roman"/>
        </w:rPr>
        <w:t xml:space="preserve"> días contados</w:t>
      </w:r>
      <w:r w:rsidR="00961F46" w:rsidRPr="00694D76">
        <w:rPr>
          <w:rFonts w:ascii="Palatino Linotype" w:hAnsi="Palatino Linotype" w:cs="Times New Roman"/>
        </w:rPr>
        <w:t xml:space="preserve"> a partir de la entrega de los estudios definitivos de la Vía Cotopaxi, en base a la sección vial establecida en los anexos de la presente ordenanza, realizará las acciones pertinentes a fin de realizar la aprobación de dicho trazado vial por parte del Concejo Metropolitano.</w:t>
      </w:r>
      <w:r w:rsidR="007023A1" w:rsidRPr="00694D76">
        <w:rPr>
          <w:rFonts w:ascii="Palatino Linotype" w:hAnsi="Palatino Linotype" w:cs="Times New Roman"/>
        </w:rPr>
        <w:t xml:space="preserve"> En función del cumplimiento del pago COD </w:t>
      </w:r>
    </w:p>
    <w:p w14:paraId="04C1BA9D" w14:textId="77777777" w:rsidR="00E412B5" w:rsidRPr="00694D76" w:rsidRDefault="003929FB" w:rsidP="00694D76">
      <w:pPr>
        <w:tabs>
          <w:tab w:val="left" w:pos="4180"/>
        </w:tabs>
        <w:spacing w:after="120"/>
        <w:rPr>
          <w:rFonts w:ascii="Palatino Linotype" w:hAnsi="Palatino Linotype"/>
        </w:rPr>
      </w:pPr>
      <w:r w:rsidRPr="00694D76">
        <w:rPr>
          <w:rFonts w:ascii="Palatino Linotype" w:hAnsi="Palatino Linotype"/>
          <w:b/>
        </w:rPr>
        <w:t>Tercera</w:t>
      </w:r>
      <w:r w:rsidR="000A0421" w:rsidRPr="00694D76">
        <w:rPr>
          <w:rFonts w:ascii="Palatino Linotype" w:hAnsi="Palatino Linotype"/>
          <w:b/>
        </w:rPr>
        <w:t>.-</w:t>
      </w:r>
      <w:r w:rsidR="000A0421" w:rsidRPr="00694D76">
        <w:rPr>
          <w:rFonts w:ascii="Palatino Linotype" w:hAnsi="Palatino Linotype"/>
        </w:rPr>
        <w:t xml:space="preserve"> </w:t>
      </w:r>
      <w:r w:rsidR="00560FD9" w:rsidRPr="00694D76">
        <w:rPr>
          <w:rFonts w:ascii="Palatino Linotype" w:hAnsi="Palatino Linotype"/>
        </w:rPr>
        <w:t xml:space="preserve">En un plazo de </w:t>
      </w:r>
      <w:r w:rsidR="006C08FD" w:rsidRPr="00694D76">
        <w:rPr>
          <w:rFonts w:ascii="Palatino Linotype" w:hAnsi="Palatino Linotype"/>
        </w:rPr>
        <w:t>9</w:t>
      </w:r>
      <w:r w:rsidR="00560FD9" w:rsidRPr="00694D76">
        <w:rPr>
          <w:rFonts w:ascii="Palatino Linotype" w:hAnsi="Palatino Linotype"/>
        </w:rPr>
        <w:t xml:space="preserve">0 </w:t>
      </w:r>
      <w:r w:rsidR="006C08FD" w:rsidRPr="00694D76">
        <w:rPr>
          <w:rFonts w:ascii="Palatino Linotype" w:hAnsi="Palatino Linotype"/>
        </w:rPr>
        <w:t xml:space="preserve">días </w:t>
      </w:r>
      <w:r w:rsidR="00560FD9" w:rsidRPr="00694D76">
        <w:rPr>
          <w:rFonts w:ascii="Palatino Linotype" w:hAnsi="Palatino Linotype"/>
        </w:rPr>
        <w:t>contados a partir de la sanción de la presente ordenanza</w:t>
      </w:r>
      <w:r w:rsidR="00076C8D" w:rsidRPr="00694D76">
        <w:rPr>
          <w:rFonts w:ascii="Palatino Linotype" w:hAnsi="Palatino Linotype"/>
        </w:rPr>
        <w:t>,</w:t>
      </w:r>
      <w:r w:rsidR="00560FD9" w:rsidRPr="00694D76">
        <w:rPr>
          <w:rFonts w:ascii="Palatino Linotype" w:hAnsi="Palatino Linotype"/>
        </w:rPr>
        <w:t xml:space="preserve"> </w:t>
      </w:r>
      <w:r w:rsidR="00485BA1" w:rsidRPr="00694D76">
        <w:rPr>
          <w:rFonts w:ascii="Palatino Linotype" w:hAnsi="Palatino Linotype"/>
        </w:rPr>
        <w:t>la Secretaría de Movilidad</w:t>
      </w:r>
      <w:r w:rsidR="0041531D" w:rsidRPr="00694D76">
        <w:rPr>
          <w:rFonts w:ascii="Palatino Linotype" w:hAnsi="Palatino Linotype"/>
        </w:rPr>
        <w:t xml:space="preserve"> </w:t>
      </w:r>
      <w:r w:rsidR="00AD16D7" w:rsidRPr="00694D76">
        <w:rPr>
          <w:rFonts w:ascii="Palatino Linotype" w:hAnsi="Palatino Linotype"/>
        </w:rPr>
        <w:t>presentará a la</w:t>
      </w:r>
      <w:r w:rsidR="006C08FD" w:rsidRPr="00694D76">
        <w:rPr>
          <w:rFonts w:ascii="Palatino Linotype" w:hAnsi="Palatino Linotype"/>
        </w:rPr>
        <w:t xml:space="preserve"> Secretaría de Territorio, Hábitat y Vivienda, a la</w:t>
      </w:r>
      <w:r w:rsidR="00AD16D7" w:rsidRPr="00694D76">
        <w:rPr>
          <w:rFonts w:ascii="Palatino Linotype" w:hAnsi="Palatino Linotype"/>
        </w:rPr>
        <w:t xml:space="preserve"> EPM</w:t>
      </w:r>
      <w:r w:rsidR="006C08FD" w:rsidRPr="00694D76">
        <w:rPr>
          <w:rFonts w:ascii="Palatino Linotype" w:hAnsi="Palatino Linotype"/>
        </w:rPr>
        <w:t>M</w:t>
      </w:r>
      <w:r w:rsidR="00AD16D7" w:rsidRPr="00694D76">
        <w:rPr>
          <w:rFonts w:ascii="Palatino Linotype" w:hAnsi="Palatino Linotype"/>
        </w:rPr>
        <w:t xml:space="preserve">OP y a las </w:t>
      </w:r>
      <w:r w:rsidR="006C08FD" w:rsidRPr="00694D76">
        <w:rPr>
          <w:rFonts w:ascii="Palatino Linotype" w:hAnsi="Palatino Linotype"/>
        </w:rPr>
        <w:t xml:space="preserve">demás </w:t>
      </w:r>
      <w:r w:rsidR="00AD16D7" w:rsidRPr="00694D76">
        <w:rPr>
          <w:rFonts w:ascii="Palatino Linotype" w:hAnsi="Palatino Linotype"/>
          <w:lang w:val="es-ES" w:eastAsia="es-ES"/>
        </w:rPr>
        <w:t>entidades municipales competentes</w:t>
      </w:r>
      <w:r w:rsidR="006C08FD" w:rsidRPr="00694D76">
        <w:rPr>
          <w:rFonts w:ascii="Palatino Linotype" w:hAnsi="Palatino Linotype"/>
          <w:lang w:val="es-ES" w:eastAsia="es-ES"/>
        </w:rPr>
        <w:t>,</w:t>
      </w:r>
      <w:r w:rsidR="00AD16D7" w:rsidRPr="00694D76">
        <w:rPr>
          <w:rFonts w:ascii="Palatino Linotype" w:hAnsi="Palatino Linotype"/>
          <w:lang w:val="es-ES" w:eastAsia="es-ES"/>
        </w:rPr>
        <w:t xml:space="preserve"> </w:t>
      </w:r>
      <w:r w:rsidR="00AD16D7" w:rsidRPr="00694D76">
        <w:rPr>
          <w:rFonts w:ascii="Palatino Linotype" w:hAnsi="Palatino Linotype"/>
        </w:rPr>
        <w:t xml:space="preserve">el </w:t>
      </w:r>
      <w:r w:rsidR="006C08FD" w:rsidRPr="00694D76">
        <w:rPr>
          <w:rFonts w:ascii="Palatino Linotype" w:hAnsi="Palatino Linotype"/>
        </w:rPr>
        <w:t>i</w:t>
      </w:r>
      <w:r w:rsidR="0041531D" w:rsidRPr="00694D76">
        <w:rPr>
          <w:rFonts w:ascii="Palatino Linotype" w:hAnsi="Palatino Linotype"/>
        </w:rPr>
        <w:t>nforme técnico que defina la priorización</w:t>
      </w:r>
      <w:r w:rsidR="00076C8D" w:rsidRPr="00694D76">
        <w:rPr>
          <w:rFonts w:ascii="Palatino Linotype" w:hAnsi="Palatino Linotype"/>
        </w:rPr>
        <w:t xml:space="preserve"> </w:t>
      </w:r>
      <w:r w:rsidR="0041531D" w:rsidRPr="00694D76">
        <w:rPr>
          <w:rFonts w:ascii="Palatino Linotype" w:hAnsi="Palatino Linotype"/>
        </w:rPr>
        <w:t>de la</w:t>
      </w:r>
      <w:r w:rsidR="00AD16D7" w:rsidRPr="00694D76">
        <w:rPr>
          <w:rFonts w:ascii="Palatino Linotype" w:hAnsi="Palatino Linotype"/>
        </w:rPr>
        <w:t xml:space="preserve">s etapas de construcción de las vías previstas en el artículo </w:t>
      </w:r>
      <w:r w:rsidR="00AD16D7" w:rsidRPr="00694D76">
        <w:rPr>
          <w:rFonts w:ascii="Palatino Linotype" w:hAnsi="Palatino Linotype"/>
          <w:lang w:val="es-EC"/>
        </w:rPr>
        <w:t>No. 21 de la presente ordenanza</w:t>
      </w:r>
      <w:r w:rsidR="006C08FD" w:rsidRPr="00694D76">
        <w:rPr>
          <w:rFonts w:ascii="Palatino Linotype" w:hAnsi="Palatino Linotype"/>
          <w:lang w:val="es-EC"/>
        </w:rPr>
        <w:t xml:space="preserve"> así como la determinación del tram</w:t>
      </w:r>
      <w:r w:rsidR="00AB494F" w:rsidRPr="00694D76">
        <w:rPr>
          <w:rFonts w:ascii="Palatino Linotype" w:hAnsi="Palatino Linotype"/>
          <w:lang w:val="es-EC"/>
        </w:rPr>
        <w:t xml:space="preserve">o o sección de la </w:t>
      </w:r>
      <w:proofErr w:type="spellStart"/>
      <w:r w:rsidR="00AB494F" w:rsidRPr="00694D76">
        <w:rPr>
          <w:rFonts w:ascii="Palatino Linotype" w:hAnsi="Palatino Linotype"/>
          <w:lang w:val="es-EC"/>
        </w:rPr>
        <w:t>via</w:t>
      </w:r>
      <w:proofErr w:type="spellEnd"/>
      <w:r w:rsidR="00AB494F" w:rsidRPr="00694D76">
        <w:rPr>
          <w:rFonts w:ascii="Palatino Linotype" w:hAnsi="Palatino Linotype"/>
          <w:lang w:val="es-EC"/>
        </w:rPr>
        <w:t xml:space="preserve"> que podrá</w:t>
      </w:r>
      <w:r w:rsidR="006C08FD" w:rsidRPr="00694D76">
        <w:rPr>
          <w:rFonts w:ascii="Palatino Linotype" w:hAnsi="Palatino Linotype"/>
          <w:lang w:val="es-EC"/>
        </w:rPr>
        <w:t xml:space="preserve"> ejecutarse con cargo al pago en especie previsto en el numeral 1.2 de dicho artículo</w:t>
      </w:r>
      <w:r w:rsidR="00AD16D7" w:rsidRPr="00694D76">
        <w:rPr>
          <w:rFonts w:ascii="Palatino Linotype" w:hAnsi="Palatino Linotype"/>
          <w:lang w:val="es-EC"/>
        </w:rPr>
        <w:t>.</w:t>
      </w:r>
    </w:p>
    <w:p w14:paraId="22FCF620" w14:textId="3EE1D88A" w:rsidR="00A73831" w:rsidRPr="00C17428" w:rsidRDefault="00066A70" w:rsidP="00C17428">
      <w:pPr>
        <w:spacing w:after="120"/>
        <w:rPr>
          <w:rFonts w:ascii="Palatino Linotype" w:hAnsi="Palatino Linotype" w:cs="Times New Roman"/>
          <w:b/>
        </w:rPr>
      </w:pPr>
      <w:r w:rsidRPr="00C17428">
        <w:rPr>
          <w:rFonts w:ascii="Palatino Linotype" w:hAnsi="Palatino Linotype" w:cs="Times New Roman"/>
          <w:b/>
        </w:rPr>
        <w:t>Disposici</w:t>
      </w:r>
      <w:r w:rsidR="00C17428">
        <w:rPr>
          <w:rFonts w:ascii="Palatino Linotype" w:hAnsi="Palatino Linotype" w:cs="Times New Roman"/>
          <w:b/>
        </w:rPr>
        <w:t>ón</w:t>
      </w:r>
      <w:r w:rsidRPr="00C17428">
        <w:rPr>
          <w:rFonts w:ascii="Palatino Linotype" w:hAnsi="Palatino Linotype" w:cs="Times New Roman"/>
          <w:b/>
        </w:rPr>
        <w:t xml:space="preserve"> </w:t>
      </w:r>
      <w:r w:rsidR="00C17428">
        <w:rPr>
          <w:rFonts w:ascii="Palatino Linotype" w:hAnsi="Palatino Linotype" w:cs="Times New Roman"/>
          <w:b/>
        </w:rPr>
        <w:t xml:space="preserve">reformatoria </w:t>
      </w:r>
      <w:proofErr w:type="gramStart"/>
      <w:r w:rsidR="00C17428">
        <w:rPr>
          <w:rFonts w:ascii="Palatino Linotype" w:hAnsi="Palatino Linotype" w:cs="Times New Roman"/>
          <w:b/>
        </w:rPr>
        <w:t>única.-</w:t>
      </w:r>
      <w:proofErr w:type="gramEnd"/>
      <w:r w:rsidR="00C17428">
        <w:rPr>
          <w:rFonts w:ascii="Palatino Linotype" w:hAnsi="Palatino Linotype" w:cs="Times New Roman"/>
          <w:b/>
        </w:rPr>
        <w:t xml:space="preserve"> </w:t>
      </w:r>
      <w:r w:rsidRPr="00C17428">
        <w:rPr>
          <w:rFonts w:ascii="Palatino Linotype" w:hAnsi="Palatino Linotype" w:cs="Times New Roman"/>
        </w:rPr>
        <w:t>Modifíquese</w:t>
      </w:r>
      <w:r w:rsidR="00081CD2" w:rsidRPr="00C17428">
        <w:rPr>
          <w:rFonts w:ascii="Palatino Linotype" w:hAnsi="Palatino Linotype" w:cs="Times New Roman"/>
        </w:rPr>
        <w:t xml:space="preserve"> e incorpórese </w:t>
      </w:r>
      <w:r w:rsidRPr="00C17428">
        <w:rPr>
          <w:rFonts w:ascii="Palatino Linotype" w:hAnsi="Palatino Linotype" w:cs="Times New Roman"/>
        </w:rPr>
        <w:t xml:space="preserve">en el plano PUOS V2 de la Ordenanza Metropolitana No. </w:t>
      </w:r>
      <w:r w:rsidR="00A73831" w:rsidRPr="00C17428">
        <w:rPr>
          <w:rFonts w:ascii="Palatino Linotype" w:hAnsi="Palatino Linotype" w:cs="Times New Roman"/>
        </w:rPr>
        <w:t>127</w:t>
      </w:r>
      <w:r w:rsidR="00C17428">
        <w:rPr>
          <w:rFonts w:ascii="Palatino Linotype" w:hAnsi="Palatino Linotype" w:cs="Times New Roman"/>
        </w:rPr>
        <w:t>,</w:t>
      </w:r>
      <w:r w:rsidR="00A73831" w:rsidRPr="00C17428">
        <w:rPr>
          <w:rFonts w:ascii="Palatino Linotype" w:hAnsi="Palatino Linotype" w:cs="Times New Roman"/>
        </w:rPr>
        <w:t xml:space="preserve"> sancionada el 25 de julio de 2016</w:t>
      </w:r>
      <w:r w:rsidR="00C17428">
        <w:rPr>
          <w:rFonts w:ascii="Palatino Linotype" w:hAnsi="Palatino Linotype" w:cs="Times New Roman"/>
        </w:rPr>
        <w:t>,</w:t>
      </w:r>
      <w:r w:rsidRPr="00C17428">
        <w:rPr>
          <w:rFonts w:ascii="Palatino Linotype" w:hAnsi="Palatino Linotype" w:cs="Times New Roman"/>
        </w:rPr>
        <w:t xml:space="preserve"> </w:t>
      </w:r>
      <w:r w:rsidR="00A73831" w:rsidRPr="00C17428">
        <w:rPr>
          <w:rFonts w:ascii="Palatino Linotype" w:hAnsi="Palatino Linotype" w:cs="Times New Roman"/>
        </w:rPr>
        <w:t>las siguientes secciones viales</w:t>
      </w:r>
      <w:r w:rsidR="00081CD2" w:rsidRPr="00C17428">
        <w:rPr>
          <w:rFonts w:ascii="Palatino Linotype" w:hAnsi="Palatino Linotype" w:cs="Times New Roman"/>
        </w:rPr>
        <w:t xml:space="preserve"> y líneas de intensión</w:t>
      </w:r>
      <w:r w:rsidR="00A73831" w:rsidRPr="00C17428">
        <w:rPr>
          <w:rFonts w:ascii="Palatino Linotype" w:hAnsi="Palatino Linotype" w:cs="Times New Roman"/>
        </w:rPr>
        <w:t>:</w:t>
      </w:r>
    </w:p>
    <w:p w14:paraId="40B816A4" w14:textId="6FFF0EB5" w:rsidR="00C81094" w:rsidRPr="00C17428" w:rsidRDefault="00081CD2" w:rsidP="00250512">
      <w:pPr>
        <w:pStyle w:val="NormalWeb"/>
        <w:numPr>
          <w:ilvl w:val="0"/>
          <w:numId w:val="21"/>
        </w:numPr>
        <w:spacing w:before="0" w:beforeAutospacing="0" w:after="120" w:afterAutospacing="0" w:line="276" w:lineRule="auto"/>
        <w:ind w:left="851" w:hanging="425"/>
        <w:jc w:val="both"/>
        <w:rPr>
          <w:rFonts w:ascii="Palatino Linotype" w:hAnsi="Palatino Linotype"/>
          <w:sz w:val="22"/>
          <w:szCs w:val="22"/>
        </w:rPr>
      </w:pPr>
      <w:r w:rsidRPr="00C17428">
        <w:rPr>
          <w:rFonts w:ascii="Palatino Linotype" w:hAnsi="Palatino Linotype"/>
          <w:sz w:val="22"/>
          <w:szCs w:val="22"/>
        </w:rPr>
        <w:t xml:space="preserve">Vía paralela a la vía </w:t>
      </w:r>
      <w:r w:rsidR="00C81094" w:rsidRPr="00C17428">
        <w:rPr>
          <w:rFonts w:ascii="Palatino Linotype" w:hAnsi="Palatino Linotype"/>
          <w:sz w:val="22"/>
          <w:szCs w:val="22"/>
        </w:rPr>
        <w:t xml:space="preserve">de acceso a </w:t>
      </w:r>
      <w:proofErr w:type="gramStart"/>
      <w:r w:rsidR="00C81094" w:rsidRPr="00C17428">
        <w:rPr>
          <w:rFonts w:ascii="Palatino Linotype" w:hAnsi="Palatino Linotype"/>
          <w:sz w:val="22"/>
          <w:szCs w:val="22"/>
        </w:rPr>
        <w:t>Tabacarsen.-</w:t>
      </w:r>
      <w:proofErr w:type="gramEnd"/>
      <w:r w:rsidR="00C81094" w:rsidRPr="00C17428">
        <w:rPr>
          <w:rFonts w:ascii="Palatino Linotype" w:hAnsi="Palatino Linotype"/>
          <w:sz w:val="22"/>
          <w:szCs w:val="22"/>
        </w:rPr>
        <w:t xml:space="preserve"> En el tramo comprendido e</w:t>
      </w:r>
      <w:r w:rsidR="00FC387B" w:rsidRPr="00C17428">
        <w:rPr>
          <w:rFonts w:ascii="Palatino Linotype" w:hAnsi="Palatino Linotype"/>
          <w:sz w:val="22"/>
          <w:szCs w:val="22"/>
        </w:rPr>
        <w:t xml:space="preserve">ntre el conector Alpachaca y </w:t>
      </w:r>
      <w:r w:rsidR="00C81094" w:rsidRPr="00C17428">
        <w:rPr>
          <w:rFonts w:ascii="Palatino Linotype" w:hAnsi="Palatino Linotype"/>
          <w:sz w:val="22"/>
          <w:szCs w:val="22"/>
        </w:rPr>
        <w:t xml:space="preserve">la calle Cotopaxi, con una sección de 26 metros (13 metros a cada lado de la </w:t>
      </w:r>
      <w:r w:rsidR="00C81094" w:rsidRPr="00C17428">
        <w:rPr>
          <w:rFonts w:ascii="Palatino Linotype" w:hAnsi="Palatino Linotype"/>
          <w:sz w:val="22"/>
          <w:szCs w:val="22"/>
        </w:rPr>
        <w:lastRenderedPageBreak/>
        <w:t>vía, medidos desde el eje).</w:t>
      </w:r>
      <w:r w:rsidR="00B331E7" w:rsidRPr="00C17428">
        <w:rPr>
          <w:rFonts w:ascii="Palatino Linotype" w:hAnsi="Palatino Linotype"/>
          <w:sz w:val="22"/>
          <w:szCs w:val="22"/>
        </w:rPr>
        <w:t xml:space="preserve"> </w:t>
      </w:r>
      <w:proofErr w:type="gramStart"/>
      <w:r w:rsidR="00B331E7" w:rsidRPr="00C17428">
        <w:rPr>
          <w:rFonts w:ascii="Palatino Linotype" w:hAnsi="Palatino Linotype"/>
          <w:sz w:val="22"/>
          <w:szCs w:val="22"/>
        </w:rPr>
        <w:t xml:space="preserve">Esta </w:t>
      </w:r>
      <w:r w:rsidR="00FC387B" w:rsidRPr="00C17428">
        <w:rPr>
          <w:rFonts w:ascii="Palatino Linotype" w:hAnsi="Palatino Linotype"/>
          <w:sz w:val="22"/>
          <w:szCs w:val="22"/>
        </w:rPr>
        <w:t xml:space="preserve"> sección</w:t>
      </w:r>
      <w:proofErr w:type="gramEnd"/>
      <w:r w:rsidR="00FC387B" w:rsidRPr="00C17428">
        <w:rPr>
          <w:rFonts w:ascii="Palatino Linotype" w:hAnsi="Palatino Linotype"/>
          <w:sz w:val="22"/>
          <w:szCs w:val="22"/>
        </w:rPr>
        <w:t xml:space="preserve"> de 26</w:t>
      </w:r>
      <w:r w:rsidR="00C17428">
        <w:rPr>
          <w:rFonts w:ascii="Palatino Linotype" w:hAnsi="Palatino Linotype"/>
          <w:sz w:val="22"/>
          <w:szCs w:val="22"/>
        </w:rPr>
        <w:t xml:space="preserve"> </w:t>
      </w:r>
      <w:r w:rsidR="00FC387B" w:rsidRPr="00C17428">
        <w:rPr>
          <w:rFonts w:ascii="Palatino Linotype" w:hAnsi="Palatino Linotype"/>
          <w:sz w:val="22"/>
          <w:szCs w:val="22"/>
        </w:rPr>
        <w:t>m</w:t>
      </w:r>
      <w:r w:rsidR="00C17428">
        <w:rPr>
          <w:rFonts w:ascii="Palatino Linotype" w:hAnsi="Palatino Linotype"/>
          <w:sz w:val="22"/>
          <w:szCs w:val="22"/>
        </w:rPr>
        <w:t>etros</w:t>
      </w:r>
      <w:r w:rsidR="00FC387B" w:rsidRPr="00C17428">
        <w:rPr>
          <w:rFonts w:ascii="Palatino Linotype" w:hAnsi="Palatino Linotype"/>
          <w:sz w:val="22"/>
          <w:szCs w:val="22"/>
        </w:rPr>
        <w:t xml:space="preserve"> de ancho, se desarrolla a partir del lindero norte del lote con predio No. 5146736 hacia el sur.</w:t>
      </w:r>
    </w:p>
    <w:p w14:paraId="5D7AF5D3" w14:textId="486B26D6" w:rsidR="00A546FF" w:rsidRPr="00694D76" w:rsidRDefault="00A546FF" w:rsidP="00250512">
      <w:pPr>
        <w:pStyle w:val="NormalWeb"/>
        <w:numPr>
          <w:ilvl w:val="0"/>
          <w:numId w:val="21"/>
        </w:numPr>
        <w:spacing w:before="0" w:beforeAutospacing="0" w:after="120" w:afterAutospacing="0" w:line="276" w:lineRule="auto"/>
        <w:ind w:left="851" w:hanging="425"/>
        <w:jc w:val="both"/>
        <w:rPr>
          <w:rFonts w:ascii="Palatino Linotype" w:hAnsi="Palatino Linotype"/>
          <w:sz w:val="22"/>
          <w:szCs w:val="22"/>
        </w:rPr>
      </w:pPr>
      <w:r w:rsidRPr="00C17428">
        <w:rPr>
          <w:rFonts w:ascii="Palatino Linotype" w:hAnsi="Palatino Linotype"/>
          <w:sz w:val="22"/>
          <w:szCs w:val="22"/>
        </w:rPr>
        <w:t xml:space="preserve">Calle </w:t>
      </w:r>
      <w:proofErr w:type="gramStart"/>
      <w:r w:rsidRPr="00C17428">
        <w:rPr>
          <w:rFonts w:ascii="Palatino Linotype" w:hAnsi="Palatino Linotype"/>
          <w:sz w:val="22"/>
          <w:szCs w:val="22"/>
        </w:rPr>
        <w:t>Cotopaxi.-</w:t>
      </w:r>
      <w:proofErr w:type="gramEnd"/>
      <w:r w:rsidRPr="00C17428">
        <w:rPr>
          <w:rFonts w:ascii="Palatino Linotype" w:hAnsi="Palatino Linotype"/>
          <w:sz w:val="22"/>
          <w:szCs w:val="22"/>
        </w:rPr>
        <w:t xml:space="preserve"> En el tramo comprendido entre la </w:t>
      </w:r>
      <w:r w:rsidR="00FC387B" w:rsidRPr="00C17428">
        <w:rPr>
          <w:rFonts w:ascii="Palatino Linotype" w:hAnsi="Palatino Linotype"/>
          <w:sz w:val="22"/>
          <w:szCs w:val="22"/>
        </w:rPr>
        <w:t>vía paralela de acceso a</w:t>
      </w:r>
      <w:r w:rsidR="00C81094" w:rsidRPr="00C17428">
        <w:rPr>
          <w:rFonts w:ascii="Palatino Linotype" w:hAnsi="Palatino Linotype"/>
          <w:sz w:val="22"/>
          <w:szCs w:val="22"/>
        </w:rPr>
        <w:t xml:space="preserve"> Tabacarsen </w:t>
      </w:r>
      <w:r w:rsidRPr="00C17428">
        <w:rPr>
          <w:rFonts w:ascii="Palatino Linotype" w:hAnsi="Palatino Linotype"/>
          <w:sz w:val="22"/>
          <w:szCs w:val="22"/>
        </w:rPr>
        <w:t>y la calle Quito</w:t>
      </w:r>
      <w:r w:rsidR="00FA7D5E" w:rsidRPr="00C17428">
        <w:rPr>
          <w:rFonts w:ascii="Palatino Linotype" w:hAnsi="Palatino Linotype"/>
          <w:sz w:val="22"/>
          <w:szCs w:val="22"/>
        </w:rPr>
        <w:t xml:space="preserve">, </w:t>
      </w:r>
      <w:r w:rsidR="00325AF9" w:rsidRPr="00C17428">
        <w:rPr>
          <w:rFonts w:ascii="Palatino Linotype" w:hAnsi="Palatino Linotype"/>
          <w:sz w:val="22"/>
          <w:szCs w:val="22"/>
        </w:rPr>
        <w:t xml:space="preserve">con </w:t>
      </w:r>
      <w:r w:rsidR="00FA7D5E" w:rsidRPr="00C17428">
        <w:rPr>
          <w:rFonts w:ascii="Palatino Linotype" w:hAnsi="Palatino Linotype"/>
          <w:sz w:val="22"/>
          <w:szCs w:val="22"/>
        </w:rPr>
        <w:t>una sección de 26 metros</w:t>
      </w:r>
      <w:r w:rsidR="00325AF9" w:rsidRPr="00C17428">
        <w:rPr>
          <w:rFonts w:ascii="Palatino Linotype" w:hAnsi="Palatino Linotype"/>
          <w:sz w:val="22"/>
          <w:szCs w:val="22"/>
        </w:rPr>
        <w:t xml:space="preserve"> (13 metros a cada lado de la vía, medidos desde</w:t>
      </w:r>
      <w:r w:rsidR="00325AF9" w:rsidRPr="00694D76">
        <w:rPr>
          <w:rFonts w:ascii="Palatino Linotype" w:hAnsi="Palatino Linotype"/>
          <w:sz w:val="22"/>
          <w:szCs w:val="22"/>
        </w:rPr>
        <w:t xml:space="preserve"> el eje)</w:t>
      </w:r>
      <w:r w:rsidR="00FA7D5E" w:rsidRPr="00694D76">
        <w:rPr>
          <w:rFonts w:ascii="Palatino Linotype" w:hAnsi="Palatino Linotype"/>
          <w:sz w:val="22"/>
          <w:szCs w:val="22"/>
        </w:rPr>
        <w:t>.</w:t>
      </w:r>
    </w:p>
    <w:p w14:paraId="51359570" w14:textId="77777777" w:rsidR="00A546FF" w:rsidRPr="00694D76" w:rsidRDefault="00A546FF" w:rsidP="00250512">
      <w:pPr>
        <w:pStyle w:val="NormalWeb"/>
        <w:numPr>
          <w:ilvl w:val="0"/>
          <w:numId w:val="21"/>
        </w:numPr>
        <w:spacing w:before="0" w:beforeAutospacing="0" w:after="120" w:afterAutospacing="0" w:line="276" w:lineRule="auto"/>
        <w:ind w:left="851" w:hanging="425"/>
        <w:jc w:val="both"/>
        <w:rPr>
          <w:rFonts w:ascii="Palatino Linotype" w:hAnsi="Palatino Linotype"/>
          <w:sz w:val="22"/>
          <w:szCs w:val="22"/>
        </w:rPr>
      </w:pPr>
      <w:r w:rsidRPr="00694D76">
        <w:rPr>
          <w:rFonts w:ascii="Palatino Linotype" w:hAnsi="Palatino Linotype"/>
          <w:sz w:val="22"/>
          <w:szCs w:val="22"/>
        </w:rPr>
        <w:t xml:space="preserve">Calle </w:t>
      </w:r>
      <w:proofErr w:type="gramStart"/>
      <w:r w:rsidRPr="00694D76">
        <w:rPr>
          <w:rFonts w:ascii="Palatino Linotype" w:hAnsi="Palatino Linotype"/>
          <w:sz w:val="22"/>
          <w:szCs w:val="22"/>
        </w:rPr>
        <w:t>Quito.-</w:t>
      </w:r>
      <w:proofErr w:type="gramEnd"/>
      <w:r w:rsidRPr="00694D76">
        <w:rPr>
          <w:rFonts w:ascii="Palatino Linotype" w:hAnsi="Palatino Linotype"/>
          <w:sz w:val="22"/>
          <w:szCs w:val="22"/>
        </w:rPr>
        <w:t xml:space="preserve"> En el tramo comprendido entre la calle Cotopaxi y la </w:t>
      </w:r>
      <w:r w:rsidR="006C08FD" w:rsidRPr="00694D76">
        <w:rPr>
          <w:rFonts w:ascii="Palatino Linotype" w:hAnsi="Palatino Linotype"/>
          <w:sz w:val="22"/>
          <w:szCs w:val="22"/>
        </w:rPr>
        <w:t>c</w:t>
      </w:r>
      <w:r w:rsidRPr="00694D76">
        <w:rPr>
          <w:rFonts w:ascii="Palatino Linotype" w:hAnsi="Palatino Linotype"/>
          <w:sz w:val="22"/>
          <w:szCs w:val="22"/>
        </w:rPr>
        <w:t>alle de los Vergeles</w:t>
      </w:r>
      <w:r w:rsidR="0083667F" w:rsidRPr="00694D76">
        <w:rPr>
          <w:rFonts w:ascii="Palatino Linotype" w:hAnsi="Palatino Linotype"/>
          <w:sz w:val="22"/>
          <w:szCs w:val="22"/>
        </w:rPr>
        <w:t>, en una sección de 26 metros</w:t>
      </w:r>
      <w:r w:rsidR="00325AF9" w:rsidRPr="00694D76">
        <w:rPr>
          <w:rFonts w:ascii="Palatino Linotype" w:hAnsi="Palatino Linotype"/>
          <w:sz w:val="22"/>
          <w:szCs w:val="22"/>
        </w:rPr>
        <w:t xml:space="preserve"> (13 metros a cada lado de la vía, medidos desde el eje).</w:t>
      </w:r>
    </w:p>
    <w:p w14:paraId="0FB2D836" w14:textId="438CFCA6" w:rsidR="00F222F1" w:rsidRPr="00694D76" w:rsidRDefault="00A546FF" w:rsidP="00250512">
      <w:pPr>
        <w:pStyle w:val="NormalWeb"/>
        <w:numPr>
          <w:ilvl w:val="0"/>
          <w:numId w:val="21"/>
        </w:numPr>
        <w:spacing w:before="0" w:beforeAutospacing="0" w:after="120" w:afterAutospacing="0" w:line="276" w:lineRule="auto"/>
        <w:ind w:left="851" w:hanging="425"/>
        <w:jc w:val="both"/>
        <w:rPr>
          <w:rFonts w:ascii="Palatino Linotype" w:hAnsi="Palatino Linotype"/>
          <w:sz w:val="22"/>
          <w:szCs w:val="22"/>
        </w:rPr>
      </w:pPr>
      <w:r w:rsidRPr="00694D76">
        <w:rPr>
          <w:rFonts w:ascii="Palatino Linotype" w:hAnsi="Palatino Linotype"/>
          <w:sz w:val="22"/>
          <w:szCs w:val="22"/>
        </w:rPr>
        <w:t xml:space="preserve">Calle de </w:t>
      </w:r>
      <w:r w:rsidR="00081CD2" w:rsidRPr="00694D76">
        <w:rPr>
          <w:rFonts w:ascii="Palatino Linotype" w:hAnsi="Palatino Linotype"/>
          <w:sz w:val="22"/>
          <w:szCs w:val="22"/>
        </w:rPr>
        <w:t xml:space="preserve">Los </w:t>
      </w:r>
      <w:proofErr w:type="gramStart"/>
      <w:r w:rsidRPr="00694D76">
        <w:rPr>
          <w:rFonts w:ascii="Palatino Linotype" w:hAnsi="Palatino Linotype"/>
          <w:sz w:val="22"/>
          <w:szCs w:val="22"/>
        </w:rPr>
        <w:t>Vergeles.-</w:t>
      </w:r>
      <w:proofErr w:type="gramEnd"/>
      <w:r w:rsidRPr="00694D76">
        <w:rPr>
          <w:rFonts w:ascii="Palatino Linotype" w:hAnsi="Palatino Linotype"/>
          <w:sz w:val="22"/>
          <w:szCs w:val="22"/>
        </w:rPr>
        <w:t xml:space="preserve"> En el tramo comprendido entre la calle Quito y su </w:t>
      </w:r>
      <w:r w:rsidR="00325AF9" w:rsidRPr="00694D76">
        <w:rPr>
          <w:rFonts w:ascii="Palatino Linotype" w:hAnsi="Palatino Linotype"/>
          <w:sz w:val="22"/>
          <w:szCs w:val="22"/>
        </w:rPr>
        <w:t>intersección con la v</w:t>
      </w:r>
      <w:r w:rsidRPr="00694D76">
        <w:rPr>
          <w:rFonts w:ascii="Palatino Linotype" w:hAnsi="Palatino Linotype"/>
          <w:sz w:val="22"/>
          <w:szCs w:val="22"/>
        </w:rPr>
        <w:t>ía E-35</w:t>
      </w:r>
      <w:r w:rsidR="00677717" w:rsidRPr="00694D76">
        <w:rPr>
          <w:rFonts w:ascii="Palatino Linotype" w:hAnsi="Palatino Linotype"/>
          <w:sz w:val="22"/>
          <w:szCs w:val="22"/>
        </w:rPr>
        <w:t>, en una sección de 26 metros</w:t>
      </w:r>
      <w:r w:rsidR="00325AF9" w:rsidRPr="00694D76">
        <w:rPr>
          <w:rFonts w:ascii="Palatino Linotype" w:hAnsi="Palatino Linotype"/>
          <w:sz w:val="22"/>
          <w:szCs w:val="22"/>
        </w:rPr>
        <w:t xml:space="preserve"> (13 metros a cada lado de la vía, medidos desde el eje)</w:t>
      </w:r>
      <w:r w:rsidR="00677717" w:rsidRPr="00694D76">
        <w:rPr>
          <w:rFonts w:ascii="Palatino Linotype" w:hAnsi="Palatino Linotype"/>
          <w:sz w:val="22"/>
          <w:szCs w:val="22"/>
        </w:rPr>
        <w:t>.</w:t>
      </w:r>
    </w:p>
    <w:p w14:paraId="5B1D4005" w14:textId="77777777" w:rsidR="00296932" w:rsidRPr="00694D76" w:rsidRDefault="00296932" w:rsidP="00694D76">
      <w:pPr>
        <w:pStyle w:val="NormalWeb"/>
        <w:spacing w:before="0" w:beforeAutospacing="0" w:after="120" w:afterAutospacing="0" w:line="276" w:lineRule="auto"/>
        <w:rPr>
          <w:rFonts w:ascii="Palatino Linotype" w:hAnsi="Palatino Linotype"/>
          <w:sz w:val="22"/>
          <w:szCs w:val="22"/>
        </w:rPr>
      </w:pPr>
      <w:r w:rsidRPr="00694D76">
        <w:rPr>
          <w:rFonts w:ascii="Palatino Linotype" w:hAnsi="Palatino Linotype"/>
          <w:sz w:val="22"/>
          <w:szCs w:val="22"/>
        </w:rPr>
        <w:t xml:space="preserve">El perfil vial </w:t>
      </w:r>
      <w:r w:rsidR="00D0094A" w:rsidRPr="00694D76">
        <w:rPr>
          <w:rFonts w:ascii="Palatino Linotype" w:hAnsi="Palatino Linotype"/>
          <w:sz w:val="22"/>
          <w:szCs w:val="22"/>
        </w:rPr>
        <w:t>de estas calles</w:t>
      </w:r>
      <w:r w:rsidRPr="00694D76">
        <w:rPr>
          <w:rFonts w:ascii="Palatino Linotype" w:hAnsi="Palatino Linotype"/>
          <w:sz w:val="22"/>
          <w:szCs w:val="22"/>
        </w:rPr>
        <w:t xml:space="preserve"> se encuentra graficada en el anexo 7 de la presente Ordenanza. </w:t>
      </w:r>
    </w:p>
    <w:p w14:paraId="57F7FD33" w14:textId="59615938" w:rsidR="008373A8" w:rsidRPr="00694D76" w:rsidRDefault="00567973" w:rsidP="00C17428">
      <w:pPr>
        <w:tabs>
          <w:tab w:val="left" w:pos="4180"/>
        </w:tabs>
        <w:spacing w:after="120"/>
        <w:rPr>
          <w:rFonts w:ascii="Palatino Linotype" w:hAnsi="Palatino Linotype" w:cs="Times New Roman"/>
          <w:b/>
        </w:rPr>
      </w:pPr>
      <w:r w:rsidRPr="00694D76">
        <w:rPr>
          <w:rFonts w:ascii="Palatino Linotype" w:hAnsi="Palatino Linotype" w:cs="Times New Roman"/>
          <w:b/>
        </w:rPr>
        <w:t xml:space="preserve">Disposición </w:t>
      </w:r>
      <w:proofErr w:type="gramStart"/>
      <w:r w:rsidR="00C17428">
        <w:rPr>
          <w:rFonts w:ascii="Palatino Linotype" w:hAnsi="Palatino Linotype" w:cs="Times New Roman"/>
          <w:b/>
        </w:rPr>
        <w:t>f</w:t>
      </w:r>
      <w:r w:rsidRPr="00694D76">
        <w:rPr>
          <w:rFonts w:ascii="Palatino Linotype" w:hAnsi="Palatino Linotype" w:cs="Times New Roman"/>
          <w:b/>
        </w:rPr>
        <w:t>inal</w:t>
      </w:r>
      <w:r w:rsidR="002C2293" w:rsidRPr="00694D76">
        <w:rPr>
          <w:rFonts w:ascii="Palatino Linotype" w:hAnsi="Palatino Linotype" w:cs="Times New Roman"/>
          <w:b/>
        </w:rPr>
        <w:t>.-</w:t>
      </w:r>
      <w:proofErr w:type="gramEnd"/>
      <w:r w:rsidR="00C17428">
        <w:rPr>
          <w:rFonts w:ascii="Palatino Linotype" w:hAnsi="Palatino Linotype" w:cs="Times New Roman"/>
          <w:b/>
        </w:rPr>
        <w:t xml:space="preserve"> </w:t>
      </w:r>
      <w:r w:rsidR="002C2AB9" w:rsidRPr="00C17428">
        <w:rPr>
          <w:rFonts w:ascii="Palatino Linotype" w:hAnsi="Palatino Linotype" w:cs="Times New Roman"/>
          <w:lang w:val="es-EC"/>
        </w:rPr>
        <w:t xml:space="preserve">Esta </w:t>
      </w:r>
      <w:r w:rsidR="00A47966" w:rsidRPr="00C17428">
        <w:rPr>
          <w:rFonts w:ascii="Palatino Linotype" w:hAnsi="Palatino Linotype" w:cs="Times New Roman"/>
          <w:lang w:val="es-EC"/>
        </w:rPr>
        <w:t>o</w:t>
      </w:r>
      <w:r w:rsidR="002C2AB9" w:rsidRPr="00C17428">
        <w:rPr>
          <w:rFonts w:ascii="Palatino Linotype" w:hAnsi="Palatino Linotype" w:cs="Times New Roman"/>
          <w:lang w:val="es-EC"/>
        </w:rPr>
        <w:t xml:space="preserve">rdenanza entrará en vigencia a partir de la fecha de su </w:t>
      </w:r>
      <w:r w:rsidR="00DA1C7B" w:rsidRPr="00C17428">
        <w:rPr>
          <w:rFonts w:ascii="Palatino Linotype" w:hAnsi="Palatino Linotype" w:cs="Times New Roman"/>
          <w:lang w:val="es-EC"/>
        </w:rPr>
        <w:t>sanción</w:t>
      </w:r>
      <w:r w:rsidR="00636112" w:rsidRPr="00C17428">
        <w:rPr>
          <w:rFonts w:ascii="Palatino Linotype" w:hAnsi="Palatino Linotype" w:cs="Times New Roman"/>
          <w:lang w:val="es-EC"/>
        </w:rPr>
        <w:t>, sin perju</w:t>
      </w:r>
      <w:r w:rsidR="002D6992" w:rsidRPr="00C17428">
        <w:rPr>
          <w:rFonts w:ascii="Palatino Linotype" w:hAnsi="Palatino Linotype" w:cs="Times New Roman"/>
          <w:lang w:val="es-EC"/>
        </w:rPr>
        <w:t>i</w:t>
      </w:r>
      <w:r w:rsidR="00636112" w:rsidRPr="00C17428">
        <w:rPr>
          <w:rFonts w:ascii="Palatino Linotype" w:hAnsi="Palatino Linotype" w:cs="Times New Roman"/>
          <w:lang w:val="es-EC"/>
        </w:rPr>
        <w:t xml:space="preserve">cio de su publicación </w:t>
      </w:r>
      <w:r w:rsidR="00FC02EE" w:rsidRPr="00C17428">
        <w:rPr>
          <w:rFonts w:ascii="Palatino Linotype" w:hAnsi="Palatino Linotype" w:cs="Times New Roman"/>
          <w:lang w:val="es-EC"/>
        </w:rPr>
        <w:t>en la Gaceta Oficial y página web institucional de la Municipalidad.</w:t>
      </w:r>
    </w:p>
    <w:p w14:paraId="38CA30FB" w14:textId="3BF2AE4F" w:rsidR="00C17428" w:rsidRPr="003843CA" w:rsidRDefault="00C17428" w:rsidP="00C17428">
      <w:pPr>
        <w:spacing w:after="120"/>
        <w:rPr>
          <w:rFonts w:ascii="Palatino Linotype" w:hAnsi="Palatino Linotype" w:cs="Arial"/>
        </w:rPr>
      </w:pPr>
      <w:r w:rsidRPr="003843CA">
        <w:rPr>
          <w:rFonts w:ascii="Palatino Linotype" w:hAnsi="Palatino Linotype" w:cs="Arial"/>
        </w:rPr>
        <w:t xml:space="preserve">Dada, en la Sala de Sesiones del Concejo Metropolitano de Quito, el </w:t>
      </w:r>
      <w:r>
        <w:rPr>
          <w:rFonts w:ascii="Palatino Linotype" w:hAnsi="Palatino Linotype" w:cs="Arial"/>
        </w:rPr>
        <w:t>22</w:t>
      </w:r>
      <w:r w:rsidRPr="003843CA">
        <w:rPr>
          <w:rFonts w:ascii="Palatino Linotype" w:hAnsi="Palatino Linotype" w:cs="Arial"/>
        </w:rPr>
        <w:t xml:space="preserve"> de </w:t>
      </w:r>
      <w:r>
        <w:rPr>
          <w:rFonts w:ascii="Palatino Linotype" w:hAnsi="Palatino Linotype" w:cs="Arial"/>
        </w:rPr>
        <w:t>enero de 2019</w:t>
      </w:r>
      <w:r w:rsidRPr="003843CA">
        <w:rPr>
          <w:rFonts w:ascii="Palatino Linotype" w:hAnsi="Palatino Linotype" w:cs="Arial"/>
        </w:rPr>
        <w:t>.</w:t>
      </w:r>
    </w:p>
    <w:p w14:paraId="3FC5EE24" w14:textId="77777777" w:rsidR="00C17428" w:rsidRDefault="00C17428" w:rsidP="00C17428">
      <w:pPr>
        <w:pStyle w:val="Textopredeterminado"/>
        <w:shd w:val="clear" w:color="auto" w:fill="FFFFFF"/>
        <w:jc w:val="both"/>
        <w:rPr>
          <w:rFonts w:ascii="Palatino Linotype" w:hAnsi="Palatino Linotype" w:cs="Arial"/>
          <w:sz w:val="22"/>
          <w:szCs w:val="22"/>
          <w:lang w:val="es-ES"/>
        </w:rPr>
      </w:pPr>
    </w:p>
    <w:p w14:paraId="274DB691" w14:textId="77777777" w:rsidR="00C17428" w:rsidRDefault="00C17428" w:rsidP="00C17428">
      <w:pPr>
        <w:pStyle w:val="Textopredeterminado"/>
        <w:shd w:val="clear" w:color="auto" w:fill="FFFFFF"/>
        <w:jc w:val="both"/>
        <w:rPr>
          <w:rFonts w:ascii="Palatino Linotype" w:hAnsi="Palatino Linotype" w:cs="Arial"/>
          <w:sz w:val="22"/>
          <w:szCs w:val="22"/>
          <w:lang w:val="es-ES"/>
        </w:rPr>
      </w:pPr>
    </w:p>
    <w:p w14:paraId="6B61AA32" w14:textId="77777777" w:rsidR="00C17428" w:rsidRDefault="00C17428" w:rsidP="00C17428">
      <w:pPr>
        <w:pStyle w:val="Textopredeterminado"/>
        <w:shd w:val="clear" w:color="auto" w:fill="FFFFFF"/>
        <w:jc w:val="both"/>
        <w:rPr>
          <w:rFonts w:ascii="Palatino Linotype" w:hAnsi="Palatino Linotype" w:cs="Arial"/>
          <w:sz w:val="22"/>
          <w:szCs w:val="22"/>
          <w:lang w:val="es-ES"/>
        </w:rPr>
      </w:pPr>
    </w:p>
    <w:p w14:paraId="1CCB31FC" w14:textId="77777777" w:rsidR="00C17428" w:rsidRPr="003843CA" w:rsidRDefault="00C17428" w:rsidP="00C17428">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14:paraId="3A4940BA" w14:textId="77777777" w:rsidR="00C17428" w:rsidRDefault="00C17428" w:rsidP="00C17428">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14:paraId="2744F18B" w14:textId="77777777" w:rsidR="00C17428" w:rsidRDefault="00C17428" w:rsidP="00C17428">
      <w:pPr>
        <w:pStyle w:val="Textopredeterminado"/>
        <w:shd w:val="clear" w:color="auto" w:fill="FFFFFF"/>
        <w:jc w:val="both"/>
        <w:rPr>
          <w:rFonts w:ascii="Palatino Linotype" w:hAnsi="Palatino Linotype" w:cs="Arial"/>
          <w:sz w:val="22"/>
          <w:szCs w:val="22"/>
          <w:lang w:val="es-ES"/>
        </w:rPr>
      </w:pPr>
    </w:p>
    <w:tbl>
      <w:tblPr>
        <w:tblW w:w="10899" w:type="dxa"/>
        <w:jc w:val="center"/>
        <w:tblLook w:val="04A0" w:firstRow="1" w:lastRow="0" w:firstColumn="1" w:lastColumn="0" w:noHBand="0" w:noVBand="1"/>
      </w:tblPr>
      <w:tblGrid>
        <w:gridCol w:w="5575"/>
        <w:gridCol w:w="5324"/>
      </w:tblGrid>
      <w:tr w:rsidR="00C17428" w:rsidRPr="00680EAC" w14:paraId="209E3D5D" w14:textId="77777777" w:rsidTr="002A31ED">
        <w:trPr>
          <w:jc w:val="center"/>
        </w:trPr>
        <w:tc>
          <w:tcPr>
            <w:tcW w:w="5575" w:type="dxa"/>
            <w:hideMark/>
          </w:tcPr>
          <w:p w14:paraId="1AF33066" w14:textId="77777777" w:rsidR="00C17428" w:rsidRDefault="00C17428" w:rsidP="002A31ED">
            <w:pPr>
              <w:pStyle w:val="Textopredeterminado"/>
              <w:jc w:val="center"/>
              <w:rPr>
                <w:rFonts w:ascii="Palatino Linotype" w:hAnsi="Palatino Linotype" w:cs="Arial"/>
                <w:sz w:val="19"/>
                <w:szCs w:val="19"/>
              </w:rPr>
            </w:pPr>
          </w:p>
        </w:tc>
        <w:tc>
          <w:tcPr>
            <w:tcW w:w="5324" w:type="dxa"/>
            <w:hideMark/>
          </w:tcPr>
          <w:p w14:paraId="7E9476CB" w14:textId="77777777" w:rsidR="00C17428" w:rsidRDefault="00C17428" w:rsidP="002A31ED">
            <w:pPr>
              <w:pStyle w:val="Textopredeterminado"/>
              <w:jc w:val="center"/>
              <w:rPr>
                <w:rFonts w:ascii="Palatino Linotype" w:hAnsi="Palatino Linotype" w:cs="Arial"/>
                <w:sz w:val="19"/>
                <w:szCs w:val="19"/>
              </w:rPr>
            </w:pPr>
          </w:p>
        </w:tc>
      </w:tr>
    </w:tbl>
    <w:p w14:paraId="71A4D6C0" w14:textId="77777777" w:rsidR="00C17428" w:rsidRPr="003843CA" w:rsidRDefault="00C17428" w:rsidP="00C17428">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14:paraId="5BCF65E8" w14:textId="77777777" w:rsidR="00C17428" w:rsidRPr="003843CA" w:rsidRDefault="00C17428" w:rsidP="00C17428">
      <w:pPr>
        <w:pStyle w:val="Textosinformato"/>
        <w:jc w:val="both"/>
        <w:rPr>
          <w:rFonts w:ascii="Palatino Linotype" w:eastAsia="MS Mincho" w:hAnsi="Palatino Linotype" w:cs="Arial"/>
          <w:sz w:val="22"/>
          <w:szCs w:val="22"/>
        </w:rPr>
      </w:pPr>
    </w:p>
    <w:p w14:paraId="3E854D53" w14:textId="23EEE29A" w:rsidR="00C17428" w:rsidRPr="003843CA" w:rsidRDefault="00C17428" w:rsidP="00C17428">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5</w:t>
      </w:r>
      <w:r>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julio de 2018 </w:t>
      </w:r>
      <w:r>
        <w:rPr>
          <w:rFonts w:ascii="Palatino Linotype" w:eastAsia="MS Mincho" w:hAnsi="Palatino Linotype" w:cs="Arial"/>
          <w:sz w:val="22"/>
          <w:szCs w:val="22"/>
        </w:rPr>
        <w:t xml:space="preserve">y </w:t>
      </w:r>
      <w:r>
        <w:rPr>
          <w:rFonts w:ascii="Palatino Linotype" w:eastAsia="MS Mincho" w:hAnsi="Palatino Linotype" w:cs="Arial"/>
          <w:sz w:val="22"/>
          <w:szCs w:val="22"/>
        </w:rPr>
        <w:t>22</w:t>
      </w:r>
      <w:r w:rsidRPr="003843CA">
        <w:rPr>
          <w:rFonts w:ascii="Palatino Linotype" w:eastAsia="MS Mincho" w:hAnsi="Palatino Linotype" w:cs="Arial"/>
          <w:sz w:val="22"/>
          <w:szCs w:val="22"/>
        </w:rPr>
        <w:t xml:space="preserve"> de </w:t>
      </w:r>
      <w:r>
        <w:rPr>
          <w:rFonts w:ascii="Palatino Linotype" w:eastAsia="MS Mincho" w:hAnsi="Palatino Linotype" w:cs="Arial"/>
          <w:sz w:val="22"/>
          <w:szCs w:val="22"/>
        </w:rPr>
        <w:t>enero de 2019</w:t>
      </w:r>
      <w:r w:rsidRPr="003843CA">
        <w:rPr>
          <w:rFonts w:ascii="Palatino Linotype" w:eastAsia="MS Mincho" w:hAnsi="Palatino Linotype" w:cs="Arial"/>
          <w:sz w:val="22"/>
          <w:szCs w:val="22"/>
        </w:rPr>
        <w:t>.- Quito,</w:t>
      </w:r>
    </w:p>
    <w:p w14:paraId="1AF42D0A" w14:textId="77777777" w:rsidR="00C17428" w:rsidRDefault="00C17428" w:rsidP="00C17428">
      <w:pPr>
        <w:pStyle w:val="Textosinformato"/>
        <w:jc w:val="both"/>
        <w:rPr>
          <w:rFonts w:ascii="Palatino Linotype" w:eastAsia="MS Mincho" w:hAnsi="Palatino Linotype" w:cs="Arial"/>
          <w:sz w:val="22"/>
          <w:szCs w:val="22"/>
        </w:rPr>
      </w:pPr>
    </w:p>
    <w:p w14:paraId="2470A1D7" w14:textId="77777777" w:rsidR="00C17428" w:rsidRDefault="00C17428" w:rsidP="00C17428">
      <w:pPr>
        <w:pStyle w:val="Textosinformato"/>
        <w:jc w:val="both"/>
        <w:rPr>
          <w:rFonts w:ascii="Palatino Linotype" w:eastAsia="MS Mincho" w:hAnsi="Palatino Linotype" w:cs="Arial"/>
          <w:sz w:val="22"/>
          <w:szCs w:val="22"/>
        </w:rPr>
      </w:pPr>
    </w:p>
    <w:p w14:paraId="0FFD7A58" w14:textId="77777777" w:rsidR="00C17428" w:rsidRDefault="00C17428" w:rsidP="00C17428">
      <w:pPr>
        <w:pStyle w:val="Textosinformato"/>
        <w:jc w:val="both"/>
        <w:rPr>
          <w:rFonts w:ascii="Palatino Linotype" w:eastAsia="MS Mincho" w:hAnsi="Palatino Linotype" w:cs="Arial"/>
          <w:sz w:val="22"/>
          <w:szCs w:val="22"/>
        </w:rPr>
      </w:pPr>
    </w:p>
    <w:p w14:paraId="0A4B2F27" w14:textId="77777777" w:rsidR="00C17428" w:rsidRPr="003843CA" w:rsidRDefault="00C17428" w:rsidP="00C17428">
      <w:pPr>
        <w:pStyle w:val="Textosinformato"/>
        <w:jc w:val="both"/>
        <w:rPr>
          <w:rFonts w:ascii="Palatino Linotype" w:eastAsia="MS Mincho" w:hAnsi="Palatino Linotype" w:cs="Arial"/>
          <w:sz w:val="22"/>
          <w:szCs w:val="22"/>
        </w:rPr>
      </w:pPr>
    </w:p>
    <w:p w14:paraId="015CB2F4" w14:textId="77777777" w:rsidR="00C17428" w:rsidRPr="003843CA" w:rsidRDefault="00C17428" w:rsidP="00C17428">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14:paraId="5C49EE91" w14:textId="77777777" w:rsidR="00C17428" w:rsidRDefault="00C17428" w:rsidP="00C17428">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14:paraId="1B5205CC" w14:textId="5F29056E" w:rsidR="00C17428" w:rsidRDefault="00C17428" w:rsidP="00C17428">
      <w:pPr>
        <w:pStyle w:val="Textosinformato"/>
        <w:jc w:val="center"/>
        <w:rPr>
          <w:rFonts w:ascii="Palatino Linotype" w:eastAsia="MS Mincho" w:hAnsi="Palatino Linotype" w:cs="Arial"/>
          <w:sz w:val="22"/>
          <w:szCs w:val="22"/>
        </w:rPr>
      </w:pPr>
    </w:p>
    <w:p w14:paraId="43C2303E" w14:textId="3E96895F" w:rsidR="00C17428" w:rsidRDefault="00C17428" w:rsidP="00C17428">
      <w:pPr>
        <w:pStyle w:val="Textosinformato"/>
        <w:jc w:val="center"/>
        <w:rPr>
          <w:rFonts w:ascii="Palatino Linotype" w:eastAsia="MS Mincho" w:hAnsi="Palatino Linotype" w:cs="Arial"/>
          <w:sz w:val="22"/>
          <w:szCs w:val="22"/>
        </w:rPr>
      </w:pPr>
    </w:p>
    <w:p w14:paraId="3020CDA4" w14:textId="7EF446B5" w:rsidR="00C17428" w:rsidRDefault="00C17428" w:rsidP="00C17428">
      <w:pPr>
        <w:pStyle w:val="Textosinformato"/>
        <w:jc w:val="center"/>
        <w:rPr>
          <w:rFonts w:ascii="Palatino Linotype" w:eastAsia="MS Mincho" w:hAnsi="Palatino Linotype" w:cs="Arial"/>
          <w:sz w:val="22"/>
          <w:szCs w:val="22"/>
        </w:rPr>
      </w:pPr>
    </w:p>
    <w:p w14:paraId="7C497E5E" w14:textId="4D0DB89A" w:rsidR="00C17428" w:rsidRDefault="00C17428" w:rsidP="00C17428">
      <w:pPr>
        <w:pStyle w:val="Textosinformato"/>
        <w:jc w:val="center"/>
        <w:rPr>
          <w:rFonts w:ascii="Palatino Linotype" w:eastAsia="MS Mincho" w:hAnsi="Palatino Linotype" w:cs="Arial"/>
          <w:sz w:val="22"/>
          <w:szCs w:val="22"/>
        </w:rPr>
      </w:pPr>
    </w:p>
    <w:p w14:paraId="226FCAE2" w14:textId="77777777" w:rsidR="00C17428" w:rsidRDefault="00C17428" w:rsidP="00C17428">
      <w:pPr>
        <w:pStyle w:val="Textosinformato"/>
        <w:jc w:val="center"/>
        <w:rPr>
          <w:rFonts w:ascii="Palatino Linotype" w:eastAsia="MS Mincho" w:hAnsi="Palatino Linotype" w:cs="Arial"/>
          <w:sz w:val="22"/>
          <w:szCs w:val="22"/>
        </w:rPr>
      </w:pPr>
    </w:p>
    <w:p w14:paraId="34B52F3D" w14:textId="77777777" w:rsidR="00C17428" w:rsidRPr="003843CA" w:rsidRDefault="00C17428" w:rsidP="00C17428">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 xml:space="preserve">ALCALDÍA DEL DISTRITO </w:t>
      </w:r>
      <w:proofErr w:type="gramStart"/>
      <w:r w:rsidRPr="003843CA">
        <w:rPr>
          <w:rFonts w:ascii="Palatino Linotype" w:eastAsia="MS Mincho" w:hAnsi="Palatino Linotype" w:cs="Arial"/>
          <w:b/>
          <w:bCs/>
          <w:sz w:val="22"/>
          <w:szCs w:val="22"/>
        </w:rPr>
        <w:t>METROPOLITANO.-</w:t>
      </w:r>
      <w:proofErr w:type="gramEnd"/>
      <w:r w:rsidRPr="003843CA">
        <w:rPr>
          <w:rFonts w:ascii="Palatino Linotype" w:eastAsia="MS Mincho" w:hAnsi="Palatino Linotype" w:cs="Arial"/>
          <w:sz w:val="22"/>
          <w:szCs w:val="22"/>
        </w:rPr>
        <w:t xml:space="preserve">  Distrito Metropolitano de Quito,</w:t>
      </w:r>
    </w:p>
    <w:p w14:paraId="25E1FF9E" w14:textId="77777777" w:rsidR="00C17428" w:rsidRDefault="00C17428" w:rsidP="00C17428">
      <w:pPr>
        <w:pStyle w:val="Textosinformato"/>
        <w:jc w:val="center"/>
        <w:rPr>
          <w:rFonts w:ascii="Palatino Linotype" w:eastAsia="MS Mincho" w:hAnsi="Palatino Linotype" w:cs="Arial"/>
          <w:b/>
          <w:sz w:val="22"/>
          <w:szCs w:val="22"/>
        </w:rPr>
      </w:pPr>
    </w:p>
    <w:p w14:paraId="6A181CAC" w14:textId="77777777" w:rsidR="00C17428" w:rsidRPr="003843CA" w:rsidRDefault="00C17428" w:rsidP="00C17428">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14:paraId="3A10EF3E" w14:textId="77777777" w:rsidR="00C17428" w:rsidRPr="003843CA" w:rsidRDefault="00C17428" w:rsidP="00C17428">
      <w:pPr>
        <w:pStyle w:val="Textosinformato"/>
        <w:jc w:val="center"/>
        <w:rPr>
          <w:rFonts w:ascii="Palatino Linotype" w:eastAsia="MS Mincho" w:hAnsi="Palatino Linotype" w:cs="Arial"/>
          <w:sz w:val="22"/>
          <w:szCs w:val="22"/>
        </w:rPr>
      </w:pPr>
    </w:p>
    <w:p w14:paraId="36B6E18F" w14:textId="77777777" w:rsidR="00C17428" w:rsidRPr="003843CA" w:rsidRDefault="00C17428" w:rsidP="00C17428">
      <w:pPr>
        <w:pStyle w:val="Textosinformato"/>
        <w:jc w:val="center"/>
        <w:rPr>
          <w:rFonts w:ascii="Palatino Linotype" w:eastAsia="MS Mincho" w:hAnsi="Palatino Linotype" w:cs="Arial"/>
          <w:sz w:val="22"/>
          <w:szCs w:val="22"/>
        </w:rPr>
      </w:pPr>
    </w:p>
    <w:p w14:paraId="20F80218" w14:textId="77777777" w:rsidR="00C17428" w:rsidRDefault="00C17428" w:rsidP="00C17428">
      <w:pPr>
        <w:pStyle w:val="Textosinformato"/>
        <w:jc w:val="center"/>
        <w:rPr>
          <w:rFonts w:ascii="Palatino Linotype" w:eastAsia="MS Mincho" w:hAnsi="Palatino Linotype" w:cs="Arial"/>
          <w:sz w:val="22"/>
          <w:szCs w:val="22"/>
        </w:rPr>
      </w:pPr>
    </w:p>
    <w:p w14:paraId="65750FB5" w14:textId="77777777" w:rsidR="00C17428" w:rsidRPr="003843CA" w:rsidRDefault="00C17428" w:rsidP="00C17428">
      <w:pPr>
        <w:pStyle w:val="Textosinformato"/>
        <w:jc w:val="center"/>
        <w:rPr>
          <w:rFonts w:ascii="Palatino Linotype" w:eastAsia="MS Mincho" w:hAnsi="Palatino Linotype" w:cs="Arial"/>
          <w:sz w:val="22"/>
          <w:szCs w:val="22"/>
        </w:rPr>
      </w:pPr>
    </w:p>
    <w:p w14:paraId="56E88D69" w14:textId="77777777" w:rsidR="00C17428" w:rsidRPr="003843CA" w:rsidRDefault="00C17428" w:rsidP="00C17428">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14:paraId="3285DC3F" w14:textId="77777777" w:rsidR="00C17428" w:rsidRPr="003843CA" w:rsidRDefault="00C17428" w:rsidP="00C17428">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14:paraId="0DF69A6A" w14:textId="77777777" w:rsidR="00C17428" w:rsidRDefault="00C17428" w:rsidP="00C17428">
      <w:pPr>
        <w:pStyle w:val="Textosinformato"/>
        <w:jc w:val="both"/>
        <w:rPr>
          <w:rFonts w:ascii="Palatino Linotype" w:eastAsia="MS Mincho" w:hAnsi="Palatino Linotype" w:cs="Arial"/>
          <w:b/>
          <w:bCs/>
          <w:sz w:val="22"/>
          <w:szCs w:val="22"/>
        </w:rPr>
      </w:pPr>
    </w:p>
    <w:p w14:paraId="488E96BF" w14:textId="77777777" w:rsidR="00C17428" w:rsidRDefault="00C17428" w:rsidP="00C17428">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 xml:space="preserve">Mauricio Rodas Espinel, Alcalde </w:t>
      </w:r>
      <w:r w:rsidRPr="003843CA">
        <w:rPr>
          <w:rFonts w:ascii="Palatino Linotype" w:eastAsia="MS Mincho" w:hAnsi="Palatino Linotype" w:cs="Arial"/>
          <w:sz w:val="22"/>
          <w:szCs w:val="22"/>
        </w:rPr>
        <w:t>del Distrito Metropolitano de Quito, el</w:t>
      </w:r>
    </w:p>
    <w:p w14:paraId="2139E6BE" w14:textId="77777777" w:rsidR="00C17428" w:rsidRPr="003843CA" w:rsidRDefault="00C17428" w:rsidP="00C17428">
      <w:pPr>
        <w:pStyle w:val="Textosinformato"/>
        <w:tabs>
          <w:tab w:val="right" w:pos="8504"/>
        </w:tabs>
        <w:jc w:val="both"/>
        <w:rPr>
          <w:rFonts w:ascii="Palatino Linotype" w:eastAsia="MS Mincho" w:hAnsi="Palatino Linotype" w:cs="Arial"/>
          <w:sz w:val="22"/>
          <w:szCs w:val="22"/>
        </w:rPr>
      </w:pPr>
      <w:proofErr w:type="gramStart"/>
      <w:r w:rsidRPr="003843CA">
        <w:rPr>
          <w:rFonts w:ascii="Palatino Linotype" w:eastAsia="MS Mincho" w:hAnsi="Palatino Linotype" w:cs="Arial"/>
          <w:sz w:val="22"/>
          <w:szCs w:val="22"/>
        </w:rPr>
        <w:t>.-</w:t>
      </w:r>
      <w:proofErr w:type="gramEnd"/>
      <w:r w:rsidRPr="003843CA">
        <w:rPr>
          <w:rFonts w:ascii="Palatino Linotype" w:eastAsia="MS Mincho" w:hAnsi="Palatino Linotype" w:cs="Arial"/>
          <w:sz w:val="22"/>
          <w:szCs w:val="22"/>
        </w:rPr>
        <w:t xml:space="preserve"> Distrito Metropolitano de Quito,</w:t>
      </w:r>
    </w:p>
    <w:p w14:paraId="4555DA32" w14:textId="77777777" w:rsidR="00C17428" w:rsidRPr="003843CA" w:rsidRDefault="00C17428" w:rsidP="00C17428">
      <w:pPr>
        <w:pStyle w:val="Textosinformato"/>
        <w:jc w:val="center"/>
        <w:rPr>
          <w:rFonts w:ascii="Palatino Linotype" w:eastAsia="MS Mincho" w:hAnsi="Palatino Linotype" w:cs="Arial"/>
          <w:sz w:val="22"/>
          <w:szCs w:val="22"/>
        </w:rPr>
      </w:pPr>
    </w:p>
    <w:p w14:paraId="09A07B78" w14:textId="77777777" w:rsidR="00C17428" w:rsidRPr="003843CA" w:rsidRDefault="00C17428" w:rsidP="00C17428">
      <w:pPr>
        <w:pStyle w:val="Textosinformato"/>
        <w:jc w:val="center"/>
        <w:rPr>
          <w:rFonts w:ascii="Palatino Linotype" w:eastAsia="MS Mincho" w:hAnsi="Palatino Linotype" w:cs="Arial"/>
          <w:sz w:val="22"/>
          <w:szCs w:val="22"/>
        </w:rPr>
      </w:pPr>
    </w:p>
    <w:p w14:paraId="6CAD731F" w14:textId="77777777" w:rsidR="00C17428" w:rsidRDefault="00C17428" w:rsidP="00C17428">
      <w:pPr>
        <w:pStyle w:val="Textosinformato"/>
        <w:jc w:val="center"/>
        <w:rPr>
          <w:rFonts w:ascii="Palatino Linotype" w:eastAsia="MS Mincho" w:hAnsi="Palatino Linotype" w:cs="Arial"/>
          <w:sz w:val="22"/>
          <w:szCs w:val="22"/>
        </w:rPr>
      </w:pPr>
    </w:p>
    <w:p w14:paraId="552665DF" w14:textId="77777777" w:rsidR="00C17428" w:rsidRPr="003843CA" w:rsidRDefault="00C17428" w:rsidP="00C17428">
      <w:pPr>
        <w:pStyle w:val="Textosinformato"/>
        <w:jc w:val="center"/>
        <w:rPr>
          <w:rFonts w:ascii="Palatino Linotype" w:eastAsia="MS Mincho" w:hAnsi="Palatino Linotype" w:cs="Arial"/>
          <w:sz w:val="22"/>
          <w:szCs w:val="22"/>
        </w:rPr>
      </w:pPr>
    </w:p>
    <w:p w14:paraId="3D1EEE5C" w14:textId="77777777" w:rsidR="00C17428" w:rsidRPr="003843CA" w:rsidRDefault="00C17428" w:rsidP="00C17428">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14:paraId="66AB0ACC" w14:textId="77777777" w:rsidR="00C17428" w:rsidRDefault="00C17428" w:rsidP="00C17428">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14:paraId="7218B6B2" w14:textId="77777777" w:rsidR="00C17428" w:rsidRDefault="00C17428" w:rsidP="00C17428">
      <w:pPr>
        <w:pStyle w:val="Textosinformato"/>
        <w:rPr>
          <w:rFonts w:ascii="Palatino Linotype" w:eastAsia="MS Mincho" w:hAnsi="Palatino Linotype" w:cs="Arial"/>
          <w:b/>
          <w:bCs/>
          <w:sz w:val="14"/>
          <w:szCs w:val="14"/>
        </w:rPr>
      </w:pPr>
      <w:r w:rsidRPr="00CF2492">
        <w:rPr>
          <w:rFonts w:ascii="Palatino Linotype" w:eastAsia="MS Mincho" w:hAnsi="Palatino Linotype" w:cs="Arial"/>
          <w:b/>
          <w:bCs/>
          <w:sz w:val="14"/>
          <w:szCs w:val="14"/>
        </w:rPr>
        <w:t>DSCS</w:t>
      </w:r>
    </w:p>
    <w:p w14:paraId="10F3C8CF" w14:textId="4A01D892" w:rsidR="00C17428" w:rsidRDefault="00C17428" w:rsidP="00C17428">
      <w:pPr>
        <w:pStyle w:val="Textosinformato"/>
        <w:jc w:val="center"/>
        <w:rPr>
          <w:rFonts w:ascii="Palatino Linotype" w:eastAsia="MS Mincho" w:hAnsi="Palatino Linotype" w:cs="Arial"/>
          <w:b/>
          <w:bCs/>
          <w:sz w:val="14"/>
          <w:szCs w:val="14"/>
        </w:rPr>
      </w:pPr>
    </w:p>
    <w:p w14:paraId="3D9400A9" w14:textId="77777777" w:rsidR="00C17428" w:rsidRDefault="00C17428" w:rsidP="00C17428">
      <w:pPr>
        <w:pStyle w:val="Textosinformato"/>
        <w:jc w:val="center"/>
        <w:rPr>
          <w:rFonts w:ascii="Palatino Linotype" w:eastAsia="MS Mincho" w:hAnsi="Palatino Linotype" w:cs="Arial"/>
          <w:b/>
          <w:bCs/>
          <w:sz w:val="14"/>
          <w:szCs w:val="14"/>
        </w:rPr>
        <w:sectPr w:rsidR="00C17428" w:rsidSect="00694D76">
          <w:headerReference w:type="default" r:id="rId10"/>
          <w:footerReference w:type="default" r:id="rId11"/>
          <w:pgSz w:w="11907" w:h="16840" w:code="9"/>
          <w:pgMar w:top="1440" w:right="1080" w:bottom="1440" w:left="1080" w:header="709" w:footer="709" w:gutter="0"/>
          <w:pgNumType w:start="1"/>
          <w:cols w:space="708"/>
          <w:docGrid w:linePitch="360"/>
        </w:sectPr>
      </w:pPr>
    </w:p>
    <w:p w14:paraId="43DE41CA" w14:textId="5E3BF788" w:rsidR="00C17428" w:rsidRDefault="00C17428" w:rsidP="00C17428">
      <w:pPr>
        <w:pStyle w:val="Textosinformato"/>
        <w:jc w:val="center"/>
        <w:rPr>
          <w:rFonts w:ascii="Palatino Linotype" w:eastAsia="MS Mincho" w:hAnsi="Palatino Linotype" w:cs="Arial"/>
          <w:b/>
          <w:bCs/>
          <w:sz w:val="14"/>
          <w:szCs w:val="14"/>
        </w:rPr>
      </w:pPr>
    </w:p>
    <w:p w14:paraId="68743F29" w14:textId="2F4BFB48" w:rsidR="008373A8" w:rsidRPr="00C17428" w:rsidRDefault="006261C0" w:rsidP="00C17428">
      <w:pPr>
        <w:pStyle w:val="Textosinformato"/>
        <w:jc w:val="center"/>
        <w:rPr>
          <w:rFonts w:ascii="Palatino Linotype" w:eastAsia="MS Mincho" w:hAnsi="Palatino Linotype" w:cs="Arial"/>
          <w:b/>
          <w:bCs/>
          <w:sz w:val="28"/>
          <w:szCs w:val="28"/>
        </w:rPr>
      </w:pPr>
      <w:r w:rsidRPr="00C17428">
        <w:rPr>
          <w:rFonts w:ascii="Palatino Linotype" w:hAnsi="Palatino Linotype"/>
          <w:b/>
          <w:sz w:val="28"/>
          <w:szCs w:val="28"/>
          <w:lang w:val="es-EC"/>
        </w:rPr>
        <w:t>ANEXOS</w:t>
      </w:r>
    </w:p>
    <w:p w14:paraId="4EA7FB0F" w14:textId="675D36D8" w:rsidR="00C261F8" w:rsidRDefault="00C261F8" w:rsidP="00250512">
      <w:pPr>
        <w:pStyle w:val="Prrafodelista"/>
        <w:numPr>
          <w:ilvl w:val="0"/>
          <w:numId w:val="4"/>
        </w:numPr>
        <w:spacing w:after="120"/>
        <w:rPr>
          <w:rFonts w:ascii="Palatino Linotype" w:hAnsi="Palatino Linotype" w:cs="Times New Roman"/>
          <w:b/>
          <w:sz w:val="28"/>
          <w:szCs w:val="28"/>
          <w:lang w:val="es-EC"/>
        </w:rPr>
      </w:pPr>
      <w:r w:rsidRPr="00C17428">
        <w:rPr>
          <w:rFonts w:ascii="Palatino Linotype" w:hAnsi="Palatino Linotype" w:cs="Times New Roman"/>
          <w:b/>
          <w:sz w:val="28"/>
          <w:szCs w:val="28"/>
          <w:lang w:val="es-EC"/>
        </w:rPr>
        <w:t>Diagrama referencial de implantación.</w:t>
      </w:r>
    </w:p>
    <w:p w14:paraId="7E0DF3D3" w14:textId="5EAC9FB2" w:rsidR="00C17428" w:rsidRDefault="00C17428" w:rsidP="00C17428">
      <w:pPr>
        <w:pStyle w:val="Prrafodelista"/>
        <w:spacing w:after="120"/>
        <w:ind w:left="644"/>
        <w:rPr>
          <w:rFonts w:ascii="Palatino Linotype" w:hAnsi="Palatino Linotype" w:cs="Times New Roman"/>
          <w:b/>
          <w:sz w:val="28"/>
          <w:szCs w:val="28"/>
          <w:lang w:val="es-EC"/>
        </w:rPr>
      </w:pPr>
    </w:p>
    <w:p w14:paraId="1F774EFA" w14:textId="5F35EE4C" w:rsidR="00C17428" w:rsidRDefault="00C17428" w:rsidP="00C17428">
      <w:pPr>
        <w:pStyle w:val="Prrafodelista"/>
        <w:spacing w:after="120"/>
        <w:ind w:left="644"/>
        <w:rPr>
          <w:rFonts w:ascii="Palatino Linotype" w:hAnsi="Palatino Linotype" w:cs="Times New Roman"/>
          <w:b/>
          <w:sz w:val="28"/>
          <w:szCs w:val="28"/>
          <w:lang w:val="es-EC"/>
        </w:rPr>
      </w:pPr>
    </w:p>
    <w:p w14:paraId="3303C462" w14:textId="65029B66" w:rsidR="00C17428" w:rsidRDefault="00C17428" w:rsidP="00C17428">
      <w:pPr>
        <w:pStyle w:val="Prrafodelista"/>
        <w:spacing w:after="120"/>
        <w:ind w:left="644"/>
        <w:rPr>
          <w:rFonts w:ascii="Palatino Linotype" w:hAnsi="Palatino Linotype" w:cs="Times New Roman"/>
          <w:b/>
          <w:sz w:val="28"/>
          <w:szCs w:val="28"/>
          <w:lang w:val="es-EC"/>
        </w:rPr>
      </w:pPr>
    </w:p>
    <w:p w14:paraId="30108141" w14:textId="043B755B" w:rsidR="00C17428" w:rsidRDefault="00C17428" w:rsidP="00C17428">
      <w:pPr>
        <w:pStyle w:val="Prrafodelista"/>
        <w:spacing w:after="120"/>
        <w:ind w:left="644"/>
        <w:rPr>
          <w:rFonts w:ascii="Palatino Linotype" w:hAnsi="Palatino Linotype" w:cs="Times New Roman"/>
          <w:b/>
          <w:sz w:val="28"/>
          <w:szCs w:val="28"/>
          <w:lang w:val="es-EC"/>
        </w:rPr>
      </w:pPr>
    </w:p>
    <w:p w14:paraId="7811D642" w14:textId="5F5596A3" w:rsidR="00C17428" w:rsidRDefault="00C17428" w:rsidP="00C17428">
      <w:pPr>
        <w:pStyle w:val="Prrafodelista"/>
        <w:spacing w:after="120"/>
        <w:ind w:left="644"/>
        <w:rPr>
          <w:rFonts w:ascii="Palatino Linotype" w:hAnsi="Palatino Linotype" w:cs="Times New Roman"/>
          <w:b/>
          <w:sz w:val="28"/>
          <w:szCs w:val="28"/>
          <w:lang w:val="es-EC"/>
        </w:rPr>
      </w:pPr>
    </w:p>
    <w:p w14:paraId="7180E45F" w14:textId="78C605B2" w:rsidR="00C17428" w:rsidRDefault="00C17428" w:rsidP="00C17428">
      <w:pPr>
        <w:pStyle w:val="Prrafodelista"/>
        <w:spacing w:after="120"/>
        <w:ind w:left="644"/>
        <w:rPr>
          <w:rFonts w:ascii="Palatino Linotype" w:hAnsi="Palatino Linotype" w:cs="Times New Roman"/>
          <w:b/>
          <w:sz w:val="28"/>
          <w:szCs w:val="28"/>
          <w:lang w:val="es-EC"/>
        </w:rPr>
      </w:pPr>
    </w:p>
    <w:p w14:paraId="5FD58129" w14:textId="1CC8F9B5" w:rsidR="00C17428" w:rsidRDefault="00C17428" w:rsidP="00C17428">
      <w:pPr>
        <w:pStyle w:val="Prrafodelista"/>
        <w:spacing w:after="120"/>
        <w:ind w:left="644"/>
        <w:rPr>
          <w:rFonts w:ascii="Palatino Linotype" w:hAnsi="Palatino Linotype" w:cs="Times New Roman"/>
          <w:b/>
          <w:sz w:val="28"/>
          <w:szCs w:val="28"/>
          <w:lang w:val="es-EC"/>
        </w:rPr>
      </w:pPr>
    </w:p>
    <w:p w14:paraId="6520593D" w14:textId="250C53C0" w:rsidR="00C17428" w:rsidRDefault="00C17428" w:rsidP="00C17428">
      <w:pPr>
        <w:pStyle w:val="Prrafodelista"/>
        <w:spacing w:after="120"/>
        <w:ind w:left="644"/>
        <w:rPr>
          <w:rFonts w:ascii="Palatino Linotype" w:hAnsi="Palatino Linotype" w:cs="Times New Roman"/>
          <w:b/>
          <w:sz w:val="28"/>
          <w:szCs w:val="28"/>
          <w:lang w:val="es-EC"/>
        </w:rPr>
      </w:pPr>
    </w:p>
    <w:p w14:paraId="64F5B760" w14:textId="4188DAC8" w:rsidR="00C17428" w:rsidRDefault="00C17428" w:rsidP="00C17428">
      <w:pPr>
        <w:pStyle w:val="Prrafodelista"/>
        <w:spacing w:after="120"/>
        <w:ind w:left="644"/>
        <w:rPr>
          <w:rFonts w:ascii="Palatino Linotype" w:hAnsi="Palatino Linotype" w:cs="Times New Roman"/>
          <w:b/>
          <w:sz w:val="28"/>
          <w:szCs w:val="28"/>
          <w:lang w:val="es-EC"/>
        </w:rPr>
      </w:pPr>
    </w:p>
    <w:p w14:paraId="3A3DFCA1" w14:textId="77117B62" w:rsidR="00C17428" w:rsidRDefault="00C17428" w:rsidP="00C17428">
      <w:pPr>
        <w:pStyle w:val="Prrafodelista"/>
        <w:spacing w:after="120"/>
        <w:ind w:left="644"/>
        <w:rPr>
          <w:rFonts w:ascii="Palatino Linotype" w:hAnsi="Palatino Linotype" w:cs="Times New Roman"/>
          <w:b/>
          <w:sz w:val="28"/>
          <w:szCs w:val="28"/>
          <w:lang w:val="es-EC"/>
        </w:rPr>
      </w:pPr>
    </w:p>
    <w:p w14:paraId="74B76911" w14:textId="3B46A4CA" w:rsidR="00C17428" w:rsidRDefault="00C17428" w:rsidP="00C17428">
      <w:pPr>
        <w:pStyle w:val="Prrafodelista"/>
        <w:spacing w:after="120"/>
        <w:ind w:left="644"/>
        <w:rPr>
          <w:rFonts w:ascii="Palatino Linotype" w:hAnsi="Palatino Linotype" w:cs="Times New Roman"/>
          <w:b/>
          <w:sz w:val="28"/>
          <w:szCs w:val="28"/>
          <w:lang w:val="es-EC"/>
        </w:rPr>
      </w:pPr>
    </w:p>
    <w:p w14:paraId="202CBDB7" w14:textId="6F76D145" w:rsidR="00C17428" w:rsidRDefault="00C17428" w:rsidP="00C17428">
      <w:pPr>
        <w:pStyle w:val="Prrafodelista"/>
        <w:spacing w:after="120"/>
        <w:ind w:left="644"/>
        <w:rPr>
          <w:rFonts w:ascii="Palatino Linotype" w:hAnsi="Palatino Linotype" w:cs="Times New Roman"/>
          <w:b/>
          <w:sz w:val="28"/>
          <w:szCs w:val="28"/>
          <w:lang w:val="es-EC"/>
        </w:rPr>
      </w:pPr>
    </w:p>
    <w:p w14:paraId="3C474252" w14:textId="14C8202E" w:rsidR="00C17428" w:rsidRDefault="00C17428" w:rsidP="00C17428">
      <w:pPr>
        <w:pStyle w:val="Prrafodelista"/>
        <w:spacing w:after="120"/>
        <w:ind w:left="644"/>
        <w:rPr>
          <w:rFonts w:ascii="Palatino Linotype" w:hAnsi="Palatino Linotype" w:cs="Times New Roman"/>
          <w:b/>
          <w:sz w:val="28"/>
          <w:szCs w:val="28"/>
          <w:lang w:val="es-EC"/>
        </w:rPr>
      </w:pPr>
    </w:p>
    <w:p w14:paraId="5C8736C3" w14:textId="4A4CBD91" w:rsidR="00C17428" w:rsidRDefault="00C17428" w:rsidP="00C17428">
      <w:pPr>
        <w:pStyle w:val="Prrafodelista"/>
        <w:spacing w:after="120"/>
        <w:ind w:left="644"/>
        <w:rPr>
          <w:rFonts w:ascii="Palatino Linotype" w:hAnsi="Palatino Linotype" w:cs="Times New Roman"/>
          <w:b/>
          <w:sz w:val="28"/>
          <w:szCs w:val="28"/>
          <w:lang w:val="es-EC"/>
        </w:rPr>
      </w:pPr>
    </w:p>
    <w:p w14:paraId="7D113EA3" w14:textId="64811401" w:rsidR="00C17428" w:rsidRDefault="00C17428" w:rsidP="00C17428">
      <w:pPr>
        <w:pStyle w:val="Prrafodelista"/>
        <w:spacing w:after="120"/>
        <w:ind w:left="644"/>
        <w:rPr>
          <w:rFonts w:ascii="Palatino Linotype" w:hAnsi="Palatino Linotype" w:cs="Times New Roman"/>
          <w:b/>
          <w:sz w:val="28"/>
          <w:szCs w:val="28"/>
          <w:lang w:val="es-EC"/>
        </w:rPr>
      </w:pPr>
    </w:p>
    <w:p w14:paraId="46E963D2" w14:textId="02A759FE" w:rsidR="00C17428" w:rsidRDefault="00C17428" w:rsidP="00C17428">
      <w:pPr>
        <w:pStyle w:val="Prrafodelista"/>
        <w:spacing w:after="120"/>
        <w:ind w:left="644"/>
        <w:rPr>
          <w:rFonts w:ascii="Palatino Linotype" w:hAnsi="Palatino Linotype" w:cs="Times New Roman"/>
          <w:b/>
          <w:sz w:val="28"/>
          <w:szCs w:val="28"/>
          <w:lang w:val="es-EC"/>
        </w:rPr>
      </w:pPr>
    </w:p>
    <w:p w14:paraId="69340B8F" w14:textId="0CAC6630" w:rsidR="00C17428" w:rsidRDefault="00C17428" w:rsidP="00C17428">
      <w:pPr>
        <w:pStyle w:val="Prrafodelista"/>
        <w:spacing w:after="120"/>
        <w:ind w:left="644"/>
        <w:rPr>
          <w:rFonts w:ascii="Palatino Linotype" w:hAnsi="Palatino Linotype" w:cs="Times New Roman"/>
          <w:b/>
          <w:sz w:val="28"/>
          <w:szCs w:val="28"/>
          <w:lang w:val="es-EC"/>
        </w:rPr>
      </w:pPr>
    </w:p>
    <w:p w14:paraId="4CD905DF" w14:textId="3CC30BF6" w:rsidR="00C17428" w:rsidRDefault="00C17428" w:rsidP="00C17428">
      <w:pPr>
        <w:pStyle w:val="Prrafodelista"/>
        <w:spacing w:after="120"/>
        <w:ind w:left="644"/>
        <w:rPr>
          <w:rFonts w:ascii="Palatino Linotype" w:hAnsi="Palatino Linotype" w:cs="Times New Roman"/>
          <w:b/>
          <w:sz w:val="28"/>
          <w:szCs w:val="28"/>
          <w:lang w:val="es-EC"/>
        </w:rPr>
      </w:pPr>
    </w:p>
    <w:p w14:paraId="21AEAEF1" w14:textId="457A0D78" w:rsidR="00C17428" w:rsidRDefault="00C17428" w:rsidP="00C17428">
      <w:pPr>
        <w:pStyle w:val="Prrafodelista"/>
        <w:spacing w:after="120"/>
        <w:ind w:left="644"/>
        <w:rPr>
          <w:rFonts w:ascii="Palatino Linotype" w:hAnsi="Palatino Linotype" w:cs="Times New Roman"/>
          <w:b/>
          <w:sz w:val="28"/>
          <w:szCs w:val="28"/>
          <w:lang w:val="es-EC"/>
        </w:rPr>
      </w:pPr>
    </w:p>
    <w:p w14:paraId="76639E17" w14:textId="66B4CEF7" w:rsidR="00C17428" w:rsidRDefault="00C17428" w:rsidP="00C17428">
      <w:pPr>
        <w:pStyle w:val="Prrafodelista"/>
        <w:spacing w:after="120"/>
        <w:ind w:left="644"/>
        <w:rPr>
          <w:rFonts w:ascii="Palatino Linotype" w:hAnsi="Palatino Linotype" w:cs="Times New Roman"/>
          <w:b/>
          <w:sz w:val="28"/>
          <w:szCs w:val="28"/>
          <w:lang w:val="es-EC"/>
        </w:rPr>
      </w:pPr>
    </w:p>
    <w:p w14:paraId="4174C840" w14:textId="38331605" w:rsidR="00C17428" w:rsidRDefault="00C17428" w:rsidP="00C17428">
      <w:pPr>
        <w:pStyle w:val="Prrafodelista"/>
        <w:spacing w:after="120"/>
        <w:ind w:left="644"/>
        <w:rPr>
          <w:rFonts w:ascii="Palatino Linotype" w:hAnsi="Palatino Linotype" w:cs="Times New Roman"/>
          <w:b/>
          <w:sz w:val="28"/>
          <w:szCs w:val="28"/>
          <w:lang w:val="es-EC"/>
        </w:rPr>
      </w:pPr>
    </w:p>
    <w:p w14:paraId="1AE07E55" w14:textId="315B456B" w:rsidR="00C17428" w:rsidRDefault="00C17428" w:rsidP="00C17428">
      <w:pPr>
        <w:pStyle w:val="Prrafodelista"/>
        <w:spacing w:after="120"/>
        <w:ind w:left="644"/>
        <w:rPr>
          <w:rFonts w:ascii="Palatino Linotype" w:hAnsi="Palatino Linotype" w:cs="Times New Roman"/>
          <w:b/>
          <w:sz w:val="28"/>
          <w:szCs w:val="28"/>
          <w:lang w:val="es-EC"/>
        </w:rPr>
      </w:pPr>
    </w:p>
    <w:p w14:paraId="1582D8BD" w14:textId="57C18D58" w:rsidR="00C17428" w:rsidRDefault="00C17428" w:rsidP="00C17428">
      <w:pPr>
        <w:pStyle w:val="Prrafodelista"/>
        <w:spacing w:after="120"/>
        <w:ind w:left="644"/>
        <w:rPr>
          <w:rFonts w:ascii="Palatino Linotype" w:hAnsi="Palatino Linotype" w:cs="Times New Roman"/>
          <w:b/>
          <w:sz w:val="28"/>
          <w:szCs w:val="28"/>
          <w:lang w:val="es-EC"/>
        </w:rPr>
      </w:pPr>
    </w:p>
    <w:p w14:paraId="37585C22" w14:textId="53D36528" w:rsidR="00C17428" w:rsidRDefault="00C17428" w:rsidP="00C17428">
      <w:pPr>
        <w:pStyle w:val="Prrafodelista"/>
        <w:spacing w:after="120"/>
        <w:ind w:left="644"/>
        <w:rPr>
          <w:rFonts w:ascii="Palatino Linotype" w:hAnsi="Palatino Linotype" w:cs="Times New Roman"/>
          <w:b/>
          <w:sz w:val="28"/>
          <w:szCs w:val="28"/>
          <w:lang w:val="es-EC"/>
        </w:rPr>
      </w:pPr>
    </w:p>
    <w:p w14:paraId="6FDCA371" w14:textId="65836631" w:rsidR="00C17428" w:rsidRDefault="00C17428" w:rsidP="00C17428">
      <w:pPr>
        <w:pStyle w:val="Prrafodelista"/>
        <w:spacing w:after="120"/>
        <w:ind w:left="644"/>
        <w:rPr>
          <w:rFonts w:ascii="Palatino Linotype" w:hAnsi="Palatino Linotype" w:cs="Times New Roman"/>
          <w:b/>
          <w:sz w:val="28"/>
          <w:szCs w:val="28"/>
          <w:lang w:val="es-EC"/>
        </w:rPr>
      </w:pPr>
    </w:p>
    <w:p w14:paraId="7CF457EA" w14:textId="77777777" w:rsidR="00C17428" w:rsidRPr="00C17428" w:rsidRDefault="00C17428" w:rsidP="00C17428">
      <w:pPr>
        <w:pStyle w:val="Prrafodelista"/>
        <w:spacing w:after="120"/>
        <w:ind w:left="644"/>
        <w:rPr>
          <w:rFonts w:ascii="Palatino Linotype" w:hAnsi="Palatino Linotype" w:cs="Times New Roman"/>
          <w:b/>
          <w:sz w:val="28"/>
          <w:szCs w:val="28"/>
          <w:lang w:val="es-EC"/>
        </w:rPr>
      </w:pPr>
    </w:p>
    <w:p w14:paraId="1D574F42" w14:textId="029EAB78" w:rsidR="00F76770" w:rsidRDefault="00F76770" w:rsidP="00250512">
      <w:pPr>
        <w:pStyle w:val="Prrafodelista"/>
        <w:numPr>
          <w:ilvl w:val="0"/>
          <w:numId w:val="4"/>
        </w:numPr>
        <w:spacing w:after="120"/>
        <w:rPr>
          <w:rFonts w:ascii="Palatino Linotype" w:hAnsi="Palatino Linotype" w:cs="Times New Roman"/>
          <w:b/>
          <w:sz w:val="28"/>
          <w:szCs w:val="28"/>
        </w:rPr>
      </w:pPr>
      <w:r w:rsidRPr="00C17428">
        <w:rPr>
          <w:rFonts w:ascii="Palatino Linotype" w:hAnsi="Palatino Linotype" w:cs="Times New Roman"/>
          <w:b/>
          <w:sz w:val="28"/>
          <w:szCs w:val="28"/>
        </w:rPr>
        <w:lastRenderedPageBreak/>
        <w:t>Informe Dirección General de Aviación Civil, DGAC-JX-2013-0792-O</w:t>
      </w:r>
      <w:r w:rsidR="002C3245" w:rsidRPr="00C17428">
        <w:rPr>
          <w:rFonts w:ascii="Palatino Linotype" w:hAnsi="Palatino Linotype" w:cs="Times New Roman"/>
          <w:b/>
          <w:sz w:val="28"/>
          <w:szCs w:val="28"/>
        </w:rPr>
        <w:t>.</w:t>
      </w:r>
    </w:p>
    <w:p w14:paraId="1C24C036" w14:textId="6C621CCC" w:rsidR="00C17428" w:rsidRDefault="00C17428" w:rsidP="00C17428">
      <w:pPr>
        <w:spacing w:after="120"/>
        <w:rPr>
          <w:rFonts w:ascii="Palatino Linotype" w:hAnsi="Palatino Linotype" w:cs="Times New Roman"/>
          <w:b/>
          <w:sz w:val="28"/>
          <w:szCs w:val="28"/>
        </w:rPr>
      </w:pPr>
    </w:p>
    <w:p w14:paraId="0AF7B4E0" w14:textId="5BE2A51A" w:rsidR="00C17428" w:rsidRDefault="00C17428" w:rsidP="00C17428">
      <w:pPr>
        <w:spacing w:after="120"/>
        <w:rPr>
          <w:rFonts w:ascii="Palatino Linotype" w:hAnsi="Palatino Linotype" w:cs="Times New Roman"/>
          <w:b/>
          <w:sz w:val="28"/>
          <w:szCs w:val="28"/>
        </w:rPr>
      </w:pPr>
    </w:p>
    <w:p w14:paraId="20E4CB56" w14:textId="04596382" w:rsidR="00C17428" w:rsidRDefault="00C17428" w:rsidP="00C17428">
      <w:pPr>
        <w:spacing w:after="120"/>
        <w:rPr>
          <w:rFonts w:ascii="Palatino Linotype" w:hAnsi="Palatino Linotype" w:cs="Times New Roman"/>
          <w:b/>
          <w:sz w:val="28"/>
          <w:szCs w:val="28"/>
        </w:rPr>
      </w:pPr>
    </w:p>
    <w:p w14:paraId="744B2DB7" w14:textId="0325CE3B" w:rsidR="00C17428" w:rsidRDefault="00C17428" w:rsidP="00C17428">
      <w:pPr>
        <w:spacing w:after="120"/>
        <w:rPr>
          <w:rFonts w:ascii="Palatino Linotype" w:hAnsi="Palatino Linotype" w:cs="Times New Roman"/>
          <w:b/>
          <w:sz w:val="28"/>
          <w:szCs w:val="28"/>
        </w:rPr>
      </w:pPr>
    </w:p>
    <w:p w14:paraId="5C654D94" w14:textId="355DFDB0" w:rsidR="00C17428" w:rsidRDefault="00C17428" w:rsidP="00C17428">
      <w:pPr>
        <w:spacing w:after="120"/>
        <w:rPr>
          <w:rFonts w:ascii="Palatino Linotype" w:hAnsi="Palatino Linotype" w:cs="Times New Roman"/>
          <w:b/>
          <w:sz w:val="28"/>
          <w:szCs w:val="28"/>
        </w:rPr>
      </w:pPr>
    </w:p>
    <w:p w14:paraId="71DA0806" w14:textId="5472CC22" w:rsidR="00C17428" w:rsidRDefault="00C17428" w:rsidP="00C17428">
      <w:pPr>
        <w:spacing w:after="120"/>
        <w:rPr>
          <w:rFonts w:ascii="Palatino Linotype" w:hAnsi="Palatino Linotype" w:cs="Times New Roman"/>
          <w:b/>
          <w:sz w:val="28"/>
          <w:szCs w:val="28"/>
        </w:rPr>
      </w:pPr>
    </w:p>
    <w:p w14:paraId="530E1B3A" w14:textId="5F3768F8" w:rsidR="00C17428" w:rsidRDefault="00C17428" w:rsidP="00C17428">
      <w:pPr>
        <w:spacing w:after="120"/>
        <w:rPr>
          <w:rFonts w:ascii="Palatino Linotype" w:hAnsi="Palatino Linotype" w:cs="Times New Roman"/>
          <w:b/>
          <w:sz w:val="28"/>
          <w:szCs w:val="28"/>
        </w:rPr>
      </w:pPr>
    </w:p>
    <w:p w14:paraId="6BC2D752" w14:textId="2CCB4DD7" w:rsidR="00C17428" w:rsidRDefault="00C17428" w:rsidP="00C17428">
      <w:pPr>
        <w:spacing w:after="120"/>
        <w:rPr>
          <w:rFonts w:ascii="Palatino Linotype" w:hAnsi="Palatino Linotype" w:cs="Times New Roman"/>
          <w:b/>
          <w:sz w:val="28"/>
          <w:szCs w:val="28"/>
        </w:rPr>
      </w:pPr>
    </w:p>
    <w:p w14:paraId="0E75FE0F" w14:textId="5FA04DD4" w:rsidR="00C17428" w:rsidRDefault="00C17428" w:rsidP="00C17428">
      <w:pPr>
        <w:spacing w:after="120"/>
        <w:rPr>
          <w:rFonts w:ascii="Palatino Linotype" w:hAnsi="Palatino Linotype" w:cs="Times New Roman"/>
          <w:b/>
          <w:sz w:val="28"/>
          <w:szCs w:val="28"/>
        </w:rPr>
      </w:pPr>
    </w:p>
    <w:p w14:paraId="23D6A9B1" w14:textId="7D389F73" w:rsidR="00C17428" w:rsidRDefault="00C17428" w:rsidP="00C17428">
      <w:pPr>
        <w:spacing w:after="120"/>
        <w:rPr>
          <w:rFonts w:ascii="Palatino Linotype" w:hAnsi="Palatino Linotype" w:cs="Times New Roman"/>
          <w:b/>
          <w:sz w:val="28"/>
          <w:szCs w:val="28"/>
        </w:rPr>
      </w:pPr>
    </w:p>
    <w:p w14:paraId="0049E8CE" w14:textId="2E74DB36" w:rsidR="00C17428" w:rsidRDefault="00C17428" w:rsidP="00C17428">
      <w:pPr>
        <w:spacing w:after="120"/>
        <w:rPr>
          <w:rFonts w:ascii="Palatino Linotype" w:hAnsi="Palatino Linotype" w:cs="Times New Roman"/>
          <w:b/>
          <w:sz w:val="28"/>
          <w:szCs w:val="28"/>
        </w:rPr>
      </w:pPr>
    </w:p>
    <w:p w14:paraId="540A7F2F" w14:textId="31BE0AC3" w:rsidR="00C17428" w:rsidRDefault="00C17428" w:rsidP="00C17428">
      <w:pPr>
        <w:spacing w:after="120"/>
        <w:rPr>
          <w:rFonts w:ascii="Palatino Linotype" w:hAnsi="Palatino Linotype" w:cs="Times New Roman"/>
          <w:b/>
          <w:sz w:val="28"/>
          <w:szCs w:val="28"/>
        </w:rPr>
      </w:pPr>
    </w:p>
    <w:p w14:paraId="62AFA8C3" w14:textId="07EA3D73" w:rsidR="00C17428" w:rsidRDefault="00C17428" w:rsidP="00C17428">
      <w:pPr>
        <w:spacing w:after="120"/>
        <w:rPr>
          <w:rFonts w:ascii="Palatino Linotype" w:hAnsi="Palatino Linotype" w:cs="Times New Roman"/>
          <w:b/>
          <w:sz w:val="28"/>
          <w:szCs w:val="28"/>
        </w:rPr>
      </w:pPr>
    </w:p>
    <w:p w14:paraId="40441AE0" w14:textId="0FC7E2C3" w:rsidR="00C17428" w:rsidRDefault="00C17428" w:rsidP="00C17428">
      <w:pPr>
        <w:spacing w:after="120"/>
        <w:rPr>
          <w:rFonts w:ascii="Palatino Linotype" w:hAnsi="Palatino Linotype" w:cs="Times New Roman"/>
          <w:b/>
          <w:sz w:val="28"/>
          <w:szCs w:val="28"/>
        </w:rPr>
      </w:pPr>
    </w:p>
    <w:p w14:paraId="02530F16" w14:textId="477673F7" w:rsidR="00C17428" w:rsidRDefault="00C17428" w:rsidP="00C17428">
      <w:pPr>
        <w:spacing w:after="120"/>
        <w:rPr>
          <w:rFonts w:ascii="Palatino Linotype" w:hAnsi="Palatino Linotype" w:cs="Times New Roman"/>
          <w:b/>
          <w:sz w:val="28"/>
          <w:szCs w:val="28"/>
        </w:rPr>
      </w:pPr>
    </w:p>
    <w:p w14:paraId="264BB4AF" w14:textId="415F61E9" w:rsidR="00C17428" w:rsidRDefault="00C17428" w:rsidP="00C17428">
      <w:pPr>
        <w:spacing w:after="120"/>
        <w:rPr>
          <w:rFonts w:ascii="Palatino Linotype" w:hAnsi="Palatino Linotype" w:cs="Times New Roman"/>
          <w:b/>
          <w:sz w:val="28"/>
          <w:szCs w:val="28"/>
        </w:rPr>
      </w:pPr>
    </w:p>
    <w:p w14:paraId="033BF44D" w14:textId="2E17DA7B" w:rsidR="00C17428" w:rsidRDefault="00C17428" w:rsidP="00C17428">
      <w:pPr>
        <w:spacing w:after="120"/>
        <w:rPr>
          <w:rFonts w:ascii="Palatino Linotype" w:hAnsi="Palatino Linotype" w:cs="Times New Roman"/>
          <w:b/>
          <w:sz w:val="28"/>
          <w:szCs w:val="28"/>
        </w:rPr>
      </w:pPr>
    </w:p>
    <w:p w14:paraId="6425767A" w14:textId="0C3F1657" w:rsidR="00C17428" w:rsidRDefault="00C17428" w:rsidP="00C17428">
      <w:pPr>
        <w:spacing w:after="120"/>
        <w:rPr>
          <w:rFonts w:ascii="Palatino Linotype" w:hAnsi="Palatino Linotype" w:cs="Times New Roman"/>
          <w:b/>
          <w:sz w:val="28"/>
          <w:szCs w:val="28"/>
        </w:rPr>
      </w:pPr>
    </w:p>
    <w:p w14:paraId="6B48D049" w14:textId="636B61B3" w:rsidR="00C17428" w:rsidRDefault="00C17428" w:rsidP="00C17428">
      <w:pPr>
        <w:spacing w:after="120"/>
        <w:rPr>
          <w:rFonts w:ascii="Palatino Linotype" w:hAnsi="Palatino Linotype" w:cs="Times New Roman"/>
          <w:b/>
          <w:sz w:val="28"/>
          <w:szCs w:val="28"/>
        </w:rPr>
      </w:pPr>
    </w:p>
    <w:p w14:paraId="2990007F" w14:textId="146FD444" w:rsidR="00C17428" w:rsidRDefault="00C17428" w:rsidP="00C17428">
      <w:pPr>
        <w:spacing w:after="120"/>
        <w:rPr>
          <w:rFonts w:ascii="Palatino Linotype" w:hAnsi="Palatino Linotype" w:cs="Times New Roman"/>
          <w:b/>
          <w:sz w:val="28"/>
          <w:szCs w:val="28"/>
        </w:rPr>
      </w:pPr>
    </w:p>
    <w:p w14:paraId="212EFD29" w14:textId="22B2DA2C" w:rsidR="00C17428" w:rsidRDefault="00C17428" w:rsidP="00C17428">
      <w:pPr>
        <w:spacing w:after="120"/>
        <w:rPr>
          <w:rFonts w:ascii="Palatino Linotype" w:hAnsi="Palatino Linotype" w:cs="Times New Roman"/>
          <w:b/>
          <w:sz w:val="28"/>
          <w:szCs w:val="28"/>
        </w:rPr>
      </w:pPr>
    </w:p>
    <w:p w14:paraId="39886487" w14:textId="77777777" w:rsidR="00C261F8" w:rsidRPr="00C17428" w:rsidRDefault="003C5B5B" w:rsidP="00250512">
      <w:pPr>
        <w:pStyle w:val="Prrafodelista"/>
        <w:numPr>
          <w:ilvl w:val="0"/>
          <w:numId w:val="4"/>
        </w:numPr>
        <w:spacing w:after="120"/>
        <w:rPr>
          <w:rFonts w:ascii="Palatino Linotype" w:hAnsi="Palatino Linotype" w:cs="Times New Roman"/>
          <w:b/>
          <w:sz w:val="28"/>
          <w:szCs w:val="28"/>
        </w:rPr>
      </w:pPr>
      <w:r w:rsidRPr="00C17428">
        <w:rPr>
          <w:rFonts w:ascii="Palatino Linotype" w:hAnsi="Palatino Linotype" w:cs="Times New Roman"/>
          <w:b/>
          <w:sz w:val="28"/>
          <w:szCs w:val="28"/>
        </w:rPr>
        <w:lastRenderedPageBreak/>
        <w:t xml:space="preserve">A) </w:t>
      </w:r>
      <w:r w:rsidR="00C261F8" w:rsidRPr="00C17428">
        <w:rPr>
          <w:rFonts w:ascii="Palatino Linotype" w:hAnsi="Palatino Linotype" w:cs="Times New Roman"/>
          <w:b/>
          <w:sz w:val="28"/>
          <w:szCs w:val="28"/>
        </w:rPr>
        <w:t xml:space="preserve">Informe de la Secretaría de Movilidad No. SM-180/2015 contenido en el Oficio No. SM 1982 de fecha 29 de julio de 2015, </w:t>
      </w:r>
    </w:p>
    <w:p w14:paraId="408568CF" w14:textId="5DC269B9" w:rsidR="001C553A" w:rsidRDefault="003C5B5B" w:rsidP="00C17428">
      <w:pPr>
        <w:tabs>
          <w:tab w:val="left" w:pos="993"/>
        </w:tabs>
        <w:spacing w:after="120"/>
        <w:ind w:left="644" w:right="-1"/>
        <w:rPr>
          <w:rFonts w:ascii="Palatino Linotype" w:hAnsi="Palatino Linotype" w:cs="Times New Roman"/>
          <w:b/>
          <w:sz w:val="28"/>
          <w:szCs w:val="28"/>
        </w:rPr>
      </w:pPr>
      <w:r w:rsidRPr="00C17428">
        <w:rPr>
          <w:rFonts w:ascii="Palatino Linotype" w:hAnsi="Palatino Linotype" w:cs="Times New Roman"/>
          <w:b/>
          <w:sz w:val="28"/>
          <w:szCs w:val="28"/>
        </w:rPr>
        <w:t>B) Oficio</w:t>
      </w:r>
      <w:r w:rsidR="006F175F" w:rsidRPr="00C17428">
        <w:rPr>
          <w:rFonts w:ascii="Palatino Linotype" w:hAnsi="Palatino Linotype" w:cs="Times New Roman"/>
          <w:b/>
          <w:sz w:val="28"/>
          <w:szCs w:val="28"/>
        </w:rPr>
        <w:t xml:space="preserve"> de la Secretaría de Movilidad</w:t>
      </w:r>
      <w:r w:rsidRPr="00C17428">
        <w:rPr>
          <w:rFonts w:ascii="Palatino Linotype" w:hAnsi="Palatino Linotype" w:cs="Times New Roman"/>
          <w:b/>
          <w:sz w:val="28"/>
          <w:szCs w:val="28"/>
        </w:rPr>
        <w:t xml:space="preserve"> No. SM-189-2018 del 2 de febrero de 2018, que contiene el informe técnico No. SM-DPPM-013/2018.</w:t>
      </w:r>
    </w:p>
    <w:p w14:paraId="065EBC8C" w14:textId="235632BB" w:rsidR="00C17428" w:rsidRDefault="00C17428" w:rsidP="00C17428">
      <w:pPr>
        <w:tabs>
          <w:tab w:val="left" w:pos="993"/>
        </w:tabs>
        <w:spacing w:after="120"/>
        <w:ind w:left="644" w:right="-1"/>
        <w:rPr>
          <w:rFonts w:ascii="Palatino Linotype" w:hAnsi="Palatino Linotype" w:cs="Times New Roman"/>
          <w:b/>
          <w:sz w:val="28"/>
          <w:szCs w:val="28"/>
        </w:rPr>
      </w:pPr>
    </w:p>
    <w:p w14:paraId="3CE4F1F2" w14:textId="3622ABBA" w:rsidR="00C17428" w:rsidRDefault="00C17428" w:rsidP="00C17428">
      <w:pPr>
        <w:tabs>
          <w:tab w:val="left" w:pos="993"/>
        </w:tabs>
        <w:spacing w:after="120"/>
        <w:ind w:left="644" w:right="-1"/>
        <w:rPr>
          <w:rFonts w:ascii="Palatino Linotype" w:hAnsi="Palatino Linotype" w:cs="Times New Roman"/>
          <w:b/>
          <w:sz w:val="28"/>
          <w:szCs w:val="28"/>
        </w:rPr>
      </w:pPr>
    </w:p>
    <w:p w14:paraId="6B22DE1A" w14:textId="33AF7BFD" w:rsidR="00C17428" w:rsidRDefault="00C17428" w:rsidP="00C17428">
      <w:pPr>
        <w:tabs>
          <w:tab w:val="left" w:pos="993"/>
        </w:tabs>
        <w:spacing w:after="120"/>
        <w:ind w:left="644" w:right="-1"/>
        <w:rPr>
          <w:rFonts w:ascii="Palatino Linotype" w:hAnsi="Palatino Linotype" w:cs="Times New Roman"/>
          <w:b/>
          <w:sz w:val="28"/>
          <w:szCs w:val="28"/>
        </w:rPr>
      </w:pPr>
    </w:p>
    <w:p w14:paraId="6E346C27" w14:textId="6C260CCD" w:rsidR="00C17428" w:rsidRDefault="00C17428" w:rsidP="00C17428">
      <w:pPr>
        <w:tabs>
          <w:tab w:val="left" w:pos="993"/>
        </w:tabs>
        <w:spacing w:after="120"/>
        <w:ind w:left="644" w:right="-1"/>
        <w:rPr>
          <w:rFonts w:ascii="Palatino Linotype" w:hAnsi="Palatino Linotype" w:cs="Times New Roman"/>
          <w:b/>
          <w:sz w:val="28"/>
          <w:szCs w:val="28"/>
        </w:rPr>
      </w:pPr>
    </w:p>
    <w:p w14:paraId="0AC5FF66" w14:textId="68E3A752" w:rsidR="00C17428" w:rsidRDefault="00C17428" w:rsidP="00C17428">
      <w:pPr>
        <w:tabs>
          <w:tab w:val="left" w:pos="993"/>
        </w:tabs>
        <w:spacing w:after="120"/>
        <w:ind w:left="644" w:right="-1"/>
        <w:rPr>
          <w:rFonts w:ascii="Palatino Linotype" w:hAnsi="Palatino Linotype" w:cs="Times New Roman"/>
          <w:b/>
          <w:sz w:val="28"/>
          <w:szCs w:val="28"/>
        </w:rPr>
      </w:pPr>
    </w:p>
    <w:p w14:paraId="0096E8A2" w14:textId="38673B49" w:rsidR="00C17428" w:rsidRDefault="00C17428" w:rsidP="00C17428">
      <w:pPr>
        <w:tabs>
          <w:tab w:val="left" w:pos="993"/>
        </w:tabs>
        <w:spacing w:after="120"/>
        <w:ind w:left="644" w:right="-1"/>
        <w:rPr>
          <w:rFonts w:ascii="Palatino Linotype" w:hAnsi="Palatino Linotype" w:cs="Times New Roman"/>
          <w:b/>
          <w:sz w:val="28"/>
          <w:szCs w:val="28"/>
        </w:rPr>
      </w:pPr>
    </w:p>
    <w:p w14:paraId="6B5A2E58" w14:textId="7DB0CE91" w:rsidR="00C17428" w:rsidRDefault="00C17428" w:rsidP="00C17428">
      <w:pPr>
        <w:tabs>
          <w:tab w:val="left" w:pos="993"/>
        </w:tabs>
        <w:spacing w:after="120"/>
        <w:ind w:left="644" w:right="-1"/>
        <w:rPr>
          <w:rFonts w:ascii="Palatino Linotype" w:hAnsi="Palatino Linotype" w:cs="Times New Roman"/>
          <w:b/>
          <w:sz w:val="28"/>
          <w:szCs w:val="28"/>
        </w:rPr>
      </w:pPr>
    </w:p>
    <w:p w14:paraId="02F18066" w14:textId="05D775F1" w:rsidR="00C17428" w:rsidRDefault="00C17428" w:rsidP="00C17428">
      <w:pPr>
        <w:tabs>
          <w:tab w:val="left" w:pos="993"/>
        </w:tabs>
        <w:spacing w:after="120"/>
        <w:ind w:left="644" w:right="-1"/>
        <w:rPr>
          <w:rFonts w:ascii="Palatino Linotype" w:hAnsi="Palatino Linotype" w:cs="Times New Roman"/>
          <w:b/>
          <w:sz w:val="28"/>
          <w:szCs w:val="28"/>
        </w:rPr>
      </w:pPr>
    </w:p>
    <w:p w14:paraId="35D44A76" w14:textId="2C396C46" w:rsidR="00C17428" w:rsidRDefault="00C17428" w:rsidP="00C17428">
      <w:pPr>
        <w:tabs>
          <w:tab w:val="left" w:pos="993"/>
        </w:tabs>
        <w:spacing w:after="120"/>
        <w:ind w:left="644" w:right="-1"/>
        <w:rPr>
          <w:rFonts w:ascii="Palatino Linotype" w:hAnsi="Palatino Linotype" w:cs="Times New Roman"/>
          <w:b/>
          <w:sz w:val="28"/>
          <w:szCs w:val="28"/>
        </w:rPr>
      </w:pPr>
    </w:p>
    <w:p w14:paraId="31FB74B3" w14:textId="16B8C482" w:rsidR="00C17428" w:rsidRDefault="00C17428" w:rsidP="00C17428">
      <w:pPr>
        <w:tabs>
          <w:tab w:val="left" w:pos="993"/>
        </w:tabs>
        <w:spacing w:after="120"/>
        <w:ind w:left="644" w:right="-1"/>
        <w:rPr>
          <w:rFonts w:ascii="Palatino Linotype" w:hAnsi="Palatino Linotype" w:cs="Times New Roman"/>
          <w:b/>
          <w:sz w:val="28"/>
          <w:szCs w:val="28"/>
        </w:rPr>
      </w:pPr>
    </w:p>
    <w:p w14:paraId="49575BA9" w14:textId="37643138" w:rsidR="00C17428" w:rsidRDefault="00C17428" w:rsidP="00C17428">
      <w:pPr>
        <w:tabs>
          <w:tab w:val="left" w:pos="993"/>
        </w:tabs>
        <w:spacing w:after="120"/>
        <w:ind w:left="644" w:right="-1"/>
        <w:rPr>
          <w:rFonts w:ascii="Palatino Linotype" w:hAnsi="Palatino Linotype" w:cs="Times New Roman"/>
          <w:b/>
          <w:sz w:val="28"/>
          <w:szCs w:val="28"/>
        </w:rPr>
      </w:pPr>
    </w:p>
    <w:p w14:paraId="19C10E7B" w14:textId="1E55560F" w:rsidR="00C17428" w:rsidRDefault="00C17428" w:rsidP="00C17428">
      <w:pPr>
        <w:tabs>
          <w:tab w:val="left" w:pos="993"/>
        </w:tabs>
        <w:spacing w:after="120"/>
        <w:ind w:left="644" w:right="-1"/>
        <w:rPr>
          <w:rFonts w:ascii="Palatino Linotype" w:hAnsi="Palatino Linotype" w:cs="Times New Roman"/>
          <w:b/>
          <w:sz w:val="28"/>
          <w:szCs w:val="28"/>
        </w:rPr>
      </w:pPr>
    </w:p>
    <w:p w14:paraId="4AD33AF7" w14:textId="2489F471" w:rsidR="00C17428" w:rsidRDefault="00C17428" w:rsidP="00C17428">
      <w:pPr>
        <w:tabs>
          <w:tab w:val="left" w:pos="993"/>
        </w:tabs>
        <w:spacing w:after="120"/>
        <w:ind w:left="644" w:right="-1"/>
        <w:rPr>
          <w:rFonts w:ascii="Palatino Linotype" w:hAnsi="Palatino Linotype" w:cs="Times New Roman"/>
          <w:b/>
          <w:sz w:val="28"/>
          <w:szCs w:val="28"/>
        </w:rPr>
      </w:pPr>
    </w:p>
    <w:p w14:paraId="5B735D4E" w14:textId="73CF5366" w:rsidR="00C17428" w:rsidRDefault="00C17428" w:rsidP="00C17428">
      <w:pPr>
        <w:tabs>
          <w:tab w:val="left" w:pos="993"/>
        </w:tabs>
        <w:spacing w:after="120"/>
        <w:ind w:left="644" w:right="-1"/>
        <w:rPr>
          <w:rFonts w:ascii="Palatino Linotype" w:hAnsi="Palatino Linotype" w:cs="Times New Roman"/>
          <w:b/>
          <w:sz w:val="28"/>
          <w:szCs w:val="28"/>
        </w:rPr>
      </w:pPr>
    </w:p>
    <w:p w14:paraId="73BF56A1" w14:textId="0E6B51F5" w:rsidR="00C17428" w:rsidRDefault="00C17428" w:rsidP="00C17428">
      <w:pPr>
        <w:tabs>
          <w:tab w:val="left" w:pos="993"/>
        </w:tabs>
        <w:spacing w:after="120"/>
        <w:ind w:left="644" w:right="-1"/>
        <w:rPr>
          <w:rFonts w:ascii="Palatino Linotype" w:hAnsi="Palatino Linotype" w:cs="Times New Roman"/>
          <w:b/>
          <w:sz w:val="28"/>
          <w:szCs w:val="28"/>
        </w:rPr>
      </w:pPr>
    </w:p>
    <w:p w14:paraId="4633D408" w14:textId="4D5A214E" w:rsidR="00C17428" w:rsidRDefault="00C17428" w:rsidP="00C17428">
      <w:pPr>
        <w:tabs>
          <w:tab w:val="left" w:pos="993"/>
        </w:tabs>
        <w:spacing w:after="120"/>
        <w:ind w:left="644" w:right="-1"/>
        <w:rPr>
          <w:rFonts w:ascii="Palatino Linotype" w:hAnsi="Palatino Linotype" w:cs="Times New Roman"/>
          <w:b/>
          <w:sz w:val="28"/>
          <w:szCs w:val="28"/>
        </w:rPr>
      </w:pPr>
    </w:p>
    <w:p w14:paraId="15BC847B" w14:textId="7C331FAC" w:rsidR="00C17428" w:rsidRDefault="00C17428" w:rsidP="00C17428">
      <w:pPr>
        <w:tabs>
          <w:tab w:val="left" w:pos="993"/>
        </w:tabs>
        <w:spacing w:after="120"/>
        <w:ind w:left="644" w:right="-1"/>
        <w:rPr>
          <w:rFonts w:ascii="Palatino Linotype" w:hAnsi="Palatino Linotype" w:cs="Times New Roman"/>
          <w:b/>
          <w:sz w:val="28"/>
          <w:szCs w:val="28"/>
        </w:rPr>
      </w:pPr>
    </w:p>
    <w:p w14:paraId="50530424" w14:textId="77777777" w:rsidR="00C17428" w:rsidRPr="00C17428" w:rsidRDefault="00C17428" w:rsidP="00C17428">
      <w:pPr>
        <w:tabs>
          <w:tab w:val="left" w:pos="993"/>
        </w:tabs>
        <w:spacing w:after="120"/>
        <w:ind w:left="644" w:right="-1"/>
        <w:rPr>
          <w:rFonts w:ascii="Palatino Linotype" w:hAnsi="Palatino Linotype" w:cs="Times New Roman"/>
          <w:b/>
          <w:sz w:val="28"/>
          <w:szCs w:val="28"/>
        </w:rPr>
      </w:pPr>
    </w:p>
    <w:p w14:paraId="591297E7" w14:textId="4EF33545" w:rsidR="001C553A" w:rsidRDefault="001C553A" w:rsidP="00250512">
      <w:pPr>
        <w:pStyle w:val="Prrafodelista"/>
        <w:numPr>
          <w:ilvl w:val="0"/>
          <w:numId w:val="4"/>
        </w:numPr>
        <w:spacing w:after="120"/>
        <w:rPr>
          <w:rFonts w:ascii="Palatino Linotype" w:hAnsi="Palatino Linotype" w:cs="Times New Roman"/>
          <w:b/>
          <w:sz w:val="28"/>
          <w:szCs w:val="28"/>
        </w:rPr>
      </w:pPr>
      <w:r w:rsidRPr="00C17428">
        <w:rPr>
          <w:rFonts w:ascii="Palatino Linotype" w:hAnsi="Palatino Linotype" w:cs="Times New Roman"/>
          <w:b/>
          <w:sz w:val="28"/>
          <w:szCs w:val="28"/>
        </w:rPr>
        <w:lastRenderedPageBreak/>
        <w:t>Informe de la Secretaría de Ambiente contenido en el Oficio No. SA-POL-FIS-2014-7300 de fecha 18 de diciembre de 2014</w:t>
      </w:r>
      <w:r w:rsidR="00BE19D0" w:rsidRPr="00C17428">
        <w:rPr>
          <w:rFonts w:ascii="Palatino Linotype" w:hAnsi="Palatino Linotype" w:cs="Times New Roman"/>
          <w:b/>
          <w:sz w:val="28"/>
          <w:szCs w:val="28"/>
        </w:rPr>
        <w:t>.</w:t>
      </w:r>
      <w:r w:rsidRPr="00C17428">
        <w:rPr>
          <w:rFonts w:ascii="Palatino Linotype" w:hAnsi="Palatino Linotype" w:cs="Times New Roman"/>
          <w:b/>
          <w:sz w:val="28"/>
          <w:szCs w:val="28"/>
        </w:rPr>
        <w:t xml:space="preserve"> </w:t>
      </w:r>
    </w:p>
    <w:p w14:paraId="634F6FCE" w14:textId="554F6C9D" w:rsidR="00C17428" w:rsidRDefault="00C17428" w:rsidP="00C17428">
      <w:pPr>
        <w:spacing w:after="120"/>
        <w:rPr>
          <w:rFonts w:ascii="Palatino Linotype" w:hAnsi="Palatino Linotype" w:cs="Times New Roman"/>
          <w:b/>
          <w:sz w:val="28"/>
          <w:szCs w:val="28"/>
        </w:rPr>
      </w:pPr>
    </w:p>
    <w:p w14:paraId="63069A1A" w14:textId="0F52B3D6" w:rsidR="00C17428" w:rsidRDefault="00C17428" w:rsidP="00C17428">
      <w:pPr>
        <w:spacing w:after="120"/>
        <w:rPr>
          <w:rFonts w:ascii="Palatino Linotype" w:hAnsi="Palatino Linotype" w:cs="Times New Roman"/>
          <w:b/>
          <w:sz w:val="28"/>
          <w:szCs w:val="28"/>
        </w:rPr>
      </w:pPr>
    </w:p>
    <w:p w14:paraId="72C9CACB" w14:textId="4275B479" w:rsidR="00C17428" w:rsidRDefault="00C17428" w:rsidP="00C17428">
      <w:pPr>
        <w:spacing w:after="120"/>
        <w:rPr>
          <w:rFonts w:ascii="Palatino Linotype" w:hAnsi="Palatino Linotype" w:cs="Times New Roman"/>
          <w:b/>
          <w:sz w:val="28"/>
          <w:szCs w:val="28"/>
        </w:rPr>
      </w:pPr>
    </w:p>
    <w:p w14:paraId="389960FF" w14:textId="6F2AE4B6" w:rsidR="00C17428" w:rsidRDefault="00C17428" w:rsidP="00C17428">
      <w:pPr>
        <w:spacing w:after="120"/>
        <w:rPr>
          <w:rFonts w:ascii="Palatino Linotype" w:hAnsi="Palatino Linotype" w:cs="Times New Roman"/>
          <w:b/>
          <w:sz w:val="28"/>
          <w:szCs w:val="28"/>
        </w:rPr>
      </w:pPr>
    </w:p>
    <w:p w14:paraId="5B94FE4C" w14:textId="7DEC7DE6" w:rsidR="00C17428" w:rsidRDefault="00C17428" w:rsidP="00C17428">
      <w:pPr>
        <w:spacing w:after="120"/>
        <w:rPr>
          <w:rFonts w:ascii="Palatino Linotype" w:hAnsi="Palatino Linotype" w:cs="Times New Roman"/>
          <w:b/>
          <w:sz w:val="28"/>
          <w:szCs w:val="28"/>
        </w:rPr>
      </w:pPr>
    </w:p>
    <w:p w14:paraId="74A6EE04" w14:textId="43060D42" w:rsidR="00C17428" w:rsidRDefault="00C17428" w:rsidP="00C17428">
      <w:pPr>
        <w:spacing w:after="120"/>
        <w:rPr>
          <w:rFonts w:ascii="Palatino Linotype" w:hAnsi="Palatino Linotype" w:cs="Times New Roman"/>
          <w:b/>
          <w:sz w:val="28"/>
          <w:szCs w:val="28"/>
        </w:rPr>
      </w:pPr>
    </w:p>
    <w:p w14:paraId="5A3775EA" w14:textId="1CB38327" w:rsidR="00C17428" w:rsidRDefault="00C17428" w:rsidP="00C17428">
      <w:pPr>
        <w:spacing w:after="120"/>
        <w:rPr>
          <w:rFonts w:ascii="Palatino Linotype" w:hAnsi="Palatino Linotype" w:cs="Times New Roman"/>
          <w:b/>
          <w:sz w:val="28"/>
          <w:szCs w:val="28"/>
        </w:rPr>
      </w:pPr>
    </w:p>
    <w:p w14:paraId="2DBB2D49" w14:textId="00C51341" w:rsidR="00C17428" w:rsidRDefault="00C17428" w:rsidP="00C17428">
      <w:pPr>
        <w:spacing w:after="120"/>
        <w:rPr>
          <w:rFonts w:ascii="Palatino Linotype" w:hAnsi="Palatino Linotype" w:cs="Times New Roman"/>
          <w:b/>
          <w:sz w:val="28"/>
          <w:szCs w:val="28"/>
        </w:rPr>
      </w:pPr>
    </w:p>
    <w:p w14:paraId="23804DE7" w14:textId="0C394D9F" w:rsidR="00C17428" w:rsidRDefault="00C17428" w:rsidP="00C17428">
      <w:pPr>
        <w:spacing w:after="120"/>
        <w:rPr>
          <w:rFonts w:ascii="Palatino Linotype" w:hAnsi="Palatino Linotype" w:cs="Times New Roman"/>
          <w:b/>
          <w:sz w:val="28"/>
          <w:szCs w:val="28"/>
        </w:rPr>
      </w:pPr>
    </w:p>
    <w:p w14:paraId="0D637C4F" w14:textId="3CA48C9F" w:rsidR="00C17428" w:rsidRDefault="00C17428" w:rsidP="00C17428">
      <w:pPr>
        <w:spacing w:after="120"/>
        <w:rPr>
          <w:rFonts w:ascii="Palatino Linotype" w:hAnsi="Palatino Linotype" w:cs="Times New Roman"/>
          <w:b/>
          <w:sz w:val="28"/>
          <w:szCs w:val="28"/>
        </w:rPr>
      </w:pPr>
    </w:p>
    <w:p w14:paraId="0FB38E83" w14:textId="766EF22E" w:rsidR="00C17428" w:rsidRDefault="00C17428" w:rsidP="00C17428">
      <w:pPr>
        <w:spacing w:after="120"/>
        <w:rPr>
          <w:rFonts w:ascii="Palatino Linotype" w:hAnsi="Palatino Linotype" w:cs="Times New Roman"/>
          <w:b/>
          <w:sz w:val="28"/>
          <w:szCs w:val="28"/>
        </w:rPr>
      </w:pPr>
    </w:p>
    <w:p w14:paraId="194DD090" w14:textId="5946F5E8" w:rsidR="00C17428" w:rsidRDefault="00C17428" w:rsidP="00C17428">
      <w:pPr>
        <w:spacing w:after="120"/>
        <w:rPr>
          <w:rFonts w:ascii="Palatino Linotype" w:hAnsi="Palatino Linotype" w:cs="Times New Roman"/>
          <w:b/>
          <w:sz w:val="28"/>
          <w:szCs w:val="28"/>
        </w:rPr>
      </w:pPr>
    </w:p>
    <w:p w14:paraId="1254BE12" w14:textId="580C6485" w:rsidR="00C17428" w:rsidRDefault="00C17428" w:rsidP="00C17428">
      <w:pPr>
        <w:spacing w:after="120"/>
        <w:rPr>
          <w:rFonts w:ascii="Palatino Linotype" w:hAnsi="Palatino Linotype" w:cs="Times New Roman"/>
          <w:b/>
          <w:sz w:val="28"/>
          <w:szCs w:val="28"/>
        </w:rPr>
      </w:pPr>
    </w:p>
    <w:p w14:paraId="6E79340E" w14:textId="3ACEF2F3" w:rsidR="00C17428" w:rsidRDefault="00C17428" w:rsidP="00C17428">
      <w:pPr>
        <w:spacing w:after="120"/>
        <w:rPr>
          <w:rFonts w:ascii="Palatino Linotype" w:hAnsi="Palatino Linotype" w:cs="Times New Roman"/>
          <w:b/>
          <w:sz w:val="28"/>
          <w:szCs w:val="28"/>
        </w:rPr>
      </w:pPr>
    </w:p>
    <w:p w14:paraId="304B237A" w14:textId="4D9CD8EF" w:rsidR="00C17428" w:rsidRDefault="00C17428" w:rsidP="00C17428">
      <w:pPr>
        <w:spacing w:after="120"/>
        <w:rPr>
          <w:rFonts w:ascii="Palatino Linotype" w:hAnsi="Palatino Linotype" w:cs="Times New Roman"/>
          <w:b/>
          <w:sz w:val="28"/>
          <w:szCs w:val="28"/>
        </w:rPr>
      </w:pPr>
    </w:p>
    <w:p w14:paraId="153B2BF5" w14:textId="1A121565" w:rsidR="00C17428" w:rsidRDefault="00C17428" w:rsidP="00C17428">
      <w:pPr>
        <w:spacing w:after="120"/>
        <w:rPr>
          <w:rFonts w:ascii="Palatino Linotype" w:hAnsi="Palatino Linotype" w:cs="Times New Roman"/>
          <w:b/>
          <w:sz w:val="28"/>
          <w:szCs w:val="28"/>
        </w:rPr>
      </w:pPr>
    </w:p>
    <w:p w14:paraId="42CB90CB" w14:textId="167E9211" w:rsidR="00C17428" w:rsidRDefault="00C17428" w:rsidP="00C17428">
      <w:pPr>
        <w:spacing w:after="120"/>
        <w:rPr>
          <w:rFonts w:ascii="Palatino Linotype" w:hAnsi="Palatino Linotype" w:cs="Times New Roman"/>
          <w:b/>
          <w:sz w:val="28"/>
          <w:szCs w:val="28"/>
        </w:rPr>
      </w:pPr>
    </w:p>
    <w:p w14:paraId="10B6533F" w14:textId="3DA44CC9" w:rsidR="00C17428" w:rsidRDefault="00C17428" w:rsidP="00C17428">
      <w:pPr>
        <w:spacing w:after="120"/>
        <w:rPr>
          <w:rFonts w:ascii="Palatino Linotype" w:hAnsi="Palatino Linotype" w:cs="Times New Roman"/>
          <w:b/>
          <w:sz w:val="28"/>
          <w:szCs w:val="28"/>
        </w:rPr>
      </w:pPr>
    </w:p>
    <w:p w14:paraId="63229DFF" w14:textId="42143DD1" w:rsidR="00C17428" w:rsidRDefault="00C17428" w:rsidP="00C17428">
      <w:pPr>
        <w:spacing w:after="120"/>
        <w:rPr>
          <w:rFonts w:ascii="Palatino Linotype" w:hAnsi="Palatino Linotype" w:cs="Times New Roman"/>
          <w:b/>
          <w:sz w:val="28"/>
          <w:szCs w:val="28"/>
        </w:rPr>
      </w:pPr>
    </w:p>
    <w:p w14:paraId="1D945046" w14:textId="77777777" w:rsidR="00C17428" w:rsidRPr="00C17428" w:rsidRDefault="00C17428" w:rsidP="00C17428">
      <w:pPr>
        <w:spacing w:after="120"/>
        <w:rPr>
          <w:rFonts w:ascii="Palatino Linotype" w:hAnsi="Palatino Linotype" w:cs="Times New Roman"/>
          <w:b/>
          <w:sz w:val="28"/>
          <w:szCs w:val="28"/>
        </w:rPr>
      </w:pPr>
    </w:p>
    <w:p w14:paraId="395A566E" w14:textId="59E5FA8A" w:rsidR="000679F9" w:rsidRDefault="000679F9" w:rsidP="00250512">
      <w:pPr>
        <w:pStyle w:val="Prrafodelista"/>
        <w:numPr>
          <w:ilvl w:val="0"/>
          <w:numId w:val="4"/>
        </w:numPr>
        <w:spacing w:after="120"/>
        <w:rPr>
          <w:rFonts w:ascii="Palatino Linotype" w:hAnsi="Palatino Linotype" w:cs="Times New Roman"/>
          <w:b/>
          <w:sz w:val="28"/>
          <w:szCs w:val="28"/>
        </w:rPr>
      </w:pPr>
      <w:r w:rsidRPr="00C17428">
        <w:rPr>
          <w:rFonts w:ascii="Palatino Linotype" w:hAnsi="Palatino Linotype" w:cs="Times New Roman"/>
          <w:b/>
          <w:sz w:val="28"/>
          <w:szCs w:val="28"/>
        </w:rPr>
        <w:lastRenderedPageBreak/>
        <w:t xml:space="preserve">Formulario declarativo para el cálculo de Concesión Onerosa de Derechos para el PUAE Hotel </w:t>
      </w:r>
      <w:proofErr w:type="spellStart"/>
      <w:r w:rsidRPr="00C17428">
        <w:rPr>
          <w:rFonts w:ascii="Palatino Linotype" w:hAnsi="Palatino Linotype" w:cs="Times New Roman"/>
          <w:b/>
          <w:sz w:val="28"/>
          <w:szCs w:val="28"/>
        </w:rPr>
        <w:t>Holiday</w:t>
      </w:r>
      <w:proofErr w:type="spellEnd"/>
      <w:r w:rsidRPr="00C17428">
        <w:rPr>
          <w:rFonts w:ascii="Palatino Linotype" w:hAnsi="Palatino Linotype" w:cs="Times New Roman"/>
          <w:b/>
          <w:sz w:val="28"/>
          <w:szCs w:val="28"/>
        </w:rPr>
        <w:t xml:space="preserve"> </w:t>
      </w:r>
      <w:proofErr w:type="spellStart"/>
      <w:r w:rsidRPr="00C17428">
        <w:rPr>
          <w:rFonts w:ascii="Palatino Linotype" w:hAnsi="Palatino Linotype" w:cs="Times New Roman"/>
          <w:b/>
          <w:sz w:val="28"/>
          <w:szCs w:val="28"/>
        </w:rPr>
        <w:t>Inn</w:t>
      </w:r>
      <w:proofErr w:type="spellEnd"/>
      <w:r w:rsidRPr="00C17428">
        <w:rPr>
          <w:rFonts w:ascii="Palatino Linotype" w:hAnsi="Palatino Linotype" w:cs="Times New Roman"/>
          <w:b/>
          <w:sz w:val="28"/>
          <w:szCs w:val="28"/>
        </w:rPr>
        <w:t xml:space="preserve"> Quito </w:t>
      </w:r>
      <w:proofErr w:type="spellStart"/>
      <w:r w:rsidRPr="00C17428">
        <w:rPr>
          <w:rFonts w:ascii="Palatino Linotype" w:hAnsi="Palatino Linotype" w:cs="Times New Roman"/>
          <w:b/>
          <w:sz w:val="28"/>
          <w:szCs w:val="28"/>
        </w:rPr>
        <w:t>Airport</w:t>
      </w:r>
      <w:proofErr w:type="spellEnd"/>
      <w:r w:rsidR="00BE19D0" w:rsidRPr="00C17428">
        <w:rPr>
          <w:rFonts w:ascii="Palatino Linotype" w:hAnsi="Palatino Linotype" w:cs="Times New Roman"/>
          <w:b/>
          <w:sz w:val="28"/>
          <w:szCs w:val="28"/>
        </w:rPr>
        <w:t>.</w:t>
      </w:r>
    </w:p>
    <w:p w14:paraId="66C95DF1" w14:textId="383F4336" w:rsidR="00C17428" w:rsidRDefault="00C17428" w:rsidP="00C17428">
      <w:pPr>
        <w:spacing w:after="120"/>
        <w:rPr>
          <w:rFonts w:ascii="Palatino Linotype" w:hAnsi="Palatino Linotype" w:cs="Times New Roman"/>
          <w:b/>
          <w:sz w:val="28"/>
          <w:szCs w:val="28"/>
        </w:rPr>
      </w:pPr>
    </w:p>
    <w:p w14:paraId="6E02448F" w14:textId="680D08E6" w:rsidR="00C17428" w:rsidRDefault="00C17428" w:rsidP="00C17428">
      <w:pPr>
        <w:spacing w:after="120"/>
        <w:rPr>
          <w:rFonts w:ascii="Palatino Linotype" w:hAnsi="Palatino Linotype" w:cs="Times New Roman"/>
          <w:b/>
          <w:sz w:val="28"/>
          <w:szCs w:val="28"/>
        </w:rPr>
      </w:pPr>
    </w:p>
    <w:p w14:paraId="571B4F92" w14:textId="4DC88315" w:rsidR="00C17428" w:rsidRDefault="00C17428" w:rsidP="00C17428">
      <w:pPr>
        <w:spacing w:after="120"/>
        <w:rPr>
          <w:rFonts w:ascii="Palatino Linotype" w:hAnsi="Palatino Linotype" w:cs="Times New Roman"/>
          <w:b/>
          <w:sz w:val="28"/>
          <w:szCs w:val="28"/>
        </w:rPr>
      </w:pPr>
    </w:p>
    <w:p w14:paraId="20599DD0" w14:textId="2907FE98" w:rsidR="00C17428" w:rsidRDefault="00C17428" w:rsidP="00C17428">
      <w:pPr>
        <w:spacing w:after="120"/>
        <w:rPr>
          <w:rFonts w:ascii="Palatino Linotype" w:hAnsi="Palatino Linotype" w:cs="Times New Roman"/>
          <w:b/>
          <w:sz w:val="28"/>
          <w:szCs w:val="28"/>
        </w:rPr>
      </w:pPr>
    </w:p>
    <w:p w14:paraId="32BED261" w14:textId="5D999FD0" w:rsidR="00C17428" w:rsidRDefault="00C17428" w:rsidP="00C17428">
      <w:pPr>
        <w:spacing w:after="120"/>
        <w:rPr>
          <w:rFonts w:ascii="Palatino Linotype" w:hAnsi="Palatino Linotype" w:cs="Times New Roman"/>
          <w:b/>
          <w:sz w:val="28"/>
          <w:szCs w:val="28"/>
        </w:rPr>
      </w:pPr>
    </w:p>
    <w:p w14:paraId="6994E0D3" w14:textId="0F81FEEF" w:rsidR="00C17428" w:rsidRDefault="00C17428" w:rsidP="00C17428">
      <w:pPr>
        <w:spacing w:after="120"/>
        <w:rPr>
          <w:rFonts w:ascii="Palatino Linotype" w:hAnsi="Palatino Linotype" w:cs="Times New Roman"/>
          <w:b/>
          <w:sz w:val="28"/>
          <w:szCs w:val="28"/>
        </w:rPr>
      </w:pPr>
    </w:p>
    <w:p w14:paraId="091DC91B" w14:textId="56B8BFB6" w:rsidR="00C17428" w:rsidRDefault="00C17428" w:rsidP="00C17428">
      <w:pPr>
        <w:spacing w:after="120"/>
        <w:rPr>
          <w:rFonts w:ascii="Palatino Linotype" w:hAnsi="Palatino Linotype" w:cs="Times New Roman"/>
          <w:b/>
          <w:sz w:val="28"/>
          <w:szCs w:val="28"/>
        </w:rPr>
      </w:pPr>
    </w:p>
    <w:p w14:paraId="089F9E15" w14:textId="6E8053DB" w:rsidR="00C17428" w:rsidRDefault="00C17428" w:rsidP="00C17428">
      <w:pPr>
        <w:spacing w:after="120"/>
        <w:rPr>
          <w:rFonts w:ascii="Palatino Linotype" w:hAnsi="Palatino Linotype" w:cs="Times New Roman"/>
          <w:b/>
          <w:sz w:val="28"/>
          <w:szCs w:val="28"/>
        </w:rPr>
      </w:pPr>
    </w:p>
    <w:p w14:paraId="4C1DFCA8" w14:textId="35729BDD" w:rsidR="00C17428" w:rsidRDefault="00C17428" w:rsidP="00C17428">
      <w:pPr>
        <w:spacing w:after="120"/>
        <w:rPr>
          <w:rFonts w:ascii="Palatino Linotype" w:hAnsi="Palatino Linotype" w:cs="Times New Roman"/>
          <w:b/>
          <w:sz w:val="28"/>
          <w:szCs w:val="28"/>
        </w:rPr>
      </w:pPr>
    </w:p>
    <w:p w14:paraId="08D2372B" w14:textId="039B23D9" w:rsidR="00C17428" w:rsidRDefault="00C17428" w:rsidP="00C17428">
      <w:pPr>
        <w:spacing w:after="120"/>
        <w:rPr>
          <w:rFonts w:ascii="Palatino Linotype" w:hAnsi="Palatino Linotype" w:cs="Times New Roman"/>
          <w:b/>
          <w:sz w:val="28"/>
          <w:szCs w:val="28"/>
        </w:rPr>
      </w:pPr>
    </w:p>
    <w:p w14:paraId="71BAEA49" w14:textId="2ABAE40A" w:rsidR="00C17428" w:rsidRDefault="00C17428" w:rsidP="00C17428">
      <w:pPr>
        <w:spacing w:after="120"/>
        <w:rPr>
          <w:rFonts w:ascii="Palatino Linotype" w:hAnsi="Palatino Linotype" w:cs="Times New Roman"/>
          <w:b/>
          <w:sz w:val="28"/>
          <w:szCs w:val="28"/>
        </w:rPr>
      </w:pPr>
    </w:p>
    <w:p w14:paraId="5ECB0E4D" w14:textId="2EF0826E" w:rsidR="00C17428" w:rsidRDefault="00C17428" w:rsidP="00C17428">
      <w:pPr>
        <w:spacing w:after="120"/>
        <w:rPr>
          <w:rFonts w:ascii="Palatino Linotype" w:hAnsi="Palatino Linotype" w:cs="Times New Roman"/>
          <w:b/>
          <w:sz w:val="28"/>
          <w:szCs w:val="28"/>
        </w:rPr>
      </w:pPr>
    </w:p>
    <w:p w14:paraId="5BC8835C" w14:textId="3664529D" w:rsidR="00C17428" w:rsidRDefault="00C17428" w:rsidP="00C17428">
      <w:pPr>
        <w:spacing w:after="120"/>
        <w:rPr>
          <w:rFonts w:ascii="Palatino Linotype" w:hAnsi="Palatino Linotype" w:cs="Times New Roman"/>
          <w:b/>
          <w:sz w:val="28"/>
          <w:szCs w:val="28"/>
        </w:rPr>
      </w:pPr>
    </w:p>
    <w:p w14:paraId="41C223FB" w14:textId="5CCC257A" w:rsidR="00C17428" w:rsidRDefault="00C17428" w:rsidP="00C17428">
      <w:pPr>
        <w:spacing w:after="120"/>
        <w:rPr>
          <w:rFonts w:ascii="Palatino Linotype" w:hAnsi="Palatino Linotype" w:cs="Times New Roman"/>
          <w:b/>
          <w:sz w:val="28"/>
          <w:szCs w:val="28"/>
        </w:rPr>
      </w:pPr>
    </w:p>
    <w:p w14:paraId="1EC69290" w14:textId="42F15E9A" w:rsidR="00C17428" w:rsidRDefault="00C17428" w:rsidP="00C17428">
      <w:pPr>
        <w:spacing w:after="120"/>
        <w:rPr>
          <w:rFonts w:ascii="Palatino Linotype" w:hAnsi="Palatino Linotype" w:cs="Times New Roman"/>
          <w:b/>
          <w:sz w:val="28"/>
          <w:szCs w:val="28"/>
        </w:rPr>
      </w:pPr>
    </w:p>
    <w:p w14:paraId="40C70DF1" w14:textId="2F6EA1C8" w:rsidR="00C17428" w:rsidRDefault="00C17428" w:rsidP="00C17428">
      <w:pPr>
        <w:spacing w:after="120"/>
        <w:rPr>
          <w:rFonts w:ascii="Palatino Linotype" w:hAnsi="Palatino Linotype" w:cs="Times New Roman"/>
          <w:b/>
          <w:sz w:val="28"/>
          <w:szCs w:val="28"/>
        </w:rPr>
      </w:pPr>
    </w:p>
    <w:p w14:paraId="42413738" w14:textId="5AF036B5" w:rsidR="00C17428" w:rsidRDefault="00C17428" w:rsidP="00C17428">
      <w:pPr>
        <w:spacing w:after="120"/>
        <w:rPr>
          <w:rFonts w:ascii="Palatino Linotype" w:hAnsi="Palatino Linotype" w:cs="Times New Roman"/>
          <w:b/>
          <w:sz w:val="28"/>
          <w:szCs w:val="28"/>
        </w:rPr>
      </w:pPr>
    </w:p>
    <w:p w14:paraId="4C6FB603" w14:textId="74A67F62" w:rsidR="00C17428" w:rsidRDefault="00C17428" w:rsidP="00C17428">
      <w:pPr>
        <w:spacing w:after="120"/>
        <w:rPr>
          <w:rFonts w:ascii="Palatino Linotype" w:hAnsi="Palatino Linotype" w:cs="Times New Roman"/>
          <w:b/>
          <w:sz w:val="28"/>
          <w:szCs w:val="28"/>
        </w:rPr>
      </w:pPr>
    </w:p>
    <w:p w14:paraId="3271BAD4" w14:textId="501923F7" w:rsidR="00C17428" w:rsidRDefault="00C17428" w:rsidP="00C17428">
      <w:pPr>
        <w:spacing w:after="120"/>
        <w:rPr>
          <w:rFonts w:ascii="Palatino Linotype" w:hAnsi="Palatino Linotype" w:cs="Times New Roman"/>
          <w:b/>
          <w:sz w:val="28"/>
          <w:szCs w:val="28"/>
        </w:rPr>
      </w:pPr>
    </w:p>
    <w:p w14:paraId="6F85A979" w14:textId="77777777" w:rsidR="00C17428" w:rsidRPr="00C17428" w:rsidRDefault="00C17428" w:rsidP="00C17428">
      <w:pPr>
        <w:spacing w:after="120"/>
        <w:rPr>
          <w:rFonts w:ascii="Palatino Linotype" w:hAnsi="Palatino Linotype" w:cs="Times New Roman"/>
          <w:b/>
          <w:sz w:val="28"/>
          <w:szCs w:val="28"/>
        </w:rPr>
      </w:pPr>
    </w:p>
    <w:p w14:paraId="59B287CF" w14:textId="1CDA4570" w:rsidR="00BB1AA5" w:rsidRDefault="003660CD" w:rsidP="00250512">
      <w:pPr>
        <w:pStyle w:val="Prrafodelista"/>
        <w:numPr>
          <w:ilvl w:val="0"/>
          <w:numId w:val="4"/>
        </w:numPr>
        <w:spacing w:after="120"/>
        <w:rPr>
          <w:rFonts w:ascii="Palatino Linotype" w:hAnsi="Palatino Linotype" w:cs="Times New Roman"/>
          <w:b/>
          <w:sz w:val="28"/>
          <w:szCs w:val="28"/>
        </w:rPr>
      </w:pPr>
      <w:r w:rsidRPr="00C17428">
        <w:rPr>
          <w:rFonts w:ascii="Palatino Linotype" w:hAnsi="Palatino Linotype" w:cs="Times New Roman"/>
          <w:b/>
          <w:sz w:val="28"/>
          <w:szCs w:val="28"/>
        </w:rPr>
        <w:lastRenderedPageBreak/>
        <w:t>Propuesta</w:t>
      </w:r>
      <w:r w:rsidR="00BB1AA5" w:rsidRPr="00C17428">
        <w:rPr>
          <w:rFonts w:ascii="Palatino Linotype" w:hAnsi="Palatino Linotype" w:cs="Times New Roman"/>
          <w:b/>
          <w:sz w:val="28"/>
          <w:szCs w:val="28"/>
        </w:rPr>
        <w:t xml:space="preserve"> vial</w:t>
      </w:r>
      <w:r w:rsidR="00C97DE3" w:rsidRPr="00C17428">
        <w:rPr>
          <w:rFonts w:ascii="Palatino Linotype" w:hAnsi="Palatino Linotype" w:cs="Times New Roman"/>
          <w:b/>
          <w:sz w:val="28"/>
          <w:szCs w:val="28"/>
        </w:rPr>
        <w:t xml:space="preserve"> que conecta la Vía E-35 con los predios de la futura Zona Especial de Desarrollo Económico (ZEDE) y el Conector Alpachaca</w:t>
      </w:r>
      <w:r w:rsidR="00BB1AA5" w:rsidRPr="00C17428">
        <w:rPr>
          <w:rFonts w:ascii="Palatino Linotype" w:hAnsi="Palatino Linotype" w:cs="Times New Roman"/>
          <w:b/>
          <w:sz w:val="28"/>
          <w:szCs w:val="28"/>
        </w:rPr>
        <w:t>.</w:t>
      </w:r>
    </w:p>
    <w:p w14:paraId="7CA688E4" w14:textId="66AFA24F" w:rsidR="00C17428" w:rsidRDefault="00C17428" w:rsidP="00C17428">
      <w:pPr>
        <w:spacing w:after="120"/>
        <w:rPr>
          <w:rFonts w:ascii="Palatino Linotype" w:hAnsi="Palatino Linotype" w:cs="Times New Roman"/>
          <w:b/>
          <w:sz w:val="28"/>
          <w:szCs w:val="28"/>
        </w:rPr>
      </w:pPr>
    </w:p>
    <w:p w14:paraId="7AF2A1C3" w14:textId="4934B9B7" w:rsidR="00C17428" w:rsidRDefault="00C17428" w:rsidP="00C17428">
      <w:pPr>
        <w:spacing w:after="120"/>
        <w:rPr>
          <w:rFonts w:ascii="Palatino Linotype" w:hAnsi="Palatino Linotype" w:cs="Times New Roman"/>
          <w:b/>
          <w:sz w:val="28"/>
          <w:szCs w:val="28"/>
        </w:rPr>
      </w:pPr>
    </w:p>
    <w:p w14:paraId="06C56F56" w14:textId="5F4CDF27" w:rsidR="00C17428" w:rsidRDefault="00C17428" w:rsidP="00C17428">
      <w:pPr>
        <w:spacing w:after="120"/>
        <w:rPr>
          <w:rFonts w:ascii="Palatino Linotype" w:hAnsi="Palatino Linotype" w:cs="Times New Roman"/>
          <w:b/>
          <w:sz w:val="28"/>
          <w:szCs w:val="28"/>
        </w:rPr>
      </w:pPr>
    </w:p>
    <w:p w14:paraId="2319BBC1" w14:textId="2D4493C3" w:rsidR="00C17428" w:rsidRDefault="00C17428" w:rsidP="00C17428">
      <w:pPr>
        <w:spacing w:after="120"/>
        <w:rPr>
          <w:rFonts w:ascii="Palatino Linotype" w:hAnsi="Palatino Linotype" w:cs="Times New Roman"/>
          <w:b/>
          <w:sz w:val="28"/>
          <w:szCs w:val="28"/>
        </w:rPr>
      </w:pPr>
    </w:p>
    <w:p w14:paraId="3AE55F9B" w14:textId="0C9186E4" w:rsidR="00C17428" w:rsidRDefault="00C17428" w:rsidP="00C17428">
      <w:pPr>
        <w:spacing w:after="120"/>
        <w:rPr>
          <w:rFonts w:ascii="Palatino Linotype" w:hAnsi="Palatino Linotype" w:cs="Times New Roman"/>
          <w:b/>
          <w:sz w:val="28"/>
          <w:szCs w:val="28"/>
        </w:rPr>
      </w:pPr>
    </w:p>
    <w:p w14:paraId="45F09A8A" w14:textId="3A658570" w:rsidR="00C17428" w:rsidRDefault="00C17428" w:rsidP="00C17428">
      <w:pPr>
        <w:spacing w:after="120"/>
        <w:rPr>
          <w:rFonts w:ascii="Palatino Linotype" w:hAnsi="Palatino Linotype" w:cs="Times New Roman"/>
          <w:b/>
          <w:sz w:val="28"/>
          <w:szCs w:val="28"/>
        </w:rPr>
      </w:pPr>
    </w:p>
    <w:p w14:paraId="63BCE357" w14:textId="606A6FA6" w:rsidR="00C17428" w:rsidRDefault="00C17428" w:rsidP="00C17428">
      <w:pPr>
        <w:spacing w:after="120"/>
        <w:rPr>
          <w:rFonts w:ascii="Palatino Linotype" w:hAnsi="Palatino Linotype" w:cs="Times New Roman"/>
          <w:b/>
          <w:sz w:val="28"/>
          <w:szCs w:val="28"/>
        </w:rPr>
      </w:pPr>
    </w:p>
    <w:p w14:paraId="6E4A147C" w14:textId="2B00C971" w:rsidR="00C17428" w:rsidRDefault="00C17428" w:rsidP="00C17428">
      <w:pPr>
        <w:spacing w:after="120"/>
        <w:rPr>
          <w:rFonts w:ascii="Palatino Linotype" w:hAnsi="Palatino Linotype" w:cs="Times New Roman"/>
          <w:b/>
          <w:sz w:val="28"/>
          <w:szCs w:val="28"/>
        </w:rPr>
      </w:pPr>
    </w:p>
    <w:p w14:paraId="583CB935" w14:textId="2C9A1932" w:rsidR="00C17428" w:rsidRDefault="00C17428" w:rsidP="00C17428">
      <w:pPr>
        <w:spacing w:after="120"/>
        <w:rPr>
          <w:rFonts w:ascii="Palatino Linotype" w:hAnsi="Palatino Linotype" w:cs="Times New Roman"/>
          <w:b/>
          <w:sz w:val="28"/>
          <w:szCs w:val="28"/>
        </w:rPr>
      </w:pPr>
    </w:p>
    <w:p w14:paraId="2EC55F11" w14:textId="64DCE916" w:rsidR="00C17428" w:rsidRDefault="00C17428" w:rsidP="00C17428">
      <w:pPr>
        <w:spacing w:after="120"/>
        <w:rPr>
          <w:rFonts w:ascii="Palatino Linotype" w:hAnsi="Palatino Linotype" w:cs="Times New Roman"/>
          <w:b/>
          <w:sz w:val="28"/>
          <w:szCs w:val="28"/>
        </w:rPr>
      </w:pPr>
    </w:p>
    <w:p w14:paraId="09E6F000" w14:textId="7B91DEE7" w:rsidR="00C17428" w:rsidRDefault="00C17428" w:rsidP="00C17428">
      <w:pPr>
        <w:spacing w:after="120"/>
        <w:rPr>
          <w:rFonts w:ascii="Palatino Linotype" w:hAnsi="Palatino Linotype" w:cs="Times New Roman"/>
          <w:b/>
          <w:sz w:val="28"/>
          <w:szCs w:val="28"/>
        </w:rPr>
      </w:pPr>
    </w:p>
    <w:p w14:paraId="262138E2" w14:textId="638FFE68" w:rsidR="00C17428" w:rsidRDefault="00C17428" w:rsidP="00C17428">
      <w:pPr>
        <w:spacing w:after="120"/>
        <w:rPr>
          <w:rFonts w:ascii="Palatino Linotype" w:hAnsi="Palatino Linotype" w:cs="Times New Roman"/>
          <w:b/>
          <w:sz w:val="28"/>
          <w:szCs w:val="28"/>
        </w:rPr>
      </w:pPr>
    </w:p>
    <w:p w14:paraId="261FC07D" w14:textId="2B2833AF" w:rsidR="00C17428" w:rsidRDefault="00C17428" w:rsidP="00C17428">
      <w:pPr>
        <w:spacing w:after="120"/>
        <w:rPr>
          <w:rFonts w:ascii="Palatino Linotype" w:hAnsi="Palatino Linotype" w:cs="Times New Roman"/>
          <w:b/>
          <w:sz w:val="28"/>
          <w:szCs w:val="28"/>
        </w:rPr>
      </w:pPr>
    </w:p>
    <w:p w14:paraId="405383DC" w14:textId="5EF66D1B" w:rsidR="00C17428" w:rsidRDefault="00C17428" w:rsidP="00C17428">
      <w:pPr>
        <w:spacing w:after="120"/>
        <w:rPr>
          <w:rFonts w:ascii="Palatino Linotype" w:hAnsi="Palatino Linotype" w:cs="Times New Roman"/>
          <w:b/>
          <w:sz w:val="28"/>
          <w:szCs w:val="28"/>
        </w:rPr>
      </w:pPr>
    </w:p>
    <w:p w14:paraId="2EC48B03" w14:textId="4515C2A3" w:rsidR="00C17428" w:rsidRDefault="00C17428" w:rsidP="00C17428">
      <w:pPr>
        <w:spacing w:after="120"/>
        <w:rPr>
          <w:rFonts w:ascii="Palatino Linotype" w:hAnsi="Palatino Linotype" w:cs="Times New Roman"/>
          <w:b/>
          <w:sz w:val="28"/>
          <w:szCs w:val="28"/>
        </w:rPr>
      </w:pPr>
    </w:p>
    <w:p w14:paraId="6ED8CB2B" w14:textId="0DF7164D" w:rsidR="00C17428" w:rsidRDefault="00C17428" w:rsidP="00C17428">
      <w:pPr>
        <w:spacing w:after="120"/>
        <w:rPr>
          <w:rFonts w:ascii="Palatino Linotype" w:hAnsi="Palatino Linotype" w:cs="Times New Roman"/>
          <w:b/>
          <w:sz w:val="28"/>
          <w:szCs w:val="28"/>
        </w:rPr>
      </w:pPr>
    </w:p>
    <w:p w14:paraId="5B1F4E2E" w14:textId="5B071C1E" w:rsidR="00C17428" w:rsidRDefault="00C17428" w:rsidP="00C17428">
      <w:pPr>
        <w:spacing w:after="120"/>
        <w:rPr>
          <w:rFonts w:ascii="Palatino Linotype" w:hAnsi="Palatino Linotype" w:cs="Times New Roman"/>
          <w:b/>
          <w:sz w:val="28"/>
          <w:szCs w:val="28"/>
        </w:rPr>
      </w:pPr>
    </w:p>
    <w:p w14:paraId="3ACE89D5" w14:textId="208A8F8A" w:rsidR="00C17428" w:rsidRDefault="00C17428" w:rsidP="00C17428">
      <w:pPr>
        <w:spacing w:after="120"/>
        <w:rPr>
          <w:rFonts w:ascii="Palatino Linotype" w:hAnsi="Palatino Linotype" w:cs="Times New Roman"/>
          <w:b/>
          <w:sz w:val="28"/>
          <w:szCs w:val="28"/>
        </w:rPr>
      </w:pPr>
    </w:p>
    <w:p w14:paraId="7EB16ED4" w14:textId="77F5C914" w:rsidR="00C17428" w:rsidRDefault="00C17428" w:rsidP="00C17428">
      <w:pPr>
        <w:spacing w:after="120"/>
        <w:rPr>
          <w:rFonts w:ascii="Palatino Linotype" w:hAnsi="Palatino Linotype" w:cs="Times New Roman"/>
          <w:b/>
          <w:sz w:val="28"/>
          <w:szCs w:val="28"/>
        </w:rPr>
      </w:pPr>
    </w:p>
    <w:p w14:paraId="2B2FED18" w14:textId="77777777" w:rsidR="00C17428" w:rsidRPr="00C17428" w:rsidRDefault="00C17428" w:rsidP="00C17428">
      <w:pPr>
        <w:spacing w:after="120"/>
        <w:rPr>
          <w:rFonts w:ascii="Palatino Linotype" w:hAnsi="Palatino Linotype" w:cs="Times New Roman"/>
          <w:b/>
          <w:sz w:val="28"/>
          <w:szCs w:val="28"/>
        </w:rPr>
      </w:pPr>
    </w:p>
    <w:p w14:paraId="311105D6" w14:textId="77777777" w:rsidR="004669E2" w:rsidRPr="00C17428" w:rsidRDefault="00AB494F" w:rsidP="00250512">
      <w:pPr>
        <w:pStyle w:val="Prrafodelista"/>
        <w:numPr>
          <w:ilvl w:val="0"/>
          <w:numId w:val="4"/>
        </w:numPr>
        <w:spacing w:after="120"/>
        <w:rPr>
          <w:rFonts w:ascii="Palatino Linotype" w:hAnsi="Palatino Linotype" w:cs="Times New Roman"/>
          <w:b/>
          <w:sz w:val="28"/>
          <w:szCs w:val="28"/>
        </w:rPr>
      </w:pPr>
      <w:r w:rsidRPr="00C17428">
        <w:rPr>
          <w:rFonts w:ascii="Palatino Linotype" w:hAnsi="Palatino Linotype" w:cs="Times New Roman"/>
          <w:b/>
          <w:sz w:val="28"/>
          <w:szCs w:val="28"/>
        </w:rPr>
        <w:lastRenderedPageBreak/>
        <w:t>Perfil vial</w:t>
      </w:r>
      <w:r w:rsidR="00D0094A" w:rsidRPr="00C17428">
        <w:rPr>
          <w:rFonts w:ascii="Palatino Linotype" w:hAnsi="Palatino Linotype" w:cs="Times New Roman"/>
          <w:b/>
          <w:sz w:val="28"/>
          <w:szCs w:val="28"/>
        </w:rPr>
        <w:t>.</w:t>
      </w:r>
    </w:p>
    <w:p w14:paraId="7519C352" w14:textId="77777777" w:rsidR="001C553A" w:rsidRPr="00694D76" w:rsidRDefault="001C553A" w:rsidP="00694D76">
      <w:pPr>
        <w:spacing w:after="120"/>
        <w:jc w:val="left"/>
        <w:rPr>
          <w:rFonts w:ascii="Palatino Linotype" w:hAnsi="Palatino Linotype" w:cs="Times New Roman"/>
        </w:rPr>
      </w:pPr>
    </w:p>
    <w:sectPr w:rsidR="001C553A" w:rsidRPr="00694D76" w:rsidSect="00694D76">
      <w:headerReference w:type="default" r:id="rId12"/>
      <w:footerReference w:type="default" r:id="rId13"/>
      <w:pgSz w:w="11907" w:h="16840"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1D78" w14:textId="77777777" w:rsidR="00250512" w:rsidRDefault="00250512" w:rsidP="002E5E89">
      <w:pPr>
        <w:spacing w:after="0" w:line="240" w:lineRule="auto"/>
      </w:pPr>
      <w:r>
        <w:separator/>
      </w:r>
    </w:p>
  </w:endnote>
  <w:endnote w:type="continuationSeparator" w:id="0">
    <w:p w14:paraId="0498EDEB" w14:textId="77777777" w:rsidR="00250512" w:rsidRDefault="00250512" w:rsidP="002E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1F40" w14:textId="06414CF1" w:rsidR="00902795" w:rsidRDefault="00902795">
    <w:pPr>
      <w:pStyle w:val="Piedepgina"/>
      <w:jc w:val="center"/>
    </w:pPr>
  </w:p>
  <w:p w14:paraId="42F1B4FD" w14:textId="77777777" w:rsidR="00902795" w:rsidRDefault="009027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162172"/>
      <w:docPartObj>
        <w:docPartGallery w:val="Page Numbers (Bottom of Page)"/>
        <w:docPartUnique/>
      </w:docPartObj>
    </w:sdtPr>
    <w:sdtContent>
      <w:sdt>
        <w:sdtPr>
          <w:id w:val="-1769616900"/>
          <w:docPartObj>
            <w:docPartGallery w:val="Page Numbers (Top of Page)"/>
            <w:docPartUnique/>
          </w:docPartObj>
        </w:sdtPr>
        <w:sdtContent>
          <w:p w14:paraId="21F43C89" w14:textId="5AF82CFD" w:rsidR="00902795" w:rsidRDefault="00902795">
            <w:pPr>
              <w:pStyle w:val="Piedepgina"/>
              <w:jc w:val="right"/>
            </w:pPr>
            <w:r w:rsidRPr="00694D76">
              <w:rPr>
                <w:rFonts w:ascii="Palatino Linotype" w:hAnsi="Palatino Linotype"/>
                <w:lang w:val="es-ES"/>
              </w:rPr>
              <w:t xml:space="preserve">Página </w:t>
            </w:r>
            <w:r w:rsidRPr="00694D76">
              <w:rPr>
                <w:rFonts w:ascii="Palatino Linotype" w:hAnsi="Palatino Linotype"/>
                <w:b/>
                <w:bCs/>
              </w:rPr>
              <w:fldChar w:fldCharType="begin"/>
            </w:r>
            <w:r w:rsidRPr="00694D76">
              <w:rPr>
                <w:rFonts w:ascii="Palatino Linotype" w:hAnsi="Palatino Linotype"/>
                <w:b/>
                <w:bCs/>
              </w:rPr>
              <w:instrText>PAGE</w:instrText>
            </w:r>
            <w:r w:rsidRPr="00694D76">
              <w:rPr>
                <w:rFonts w:ascii="Palatino Linotype" w:hAnsi="Palatino Linotype"/>
                <w:b/>
                <w:bCs/>
              </w:rPr>
              <w:fldChar w:fldCharType="separate"/>
            </w:r>
            <w:r w:rsidR="00593BDA">
              <w:rPr>
                <w:rFonts w:ascii="Palatino Linotype" w:hAnsi="Palatino Linotype"/>
                <w:b/>
                <w:bCs/>
                <w:noProof/>
              </w:rPr>
              <w:t>16</w:t>
            </w:r>
            <w:r w:rsidRPr="00694D76">
              <w:rPr>
                <w:rFonts w:ascii="Palatino Linotype" w:hAnsi="Palatino Linotype"/>
                <w:b/>
                <w:bCs/>
              </w:rPr>
              <w:fldChar w:fldCharType="end"/>
            </w:r>
            <w:r w:rsidRPr="00694D76">
              <w:rPr>
                <w:rFonts w:ascii="Palatino Linotype" w:hAnsi="Palatino Linotype"/>
                <w:lang w:val="es-ES"/>
              </w:rPr>
              <w:t xml:space="preserve"> de</w:t>
            </w:r>
            <w:r w:rsidR="00C17428">
              <w:rPr>
                <w:rFonts w:ascii="Palatino Linotype" w:hAnsi="Palatino Linotype"/>
                <w:lang w:val="es-ES"/>
              </w:rPr>
              <w:t xml:space="preserve"> </w:t>
            </w:r>
            <w:r w:rsidR="00C17428">
              <w:rPr>
                <w:rFonts w:ascii="Palatino Linotype" w:hAnsi="Palatino Linotype"/>
                <w:b/>
                <w:bCs/>
              </w:rPr>
              <w:t>25</w:t>
            </w:r>
          </w:p>
        </w:sdtContent>
      </w:sdt>
    </w:sdtContent>
  </w:sdt>
  <w:p w14:paraId="31718E46" w14:textId="77777777" w:rsidR="00902795" w:rsidRDefault="009027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9727" w14:textId="377A0B76" w:rsidR="00C17428" w:rsidRDefault="00C17428">
    <w:pPr>
      <w:pStyle w:val="Piedepgina"/>
      <w:jc w:val="right"/>
    </w:pPr>
  </w:p>
  <w:p w14:paraId="47C08B95" w14:textId="77777777" w:rsidR="00C17428" w:rsidRDefault="00C17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9C1F" w14:textId="77777777" w:rsidR="00250512" w:rsidRDefault="00250512" w:rsidP="002E5E89">
      <w:pPr>
        <w:spacing w:after="0" w:line="240" w:lineRule="auto"/>
      </w:pPr>
      <w:r>
        <w:separator/>
      </w:r>
    </w:p>
  </w:footnote>
  <w:footnote w:type="continuationSeparator" w:id="0">
    <w:p w14:paraId="2C8C054E" w14:textId="77777777" w:rsidR="00250512" w:rsidRDefault="00250512" w:rsidP="002E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0A5E" w14:textId="6C7FAAF5" w:rsidR="00902795" w:rsidRDefault="00902795">
    <w:pPr>
      <w:pStyle w:val="Encabezado"/>
    </w:pPr>
  </w:p>
  <w:p w14:paraId="78CE795A" w14:textId="77777777" w:rsidR="00902795" w:rsidRDefault="00902795">
    <w:pPr>
      <w:pStyle w:val="Encabezado"/>
    </w:pPr>
  </w:p>
  <w:p w14:paraId="36D515D9" w14:textId="27B3EBAB" w:rsidR="00902795" w:rsidRDefault="00902795">
    <w:pPr>
      <w:pStyle w:val="Encabezado"/>
    </w:pPr>
  </w:p>
  <w:p w14:paraId="3C64BDB0" w14:textId="7FCDD61C" w:rsidR="00902795" w:rsidRDefault="00902795">
    <w:pPr>
      <w:pStyle w:val="Encabezado"/>
    </w:pPr>
  </w:p>
  <w:p w14:paraId="169BF3D3" w14:textId="77E59EAB" w:rsidR="00902795" w:rsidRDefault="00902795">
    <w:pPr>
      <w:pStyle w:val="Encabezado"/>
    </w:pPr>
  </w:p>
  <w:p w14:paraId="5BCE57E6" w14:textId="77777777" w:rsidR="00902795" w:rsidRDefault="00902795" w:rsidP="00694D76">
    <w:pPr>
      <w:spacing w:after="120"/>
      <w:ind w:left="567" w:hanging="567"/>
      <w:jc w:val="center"/>
      <w:rPr>
        <w:rFonts w:ascii="Palatino Linotype" w:hAnsi="Palatino Linotype" w:cs="Times New Roman"/>
        <w:b/>
      </w:rPr>
    </w:pPr>
  </w:p>
  <w:p w14:paraId="3F050F17" w14:textId="5C5C4BA1" w:rsidR="00902795" w:rsidRPr="00694D76" w:rsidRDefault="00902795" w:rsidP="00694D76">
    <w:pPr>
      <w:spacing w:after="120"/>
      <w:ind w:left="567" w:hanging="567"/>
      <w:jc w:val="center"/>
      <w:rPr>
        <w:rFonts w:ascii="Palatino Linotype" w:hAnsi="Palatino Linotype" w:cs="Times New Roman"/>
        <w:b/>
      </w:rPr>
    </w:pPr>
    <w:r w:rsidRPr="00694D76">
      <w:rPr>
        <w:rFonts w:ascii="Palatino Linotype" w:hAnsi="Palatino Linotype" w:cs="Times New Roman"/>
        <w:b/>
      </w:rPr>
      <w:t xml:space="preserve">ORDENANZA 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FC37" w14:textId="77777777" w:rsidR="00902795" w:rsidRDefault="00902795">
    <w:pPr>
      <w:pStyle w:val="Encabezado"/>
    </w:pPr>
  </w:p>
  <w:p w14:paraId="6DA38805" w14:textId="77777777" w:rsidR="00902795" w:rsidRDefault="00902795">
    <w:pPr>
      <w:pStyle w:val="Encabezado"/>
    </w:pPr>
  </w:p>
  <w:p w14:paraId="35A610F1" w14:textId="77777777" w:rsidR="00902795" w:rsidRDefault="00902795">
    <w:pPr>
      <w:pStyle w:val="Encabezado"/>
    </w:pPr>
  </w:p>
  <w:p w14:paraId="3EE4C165" w14:textId="77777777" w:rsidR="00902795" w:rsidRDefault="00902795">
    <w:pPr>
      <w:pStyle w:val="Encabezado"/>
    </w:pPr>
  </w:p>
  <w:p w14:paraId="68DC2358" w14:textId="77777777" w:rsidR="00902795" w:rsidRDefault="00902795">
    <w:pPr>
      <w:pStyle w:val="Encabezado"/>
    </w:pPr>
  </w:p>
  <w:p w14:paraId="6044D722" w14:textId="77777777" w:rsidR="00902795" w:rsidRDefault="00902795" w:rsidP="00694D76">
    <w:pPr>
      <w:spacing w:after="120"/>
      <w:ind w:left="567" w:hanging="567"/>
      <w:jc w:val="center"/>
      <w:rPr>
        <w:rFonts w:ascii="Palatino Linotype" w:hAnsi="Palatino Linotype" w:cs="Times New Roman"/>
        <w:b/>
      </w:rPr>
    </w:pPr>
  </w:p>
  <w:p w14:paraId="4BFE3055" w14:textId="77777777" w:rsidR="00902795" w:rsidRPr="00694D76" w:rsidRDefault="00902795" w:rsidP="00694D76">
    <w:pPr>
      <w:spacing w:after="120"/>
      <w:ind w:left="567" w:hanging="567"/>
      <w:jc w:val="center"/>
      <w:rPr>
        <w:rFonts w:ascii="Palatino Linotype" w:hAnsi="Palatino Linotype" w:cs="Times New Roman"/>
        <w:b/>
      </w:rPr>
    </w:pPr>
    <w:r w:rsidRPr="00694D76">
      <w:rPr>
        <w:rFonts w:ascii="Palatino Linotype" w:hAnsi="Palatino Linotype" w:cs="Times New Roman"/>
        <w:b/>
      </w:rPr>
      <w:t xml:space="preserve">ORDENANZA No.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4FCE3" w14:textId="77777777" w:rsidR="00C17428" w:rsidRDefault="00C17428">
    <w:pPr>
      <w:pStyle w:val="Encabezado"/>
    </w:pPr>
  </w:p>
  <w:p w14:paraId="3DB65B52" w14:textId="77777777" w:rsidR="00C17428" w:rsidRDefault="00C17428">
    <w:pPr>
      <w:pStyle w:val="Encabezado"/>
    </w:pPr>
  </w:p>
  <w:p w14:paraId="17DA1DE0" w14:textId="77777777" w:rsidR="00C17428" w:rsidRDefault="00C17428">
    <w:pPr>
      <w:pStyle w:val="Encabezado"/>
    </w:pPr>
  </w:p>
  <w:p w14:paraId="25B8DFFC" w14:textId="77777777" w:rsidR="00C17428" w:rsidRDefault="00C17428">
    <w:pPr>
      <w:pStyle w:val="Encabezado"/>
    </w:pPr>
  </w:p>
  <w:p w14:paraId="40759692" w14:textId="77777777" w:rsidR="00C17428" w:rsidRDefault="00C17428">
    <w:pPr>
      <w:pStyle w:val="Encabezado"/>
    </w:pPr>
  </w:p>
  <w:p w14:paraId="7A1E3893" w14:textId="77777777" w:rsidR="00C17428" w:rsidRDefault="00C17428" w:rsidP="00694D76">
    <w:pPr>
      <w:spacing w:after="120"/>
      <w:ind w:left="567" w:hanging="567"/>
      <w:jc w:val="center"/>
      <w:rPr>
        <w:rFonts w:ascii="Palatino Linotype" w:hAnsi="Palatino Linotype" w:cs="Times New Roman"/>
        <w:b/>
      </w:rPr>
    </w:pPr>
  </w:p>
  <w:p w14:paraId="746D61ED" w14:textId="77777777" w:rsidR="00C17428" w:rsidRPr="00694D76" w:rsidRDefault="00C17428" w:rsidP="00694D76">
    <w:pPr>
      <w:spacing w:after="120"/>
      <w:ind w:left="567" w:hanging="567"/>
      <w:jc w:val="center"/>
      <w:rPr>
        <w:rFonts w:ascii="Palatino Linotype" w:hAnsi="Palatino Linotype" w:cs="Times New Roman"/>
        <w:b/>
      </w:rPr>
    </w:pPr>
    <w:r w:rsidRPr="00694D76">
      <w:rPr>
        <w:rFonts w:ascii="Palatino Linotype" w:hAnsi="Palatino Linotype" w:cs="Times New Roman"/>
        <w:b/>
      </w:rPr>
      <w:t xml:space="preserve">ORDENANZA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1BB1605"/>
    <w:multiLevelType w:val="hybridMultilevel"/>
    <w:tmpl w:val="F0E4E89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15:restartNumberingAfterBreak="0">
    <w:nsid w:val="06F47CDE"/>
    <w:multiLevelType w:val="hybridMultilevel"/>
    <w:tmpl w:val="AE8E1D30"/>
    <w:lvl w:ilvl="0" w:tplc="3C505AA6">
      <w:start w:val="1"/>
      <w:numFmt w:val="lowerLetter"/>
      <w:lvlText w:val="%1)"/>
      <w:lvlJc w:val="left"/>
      <w:pPr>
        <w:ind w:left="1429" w:hanging="360"/>
      </w:pPr>
      <w:rPr>
        <w:b/>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3" w15:restartNumberingAfterBreak="0">
    <w:nsid w:val="076C7C9D"/>
    <w:multiLevelType w:val="hybridMultilevel"/>
    <w:tmpl w:val="57E2FC26"/>
    <w:lvl w:ilvl="0" w:tplc="DB2CC3A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02D35D4"/>
    <w:multiLevelType w:val="hybridMultilevel"/>
    <w:tmpl w:val="9A96E736"/>
    <w:lvl w:ilvl="0" w:tplc="8F923AAE">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EFD18B3"/>
    <w:multiLevelType w:val="multilevel"/>
    <w:tmpl w:val="CDD4CF0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92410"/>
    <w:multiLevelType w:val="multilevel"/>
    <w:tmpl w:val="3F68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E2959"/>
    <w:multiLevelType w:val="hybridMultilevel"/>
    <w:tmpl w:val="2158B218"/>
    <w:lvl w:ilvl="0" w:tplc="F51612E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9E8709C"/>
    <w:multiLevelType w:val="hybridMultilevel"/>
    <w:tmpl w:val="7FE4D4A6"/>
    <w:lvl w:ilvl="0" w:tplc="869ED06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4502590"/>
    <w:multiLevelType w:val="hybridMultilevel"/>
    <w:tmpl w:val="8FDEAA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A260B03"/>
    <w:multiLevelType w:val="hybridMultilevel"/>
    <w:tmpl w:val="408CC5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B643079"/>
    <w:multiLevelType w:val="hybridMultilevel"/>
    <w:tmpl w:val="693A57DA"/>
    <w:lvl w:ilvl="0" w:tplc="CC821780">
      <w:start w:val="1"/>
      <w:numFmt w:val="lowerLetter"/>
      <w:lvlText w:val="%1)"/>
      <w:lvlJc w:val="left"/>
      <w:pPr>
        <w:ind w:left="1429" w:hanging="360"/>
      </w:pPr>
      <w:rPr>
        <w:b/>
        <w:lang w:val="es-MX"/>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2" w15:restartNumberingAfterBreak="0">
    <w:nsid w:val="3B6D105F"/>
    <w:multiLevelType w:val="hybridMultilevel"/>
    <w:tmpl w:val="86862FD2"/>
    <w:lvl w:ilvl="0" w:tplc="0BA2B02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D9E1141"/>
    <w:multiLevelType w:val="hybridMultilevel"/>
    <w:tmpl w:val="CA84B7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48565F09"/>
    <w:multiLevelType w:val="hybridMultilevel"/>
    <w:tmpl w:val="476EB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8310E9"/>
    <w:multiLevelType w:val="hybridMultilevel"/>
    <w:tmpl w:val="EB28E218"/>
    <w:lvl w:ilvl="0" w:tplc="782218C0">
      <w:start w:val="1"/>
      <w:numFmt w:val="lowerLetter"/>
      <w:lvlText w:val="%1)"/>
      <w:lvlJc w:val="left"/>
      <w:pPr>
        <w:ind w:left="928" w:hanging="360"/>
      </w:pPr>
      <w:rPr>
        <w:rFonts w:hint="default"/>
        <w:b/>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16" w15:restartNumberingAfterBreak="0">
    <w:nsid w:val="512A7C2C"/>
    <w:multiLevelType w:val="hybridMultilevel"/>
    <w:tmpl w:val="C11034FA"/>
    <w:lvl w:ilvl="0" w:tplc="D6EA63A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35703B4"/>
    <w:multiLevelType w:val="hybridMultilevel"/>
    <w:tmpl w:val="6E506D2E"/>
    <w:lvl w:ilvl="0" w:tplc="FB267FD6">
      <w:start w:val="1"/>
      <w:numFmt w:val="lowerLetter"/>
      <w:lvlText w:val="%1)"/>
      <w:lvlJc w:val="left"/>
      <w:pPr>
        <w:ind w:left="720" w:hanging="360"/>
      </w:pPr>
      <w:rPr>
        <w:rFonts w:hint="default"/>
        <w:b/>
      </w:rPr>
    </w:lvl>
    <w:lvl w:ilvl="1" w:tplc="300A001B">
      <w:start w:val="1"/>
      <w:numFmt w:val="low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486F5B"/>
    <w:multiLevelType w:val="hybridMultilevel"/>
    <w:tmpl w:val="70AAC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1B11CA"/>
    <w:multiLevelType w:val="hybridMultilevel"/>
    <w:tmpl w:val="95BCECC6"/>
    <w:lvl w:ilvl="0" w:tplc="D428823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132FF8"/>
    <w:multiLevelType w:val="hybridMultilevel"/>
    <w:tmpl w:val="418CFB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CA03CDE"/>
    <w:multiLevelType w:val="hybridMultilevel"/>
    <w:tmpl w:val="C89CC746"/>
    <w:lvl w:ilvl="0" w:tplc="6D06E81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CDF1C1A"/>
    <w:multiLevelType w:val="hybridMultilevel"/>
    <w:tmpl w:val="DD020F96"/>
    <w:lvl w:ilvl="0" w:tplc="300A000F">
      <w:start w:val="1"/>
      <w:numFmt w:val="decimal"/>
      <w:lvlText w:val="%1."/>
      <w:lvlJc w:val="left"/>
      <w:pPr>
        <w:ind w:left="644"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D5B261B"/>
    <w:multiLevelType w:val="hybridMultilevel"/>
    <w:tmpl w:val="B53EB396"/>
    <w:lvl w:ilvl="0" w:tplc="98AA2CAE">
      <w:start w:val="1"/>
      <w:numFmt w:val="decimal"/>
      <w:lvlText w:val="%1."/>
      <w:lvlJc w:val="left"/>
      <w:pPr>
        <w:ind w:left="720" w:hanging="360"/>
      </w:pPr>
      <w:rPr>
        <w:b/>
      </w:rPr>
    </w:lvl>
    <w:lvl w:ilvl="1" w:tplc="F13E583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9117433"/>
    <w:multiLevelType w:val="hybridMultilevel"/>
    <w:tmpl w:val="7D826F78"/>
    <w:lvl w:ilvl="0" w:tplc="D9F41C1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7"/>
  </w:num>
  <w:num w:numId="2">
    <w:abstractNumId w:val="15"/>
  </w:num>
  <w:num w:numId="3">
    <w:abstractNumId w:val="4"/>
  </w:num>
  <w:num w:numId="4">
    <w:abstractNumId w:val="22"/>
  </w:num>
  <w:num w:numId="5">
    <w:abstractNumId w:val="16"/>
  </w:num>
  <w:num w:numId="6">
    <w:abstractNumId w:val="8"/>
  </w:num>
  <w:num w:numId="7">
    <w:abstractNumId w:val="23"/>
  </w:num>
  <w:num w:numId="8">
    <w:abstractNumId w:val="7"/>
  </w:num>
  <w:num w:numId="9">
    <w:abstractNumId w:val="12"/>
  </w:num>
  <w:num w:numId="10">
    <w:abstractNumId w:val="20"/>
  </w:num>
  <w:num w:numId="11">
    <w:abstractNumId w:val="3"/>
  </w:num>
  <w:num w:numId="12">
    <w:abstractNumId w:val="24"/>
  </w:num>
  <w:num w:numId="13">
    <w:abstractNumId w:val="21"/>
  </w:num>
  <w:num w:numId="14">
    <w:abstractNumId w:val="9"/>
  </w:num>
  <w:num w:numId="15">
    <w:abstractNumId w:val="18"/>
  </w:num>
  <w:num w:numId="16">
    <w:abstractNumId w:val="6"/>
  </w:num>
  <w:num w:numId="17">
    <w:abstractNumId w:val="14"/>
  </w:num>
  <w:num w:numId="18">
    <w:abstractNumId w:val="13"/>
  </w:num>
  <w:num w:numId="19">
    <w:abstractNumId w:val="5"/>
  </w:num>
  <w:num w:numId="20">
    <w:abstractNumId w:val="2"/>
  </w:num>
  <w:num w:numId="21">
    <w:abstractNumId w:val="11"/>
  </w:num>
  <w:num w:numId="22">
    <w:abstractNumId w:val="19"/>
  </w:num>
  <w:num w:numId="23">
    <w:abstractNumId w:val="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BD"/>
    <w:rsid w:val="00000038"/>
    <w:rsid w:val="00000C33"/>
    <w:rsid w:val="000016A6"/>
    <w:rsid w:val="00001ADF"/>
    <w:rsid w:val="00001FC5"/>
    <w:rsid w:val="00002210"/>
    <w:rsid w:val="00002A10"/>
    <w:rsid w:val="00004B1F"/>
    <w:rsid w:val="000061B3"/>
    <w:rsid w:val="00007E74"/>
    <w:rsid w:val="000100E5"/>
    <w:rsid w:val="000105D9"/>
    <w:rsid w:val="00010604"/>
    <w:rsid w:val="00012829"/>
    <w:rsid w:val="00012B74"/>
    <w:rsid w:val="0001378E"/>
    <w:rsid w:val="000138B1"/>
    <w:rsid w:val="00013B8F"/>
    <w:rsid w:val="000169B1"/>
    <w:rsid w:val="00017E38"/>
    <w:rsid w:val="000212C2"/>
    <w:rsid w:val="000217D7"/>
    <w:rsid w:val="00022395"/>
    <w:rsid w:val="00022C2D"/>
    <w:rsid w:val="000310BB"/>
    <w:rsid w:val="00031EC6"/>
    <w:rsid w:val="0003494D"/>
    <w:rsid w:val="00034C63"/>
    <w:rsid w:val="00036538"/>
    <w:rsid w:val="00036E4B"/>
    <w:rsid w:val="00040356"/>
    <w:rsid w:val="000410DC"/>
    <w:rsid w:val="0004680B"/>
    <w:rsid w:val="00047C14"/>
    <w:rsid w:val="00047C1F"/>
    <w:rsid w:val="00050C89"/>
    <w:rsid w:val="00050D81"/>
    <w:rsid w:val="000529A7"/>
    <w:rsid w:val="0005553C"/>
    <w:rsid w:val="00057327"/>
    <w:rsid w:val="00061C4A"/>
    <w:rsid w:val="00062504"/>
    <w:rsid w:val="00063E3E"/>
    <w:rsid w:val="00064702"/>
    <w:rsid w:val="00066A70"/>
    <w:rsid w:val="000679F9"/>
    <w:rsid w:val="00073182"/>
    <w:rsid w:val="00074640"/>
    <w:rsid w:val="00074F25"/>
    <w:rsid w:val="000750E6"/>
    <w:rsid w:val="00076403"/>
    <w:rsid w:val="00076637"/>
    <w:rsid w:val="0007678B"/>
    <w:rsid w:val="00076C8D"/>
    <w:rsid w:val="000779AC"/>
    <w:rsid w:val="00080E24"/>
    <w:rsid w:val="00081B58"/>
    <w:rsid w:val="00081CD2"/>
    <w:rsid w:val="0008400E"/>
    <w:rsid w:val="00084764"/>
    <w:rsid w:val="000865D4"/>
    <w:rsid w:val="000871EC"/>
    <w:rsid w:val="000934B8"/>
    <w:rsid w:val="00094D3B"/>
    <w:rsid w:val="000967EF"/>
    <w:rsid w:val="00097318"/>
    <w:rsid w:val="000A0421"/>
    <w:rsid w:val="000A0E23"/>
    <w:rsid w:val="000A0F1E"/>
    <w:rsid w:val="000A108E"/>
    <w:rsid w:val="000A55F0"/>
    <w:rsid w:val="000A6570"/>
    <w:rsid w:val="000B3379"/>
    <w:rsid w:val="000B4999"/>
    <w:rsid w:val="000B52F3"/>
    <w:rsid w:val="000B5BE6"/>
    <w:rsid w:val="000B65C2"/>
    <w:rsid w:val="000B6724"/>
    <w:rsid w:val="000C028B"/>
    <w:rsid w:val="000C1CB3"/>
    <w:rsid w:val="000C38C6"/>
    <w:rsid w:val="000C4286"/>
    <w:rsid w:val="000C4332"/>
    <w:rsid w:val="000C60BF"/>
    <w:rsid w:val="000C6965"/>
    <w:rsid w:val="000D10B7"/>
    <w:rsid w:val="000D1748"/>
    <w:rsid w:val="000D478F"/>
    <w:rsid w:val="000D4D55"/>
    <w:rsid w:val="000D4DBD"/>
    <w:rsid w:val="000D50D2"/>
    <w:rsid w:val="000D578C"/>
    <w:rsid w:val="000D75EB"/>
    <w:rsid w:val="000D7A04"/>
    <w:rsid w:val="000E061D"/>
    <w:rsid w:val="000E0B6D"/>
    <w:rsid w:val="000E117C"/>
    <w:rsid w:val="000E1E43"/>
    <w:rsid w:val="000E29E8"/>
    <w:rsid w:val="000E3FE0"/>
    <w:rsid w:val="000E45C2"/>
    <w:rsid w:val="000E6CEC"/>
    <w:rsid w:val="000E6D7C"/>
    <w:rsid w:val="000E7126"/>
    <w:rsid w:val="000F1299"/>
    <w:rsid w:val="000F4CB4"/>
    <w:rsid w:val="000F64A7"/>
    <w:rsid w:val="000F7323"/>
    <w:rsid w:val="000F741A"/>
    <w:rsid w:val="0010110A"/>
    <w:rsid w:val="001014F9"/>
    <w:rsid w:val="00102570"/>
    <w:rsid w:val="001027D7"/>
    <w:rsid w:val="00106B06"/>
    <w:rsid w:val="00107DBA"/>
    <w:rsid w:val="001106E3"/>
    <w:rsid w:val="00111540"/>
    <w:rsid w:val="00112BCA"/>
    <w:rsid w:val="00112EE2"/>
    <w:rsid w:val="0011340D"/>
    <w:rsid w:val="00113E1B"/>
    <w:rsid w:val="001152F0"/>
    <w:rsid w:val="001157D2"/>
    <w:rsid w:val="00115C87"/>
    <w:rsid w:val="00115D6F"/>
    <w:rsid w:val="001162BC"/>
    <w:rsid w:val="00117377"/>
    <w:rsid w:val="00120E38"/>
    <w:rsid w:val="00121030"/>
    <w:rsid w:val="00121B95"/>
    <w:rsid w:val="0012476F"/>
    <w:rsid w:val="001247B6"/>
    <w:rsid w:val="00125513"/>
    <w:rsid w:val="00126662"/>
    <w:rsid w:val="00126C6C"/>
    <w:rsid w:val="00127BEA"/>
    <w:rsid w:val="00130091"/>
    <w:rsid w:val="001307EC"/>
    <w:rsid w:val="00131A3B"/>
    <w:rsid w:val="00134487"/>
    <w:rsid w:val="00136D71"/>
    <w:rsid w:val="00137B93"/>
    <w:rsid w:val="00140728"/>
    <w:rsid w:val="001429EB"/>
    <w:rsid w:val="00142B7E"/>
    <w:rsid w:val="001433AE"/>
    <w:rsid w:val="00143F61"/>
    <w:rsid w:val="00145103"/>
    <w:rsid w:val="00147206"/>
    <w:rsid w:val="0014783C"/>
    <w:rsid w:val="001503FD"/>
    <w:rsid w:val="00153F4F"/>
    <w:rsid w:val="001600BB"/>
    <w:rsid w:val="001602D5"/>
    <w:rsid w:val="001608C3"/>
    <w:rsid w:val="001608FA"/>
    <w:rsid w:val="001616A1"/>
    <w:rsid w:val="001657BA"/>
    <w:rsid w:val="00166817"/>
    <w:rsid w:val="0016697B"/>
    <w:rsid w:val="00171894"/>
    <w:rsid w:val="001744B0"/>
    <w:rsid w:val="00181D7D"/>
    <w:rsid w:val="00183214"/>
    <w:rsid w:val="001832F7"/>
    <w:rsid w:val="0018341B"/>
    <w:rsid w:val="00184ADF"/>
    <w:rsid w:val="0018569E"/>
    <w:rsid w:val="0018660E"/>
    <w:rsid w:val="0018700A"/>
    <w:rsid w:val="001878C3"/>
    <w:rsid w:val="001879E4"/>
    <w:rsid w:val="00192CA4"/>
    <w:rsid w:val="001955C7"/>
    <w:rsid w:val="00196F8E"/>
    <w:rsid w:val="001973F5"/>
    <w:rsid w:val="001A01DE"/>
    <w:rsid w:val="001A1767"/>
    <w:rsid w:val="001A3709"/>
    <w:rsid w:val="001A585A"/>
    <w:rsid w:val="001A5A02"/>
    <w:rsid w:val="001A5E87"/>
    <w:rsid w:val="001A6233"/>
    <w:rsid w:val="001B0520"/>
    <w:rsid w:val="001B0E1B"/>
    <w:rsid w:val="001B18DA"/>
    <w:rsid w:val="001B1DEB"/>
    <w:rsid w:val="001B2D75"/>
    <w:rsid w:val="001B3FC3"/>
    <w:rsid w:val="001B4D26"/>
    <w:rsid w:val="001B5A54"/>
    <w:rsid w:val="001B63DF"/>
    <w:rsid w:val="001B6ADD"/>
    <w:rsid w:val="001B6D54"/>
    <w:rsid w:val="001C553A"/>
    <w:rsid w:val="001C7E91"/>
    <w:rsid w:val="001C7F86"/>
    <w:rsid w:val="001D0C70"/>
    <w:rsid w:val="001D4377"/>
    <w:rsid w:val="001D645B"/>
    <w:rsid w:val="001D6F60"/>
    <w:rsid w:val="001E0154"/>
    <w:rsid w:val="001E18F8"/>
    <w:rsid w:val="001E455E"/>
    <w:rsid w:val="001E4A7E"/>
    <w:rsid w:val="001E76BA"/>
    <w:rsid w:val="001E7A4D"/>
    <w:rsid w:val="001F05E3"/>
    <w:rsid w:val="001F1980"/>
    <w:rsid w:val="001F1ABE"/>
    <w:rsid w:val="001F25BB"/>
    <w:rsid w:val="001F30D2"/>
    <w:rsid w:val="001F3A84"/>
    <w:rsid w:val="001F7ED1"/>
    <w:rsid w:val="00204C42"/>
    <w:rsid w:val="00204E85"/>
    <w:rsid w:val="00206231"/>
    <w:rsid w:val="00207C8C"/>
    <w:rsid w:val="00207E73"/>
    <w:rsid w:val="00210DD7"/>
    <w:rsid w:val="00210F47"/>
    <w:rsid w:val="00213A53"/>
    <w:rsid w:val="002164EA"/>
    <w:rsid w:val="00221D3A"/>
    <w:rsid w:val="00223AAC"/>
    <w:rsid w:val="0022475D"/>
    <w:rsid w:val="00224E6A"/>
    <w:rsid w:val="0022592C"/>
    <w:rsid w:val="00225BE7"/>
    <w:rsid w:val="00225E1A"/>
    <w:rsid w:val="00230672"/>
    <w:rsid w:val="00232618"/>
    <w:rsid w:val="00233887"/>
    <w:rsid w:val="00234977"/>
    <w:rsid w:val="00236845"/>
    <w:rsid w:val="00236A00"/>
    <w:rsid w:val="00237678"/>
    <w:rsid w:val="002400FE"/>
    <w:rsid w:val="0024079B"/>
    <w:rsid w:val="00241F36"/>
    <w:rsid w:val="002432C6"/>
    <w:rsid w:val="0024374C"/>
    <w:rsid w:val="00245E0C"/>
    <w:rsid w:val="00250049"/>
    <w:rsid w:val="00250512"/>
    <w:rsid w:val="00250D71"/>
    <w:rsid w:val="00252064"/>
    <w:rsid w:val="002561CF"/>
    <w:rsid w:val="002576D2"/>
    <w:rsid w:val="0026063A"/>
    <w:rsid w:val="00260F33"/>
    <w:rsid w:val="00263AD2"/>
    <w:rsid w:val="002653FA"/>
    <w:rsid w:val="0026651D"/>
    <w:rsid w:val="0027003A"/>
    <w:rsid w:val="00270850"/>
    <w:rsid w:val="00270F45"/>
    <w:rsid w:val="00271A7C"/>
    <w:rsid w:val="00271F24"/>
    <w:rsid w:val="00272603"/>
    <w:rsid w:val="00272DC4"/>
    <w:rsid w:val="00273048"/>
    <w:rsid w:val="002733B4"/>
    <w:rsid w:val="00274491"/>
    <w:rsid w:val="00275A46"/>
    <w:rsid w:val="00277523"/>
    <w:rsid w:val="00277FA2"/>
    <w:rsid w:val="00280032"/>
    <w:rsid w:val="00282C41"/>
    <w:rsid w:val="00282F57"/>
    <w:rsid w:val="00282F64"/>
    <w:rsid w:val="002836BE"/>
    <w:rsid w:val="00285514"/>
    <w:rsid w:val="002903A0"/>
    <w:rsid w:val="00295018"/>
    <w:rsid w:val="00296932"/>
    <w:rsid w:val="00296AAF"/>
    <w:rsid w:val="002972ED"/>
    <w:rsid w:val="002A035C"/>
    <w:rsid w:val="002A09BE"/>
    <w:rsid w:val="002A11F9"/>
    <w:rsid w:val="002A4BC7"/>
    <w:rsid w:val="002A59C3"/>
    <w:rsid w:val="002A6B0C"/>
    <w:rsid w:val="002B114E"/>
    <w:rsid w:val="002B12AF"/>
    <w:rsid w:val="002B1370"/>
    <w:rsid w:val="002B248E"/>
    <w:rsid w:val="002B38FF"/>
    <w:rsid w:val="002B4CA0"/>
    <w:rsid w:val="002B4D7C"/>
    <w:rsid w:val="002B5DD6"/>
    <w:rsid w:val="002B649F"/>
    <w:rsid w:val="002C097B"/>
    <w:rsid w:val="002C20A0"/>
    <w:rsid w:val="002C2293"/>
    <w:rsid w:val="002C2AB9"/>
    <w:rsid w:val="002C3245"/>
    <w:rsid w:val="002C4E7C"/>
    <w:rsid w:val="002C5B73"/>
    <w:rsid w:val="002C690B"/>
    <w:rsid w:val="002C752F"/>
    <w:rsid w:val="002D6992"/>
    <w:rsid w:val="002D797B"/>
    <w:rsid w:val="002E19DC"/>
    <w:rsid w:val="002E2CA2"/>
    <w:rsid w:val="002E31DC"/>
    <w:rsid w:val="002E4135"/>
    <w:rsid w:val="002E5E89"/>
    <w:rsid w:val="002E66D4"/>
    <w:rsid w:val="002E6F00"/>
    <w:rsid w:val="002E740E"/>
    <w:rsid w:val="002E7604"/>
    <w:rsid w:val="002E7730"/>
    <w:rsid w:val="002E775A"/>
    <w:rsid w:val="002F008B"/>
    <w:rsid w:val="002F058E"/>
    <w:rsid w:val="002F4A62"/>
    <w:rsid w:val="002F51EF"/>
    <w:rsid w:val="002F5338"/>
    <w:rsid w:val="002F53F4"/>
    <w:rsid w:val="002F541D"/>
    <w:rsid w:val="0030066A"/>
    <w:rsid w:val="003007A8"/>
    <w:rsid w:val="00302C5E"/>
    <w:rsid w:val="00302F55"/>
    <w:rsid w:val="00303561"/>
    <w:rsid w:val="0030377D"/>
    <w:rsid w:val="003056EB"/>
    <w:rsid w:val="003134BD"/>
    <w:rsid w:val="003149FD"/>
    <w:rsid w:val="00316DF9"/>
    <w:rsid w:val="00317794"/>
    <w:rsid w:val="0031793C"/>
    <w:rsid w:val="003223B3"/>
    <w:rsid w:val="00322702"/>
    <w:rsid w:val="00325AF9"/>
    <w:rsid w:val="00326226"/>
    <w:rsid w:val="003262D3"/>
    <w:rsid w:val="00326CFD"/>
    <w:rsid w:val="00330F47"/>
    <w:rsid w:val="00331CFC"/>
    <w:rsid w:val="0033204F"/>
    <w:rsid w:val="0033292B"/>
    <w:rsid w:val="00332BCD"/>
    <w:rsid w:val="00333541"/>
    <w:rsid w:val="00333CF9"/>
    <w:rsid w:val="003368A5"/>
    <w:rsid w:val="00337094"/>
    <w:rsid w:val="003422DD"/>
    <w:rsid w:val="0035104F"/>
    <w:rsid w:val="0035108D"/>
    <w:rsid w:val="003517F4"/>
    <w:rsid w:val="00352C19"/>
    <w:rsid w:val="00353B85"/>
    <w:rsid w:val="003554B3"/>
    <w:rsid w:val="00357273"/>
    <w:rsid w:val="00357437"/>
    <w:rsid w:val="003605FB"/>
    <w:rsid w:val="00360684"/>
    <w:rsid w:val="003622FB"/>
    <w:rsid w:val="0036390A"/>
    <w:rsid w:val="003660CD"/>
    <w:rsid w:val="00367E77"/>
    <w:rsid w:val="0037240A"/>
    <w:rsid w:val="003725FA"/>
    <w:rsid w:val="00374A1D"/>
    <w:rsid w:val="003772DF"/>
    <w:rsid w:val="003779F8"/>
    <w:rsid w:val="00381646"/>
    <w:rsid w:val="00381A20"/>
    <w:rsid w:val="00382831"/>
    <w:rsid w:val="00382A14"/>
    <w:rsid w:val="00382C91"/>
    <w:rsid w:val="00383D87"/>
    <w:rsid w:val="00385B6D"/>
    <w:rsid w:val="0038632E"/>
    <w:rsid w:val="00386E86"/>
    <w:rsid w:val="00387408"/>
    <w:rsid w:val="00387DCA"/>
    <w:rsid w:val="00391516"/>
    <w:rsid w:val="0039199F"/>
    <w:rsid w:val="00391B76"/>
    <w:rsid w:val="003929FB"/>
    <w:rsid w:val="00393D98"/>
    <w:rsid w:val="00394FDC"/>
    <w:rsid w:val="00395BB8"/>
    <w:rsid w:val="0039607F"/>
    <w:rsid w:val="003A0657"/>
    <w:rsid w:val="003A0999"/>
    <w:rsid w:val="003A0ADE"/>
    <w:rsid w:val="003A178F"/>
    <w:rsid w:val="003A24BA"/>
    <w:rsid w:val="003A2C0E"/>
    <w:rsid w:val="003A3BF4"/>
    <w:rsid w:val="003A5CA3"/>
    <w:rsid w:val="003A5D51"/>
    <w:rsid w:val="003A711A"/>
    <w:rsid w:val="003A71EE"/>
    <w:rsid w:val="003B08D8"/>
    <w:rsid w:val="003B282C"/>
    <w:rsid w:val="003B39E2"/>
    <w:rsid w:val="003B528C"/>
    <w:rsid w:val="003B6EBE"/>
    <w:rsid w:val="003B7A76"/>
    <w:rsid w:val="003B7B57"/>
    <w:rsid w:val="003B7EB8"/>
    <w:rsid w:val="003C1649"/>
    <w:rsid w:val="003C3727"/>
    <w:rsid w:val="003C3805"/>
    <w:rsid w:val="003C4B5A"/>
    <w:rsid w:val="003C58B3"/>
    <w:rsid w:val="003C5B5B"/>
    <w:rsid w:val="003C6EBF"/>
    <w:rsid w:val="003D0E4E"/>
    <w:rsid w:val="003D176E"/>
    <w:rsid w:val="003D2CAC"/>
    <w:rsid w:val="003D3492"/>
    <w:rsid w:val="003D42CA"/>
    <w:rsid w:val="003D4786"/>
    <w:rsid w:val="003D771E"/>
    <w:rsid w:val="003D7BA7"/>
    <w:rsid w:val="003E0DDE"/>
    <w:rsid w:val="003E22B8"/>
    <w:rsid w:val="003E23D0"/>
    <w:rsid w:val="003E2C00"/>
    <w:rsid w:val="003E3CCA"/>
    <w:rsid w:val="003E5E97"/>
    <w:rsid w:val="003F0A55"/>
    <w:rsid w:val="003F177F"/>
    <w:rsid w:val="003F1CBD"/>
    <w:rsid w:val="003F2B6E"/>
    <w:rsid w:val="003F2ED4"/>
    <w:rsid w:val="003F4B93"/>
    <w:rsid w:val="003F66F6"/>
    <w:rsid w:val="003F6C5A"/>
    <w:rsid w:val="00400DB1"/>
    <w:rsid w:val="004025C8"/>
    <w:rsid w:val="00402FEE"/>
    <w:rsid w:val="004035EE"/>
    <w:rsid w:val="00404A05"/>
    <w:rsid w:val="00404ED1"/>
    <w:rsid w:val="004065F8"/>
    <w:rsid w:val="00410886"/>
    <w:rsid w:val="004141DE"/>
    <w:rsid w:val="0041531D"/>
    <w:rsid w:val="00415766"/>
    <w:rsid w:val="004217A5"/>
    <w:rsid w:val="00426002"/>
    <w:rsid w:val="00427878"/>
    <w:rsid w:val="0043065C"/>
    <w:rsid w:val="00432070"/>
    <w:rsid w:val="0043259F"/>
    <w:rsid w:val="004328C1"/>
    <w:rsid w:val="00433B1B"/>
    <w:rsid w:val="0044025D"/>
    <w:rsid w:val="004420AA"/>
    <w:rsid w:val="004428B8"/>
    <w:rsid w:val="00442990"/>
    <w:rsid w:val="00442CD5"/>
    <w:rsid w:val="004431CB"/>
    <w:rsid w:val="00443DDB"/>
    <w:rsid w:val="00445FAF"/>
    <w:rsid w:val="00446259"/>
    <w:rsid w:val="00447545"/>
    <w:rsid w:val="0045022C"/>
    <w:rsid w:val="00450DAB"/>
    <w:rsid w:val="00450FD4"/>
    <w:rsid w:val="00451AAA"/>
    <w:rsid w:val="00452D6E"/>
    <w:rsid w:val="00452F73"/>
    <w:rsid w:val="0045365E"/>
    <w:rsid w:val="004546BF"/>
    <w:rsid w:val="004600F9"/>
    <w:rsid w:val="0046078A"/>
    <w:rsid w:val="00460997"/>
    <w:rsid w:val="00461C4A"/>
    <w:rsid w:val="004669E2"/>
    <w:rsid w:val="00470190"/>
    <w:rsid w:val="00472E4D"/>
    <w:rsid w:val="0047350F"/>
    <w:rsid w:val="004737D8"/>
    <w:rsid w:val="00473D58"/>
    <w:rsid w:val="00474859"/>
    <w:rsid w:val="004774D2"/>
    <w:rsid w:val="00477F90"/>
    <w:rsid w:val="00481334"/>
    <w:rsid w:val="00481F75"/>
    <w:rsid w:val="00482694"/>
    <w:rsid w:val="00484323"/>
    <w:rsid w:val="004855F4"/>
    <w:rsid w:val="00485BA1"/>
    <w:rsid w:val="00485FBA"/>
    <w:rsid w:val="00487947"/>
    <w:rsid w:val="0049019B"/>
    <w:rsid w:val="00492062"/>
    <w:rsid w:val="00495BEC"/>
    <w:rsid w:val="00496D46"/>
    <w:rsid w:val="004A09A7"/>
    <w:rsid w:val="004A3DEA"/>
    <w:rsid w:val="004A430A"/>
    <w:rsid w:val="004A49E7"/>
    <w:rsid w:val="004A4A09"/>
    <w:rsid w:val="004A58B0"/>
    <w:rsid w:val="004A5984"/>
    <w:rsid w:val="004A6074"/>
    <w:rsid w:val="004A7008"/>
    <w:rsid w:val="004B055A"/>
    <w:rsid w:val="004B1F2E"/>
    <w:rsid w:val="004B3071"/>
    <w:rsid w:val="004B4F68"/>
    <w:rsid w:val="004B77C4"/>
    <w:rsid w:val="004C0485"/>
    <w:rsid w:val="004C1FE6"/>
    <w:rsid w:val="004C21E9"/>
    <w:rsid w:val="004C7480"/>
    <w:rsid w:val="004D22A1"/>
    <w:rsid w:val="004D247D"/>
    <w:rsid w:val="004D377C"/>
    <w:rsid w:val="004D54FF"/>
    <w:rsid w:val="004D608F"/>
    <w:rsid w:val="004D6B70"/>
    <w:rsid w:val="004D7896"/>
    <w:rsid w:val="004E1B66"/>
    <w:rsid w:val="004E27A8"/>
    <w:rsid w:val="004E45D6"/>
    <w:rsid w:val="004E5547"/>
    <w:rsid w:val="004E637D"/>
    <w:rsid w:val="004E6FFC"/>
    <w:rsid w:val="004E702D"/>
    <w:rsid w:val="004E703A"/>
    <w:rsid w:val="004E79E2"/>
    <w:rsid w:val="004F125E"/>
    <w:rsid w:val="004F1FE3"/>
    <w:rsid w:val="004F2A6D"/>
    <w:rsid w:val="004F3E60"/>
    <w:rsid w:val="004F4377"/>
    <w:rsid w:val="004F53E2"/>
    <w:rsid w:val="004F5A42"/>
    <w:rsid w:val="004F5A99"/>
    <w:rsid w:val="004F6222"/>
    <w:rsid w:val="004F7BEE"/>
    <w:rsid w:val="005007A5"/>
    <w:rsid w:val="00500C8F"/>
    <w:rsid w:val="00504D2C"/>
    <w:rsid w:val="00506FD1"/>
    <w:rsid w:val="00510401"/>
    <w:rsid w:val="00511091"/>
    <w:rsid w:val="00513191"/>
    <w:rsid w:val="00513D10"/>
    <w:rsid w:val="00514387"/>
    <w:rsid w:val="00515183"/>
    <w:rsid w:val="0051673C"/>
    <w:rsid w:val="00516CF2"/>
    <w:rsid w:val="005171FF"/>
    <w:rsid w:val="0052108A"/>
    <w:rsid w:val="00521349"/>
    <w:rsid w:val="005214D7"/>
    <w:rsid w:val="005235A0"/>
    <w:rsid w:val="0052476F"/>
    <w:rsid w:val="00524B94"/>
    <w:rsid w:val="00524CCC"/>
    <w:rsid w:val="00527D56"/>
    <w:rsid w:val="00531A4C"/>
    <w:rsid w:val="005321BA"/>
    <w:rsid w:val="00532762"/>
    <w:rsid w:val="00533A6C"/>
    <w:rsid w:val="005367CA"/>
    <w:rsid w:val="00536D8D"/>
    <w:rsid w:val="00537769"/>
    <w:rsid w:val="00541943"/>
    <w:rsid w:val="0054209F"/>
    <w:rsid w:val="00542664"/>
    <w:rsid w:val="00542759"/>
    <w:rsid w:val="00542ECA"/>
    <w:rsid w:val="005433D1"/>
    <w:rsid w:val="005465E0"/>
    <w:rsid w:val="00546FAD"/>
    <w:rsid w:val="00547FD2"/>
    <w:rsid w:val="0055157D"/>
    <w:rsid w:val="005532AA"/>
    <w:rsid w:val="005569CB"/>
    <w:rsid w:val="00560FD9"/>
    <w:rsid w:val="00561530"/>
    <w:rsid w:val="00561F84"/>
    <w:rsid w:val="00562C41"/>
    <w:rsid w:val="00564B65"/>
    <w:rsid w:val="00567973"/>
    <w:rsid w:val="005679B5"/>
    <w:rsid w:val="00570C3B"/>
    <w:rsid w:val="005724A5"/>
    <w:rsid w:val="0057488E"/>
    <w:rsid w:val="00574B78"/>
    <w:rsid w:val="0058026F"/>
    <w:rsid w:val="005811DA"/>
    <w:rsid w:val="00581692"/>
    <w:rsid w:val="005825D1"/>
    <w:rsid w:val="00583034"/>
    <w:rsid w:val="005836C1"/>
    <w:rsid w:val="005852FD"/>
    <w:rsid w:val="00586CBE"/>
    <w:rsid w:val="00592C37"/>
    <w:rsid w:val="00592F91"/>
    <w:rsid w:val="00593BDA"/>
    <w:rsid w:val="0059724B"/>
    <w:rsid w:val="00597A97"/>
    <w:rsid w:val="005A0AAD"/>
    <w:rsid w:val="005A0EFA"/>
    <w:rsid w:val="005A17D6"/>
    <w:rsid w:val="005A181C"/>
    <w:rsid w:val="005A3166"/>
    <w:rsid w:val="005A3E9B"/>
    <w:rsid w:val="005A5FC9"/>
    <w:rsid w:val="005B1E19"/>
    <w:rsid w:val="005B28D1"/>
    <w:rsid w:val="005B29D9"/>
    <w:rsid w:val="005B2C2A"/>
    <w:rsid w:val="005B2D8D"/>
    <w:rsid w:val="005B4C3D"/>
    <w:rsid w:val="005B51FC"/>
    <w:rsid w:val="005B60E8"/>
    <w:rsid w:val="005C0946"/>
    <w:rsid w:val="005C095D"/>
    <w:rsid w:val="005C3464"/>
    <w:rsid w:val="005C3475"/>
    <w:rsid w:val="005C3678"/>
    <w:rsid w:val="005C399F"/>
    <w:rsid w:val="005C4D19"/>
    <w:rsid w:val="005C5B94"/>
    <w:rsid w:val="005C5CE4"/>
    <w:rsid w:val="005C5D75"/>
    <w:rsid w:val="005C63C2"/>
    <w:rsid w:val="005C72CA"/>
    <w:rsid w:val="005D0286"/>
    <w:rsid w:val="005E1813"/>
    <w:rsid w:val="005E1C8B"/>
    <w:rsid w:val="005E336A"/>
    <w:rsid w:val="005E4E2B"/>
    <w:rsid w:val="005E5E3A"/>
    <w:rsid w:val="005E612E"/>
    <w:rsid w:val="005E65FD"/>
    <w:rsid w:val="005E76E7"/>
    <w:rsid w:val="005F0304"/>
    <w:rsid w:val="005F25A5"/>
    <w:rsid w:val="005F4006"/>
    <w:rsid w:val="005F44CC"/>
    <w:rsid w:val="005F6AAE"/>
    <w:rsid w:val="005F7087"/>
    <w:rsid w:val="005F7C29"/>
    <w:rsid w:val="0060290F"/>
    <w:rsid w:val="00602D14"/>
    <w:rsid w:val="00605B1B"/>
    <w:rsid w:val="0060690E"/>
    <w:rsid w:val="006075C7"/>
    <w:rsid w:val="00607821"/>
    <w:rsid w:val="006108D1"/>
    <w:rsid w:val="00612863"/>
    <w:rsid w:val="0061535D"/>
    <w:rsid w:val="00620416"/>
    <w:rsid w:val="006206AC"/>
    <w:rsid w:val="00620EB8"/>
    <w:rsid w:val="00621B84"/>
    <w:rsid w:val="00622BDA"/>
    <w:rsid w:val="00623672"/>
    <w:rsid w:val="00624B5F"/>
    <w:rsid w:val="006261C0"/>
    <w:rsid w:val="00627463"/>
    <w:rsid w:val="0062771E"/>
    <w:rsid w:val="006310F9"/>
    <w:rsid w:val="00632F64"/>
    <w:rsid w:val="00633A4C"/>
    <w:rsid w:val="00635149"/>
    <w:rsid w:val="00636112"/>
    <w:rsid w:val="006363C5"/>
    <w:rsid w:val="00640158"/>
    <w:rsid w:val="00640988"/>
    <w:rsid w:val="0064125A"/>
    <w:rsid w:val="0064128A"/>
    <w:rsid w:val="006449DD"/>
    <w:rsid w:val="00645FF8"/>
    <w:rsid w:val="0065133D"/>
    <w:rsid w:val="0065404A"/>
    <w:rsid w:val="006607FB"/>
    <w:rsid w:val="00663E1D"/>
    <w:rsid w:val="00664BA5"/>
    <w:rsid w:val="006657F1"/>
    <w:rsid w:val="006659F5"/>
    <w:rsid w:val="00666614"/>
    <w:rsid w:val="0066687C"/>
    <w:rsid w:val="006728D8"/>
    <w:rsid w:val="00673047"/>
    <w:rsid w:val="006736D0"/>
    <w:rsid w:val="00673973"/>
    <w:rsid w:val="00673FF6"/>
    <w:rsid w:val="0067619E"/>
    <w:rsid w:val="00677717"/>
    <w:rsid w:val="00680D4D"/>
    <w:rsid w:val="00680DAA"/>
    <w:rsid w:val="006827DD"/>
    <w:rsid w:val="006841FE"/>
    <w:rsid w:val="00684F71"/>
    <w:rsid w:val="006856FF"/>
    <w:rsid w:val="00686021"/>
    <w:rsid w:val="00686D1C"/>
    <w:rsid w:val="006924BE"/>
    <w:rsid w:val="006930C8"/>
    <w:rsid w:val="0069315C"/>
    <w:rsid w:val="00693B3D"/>
    <w:rsid w:val="00694C9A"/>
    <w:rsid w:val="00694D59"/>
    <w:rsid w:val="00694D76"/>
    <w:rsid w:val="00695903"/>
    <w:rsid w:val="00696A0A"/>
    <w:rsid w:val="00697882"/>
    <w:rsid w:val="00697DE5"/>
    <w:rsid w:val="006A0A4F"/>
    <w:rsid w:val="006A0A72"/>
    <w:rsid w:val="006A2229"/>
    <w:rsid w:val="006A25AA"/>
    <w:rsid w:val="006A4362"/>
    <w:rsid w:val="006A4BC4"/>
    <w:rsid w:val="006A4CF1"/>
    <w:rsid w:val="006A626D"/>
    <w:rsid w:val="006A7291"/>
    <w:rsid w:val="006A730C"/>
    <w:rsid w:val="006A770A"/>
    <w:rsid w:val="006A7DE4"/>
    <w:rsid w:val="006B1592"/>
    <w:rsid w:val="006B4466"/>
    <w:rsid w:val="006B5EA3"/>
    <w:rsid w:val="006B657B"/>
    <w:rsid w:val="006C08FD"/>
    <w:rsid w:val="006C22B5"/>
    <w:rsid w:val="006C5AAE"/>
    <w:rsid w:val="006D00FB"/>
    <w:rsid w:val="006D0532"/>
    <w:rsid w:val="006D07AD"/>
    <w:rsid w:val="006D2B1E"/>
    <w:rsid w:val="006D7212"/>
    <w:rsid w:val="006D722F"/>
    <w:rsid w:val="006D7B49"/>
    <w:rsid w:val="006E1A7A"/>
    <w:rsid w:val="006E1D01"/>
    <w:rsid w:val="006E310C"/>
    <w:rsid w:val="006E70C2"/>
    <w:rsid w:val="006F175F"/>
    <w:rsid w:val="006F1D73"/>
    <w:rsid w:val="006F2BCA"/>
    <w:rsid w:val="006F3ABC"/>
    <w:rsid w:val="006F3DD0"/>
    <w:rsid w:val="006F5090"/>
    <w:rsid w:val="006F5675"/>
    <w:rsid w:val="006F59CF"/>
    <w:rsid w:val="006F5DF8"/>
    <w:rsid w:val="006F7FF4"/>
    <w:rsid w:val="007013F1"/>
    <w:rsid w:val="00701F70"/>
    <w:rsid w:val="00702144"/>
    <w:rsid w:val="007023A1"/>
    <w:rsid w:val="0070476B"/>
    <w:rsid w:val="00704821"/>
    <w:rsid w:val="007051B7"/>
    <w:rsid w:val="007065C9"/>
    <w:rsid w:val="00710393"/>
    <w:rsid w:val="007103C0"/>
    <w:rsid w:val="00711C42"/>
    <w:rsid w:val="00711D8D"/>
    <w:rsid w:val="007143C6"/>
    <w:rsid w:val="0071701F"/>
    <w:rsid w:val="00720665"/>
    <w:rsid w:val="00721060"/>
    <w:rsid w:val="0072390D"/>
    <w:rsid w:val="0072432E"/>
    <w:rsid w:val="007247C5"/>
    <w:rsid w:val="007267C2"/>
    <w:rsid w:val="007268D2"/>
    <w:rsid w:val="00727C1F"/>
    <w:rsid w:val="007301A3"/>
    <w:rsid w:val="007307E8"/>
    <w:rsid w:val="00732F55"/>
    <w:rsid w:val="007338F2"/>
    <w:rsid w:val="00733B99"/>
    <w:rsid w:val="00735308"/>
    <w:rsid w:val="007353DF"/>
    <w:rsid w:val="00740538"/>
    <w:rsid w:val="007407B0"/>
    <w:rsid w:val="00742456"/>
    <w:rsid w:val="007442AD"/>
    <w:rsid w:val="007445F0"/>
    <w:rsid w:val="00746D30"/>
    <w:rsid w:val="0074789D"/>
    <w:rsid w:val="00750694"/>
    <w:rsid w:val="0075093A"/>
    <w:rsid w:val="0075134B"/>
    <w:rsid w:val="0075322A"/>
    <w:rsid w:val="0075406C"/>
    <w:rsid w:val="007540D8"/>
    <w:rsid w:val="007541A9"/>
    <w:rsid w:val="00754864"/>
    <w:rsid w:val="007552AA"/>
    <w:rsid w:val="0075741A"/>
    <w:rsid w:val="00757736"/>
    <w:rsid w:val="007639D1"/>
    <w:rsid w:val="00764008"/>
    <w:rsid w:val="00764907"/>
    <w:rsid w:val="00766CC3"/>
    <w:rsid w:val="00766EE4"/>
    <w:rsid w:val="007709E1"/>
    <w:rsid w:val="00771778"/>
    <w:rsid w:val="00773244"/>
    <w:rsid w:val="007743C7"/>
    <w:rsid w:val="007816B0"/>
    <w:rsid w:val="00783626"/>
    <w:rsid w:val="007837DB"/>
    <w:rsid w:val="00790B0F"/>
    <w:rsid w:val="00794689"/>
    <w:rsid w:val="00794E2D"/>
    <w:rsid w:val="0079662E"/>
    <w:rsid w:val="007A2017"/>
    <w:rsid w:val="007A29CE"/>
    <w:rsid w:val="007A3AB4"/>
    <w:rsid w:val="007A3DF6"/>
    <w:rsid w:val="007A51C1"/>
    <w:rsid w:val="007B15CE"/>
    <w:rsid w:val="007B1EBA"/>
    <w:rsid w:val="007B37AE"/>
    <w:rsid w:val="007B5916"/>
    <w:rsid w:val="007B6FB2"/>
    <w:rsid w:val="007C00EA"/>
    <w:rsid w:val="007C1F83"/>
    <w:rsid w:val="007C2FE7"/>
    <w:rsid w:val="007C317A"/>
    <w:rsid w:val="007C37A8"/>
    <w:rsid w:val="007C7B60"/>
    <w:rsid w:val="007D1221"/>
    <w:rsid w:val="007D1C62"/>
    <w:rsid w:val="007D1F34"/>
    <w:rsid w:val="007D3FA9"/>
    <w:rsid w:val="007D6EEC"/>
    <w:rsid w:val="007D7336"/>
    <w:rsid w:val="007D7E94"/>
    <w:rsid w:val="007E25FC"/>
    <w:rsid w:val="007E5C7A"/>
    <w:rsid w:val="007E601B"/>
    <w:rsid w:val="007E6E9C"/>
    <w:rsid w:val="007E7218"/>
    <w:rsid w:val="007F3C56"/>
    <w:rsid w:val="007F4063"/>
    <w:rsid w:val="007F4C5F"/>
    <w:rsid w:val="007F4F22"/>
    <w:rsid w:val="007F56BD"/>
    <w:rsid w:val="007F68C7"/>
    <w:rsid w:val="007F7456"/>
    <w:rsid w:val="00800E04"/>
    <w:rsid w:val="00801630"/>
    <w:rsid w:val="00801EBE"/>
    <w:rsid w:val="00802543"/>
    <w:rsid w:val="00802716"/>
    <w:rsid w:val="008028CC"/>
    <w:rsid w:val="00802B40"/>
    <w:rsid w:val="00803FEA"/>
    <w:rsid w:val="0081253A"/>
    <w:rsid w:val="0081337D"/>
    <w:rsid w:val="00813716"/>
    <w:rsid w:val="008140CD"/>
    <w:rsid w:val="00814D9A"/>
    <w:rsid w:val="00815609"/>
    <w:rsid w:val="00822D90"/>
    <w:rsid w:val="008242C8"/>
    <w:rsid w:val="0082663D"/>
    <w:rsid w:val="0082666B"/>
    <w:rsid w:val="00826811"/>
    <w:rsid w:val="008316BB"/>
    <w:rsid w:val="0083274E"/>
    <w:rsid w:val="008328FF"/>
    <w:rsid w:val="00833B7E"/>
    <w:rsid w:val="00834EB4"/>
    <w:rsid w:val="00834F12"/>
    <w:rsid w:val="0083667F"/>
    <w:rsid w:val="00837187"/>
    <w:rsid w:val="008373A8"/>
    <w:rsid w:val="008405D3"/>
    <w:rsid w:val="00840B2B"/>
    <w:rsid w:val="00841FB9"/>
    <w:rsid w:val="00843B1F"/>
    <w:rsid w:val="00843CF0"/>
    <w:rsid w:val="0084432E"/>
    <w:rsid w:val="008471AD"/>
    <w:rsid w:val="008473B2"/>
    <w:rsid w:val="00850FEB"/>
    <w:rsid w:val="0085385B"/>
    <w:rsid w:val="0085637A"/>
    <w:rsid w:val="0085657D"/>
    <w:rsid w:val="0086099D"/>
    <w:rsid w:val="008611BD"/>
    <w:rsid w:val="00863492"/>
    <w:rsid w:val="008639EE"/>
    <w:rsid w:val="008723FB"/>
    <w:rsid w:val="00872780"/>
    <w:rsid w:val="00872D0C"/>
    <w:rsid w:val="00876416"/>
    <w:rsid w:val="0088186E"/>
    <w:rsid w:val="00881FDD"/>
    <w:rsid w:val="008823A1"/>
    <w:rsid w:val="0088457A"/>
    <w:rsid w:val="0088613F"/>
    <w:rsid w:val="0088690D"/>
    <w:rsid w:val="0088745C"/>
    <w:rsid w:val="00891C83"/>
    <w:rsid w:val="00892BFB"/>
    <w:rsid w:val="00892FE2"/>
    <w:rsid w:val="00894599"/>
    <w:rsid w:val="008950F8"/>
    <w:rsid w:val="0089725F"/>
    <w:rsid w:val="008A05A8"/>
    <w:rsid w:val="008A14E1"/>
    <w:rsid w:val="008A1A3F"/>
    <w:rsid w:val="008A2169"/>
    <w:rsid w:val="008A403B"/>
    <w:rsid w:val="008A4966"/>
    <w:rsid w:val="008A7B28"/>
    <w:rsid w:val="008A7DE7"/>
    <w:rsid w:val="008B0436"/>
    <w:rsid w:val="008B0D22"/>
    <w:rsid w:val="008B28CE"/>
    <w:rsid w:val="008B3C8E"/>
    <w:rsid w:val="008B69EE"/>
    <w:rsid w:val="008B71AA"/>
    <w:rsid w:val="008B7AE6"/>
    <w:rsid w:val="008C0827"/>
    <w:rsid w:val="008C1A6A"/>
    <w:rsid w:val="008C2C00"/>
    <w:rsid w:val="008C455D"/>
    <w:rsid w:val="008C4944"/>
    <w:rsid w:val="008C5D13"/>
    <w:rsid w:val="008C63E5"/>
    <w:rsid w:val="008C6B7A"/>
    <w:rsid w:val="008D05CB"/>
    <w:rsid w:val="008D153F"/>
    <w:rsid w:val="008D169D"/>
    <w:rsid w:val="008D194F"/>
    <w:rsid w:val="008D1B42"/>
    <w:rsid w:val="008D2E1A"/>
    <w:rsid w:val="008D334E"/>
    <w:rsid w:val="008D6332"/>
    <w:rsid w:val="008E3F58"/>
    <w:rsid w:val="008E47F6"/>
    <w:rsid w:val="008E49BB"/>
    <w:rsid w:val="008E5DCC"/>
    <w:rsid w:val="008E64B0"/>
    <w:rsid w:val="008E6E4C"/>
    <w:rsid w:val="008E727C"/>
    <w:rsid w:val="008E749C"/>
    <w:rsid w:val="008F0263"/>
    <w:rsid w:val="008F0A97"/>
    <w:rsid w:val="008F0F37"/>
    <w:rsid w:val="008F12CB"/>
    <w:rsid w:val="008F2182"/>
    <w:rsid w:val="008F2524"/>
    <w:rsid w:val="008F448D"/>
    <w:rsid w:val="008F53F2"/>
    <w:rsid w:val="008F6BCD"/>
    <w:rsid w:val="00900B39"/>
    <w:rsid w:val="009024E2"/>
    <w:rsid w:val="00902795"/>
    <w:rsid w:val="0090583D"/>
    <w:rsid w:val="00906412"/>
    <w:rsid w:val="009066CE"/>
    <w:rsid w:val="00907065"/>
    <w:rsid w:val="009076C4"/>
    <w:rsid w:val="009078E5"/>
    <w:rsid w:val="009124F9"/>
    <w:rsid w:val="00912A5C"/>
    <w:rsid w:val="009142F2"/>
    <w:rsid w:val="00914A14"/>
    <w:rsid w:val="00916611"/>
    <w:rsid w:val="00917C65"/>
    <w:rsid w:val="0092007F"/>
    <w:rsid w:val="00920C48"/>
    <w:rsid w:val="00923697"/>
    <w:rsid w:val="009260AE"/>
    <w:rsid w:val="00926D65"/>
    <w:rsid w:val="00927368"/>
    <w:rsid w:val="00933C47"/>
    <w:rsid w:val="00936411"/>
    <w:rsid w:val="009364CE"/>
    <w:rsid w:val="00937ED6"/>
    <w:rsid w:val="0094384D"/>
    <w:rsid w:val="0094404C"/>
    <w:rsid w:val="0094463B"/>
    <w:rsid w:val="009469AD"/>
    <w:rsid w:val="0095170E"/>
    <w:rsid w:val="00951828"/>
    <w:rsid w:val="00953396"/>
    <w:rsid w:val="00954F66"/>
    <w:rsid w:val="00956543"/>
    <w:rsid w:val="009606FF"/>
    <w:rsid w:val="00961D6A"/>
    <w:rsid w:val="00961F46"/>
    <w:rsid w:val="00963523"/>
    <w:rsid w:val="00966DE1"/>
    <w:rsid w:val="00967BD4"/>
    <w:rsid w:val="00970AC4"/>
    <w:rsid w:val="00972333"/>
    <w:rsid w:val="009735AC"/>
    <w:rsid w:val="009748A2"/>
    <w:rsid w:val="009755F5"/>
    <w:rsid w:val="0097623D"/>
    <w:rsid w:val="00976B43"/>
    <w:rsid w:val="00981A0D"/>
    <w:rsid w:val="009822F1"/>
    <w:rsid w:val="009835BE"/>
    <w:rsid w:val="0098500E"/>
    <w:rsid w:val="009879E3"/>
    <w:rsid w:val="009900B2"/>
    <w:rsid w:val="00992FBC"/>
    <w:rsid w:val="00993304"/>
    <w:rsid w:val="00994E2C"/>
    <w:rsid w:val="009967A3"/>
    <w:rsid w:val="00997F2C"/>
    <w:rsid w:val="009A00BD"/>
    <w:rsid w:val="009A040E"/>
    <w:rsid w:val="009A2C2A"/>
    <w:rsid w:val="009A2E53"/>
    <w:rsid w:val="009A3F2E"/>
    <w:rsid w:val="009A7C14"/>
    <w:rsid w:val="009B34F3"/>
    <w:rsid w:val="009B686B"/>
    <w:rsid w:val="009B77E0"/>
    <w:rsid w:val="009C17D0"/>
    <w:rsid w:val="009C2DA8"/>
    <w:rsid w:val="009C2EEC"/>
    <w:rsid w:val="009C3689"/>
    <w:rsid w:val="009C3F93"/>
    <w:rsid w:val="009C57B9"/>
    <w:rsid w:val="009C71A1"/>
    <w:rsid w:val="009C7E4C"/>
    <w:rsid w:val="009D0108"/>
    <w:rsid w:val="009D3B22"/>
    <w:rsid w:val="009D5ED5"/>
    <w:rsid w:val="009D6255"/>
    <w:rsid w:val="009D6275"/>
    <w:rsid w:val="009D6D1C"/>
    <w:rsid w:val="009D79D6"/>
    <w:rsid w:val="009D7F8C"/>
    <w:rsid w:val="009E02B7"/>
    <w:rsid w:val="009F11D8"/>
    <w:rsid w:val="009F2318"/>
    <w:rsid w:val="009F590F"/>
    <w:rsid w:val="009F7A96"/>
    <w:rsid w:val="00A01D8F"/>
    <w:rsid w:val="00A029FB"/>
    <w:rsid w:val="00A02EBF"/>
    <w:rsid w:val="00A04916"/>
    <w:rsid w:val="00A11B9C"/>
    <w:rsid w:val="00A11D9E"/>
    <w:rsid w:val="00A13442"/>
    <w:rsid w:val="00A147EA"/>
    <w:rsid w:val="00A15B07"/>
    <w:rsid w:val="00A21056"/>
    <w:rsid w:val="00A2489D"/>
    <w:rsid w:val="00A24B29"/>
    <w:rsid w:val="00A24E2A"/>
    <w:rsid w:val="00A26855"/>
    <w:rsid w:val="00A31F96"/>
    <w:rsid w:val="00A3381F"/>
    <w:rsid w:val="00A33D3B"/>
    <w:rsid w:val="00A34C2F"/>
    <w:rsid w:val="00A362F1"/>
    <w:rsid w:val="00A36497"/>
    <w:rsid w:val="00A370B7"/>
    <w:rsid w:val="00A3723C"/>
    <w:rsid w:val="00A37727"/>
    <w:rsid w:val="00A404A7"/>
    <w:rsid w:val="00A40B39"/>
    <w:rsid w:val="00A4108F"/>
    <w:rsid w:val="00A41947"/>
    <w:rsid w:val="00A41FE3"/>
    <w:rsid w:val="00A4433A"/>
    <w:rsid w:val="00A4675D"/>
    <w:rsid w:val="00A47966"/>
    <w:rsid w:val="00A50B5A"/>
    <w:rsid w:val="00A516F5"/>
    <w:rsid w:val="00A52830"/>
    <w:rsid w:val="00A53CBC"/>
    <w:rsid w:val="00A54568"/>
    <w:rsid w:val="00A546FF"/>
    <w:rsid w:val="00A56090"/>
    <w:rsid w:val="00A5686E"/>
    <w:rsid w:val="00A60316"/>
    <w:rsid w:val="00A60F1F"/>
    <w:rsid w:val="00A6306A"/>
    <w:rsid w:val="00A64E03"/>
    <w:rsid w:val="00A64F54"/>
    <w:rsid w:val="00A66C9F"/>
    <w:rsid w:val="00A737DD"/>
    <w:rsid w:val="00A73831"/>
    <w:rsid w:val="00A73F11"/>
    <w:rsid w:val="00A73FDE"/>
    <w:rsid w:val="00A74188"/>
    <w:rsid w:val="00A80FB1"/>
    <w:rsid w:val="00A824FD"/>
    <w:rsid w:val="00A851C4"/>
    <w:rsid w:val="00A8585F"/>
    <w:rsid w:val="00A87443"/>
    <w:rsid w:val="00A90DBD"/>
    <w:rsid w:val="00A91800"/>
    <w:rsid w:val="00A92645"/>
    <w:rsid w:val="00A92C5B"/>
    <w:rsid w:val="00A93260"/>
    <w:rsid w:val="00A97539"/>
    <w:rsid w:val="00AA01BE"/>
    <w:rsid w:val="00AA2805"/>
    <w:rsid w:val="00AA433B"/>
    <w:rsid w:val="00AA470A"/>
    <w:rsid w:val="00AA4C4B"/>
    <w:rsid w:val="00AA68F2"/>
    <w:rsid w:val="00AA79F7"/>
    <w:rsid w:val="00AB0C95"/>
    <w:rsid w:val="00AB0EB4"/>
    <w:rsid w:val="00AB1BFF"/>
    <w:rsid w:val="00AB3735"/>
    <w:rsid w:val="00AB3A15"/>
    <w:rsid w:val="00AB3DBF"/>
    <w:rsid w:val="00AB494F"/>
    <w:rsid w:val="00AB57F1"/>
    <w:rsid w:val="00AC37EA"/>
    <w:rsid w:val="00AC417E"/>
    <w:rsid w:val="00AC4B80"/>
    <w:rsid w:val="00AC523F"/>
    <w:rsid w:val="00AC54F9"/>
    <w:rsid w:val="00AC5566"/>
    <w:rsid w:val="00AC5977"/>
    <w:rsid w:val="00AC59F7"/>
    <w:rsid w:val="00AD0617"/>
    <w:rsid w:val="00AD16D7"/>
    <w:rsid w:val="00AD2440"/>
    <w:rsid w:val="00AD282E"/>
    <w:rsid w:val="00AD2C4C"/>
    <w:rsid w:val="00AD3E04"/>
    <w:rsid w:val="00AD728F"/>
    <w:rsid w:val="00AE10EE"/>
    <w:rsid w:val="00AE10F8"/>
    <w:rsid w:val="00AE3A15"/>
    <w:rsid w:val="00AE49EF"/>
    <w:rsid w:val="00AE7EBF"/>
    <w:rsid w:val="00AF1199"/>
    <w:rsid w:val="00AF2B48"/>
    <w:rsid w:val="00AF4D1F"/>
    <w:rsid w:val="00AF5091"/>
    <w:rsid w:val="00AF7FA3"/>
    <w:rsid w:val="00B013A8"/>
    <w:rsid w:val="00B0391E"/>
    <w:rsid w:val="00B04935"/>
    <w:rsid w:val="00B0751D"/>
    <w:rsid w:val="00B11041"/>
    <w:rsid w:val="00B1307D"/>
    <w:rsid w:val="00B16DE0"/>
    <w:rsid w:val="00B16EAC"/>
    <w:rsid w:val="00B17864"/>
    <w:rsid w:val="00B24D51"/>
    <w:rsid w:val="00B25B51"/>
    <w:rsid w:val="00B25F9B"/>
    <w:rsid w:val="00B27602"/>
    <w:rsid w:val="00B300EE"/>
    <w:rsid w:val="00B331E7"/>
    <w:rsid w:val="00B332A1"/>
    <w:rsid w:val="00B34511"/>
    <w:rsid w:val="00B34F8E"/>
    <w:rsid w:val="00B35E56"/>
    <w:rsid w:val="00B405AE"/>
    <w:rsid w:val="00B40CFB"/>
    <w:rsid w:val="00B4109E"/>
    <w:rsid w:val="00B41556"/>
    <w:rsid w:val="00B41680"/>
    <w:rsid w:val="00B4188C"/>
    <w:rsid w:val="00B41D36"/>
    <w:rsid w:val="00B42C51"/>
    <w:rsid w:val="00B43BD6"/>
    <w:rsid w:val="00B44A89"/>
    <w:rsid w:val="00B44F4F"/>
    <w:rsid w:val="00B46895"/>
    <w:rsid w:val="00B46946"/>
    <w:rsid w:val="00B46A55"/>
    <w:rsid w:val="00B46AA3"/>
    <w:rsid w:val="00B46D85"/>
    <w:rsid w:val="00B47282"/>
    <w:rsid w:val="00B47AD2"/>
    <w:rsid w:val="00B50BB2"/>
    <w:rsid w:val="00B51C2C"/>
    <w:rsid w:val="00B5262A"/>
    <w:rsid w:val="00B526B9"/>
    <w:rsid w:val="00B534E6"/>
    <w:rsid w:val="00B545A2"/>
    <w:rsid w:val="00B55E3D"/>
    <w:rsid w:val="00B57644"/>
    <w:rsid w:val="00B6080C"/>
    <w:rsid w:val="00B6085C"/>
    <w:rsid w:val="00B627C4"/>
    <w:rsid w:val="00B642F4"/>
    <w:rsid w:val="00B65981"/>
    <w:rsid w:val="00B660E9"/>
    <w:rsid w:val="00B708AE"/>
    <w:rsid w:val="00B70914"/>
    <w:rsid w:val="00B73C3A"/>
    <w:rsid w:val="00B73D3C"/>
    <w:rsid w:val="00B75471"/>
    <w:rsid w:val="00B75D72"/>
    <w:rsid w:val="00B767D2"/>
    <w:rsid w:val="00B82B05"/>
    <w:rsid w:val="00B85A73"/>
    <w:rsid w:val="00B87139"/>
    <w:rsid w:val="00B900B7"/>
    <w:rsid w:val="00B92A0B"/>
    <w:rsid w:val="00B95549"/>
    <w:rsid w:val="00BA08C0"/>
    <w:rsid w:val="00BA1B33"/>
    <w:rsid w:val="00BA2922"/>
    <w:rsid w:val="00BA2B1E"/>
    <w:rsid w:val="00BA3CF0"/>
    <w:rsid w:val="00BA413B"/>
    <w:rsid w:val="00BA4864"/>
    <w:rsid w:val="00BB0538"/>
    <w:rsid w:val="00BB1AA5"/>
    <w:rsid w:val="00BB26D9"/>
    <w:rsid w:val="00BB3A9A"/>
    <w:rsid w:val="00BB75D3"/>
    <w:rsid w:val="00BB7E4E"/>
    <w:rsid w:val="00BC02CE"/>
    <w:rsid w:val="00BC03EC"/>
    <w:rsid w:val="00BC083F"/>
    <w:rsid w:val="00BC22A5"/>
    <w:rsid w:val="00BC436C"/>
    <w:rsid w:val="00BC63AF"/>
    <w:rsid w:val="00BC76F0"/>
    <w:rsid w:val="00BC7DE4"/>
    <w:rsid w:val="00BD0261"/>
    <w:rsid w:val="00BD08AE"/>
    <w:rsid w:val="00BD09A1"/>
    <w:rsid w:val="00BD1965"/>
    <w:rsid w:val="00BD2204"/>
    <w:rsid w:val="00BD2376"/>
    <w:rsid w:val="00BD2463"/>
    <w:rsid w:val="00BD5BBA"/>
    <w:rsid w:val="00BE03B0"/>
    <w:rsid w:val="00BE07E9"/>
    <w:rsid w:val="00BE19D0"/>
    <w:rsid w:val="00BE2DC7"/>
    <w:rsid w:val="00BE34B1"/>
    <w:rsid w:val="00BE4002"/>
    <w:rsid w:val="00BE55FF"/>
    <w:rsid w:val="00BE5648"/>
    <w:rsid w:val="00BF2C1A"/>
    <w:rsid w:val="00BF4206"/>
    <w:rsid w:val="00BF6A28"/>
    <w:rsid w:val="00C01825"/>
    <w:rsid w:val="00C03CB7"/>
    <w:rsid w:val="00C068E4"/>
    <w:rsid w:val="00C079DC"/>
    <w:rsid w:val="00C11ED7"/>
    <w:rsid w:val="00C13206"/>
    <w:rsid w:val="00C1371B"/>
    <w:rsid w:val="00C13A4E"/>
    <w:rsid w:val="00C13C2D"/>
    <w:rsid w:val="00C13C55"/>
    <w:rsid w:val="00C140C4"/>
    <w:rsid w:val="00C1476A"/>
    <w:rsid w:val="00C17428"/>
    <w:rsid w:val="00C17BD5"/>
    <w:rsid w:val="00C2001A"/>
    <w:rsid w:val="00C20521"/>
    <w:rsid w:val="00C20C68"/>
    <w:rsid w:val="00C20FB3"/>
    <w:rsid w:val="00C22F7A"/>
    <w:rsid w:val="00C239BF"/>
    <w:rsid w:val="00C240D4"/>
    <w:rsid w:val="00C261F8"/>
    <w:rsid w:val="00C278B6"/>
    <w:rsid w:val="00C3059B"/>
    <w:rsid w:val="00C30762"/>
    <w:rsid w:val="00C32454"/>
    <w:rsid w:val="00C33316"/>
    <w:rsid w:val="00C36430"/>
    <w:rsid w:val="00C40989"/>
    <w:rsid w:val="00C41189"/>
    <w:rsid w:val="00C41D0D"/>
    <w:rsid w:val="00C43CA3"/>
    <w:rsid w:val="00C43CB7"/>
    <w:rsid w:val="00C4474C"/>
    <w:rsid w:val="00C469CD"/>
    <w:rsid w:val="00C54993"/>
    <w:rsid w:val="00C54BA6"/>
    <w:rsid w:val="00C554FF"/>
    <w:rsid w:val="00C56A8C"/>
    <w:rsid w:val="00C57DFC"/>
    <w:rsid w:val="00C6002C"/>
    <w:rsid w:val="00C60984"/>
    <w:rsid w:val="00C60A40"/>
    <w:rsid w:val="00C61315"/>
    <w:rsid w:val="00C621C1"/>
    <w:rsid w:val="00C625DA"/>
    <w:rsid w:val="00C62F58"/>
    <w:rsid w:val="00C67CBA"/>
    <w:rsid w:val="00C705F2"/>
    <w:rsid w:val="00C70609"/>
    <w:rsid w:val="00C71B9C"/>
    <w:rsid w:val="00C72124"/>
    <w:rsid w:val="00C722DB"/>
    <w:rsid w:val="00C72482"/>
    <w:rsid w:val="00C725CE"/>
    <w:rsid w:val="00C72F6D"/>
    <w:rsid w:val="00C744F0"/>
    <w:rsid w:val="00C75811"/>
    <w:rsid w:val="00C778D7"/>
    <w:rsid w:val="00C77F0B"/>
    <w:rsid w:val="00C81094"/>
    <w:rsid w:val="00C82779"/>
    <w:rsid w:val="00C83312"/>
    <w:rsid w:val="00C8398B"/>
    <w:rsid w:val="00C8618A"/>
    <w:rsid w:val="00C870BC"/>
    <w:rsid w:val="00C874C5"/>
    <w:rsid w:val="00C90223"/>
    <w:rsid w:val="00C920C3"/>
    <w:rsid w:val="00C92795"/>
    <w:rsid w:val="00C9416F"/>
    <w:rsid w:val="00C94422"/>
    <w:rsid w:val="00C94B4A"/>
    <w:rsid w:val="00C95982"/>
    <w:rsid w:val="00C96B4C"/>
    <w:rsid w:val="00C97DE3"/>
    <w:rsid w:val="00CA0FAD"/>
    <w:rsid w:val="00CA2004"/>
    <w:rsid w:val="00CA539D"/>
    <w:rsid w:val="00CA60DD"/>
    <w:rsid w:val="00CB0A86"/>
    <w:rsid w:val="00CB5A40"/>
    <w:rsid w:val="00CB5D4A"/>
    <w:rsid w:val="00CB7D2C"/>
    <w:rsid w:val="00CC03EE"/>
    <w:rsid w:val="00CC090F"/>
    <w:rsid w:val="00CC1CDC"/>
    <w:rsid w:val="00CC607B"/>
    <w:rsid w:val="00CC6B3C"/>
    <w:rsid w:val="00CC78E8"/>
    <w:rsid w:val="00CD1246"/>
    <w:rsid w:val="00CD12D0"/>
    <w:rsid w:val="00CD1681"/>
    <w:rsid w:val="00CD209B"/>
    <w:rsid w:val="00CD373A"/>
    <w:rsid w:val="00CD375A"/>
    <w:rsid w:val="00CD3B20"/>
    <w:rsid w:val="00CD4E7E"/>
    <w:rsid w:val="00CE32E1"/>
    <w:rsid w:val="00CE650E"/>
    <w:rsid w:val="00CF233E"/>
    <w:rsid w:val="00CF3B15"/>
    <w:rsid w:val="00CF6887"/>
    <w:rsid w:val="00CF7F06"/>
    <w:rsid w:val="00CF7FBD"/>
    <w:rsid w:val="00D0094A"/>
    <w:rsid w:val="00D01F67"/>
    <w:rsid w:val="00D02471"/>
    <w:rsid w:val="00D031D3"/>
    <w:rsid w:val="00D03E45"/>
    <w:rsid w:val="00D049BE"/>
    <w:rsid w:val="00D0502F"/>
    <w:rsid w:val="00D06494"/>
    <w:rsid w:val="00D119A1"/>
    <w:rsid w:val="00D122FD"/>
    <w:rsid w:val="00D1424E"/>
    <w:rsid w:val="00D17831"/>
    <w:rsid w:val="00D17FA5"/>
    <w:rsid w:val="00D21F9A"/>
    <w:rsid w:val="00D23142"/>
    <w:rsid w:val="00D23A03"/>
    <w:rsid w:val="00D26530"/>
    <w:rsid w:val="00D267F2"/>
    <w:rsid w:val="00D30457"/>
    <w:rsid w:val="00D30ECF"/>
    <w:rsid w:val="00D31686"/>
    <w:rsid w:val="00D32A6A"/>
    <w:rsid w:val="00D32C97"/>
    <w:rsid w:val="00D32CDC"/>
    <w:rsid w:val="00D3388D"/>
    <w:rsid w:val="00D34BC9"/>
    <w:rsid w:val="00D35357"/>
    <w:rsid w:val="00D35C88"/>
    <w:rsid w:val="00D36237"/>
    <w:rsid w:val="00D37C3B"/>
    <w:rsid w:val="00D37EE0"/>
    <w:rsid w:val="00D43CFD"/>
    <w:rsid w:val="00D43DBE"/>
    <w:rsid w:val="00D44442"/>
    <w:rsid w:val="00D4500C"/>
    <w:rsid w:val="00D46075"/>
    <w:rsid w:val="00D50C5C"/>
    <w:rsid w:val="00D52ACF"/>
    <w:rsid w:val="00D52E81"/>
    <w:rsid w:val="00D5318A"/>
    <w:rsid w:val="00D53683"/>
    <w:rsid w:val="00D54856"/>
    <w:rsid w:val="00D54EEC"/>
    <w:rsid w:val="00D562E1"/>
    <w:rsid w:val="00D570DD"/>
    <w:rsid w:val="00D57832"/>
    <w:rsid w:val="00D57C11"/>
    <w:rsid w:val="00D57D6F"/>
    <w:rsid w:val="00D61C95"/>
    <w:rsid w:val="00D657AD"/>
    <w:rsid w:val="00D65E0E"/>
    <w:rsid w:val="00D66754"/>
    <w:rsid w:val="00D67A90"/>
    <w:rsid w:val="00D7001C"/>
    <w:rsid w:val="00D70FD1"/>
    <w:rsid w:val="00D71B4B"/>
    <w:rsid w:val="00D725B6"/>
    <w:rsid w:val="00D74844"/>
    <w:rsid w:val="00D75BE7"/>
    <w:rsid w:val="00D76B0A"/>
    <w:rsid w:val="00D80425"/>
    <w:rsid w:val="00D80976"/>
    <w:rsid w:val="00D86A8F"/>
    <w:rsid w:val="00D87352"/>
    <w:rsid w:val="00D921F9"/>
    <w:rsid w:val="00D93126"/>
    <w:rsid w:val="00D9374A"/>
    <w:rsid w:val="00D94025"/>
    <w:rsid w:val="00D94407"/>
    <w:rsid w:val="00D9474A"/>
    <w:rsid w:val="00D94879"/>
    <w:rsid w:val="00D95D65"/>
    <w:rsid w:val="00D968ED"/>
    <w:rsid w:val="00DA1C7B"/>
    <w:rsid w:val="00DA22AB"/>
    <w:rsid w:val="00DA29F4"/>
    <w:rsid w:val="00DA2B71"/>
    <w:rsid w:val="00DA3CE8"/>
    <w:rsid w:val="00DA7C69"/>
    <w:rsid w:val="00DB0AA3"/>
    <w:rsid w:val="00DB1C11"/>
    <w:rsid w:val="00DB29E2"/>
    <w:rsid w:val="00DB30C2"/>
    <w:rsid w:val="00DB3E58"/>
    <w:rsid w:val="00DB492D"/>
    <w:rsid w:val="00DB4AB9"/>
    <w:rsid w:val="00DB61CC"/>
    <w:rsid w:val="00DC0CA0"/>
    <w:rsid w:val="00DC1F86"/>
    <w:rsid w:val="00DC25AA"/>
    <w:rsid w:val="00DC3375"/>
    <w:rsid w:val="00DC377B"/>
    <w:rsid w:val="00DC5BAB"/>
    <w:rsid w:val="00DD2F5C"/>
    <w:rsid w:val="00DD52D5"/>
    <w:rsid w:val="00DD5ACD"/>
    <w:rsid w:val="00DD5B82"/>
    <w:rsid w:val="00DD6099"/>
    <w:rsid w:val="00DE135D"/>
    <w:rsid w:val="00DE1AB8"/>
    <w:rsid w:val="00DE2180"/>
    <w:rsid w:val="00DE2D29"/>
    <w:rsid w:val="00DE377D"/>
    <w:rsid w:val="00DE4191"/>
    <w:rsid w:val="00DE492B"/>
    <w:rsid w:val="00DE5F64"/>
    <w:rsid w:val="00DE6EB6"/>
    <w:rsid w:val="00DE75E1"/>
    <w:rsid w:val="00DF175A"/>
    <w:rsid w:val="00DF18FC"/>
    <w:rsid w:val="00DF477B"/>
    <w:rsid w:val="00DF5660"/>
    <w:rsid w:val="00DF5EEB"/>
    <w:rsid w:val="00E01D3C"/>
    <w:rsid w:val="00E02CA3"/>
    <w:rsid w:val="00E04210"/>
    <w:rsid w:val="00E05009"/>
    <w:rsid w:val="00E05A2A"/>
    <w:rsid w:val="00E06F6D"/>
    <w:rsid w:val="00E0764D"/>
    <w:rsid w:val="00E100FD"/>
    <w:rsid w:val="00E108C3"/>
    <w:rsid w:val="00E12241"/>
    <w:rsid w:val="00E134D0"/>
    <w:rsid w:val="00E13E61"/>
    <w:rsid w:val="00E145CE"/>
    <w:rsid w:val="00E14917"/>
    <w:rsid w:val="00E14D7B"/>
    <w:rsid w:val="00E14FC1"/>
    <w:rsid w:val="00E1591E"/>
    <w:rsid w:val="00E17A73"/>
    <w:rsid w:val="00E2289F"/>
    <w:rsid w:val="00E23675"/>
    <w:rsid w:val="00E2386F"/>
    <w:rsid w:val="00E25988"/>
    <w:rsid w:val="00E271F2"/>
    <w:rsid w:val="00E27C9D"/>
    <w:rsid w:val="00E3083F"/>
    <w:rsid w:val="00E3173C"/>
    <w:rsid w:val="00E31D21"/>
    <w:rsid w:val="00E339BE"/>
    <w:rsid w:val="00E36B12"/>
    <w:rsid w:val="00E412B5"/>
    <w:rsid w:val="00E42A43"/>
    <w:rsid w:val="00E44F15"/>
    <w:rsid w:val="00E4501B"/>
    <w:rsid w:val="00E4506D"/>
    <w:rsid w:val="00E4545B"/>
    <w:rsid w:val="00E47F36"/>
    <w:rsid w:val="00E52F0F"/>
    <w:rsid w:val="00E53D99"/>
    <w:rsid w:val="00E555CA"/>
    <w:rsid w:val="00E560A4"/>
    <w:rsid w:val="00E56217"/>
    <w:rsid w:val="00E56A2D"/>
    <w:rsid w:val="00E56AD0"/>
    <w:rsid w:val="00E570DE"/>
    <w:rsid w:val="00E651C1"/>
    <w:rsid w:val="00E65829"/>
    <w:rsid w:val="00E669FE"/>
    <w:rsid w:val="00E67B68"/>
    <w:rsid w:val="00E70651"/>
    <w:rsid w:val="00E730DA"/>
    <w:rsid w:val="00E738BF"/>
    <w:rsid w:val="00E74792"/>
    <w:rsid w:val="00E7483A"/>
    <w:rsid w:val="00E74C51"/>
    <w:rsid w:val="00E754C7"/>
    <w:rsid w:val="00E75BEB"/>
    <w:rsid w:val="00E77307"/>
    <w:rsid w:val="00E82496"/>
    <w:rsid w:val="00E82B3B"/>
    <w:rsid w:val="00E837F9"/>
    <w:rsid w:val="00E83951"/>
    <w:rsid w:val="00E85021"/>
    <w:rsid w:val="00E8583A"/>
    <w:rsid w:val="00E85F30"/>
    <w:rsid w:val="00E91020"/>
    <w:rsid w:val="00E916E9"/>
    <w:rsid w:val="00E9186B"/>
    <w:rsid w:val="00E95479"/>
    <w:rsid w:val="00E97C40"/>
    <w:rsid w:val="00EA0753"/>
    <w:rsid w:val="00EA0CC2"/>
    <w:rsid w:val="00EA11BC"/>
    <w:rsid w:val="00EA2759"/>
    <w:rsid w:val="00EA4391"/>
    <w:rsid w:val="00EA5BD3"/>
    <w:rsid w:val="00EB00FF"/>
    <w:rsid w:val="00EB0AA1"/>
    <w:rsid w:val="00EB392F"/>
    <w:rsid w:val="00EB4D49"/>
    <w:rsid w:val="00EB57D8"/>
    <w:rsid w:val="00EC0448"/>
    <w:rsid w:val="00EC0B1E"/>
    <w:rsid w:val="00EC12DC"/>
    <w:rsid w:val="00EC2D47"/>
    <w:rsid w:val="00EC40CF"/>
    <w:rsid w:val="00EC4331"/>
    <w:rsid w:val="00EC574E"/>
    <w:rsid w:val="00EC6EEA"/>
    <w:rsid w:val="00EC7180"/>
    <w:rsid w:val="00ED07A1"/>
    <w:rsid w:val="00ED130E"/>
    <w:rsid w:val="00ED20F6"/>
    <w:rsid w:val="00ED25E6"/>
    <w:rsid w:val="00ED5613"/>
    <w:rsid w:val="00ED6B32"/>
    <w:rsid w:val="00ED6C3B"/>
    <w:rsid w:val="00ED6DE7"/>
    <w:rsid w:val="00ED7100"/>
    <w:rsid w:val="00EE0B09"/>
    <w:rsid w:val="00EE1E18"/>
    <w:rsid w:val="00EE4197"/>
    <w:rsid w:val="00EE47F6"/>
    <w:rsid w:val="00EE4834"/>
    <w:rsid w:val="00EF0207"/>
    <w:rsid w:val="00EF27BA"/>
    <w:rsid w:val="00EF2EEA"/>
    <w:rsid w:val="00EF5478"/>
    <w:rsid w:val="00EF5E03"/>
    <w:rsid w:val="00F007A8"/>
    <w:rsid w:val="00F00819"/>
    <w:rsid w:val="00F025CC"/>
    <w:rsid w:val="00F0303D"/>
    <w:rsid w:val="00F07995"/>
    <w:rsid w:val="00F07D4E"/>
    <w:rsid w:val="00F151C2"/>
    <w:rsid w:val="00F15307"/>
    <w:rsid w:val="00F15EC7"/>
    <w:rsid w:val="00F1788C"/>
    <w:rsid w:val="00F20172"/>
    <w:rsid w:val="00F21D42"/>
    <w:rsid w:val="00F222F1"/>
    <w:rsid w:val="00F23B20"/>
    <w:rsid w:val="00F25703"/>
    <w:rsid w:val="00F26AD4"/>
    <w:rsid w:val="00F26C47"/>
    <w:rsid w:val="00F27D5E"/>
    <w:rsid w:val="00F30316"/>
    <w:rsid w:val="00F307B3"/>
    <w:rsid w:val="00F30B95"/>
    <w:rsid w:val="00F30F23"/>
    <w:rsid w:val="00F326CE"/>
    <w:rsid w:val="00F32C41"/>
    <w:rsid w:val="00F3361D"/>
    <w:rsid w:val="00F34190"/>
    <w:rsid w:val="00F35F68"/>
    <w:rsid w:val="00F416BF"/>
    <w:rsid w:val="00F41F61"/>
    <w:rsid w:val="00F42C0B"/>
    <w:rsid w:val="00F43024"/>
    <w:rsid w:val="00F45996"/>
    <w:rsid w:val="00F5274E"/>
    <w:rsid w:val="00F52813"/>
    <w:rsid w:val="00F541E1"/>
    <w:rsid w:val="00F54948"/>
    <w:rsid w:val="00F55E5C"/>
    <w:rsid w:val="00F60511"/>
    <w:rsid w:val="00F63727"/>
    <w:rsid w:val="00F65AEE"/>
    <w:rsid w:val="00F676E8"/>
    <w:rsid w:val="00F677D6"/>
    <w:rsid w:val="00F67BE2"/>
    <w:rsid w:val="00F71A06"/>
    <w:rsid w:val="00F71F64"/>
    <w:rsid w:val="00F722F1"/>
    <w:rsid w:val="00F7296A"/>
    <w:rsid w:val="00F74A97"/>
    <w:rsid w:val="00F75EEA"/>
    <w:rsid w:val="00F76770"/>
    <w:rsid w:val="00F7774D"/>
    <w:rsid w:val="00F809EA"/>
    <w:rsid w:val="00F820F5"/>
    <w:rsid w:val="00F8234B"/>
    <w:rsid w:val="00F826CA"/>
    <w:rsid w:val="00F82A79"/>
    <w:rsid w:val="00F84D84"/>
    <w:rsid w:val="00F862BE"/>
    <w:rsid w:val="00F8692A"/>
    <w:rsid w:val="00F879CF"/>
    <w:rsid w:val="00F9036E"/>
    <w:rsid w:val="00F912F1"/>
    <w:rsid w:val="00F96D35"/>
    <w:rsid w:val="00F97DE0"/>
    <w:rsid w:val="00FA0B19"/>
    <w:rsid w:val="00FA1D8C"/>
    <w:rsid w:val="00FA2141"/>
    <w:rsid w:val="00FA59BB"/>
    <w:rsid w:val="00FA75FF"/>
    <w:rsid w:val="00FA7D5E"/>
    <w:rsid w:val="00FB7749"/>
    <w:rsid w:val="00FC02EE"/>
    <w:rsid w:val="00FC07A5"/>
    <w:rsid w:val="00FC19BF"/>
    <w:rsid w:val="00FC1B9D"/>
    <w:rsid w:val="00FC34CE"/>
    <w:rsid w:val="00FC387B"/>
    <w:rsid w:val="00FC55E3"/>
    <w:rsid w:val="00FC58E8"/>
    <w:rsid w:val="00FC5E16"/>
    <w:rsid w:val="00FC6237"/>
    <w:rsid w:val="00FC7A2F"/>
    <w:rsid w:val="00FD0185"/>
    <w:rsid w:val="00FD0B23"/>
    <w:rsid w:val="00FD0B82"/>
    <w:rsid w:val="00FD212F"/>
    <w:rsid w:val="00FD30EE"/>
    <w:rsid w:val="00FD3106"/>
    <w:rsid w:val="00FD3EC5"/>
    <w:rsid w:val="00FD41CE"/>
    <w:rsid w:val="00FD42AF"/>
    <w:rsid w:val="00FF2671"/>
    <w:rsid w:val="00FF512C"/>
    <w:rsid w:val="00FF6DF1"/>
    <w:rsid w:val="00FF6E4F"/>
    <w:rsid w:val="00FF725F"/>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D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94"/>
    <w:pPr>
      <w:jc w:val="both"/>
    </w:pPr>
  </w:style>
  <w:style w:type="paragraph" w:styleId="Ttulo3">
    <w:name w:val="heading 3"/>
    <w:basedOn w:val="Normal"/>
    <w:next w:val="Normal"/>
    <w:link w:val="Ttulo3Car"/>
    <w:autoRedefine/>
    <w:qFormat/>
    <w:rsid w:val="00084764"/>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B7749"/>
    <w:pPr>
      <w:ind w:left="720"/>
      <w:contextualSpacing/>
    </w:pPr>
  </w:style>
  <w:style w:type="paragraph" w:styleId="Mapadeldocumento">
    <w:name w:val="Document Map"/>
    <w:basedOn w:val="Normal"/>
    <w:link w:val="MapadeldocumentoCar"/>
    <w:uiPriority w:val="99"/>
    <w:semiHidden/>
    <w:unhideWhenUsed/>
    <w:rsid w:val="00C72F6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72F6D"/>
    <w:rPr>
      <w:rFonts w:ascii="Tahoma" w:hAnsi="Tahoma" w:cs="Tahoma"/>
      <w:sz w:val="16"/>
      <w:szCs w:val="16"/>
    </w:rPr>
  </w:style>
  <w:style w:type="paragraph" w:styleId="Sinespaciado">
    <w:name w:val="No Spacing"/>
    <w:uiPriority w:val="1"/>
    <w:qFormat/>
    <w:rsid w:val="007E7218"/>
    <w:pPr>
      <w:spacing w:after="0" w:line="240" w:lineRule="auto"/>
    </w:pPr>
  </w:style>
  <w:style w:type="paragraph" w:styleId="Encabezado">
    <w:name w:val="header"/>
    <w:basedOn w:val="Normal"/>
    <w:link w:val="EncabezadoCar"/>
    <w:uiPriority w:val="99"/>
    <w:unhideWhenUsed/>
    <w:rsid w:val="002E5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E89"/>
  </w:style>
  <w:style w:type="paragraph" w:styleId="Piedepgina">
    <w:name w:val="footer"/>
    <w:basedOn w:val="Normal"/>
    <w:link w:val="PiedepginaCar"/>
    <w:uiPriority w:val="99"/>
    <w:unhideWhenUsed/>
    <w:rsid w:val="002E5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E89"/>
  </w:style>
  <w:style w:type="paragraph" w:styleId="Textodeglobo">
    <w:name w:val="Balloon Text"/>
    <w:basedOn w:val="Normal"/>
    <w:link w:val="TextodegloboCar"/>
    <w:uiPriority w:val="99"/>
    <w:semiHidden/>
    <w:unhideWhenUsed/>
    <w:rsid w:val="002E5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E89"/>
    <w:rPr>
      <w:rFonts w:ascii="Tahoma" w:hAnsi="Tahoma" w:cs="Tahoma"/>
      <w:sz w:val="16"/>
      <w:szCs w:val="16"/>
    </w:rPr>
  </w:style>
  <w:style w:type="table" w:styleId="Tablaconcuadrcula">
    <w:name w:val="Table Grid"/>
    <w:basedOn w:val="Tablanormal"/>
    <w:uiPriority w:val="59"/>
    <w:rsid w:val="00500C8F"/>
    <w:pPr>
      <w:spacing w:after="0" w:line="240" w:lineRule="auto"/>
    </w:pPr>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CF3B15"/>
    <w:rPr>
      <w:sz w:val="16"/>
      <w:szCs w:val="16"/>
    </w:rPr>
  </w:style>
  <w:style w:type="paragraph" w:styleId="Textocomentario">
    <w:name w:val="annotation text"/>
    <w:basedOn w:val="Normal"/>
    <w:link w:val="TextocomentarioCar"/>
    <w:uiPriority w:val="99"/>
    <w:semiHidden/>
    <w:unhideWhenUsed/>
    <w:rsid w:val="00CF3B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B15"/>
    <w:rPr>
      <w:sz w:val="20"/>
      <w:szCs w:val="20"/>
    </w:rPr>
  </w:style>
  <w:style w:type="paragraph" w:styleId="Asuntodelcomentario">
    <w:name w:val="annotation subject"/>
    <w:basedOn w:val="Textocomentario"/>
    <w:next w:val="Textocomentario"/>
    <w:link w:val="AsuntodelcomentarioCar"/>
    <w:uiPriority w:val="99"/>
    <w:semiHidden/>
    <w:unhideWhenUsed/>
    <w:rsid w:val="00CF3B15"/>
    <w:rPr>
      <w:b/>
      <w:bCs/>
    </w:rPr>
  </w:style>
  <w:style w:type="character" w:customStyle="1" w:styleId="AsuntodelcomentarioCar">
    <w:name w:val="Asunto del comentario Car"/>
    <w:basedOn w:val="TextocomentarioCar"/>
    <w:link w:val="Asuntodelcomentario"/>
    <w:uiPriority w:val="99"/>
    <w:semiHidden/>
    <w:rsid w:val="00CF3B15"/>
    <w:rPr>
      <w:b/>
      <w:bCs/>
      <w:sz w:val="20"/>
      <w:szCs w:val="20"/>
    </w:rPr>
  </w:style>
  <w:style w:type="character" w:customStyle="1" w:styleId="Ttulo3Car">
    <w:name w:val="Título 3 Car"/>
    <w:basedOn w:val="Fuentedeprrafopredeter"/>
    <w:link w:val="Ttulo3"/>
    <w:rsid w:val="00084764"/>
    <w:rPr>
      <w:rFonts w:ascii="Tahoma" w:eastAsia="Times New Roman" w:hAnsi="Tahoma" w:cs="Tahoma"/>
      <w:b/>
      <w:bCs/>
      <w:spacing w:val="-3"/>
      <w:sz w:val="20"/>
      <w:szCs w:val="20"/>
      <w:lang w:val="en-US" w:eastAsia="es-ES"/>
    </w:rPr>
  </w:style>
  <w:style w:type="paragraph" w:styleId="Textodebloque">
    <w:name w:val="Block Text"/>
    <w:basedOn w:val="Normal"/>
    <w:uiPriority w:val="99"/>
    <w:semiHidden/>
    <w:rsid w:val="007E6E9C"/>
    <w:pPr>
      <w:spacing w:after="0" w:line="240" w:lineRule="atLeast"/>
      <w:ind w:left="567" w:right="49" w:hanging="567"/>
    </w:pPr>
    <w:rPr>
      <w:rFonts w:ascii="Times New Roman" w:eastAsia="Times New Roman" w:hAnsi="Times New Roman" w:cs="Times New Roman"/>
      <w:lang w:val="es-ES" w:eastAsia="es-ES"/>
    </w:rPr>
  </w:style>
  <w:style w:type="character" w:customStyle="1" w:styleId="PrrafodelistaCar">
    <w:name w:val="Párrafo de lista Car"/>
    <w:aliases w:val="TIT 2 IND Car"/>
    <w:link w:val="Prrafodelista"/>
    <w:uiPriority w:val="34"/>
    <w:rsid w:val="005C3464"/>
  </w:style>
  <w:style w:type="paragraph" w:styleId="NormalWeb">
    <w:name w:val="Normal (Web)"/>
    <w:basedOn w:val="Normal"/>
    <w:uiPriority w:val="99"/>
    <w:unhideWhenUsed/>
    <w:rsid w:val="00B4109E"/>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5274E"/>
    <w:pPr>
      <w:spacing w:after="0" w:line="240" w:lineRule="auto"/>
    </w:pPr>
  </w:style>
  <w:style w:type="paragraph" w:styleId="Textonotapie">
    <w:name w:val="footnote text"/>
    <w:basedOn w:val="Normal"/>
    <w:link w:val="TextonotapieCar"/>
    <w:uiPriority w:val="99"/>
    <w:semiHidden/>
    <w:unhideWhenUsed/>
    <w:rsid w:val="00D61C95"/>
    <w:pPr>
      <w:spacing w:after="0" w:line="240" w:lineRule="auto"/>
      <w:jc w:val="left"/>
    </w:pPr>
    <w:rPr>
      <w:rFonts w:eastAsiaTheme="minorEastAsia"/>
      <w:sz w:val="20"/>
      <w:szCs w:val="20"/>
      <w:lang w:val="es-EC" w:eastAsia="es-EC"/>
    </w:rPr>
  </w:style>
  <w:style w:type="character" w:customStyle="1" w:styleId="TextonotapieCar">
    <w:name w:val="Texto nota pie Car"/>
    <w:basedOn w:val="Fuentedeprrafopredeter"/>
    <w:link w:val="Textonotapie"/>
    <w:uiPriority w:val="99"/>
    <w:semiHidden/>
    <w:rsid w:val="00D61C95"/>
    <w:rPr>
      <w:rFonts w:eastAsiaTheme="minorEastAsia"/>
      <w:sz w:val="20"/>
      <w:szCs w:val="20"/>
      <w:lang w:val="es-EC" w:eastAsia="es-EC"/>
    </w:rPr>
  </w:style>
  <w:style w:type="character" w:styleId="Refdenotaalpie">
    <w:name w:val="footnote reference"/>
    <w:basedOn w:val="Fuentedeprrafopredeter"/>
    <w:uiPriority w:val="99"/>
    <w:semiHidden/>
    <w:unhideWhenUsed/>
    <w:rsid w:val="00D61C95"/>
    <w:rPr>
      <w:vertAlign w:val="superscript"/>
    </w:rPr>
  </w:style>
  <w:style w:type="paragraph" w:styleId="Textoindependiente">
    <w:name w:val="Body Text"/>
    <w:basedOn w:val="Normal"/>
    <w:link w:val="TextoindependienteCar"/>
    <w:rsid w:val="008A05A8"/>
    <w:pPr>
      <w:suppressAutoHyphens/>
      <w:spacing w:after="120" w:line="100" w:lineRule="atLeast"/>
      <w:jc w:val="left"/>
    </w:pPr>
    <w:rPr>
      <w:rFonts w:ascii="Times New Roman" w:eastAsia="Arial Unicode MS" w:hAnsi="Times New Roman" w:cs="Times New Roman"/>
      <w:kern w:val="1"/>
      <w:sz w:val="24"/>
      <w:szCs w:val="24"/>
      <w:lang w:val="es-ES_tradnl" w:eastAsia="ar-SA"/>
    </w:rPr>
  </w:style>
  <w:style w:type="character" w:customStyle="1" w:styleId="TextoindependienteCar">
    <w:name w:val="Texto independiente Car"/>
    <w:basedOn w:val="Fuentedeprrafopredeter"/>
    <w:link w:val="Textoindependiente"/>
    <w:rsid w:val="008A05A8"/>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C17428"/>
    <w:pPr>
      <w:spacing w:after="0" w:line="240" w:lineRule="auto"/>
      <w:jc w:val="left"/>
    </w:pPr>
    <w:rPr>
      <w:rFonts w:ascii="Times New Roman" w:eastAsia="Times New Roman" w:hAnsi="Times New Roman" w:cs="Times New Roman"/>
      <w:sz w:val="24"/>
      <w:szCs w:val="20"/>
      <w:lang w:val="es-ES_tradnl" w:eastAsia="es-ES"/>
    </w:rPr>
  </w:style>
  <w:style w:type="paragraph" w:styleId="Textosinformato">
    <w:name w:val="Plain Text"/>
    <w:basedOn w:val="Normal"/>
    <w:link w:val="TextosinformatoCar"/>
    <w:rsid w:val="00C17428"/>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17428"/>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235">
      <w:bodyDiv w:val="1"/>
      <w:marLeft w:val="0"/>
      <w:marRight w:val="0"/>
      <w:marTop w:val="0"/>
      <w:marBottom w:val="0"/>
      <w:divBdr>
        <w:top w:val="none" w:sz="0" w:space="0" w:color="auto"/>
        <w:left w:val="none" w:sz="0" w:space="0" w:color="auto"/>
        <w:bottom w:val="none" w:sz="0" w:space="0" w:color="auto"/>
        <w:right w:val="none" w:sz="0" w:space="0" w:color="auto"/>
      </w:divBdr>
    </w:div>
    <w:div w:id="93940503">
      <w:bodyDiv w:val="1"/>
      <w:marLeft w:val="0"/>
      <w:marRight w:val="0"/>
      <w:marTop w:val="0"/>
      <w:marBottom w:val="0"/>
      <w:divBdr>
        <w:top w:val="none" w:sz="0" w:space="0" w:color="auto"/>
        <w:left w:val="none" w:sz="0" w:space="0" w:color="auto"/>
        <w:bottom w:val="none" w:sz="0" w:space="0" w:color="auto"/>
        <w:right w:val="none" w:sz="0" w:space="0" w:color="auto"/>
      </w:divBdr>
      <w:divsChild>
        <w:div w:id="386608545">
          <w:marLeft w:val="0"/>
          <w:marRight w:val="0"/>
          <w:marTop w:val="0"/>
          <w:marBottom w:val="0"/>
          <w:divBdr>
            <w:top w:val="none" w:sz="0" w:space="0" w:color="auto"/>
            <w:left w:val="none" w:sz="0" w:space="0" w:color="auto"/>
            <w:bottom w:val="none" w:sz="0" w:space="0" w:color="auto"/>
            <w:right w:val="none" w:sz="0" w:space="0" w:color="auto"/>
          </w:divBdr>
          <w:divsChild>
            <w:div w:id="1542207659">
              <w:marLeft w:val="0"/>
              <w:marRight w:val="0"/>
              <w:marTop w:val="0"/>
              <w:marBottom w:val="0"/>
              <w:divBdr>
                <w:top w:val="none" w:sz="0" w:space="0" w:color="auto"/>
                <w:left w:val="none" w:sz="0" w:space="0" w:color="auto"/>
                <w:bottom w:val="none" w:sz="0" w:space="0" w:color="auto"/>
                <w:right w:val="none" w:sz="0" w:space="0" w:color="auto"/>
              </w:divBdr>
              <w:divsChild>
                <w:div w:id="2032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6591">
      <w:bodyDiv w:val="1"/>
      <w:marLeft w:val="0"/>
      <w:marRight w:val="0"/>
      <w:marTop w:val="0"/>
      <w:marBottom w:val="0"/>
      <w:divBdr>
        <w:top w:val="none" w:sz="0" w:space="0" w:color="auto"/>
        <w:left w:val="none" w:sz="0" w:space="0" w:color="auto"/>
        <w:bottom w:val="none" w:sz="0" w:space="0" w:color="auto"/>
        <w:right w:val="none" w:sz="0" w:space="0" w:color="auto"/>
      </w:divBdr>
    </w:div>
    <w:div w:id="189609658">
      <w:bodyDiv w:val="1"/>
      <w:marLeft w:val="0"/>
      <w:marRight w:val="0"/>
      <w:marTop w:val="0"/>
      <w:marBottom w:val="0"/>
      <w:divBdr>
        <w:top w:val="none" w:sz="0" w:space="0" w:color="auto"/>
        <w:left w:val="none" w:sz="0" w:space="0" w:color="auto"/>
        <w:bottom w:val="none" w:sz="0" w:space="0" w:color="auto"/>
        <w:right w:val="none" w:sz="0" w:space="0" w:color="auto"/>
      </w:divBdr>
      <w:divsChild>
        <w:div w:id="106389748">
          <w:marLeft w:val="0"/>
          <w:marRight w:val="0"/>
          <w:marTop w:val="0"/>
          <w:marBottom w:val="0"/>
          <w:divBdr>
            <w:top w:val="none" w:sz="0" w:space="0" w:color="auto"/>
            <w:left w:val="none" w:sz="0" w:space="0" w:color="auto"/>
            <w:bottom w:val="none" w:sz="0" w:space="0" w:color="auto"/>
            <w:right w:val="none" w:sz="0" w:space="0" w:color="auto"/>
          </w:divBdr>
          <w:divsChild>
            <w:div w:id="503327620">
              <w:marLeft w:val="0"/>
              <w:marRight w:val="0"/>
              <w:marTop w:val="0"/>
              <w:marBottom w:val="0"/>
              <w:divBdr>
                <w:top w:val="none" w:sz="0" w:space="0" w:color="auto"/>
                <w:left w:val="none" w:sz="0" w:space="0" w:color="auto"/>
                <w:bottom w:val="none" w:sz="0" w:space="0" w:color="auto"/>
                <w:right w:val="none" w:sz="0" w:space="0" w:color="auto"/>
              </w:divBdr>
              <w:divsChild>
                <w:div w:id="1461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5622">
      <w:bodyDiv w:val="1"/>
      <w:marLeft w:val="0"/>
      <w:marRight w:val="0"/>
      <w:marTop w:val="0"/>
      <w:marBottom w:val="0"/>
      <w:divBdr>
        <w:top w:val="none" w:sz="0" w:space="0" w:color="auto"/>
        <w:left w:val="none" w:sz="0" w:space="0" w:color="auto"/>
        <w:bottom w:val="none" w:sz="0" w:space="0" w:color="auto"/>
        <w:right w:val="none" w:sz="0" w:space="0" w:color="auto"/>
      </w:divBdr>
    </w:div>
    <w:div w:id="337656524">
      <w:bodyDiv w:val="1"/>
      <w:marLeft w:val="0"/>
      <w:marRight w:val="0"/>
      <w:marTop w:val="0"/>
      <w:marBottom w:val="0"/>
      <w:divBdr>
        <w:top w:val="none" w:sz="0" w:space="0" w:color="auto"/>
        <w:left w:val="none" w:sz="0" w:space="0" w:color="auto"/>
        <w:bottom w:val="none" w:sz="0" w:space="0" w:color="auto"/>
        <w:right w:val="none" w:sz="0" w:space="0" w:color="auto"/>
      </w:divBdr>
      <w:divsChild>
        <w:div w:id="1973049524">
          <w:marLeft w:val="0"/>
          <w:marRight w:val="0"/>
          <w:marTop w:val="0"/>
          <w:marBottom w:val="0"/>
          <w:divBdr>
            <w:top w:val="none" w:sz="0" w:space="0" w:color="auto"/>
            <w:left w:val="none" w:sz="0" w:space="0" w:color="auto"/>
            <w:bottom w:val="none" w:sz="0" w:space="0" w:color="auto"/>
            <w:right w:val="none" w:sz="0" w:space="0" w:color="auto"/>
          </w:divBdr>
          <w:divsChild>
            <w:div w:id="1269240519">
              <w:marLeft w:val="0"/>
              <w:marRight w:val="0"/>
              <w:marTop w:val="0"/>
              <w:marBottom w:val="0"/>
              <w:divBdr>
                <w:top w:val="none" w:sz="0" w:space="0" w:color="auto"/>
                <w:left w:val="none" w:sz="0" w:space="0" w:color="auto"/>
                <w:bottom w:val="none" w:sz="0" w:space="0" w:color="auto"/>
                <w:right w:val="none" w:sz="0" w:space="0" w:color="auto"/>
              </w:divBdr>
              <w:divsChild>
                <w:div w:id="3601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844">
      <w:bodyDiv w:val="1"/>
      <w:marLeft w:val="0"/>
      <w:marRight w:val="0"/>
      <w:marTop w:val="0"/>
      <w:marBottom w:val="0"/>
      <w:divBdr>
        <w:top w:val="none" w:sz="0" w:space="0" w:color="auto"/>
        <w:left w:val="none" w:sz="0" w:space="0" w:color="auto"/>
        <w:bottom w:val="none" w:sz="0" w:space="0" w:color="auto"/>
        <w:right w:val="none" w:sz="0" w:space="0" w:color="auto"/>
      </w:divBdr>
    </w:div>
    <w:div w:id="419983327">
      <w:bodyDiv w:val="1"/>
      <w:marLeft w:val="0"/>
      <w:marRight w:val="0"/>
      <w:marTop w:val="0"/>
      <w:marBottom w:val="0"/>
      <w:divBdr>
        <w:top w:val="none" w:sz="0" w:space="0" w:color="auto"/>
        <w:left w:val="none" w:sz="0" w:space="0" w:color="auto"/>
        <w:bottom w:val="none" w:sz="0" w:space="0" w:color="auto"/>
        <w:right w:val="none" w:sz="0" w:space="0" w:color="auto"/>
      </w:divBdr>
    </w:div>
    <w:div w:id="62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41129134">
          <w:marLeft w:val="0"/>
          <w:marRight w:val="0"/>
          <w:marTop w:val="0"/>
          <w:marBottom w:val="0"/>
          <w:divBdr>
            <w:top w:val="none" w:sz="0" w:space="0" w:color="auto"/>
            <w:left w:val="none" w:sz="0" w:space="0" w:color="auto"/>
            <w:bottom w:val="none" w:sz="0" w:space="0" w:color="auto"/>
            <w:right w:val="none" w:sz="0" w:space="0" w:color="auto"/>
          </w:divBdr>
          <w:divsChild>
            <w:div w:id="1659966842">
              <w:marLeft w:val="0"/>
              <w:marRight w:val="0"/>
              <w:marTop w:val="0"/>
              <w:marBottom w:val="0"/>
              <w:divBdr>
                <w:top w:val="none" w:sz="0" w:space="0" w:color="auto"/>
                <w:left w:val="none" w:sz="0" w:space="0" w:color="auto"/>
                <w:bottom w:val="none" w:sz="0" w:space="0" w:color="auto"/>
                <w:right w:val="none" w:sz="0" w:space="0" w:color="auto"/>
              </w:divBdr>
              <w:divsChild>
                <w:div w:id="2032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4177">
      <w:bodyDiv w:val="1"/>
      <w:marLeft w:val="0"/>
      <w:marRight w:val="0"/>
      <w:marTop w:val="0"/>
      <w:marBottom w:val="0"/>
      <w:divBdr>
        <w:top w:val="none" w:sz="0" w:space="0" w:color="auto"/>
        <w:left w:val="none" w:sz="0" w:space="0" w:color="auto"/>
        <w:bottom w:val="none" w:sz="0" w:space="0" w:color="auto"/>
        <w:right w:val="none" w:sz="0" w:space="0" w:color="auto"/>
      </w:divBdr>
      <w:divsChild>
        <w:div w:id="1040860509">
          <w:marLeft w:val="547"/>
          <w:marRight w:val="0"/>
          <w:marTop w:val="0"/>
          <w:marBottom w:val="0"/>
          <w:divBdr>
            <w:top w:val="none" w:sz="0" w:space="0" w:color="auto"/>
            <w:left w:val="none" w:sz="0" w:space="0" w:color="auto"/>
            <w:bottom w:val="none" w:sz="0" w:space="0" w:color="auto"/>
            <w:right w:val="none" w:sz="0" w:space="0" w:color="auto"/>
          </w:divBdr>
        </w:div>
      </w:divsChild>
    </w:div>
    <w:div w:id="735057745">
      <w:bodyDiv w:val="1"/>
      <w:marLeft w:val="0"/>
      <w:marRight w:val="0"/>
      <w:marTop w:val="0"/>
      <w:marBottom w:val="0"/>
      <w:divBdr>
        <w:top w:val="none" w:sz="0" w:space="0" w:color="auto"/>
        <w:left w:val="none" w:sz="0" w:space="0" w:color="auto"/>
        <w:bottom w:val="none" w:sz="0" w:space="0" w:color="auto"/>
        <w:right w:val="none" w:sz="0" w:space="0" w:color="auto"/>
      </w:divBdr>
      <w:divsChild>
        <w:div w:id="1152989289">
          <w:marLeft w:val="0"/>
          <w:marRight w:val="0"/>
          <w:marTop w:val="0"/>
          <w:marBottom w:val="0"/>
          <w:divBdr>
            <w:top w:val="none" w:sz="0" w:space="0" w:color="auto"/>
            <w:left w:val="none" w:sz="0" w:space="0" w:color="auto"/>
            <w:bottom w:val="none" w:sz="0" w:space="0" w:color="auto"/>
            <w:right w:val="none" w:sz="0" w:space="0" w:color="auto"/>
          </w:divBdr>
          <w:divsChild>
            <w:div w:id="1320500874">
              <w:marLeft w:val="0"/>
              <w:marRight w:val="0"/>
              <w:marTop w:val="0"/>
              <w:marBottom w:val="0"/>
              <w:divBdr>
                <w:top w:val="none" w:sz="0" w:space="0" w:color="auto"/>
                <w:left w:val="none" w:sz="0" w:space="0" w:color="auto"/>
                <w:bottom w:val="none" w:sz="0" w:space="0" w:color="auto"/>
                <w:right w:val="none" w:sz="0" w:space="0" w:color="auto"/>
              </w:divBdr>
              <w:divsChild>
                <w:div w:id="19364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1253">
      <w:bodyDiv w:val="1"/>
      <w:marLeft w:val="0"/>
      <w:marRight w:val="0"/>
      <w:marTop w:val="0"/>
      <w:marBottom w:val="0"/>
      <w:divBdr>
        <w:top w:val="none" w:sz="0" w:space="0" w:color="auto"/>
        <w:left w:val="none" w:sz="0" w:space="0" w:color="auto"/>
        <w:bottom w:val="none" w:sz="0" w:space="0" w:color="auto"/>
        <w:right w:val="none" w:sz="0" w:space="0" w:color="auto"/>
      </w:divBdr>
      <w:divsChild>
        <w:div w:id="719019466">
          <w:marLeft w:val="0"/>
          <w:marRight w:val="0"/>
          <w:marTop w:val="0"/>
          <w:marBottom w:val="0"/>
          <w:divBdr>
            <w:top w:val="none" w:sz="0" w:space="0" w:color="auto"/>
            <w:left w:val="none" w:sz="0" w:space="0" w:color="auto"/>
            <w:bottom w:val="none" w:sz="0" w:space="0" w:color="auto"/>
            <w:right w:val="none" w:sz="0" w:space="0" w:color="auto"/>
          </w:divBdr>
          <w:divsChild>
            <w:div w:id="1600867955">
              <w:marLeft w:val="0"/>
              <w:marRight w:val="0"/>
              <w:marTop w:val="0"/>
              <w:marBottom w:val="0"/>
              <w:divBdr>
                <w:top w:val="none" w:sz="0" w:space="0" w:color="auto"/>
                <w:left w:val="none" w:sz="0" w:space="0" w:color="auto"/>
                <w:bottom w:val="none" w:sz="0" w:space="0" w:color="auto"/>
                <w:right w:val="none" w:sz="0" w:space="0" w:color="auto"/>
              </w:divBdr>
              <w:divsChild>
                <w:div w:id="8785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4152">
      <w:bodyDiv w:val="1"/>
      <w:marLeft w:val="0"/>
      <w:marRight w:val="0"/>
      <w:marTop w:val="0"/>
      <w:marBottom w:val="0"/>
      <w:divBdr>
        <w:top w:val="none" w:sz="0" w:space="0" w:color="auto"/>
        <w:left w:val="none" w:sz="0" w:space="0" w:color="auto"/>
        <w:bottom w:val="none" w:sz="0" w:space="0" w:color="auto"/>
        <w:right w:val="none" w:sz="0" w:space="0" w:color="auto"/>
      </w:divBdr>
      <w:divsChild>
        <w:div w:id="1842045063">
          <w:marLeft w:val="0"/>
          <w:marRight w:val="0"/>
          <w:marTop w:val="0"/>
          <w:marBottom w:val="0"/>
          <w:divBdr>
            <w:top w:val="none" w:sz="0" w:space="0" w:color="auto"/>
            <w:left w:val="none" w:sz="0" w:space="0" w:color="auto"/>
            <w:bottom w:val="none" w:sz="0" w:space="0" w:color="auto"/>
            <w:right w:val="none" w:sz="0" w:space="0" w:color="auto"/>
          </w:divBdr>
          <w:divsChild>
            <w:div w:id="1809785004">
              <w:marLeft w:val="0"/>
              <w:marRight w:val="0"/>
              <w:marTop w:val="0"/>
              <w:marBottom w:val="0"/>
              <w:divBdr>
                <w:top w:val="none" w:sz="0" w:space="0" w:color="auto"/>
                <w:left w:val="none" w:sz="0" w:space="0" w:color="auto"/>
                <w:bottom w:val="none" w:sz="0" w:space="0" w:color="auto"/>
                <w:right w:val="none" w:sz="0" w:space="0" w:color="auto"/>
              </w:divBdr>
              <w:divsChild>
                <w:div w:id="2114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394">
      <w:bodyDiv w:val="1"/>
      <w:marLeft w:val="0"/>
      <w:marRight w:val="0"/>
      <w:marTop w:val="0"/>
      <w:marBottom w:val="0"/>
      <w:divBdr>
        <w:top w:val="none" w:sz="0" w:space="0" w:color="auto"/>
        <w:left w:val="none" w:sz="0" w:space="0" w:color="auto"/>
        <w:bottom w:val="none" w:sz="0" w:space="0" w:color="auto"/>
        <w:right w:val="none" w:sz="0" w:space="0" w:color="auto"/>
      </w:divBdr>
    </w:div>
    <w:div w:id="874805105">
      <w:bodyDiv w:val="1"/>
      <w:marLeft w:val="0"/>
      <w:marRight w:val="0"/>
      <w:marTop w:val="0"/>
      <w:marBottom w:val="0"/>
      <w:divBdr>
        <w:top w:val="none" w:sz="0" w:space="0" w:color="auto"/>
        <w:left w:val="none" w:sz="0" w:space="0" w:color="auto"/>
        <w:bottom w:val="none" w:sz="0" w:space="0" w:color="auto"/>
        <w:right w:val="none" w:sz="0" w:space="0" w:color="auto"/>
      </w:divBdr>
      <w:divsChild>
        <w:div w:id="1709142122">
          <w:marLeft w:val="0"/>
          <w:marRight w:val="0"/>
          <w:marTop w:val="0"/>
          <w:marBottom w:val="0"/>
          <w:divBdr>
            <w:top w:val="none" w:sz="0" w:space="0" w:color="auto"/>
            <w:left w:val="none" w:sz="0" w:space="0" w:color="auto"/>
            <w:bottom w:val="none" w:sz="0" w:space="0" w:color="auto"/>
            <w:right w:val="none" w:sz="0" w:space="0" w:color="auto"/>
          </w:divBdr>
          <w:divsChild>
            <w:div w:id="40640373">
              <w:marLeft w:val="0"/>
              <w:marRight w:val="0"/>
              <w:marTop w:val="0"/>
              <w:marBottom w:val="0"/>
              <w:divBdr>
                <w:top w:val="none" w:sz="0" w:space="0" w:color="auto"/>
                <w:left w:val="none" w:sz="0" w:space="0" w:color="auto"/>
                <w:bottom w:val="none" w:sz="0" w:space="0" w:color="auto"/>
                <w:right w:val="none" w:sz="0" w:space="0" w:color="auto"/>
              </w:divBdr>
              <w:divsChild>
                <w:div w:id="1705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341">
      <w:bodyDiv w:val="1"/>
      <w:marLeft w:val="0"/>
      <w:marRight w:val="0"/>
      <w:marTop w:val="0"/>
      <w:marBottom w:val="0"/>
      <w:divBdr>
        <w:top w:val="none" w:sz="0" w:space="0" w:color="auto"/>
        <w:left w:val="none" w:sz="0" w:space="0" w:color="auto"/>
        <w:bottom w:val="none" w:sz="0" w:space="0" w:color="auto"/>
        <w:right w:val="none" w:sz="0" w:space="0" w:color="auto"/>
      </w:divBdr>
      <w:divsChild>
        <w:div w:id="1870139124">
          <w:marLeft w:val="0"/>
          <w:marRight w:val="0"/>
          <w:marTop w:val="0"/>
          <w:marBottom w:val="0"/>
          <w:divBdr>
            <w:top w:val="none" w:sz="0" w:space="0" w:color="auto"/>
            <w:left w:val="none" w:sz="0" w:space="0" w:color="auto"/>
            <w:bottom w:val="none" w:sz="0" w:space="0" w:color="auto"/>
            <w:right w:val="none" w:sz="0" w:space="0" w:color="auto"/>
          </w:divBdr>
          <w:divsChild>
            <w:div w:id="958727211">
              <w:marLeft w:val="0"/>
              <w:marRight w:val="0"/>
              <w:marTop w:val="0"/>
              <w:marBottom w:val="0"/>
              <w:divBdr>
                <w:top w:val="none" w:sz="0" w:space="0" w:color="auto"/>
                <w:left w:val="none" w:sz="0" w:space="0" w:color="auto"/>
                <w:bottom w:val="none" w:sz="0" w:space="0" w:color="auto"/>
                <w:right w:val="none" w:sz="0" w:space="0" w:color="auto"/>
              </w:divBdr>
              <w:divsChild>
                <w:div w:id="1097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6519">
      <w:bodyDiv w:val="1"/>
      <w:marLeft w:val="0"/>
      <w:marRight w:val="0"/>
      <w:marTop w:val="0"/>
      <w:marBottom w:val="0"/>
      <w:divBdr>
        <w:top w:val="none" w:sz="0" w:space="0" w:color="auto"/>
        <w:left w:val="none" w:sz="0" w:space="0" w:color="auto"/>
        <w:bottom w:val="none" w:sz="0" w:space="0" w:color="auto"/>
        <w:right w:val="none" w:sz="0" w:space="0" w:color="auto"/>
      </w:divBdr>
      <w:divsChild>
        <w:div w:id="303124197">
          <w:marLeft w:val="0"/>
          <w:marRight w:val="0"/>
          <w:marTop w:val="0"/>
          <w:marBottom w:val="0"/>
          <w:divBdr>
            <w:top w:val="none" w:sz="0" w:space="0" w:color="auto"/>
            <w:left w:val="none" w:sz="0" w:space="0" w:color="auto"/>
            <w:bottom w:val="none" w:sz="0" w:space="0" w:color="auto"/>
            <w:right w:val="none" w:sz="0" w:space="0" w:color="auto"/>
          </w:divBdr>
          <w:divsChild>
            <w:div w:id="1158500151">
              <w:marLeft w:val="0"/>
              <w:marRight w:val="0"/>
              <w:marTop w:val="0"/>
              <w:marBottom w:val="0"/>
              <w:divBdr>
                <w:top w:val="none" w:sz="0" w:space="0" w:color="auto"/>
                <w:left w:val="none" w:sz="0" w:space="0" w:color="auto"/>
                <w:bottom w:val="none" w:sz="0" w:space="0" w:color="auto"/>
                <w:right w:val="none" w:sz="0" w:space="0" w:color="auto"/>
              </w:divBdr>
              <w:divsChild>
                <w:div w:id="62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0673">
      <w:bodyDiv w:val="1"/>
      <w:marLeft w:val="0"/>
      <w:marRight w:val="0"/>
      <w:marTop w:val="0"/>
      <w:marBottom w:val="0"/>
      <w:divBdr>
        <w:top w:val="none" w:sz="0" w:space="0" w:color="auto"/>
        <w:left w:val="none" w:sz="0" w:space="0" w:color="auto"/>
        <w:bottom w:val="none" w:sz="0" w:space="0" w:color="auto"/>
        <w:right w:val="none" w:sz="0" w:space="0" w:color="auto"/>
      </w:divBdr>
      <w:divsChild>
        <w:div w:id="1660117614">
          <w:marLeft w:val="0"/>
          <w:marRight w:val="0"/>
          <w:marTop w:val="0"/>
          <w:marBottom w:val="0"/>
          <w:divBdr>
            <w:top w:val="none" w:sz="0" w:space="0" w:color="auto"/>
            <w:left w:val="none" w:sz="0" w:space="0" w:color="auto"/>
            <w:bottom w:val="none" w:sz="0" w:space="0" w:color="auto"/>
            <w:right w:val="none" w:sz="0" w:space="0" w:color="auto"/>
          </w:divBdr>
          <w:divsChild>
            <w:div w:id="218786582">
              <w:marLeft w:val="0"/>
              <w:marRight w:val="0"/>
              <w:marTop w:val="0"/>
              <w:marBottom w:val="0"/>
              <w:divBdr>
                <w:top w:val="none" w:sz="0" w:space="0" w:color="auto"/>
                <w:left w:val="none" w:sz="0" w:space="0" w:color="auto"/>
                <w:bottom w:val="none" w:sz="0" w:space="0" w:color="auto"/>
                <w:right w:val="none" w:sz="0" w:space="0" w:color="auto"/>
              </w:divBdr>
              <w:divsChild>
                <w:div w:id="993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19694">
      <w:bodyDiv w:val="1"/>
      <w:marLeft w:val="0"/>
      <w:marRight w:val="0"/>
      <w:marTop w:val="0"/>
      <w:marBottom w:val="0"/>
      <w:divBdr>
        <w:top w:val="none" w:sz="0" w:space="0" w:color="auto"/>
        <w:left w:val="none" w:sz="0" w:space="0" w:color="auto"/>
        <w:bottom w:val="none" w:sz="0" w:space="0" w:color="auto"/>
        <w:right w:val="none" w:sz="0" w:space="0" w:color="auto"/>
      </w:divBdr>
    </w:div>
    <w:div w:id="1132092925">
      <w:bodyDiv w:val="1"/>
      <w:marLeft w:val="0"/>
      <w:marRight w:val="0"/>
      <w:marTop w:val="0"/>
      <w:marBottom w:val="0"/>
      <w:divBdr>
        <w:top w:val="none" w:sz="0" w:space="0" w:color="auto"/>
        <w:left w:val="none" w:sz="0" w:space="0" w:color="auto"/>
        <w:bottom w:val="none" w:sz="0" w:space="0" w:color="auto"/>
        <w:right w:val="none" w:sz="0" w:space="0" w:color="auto"/>
      </w:divBdr>
    </w:div>
    <w:div w:id="1193224171">
      <w:bodyDiv w:val="1"/>
      <w:marLeft w:val="0"/>
      <w:marRight w:val="0"/>
      <w:marTop w:val="0"/>
      <w:marBottom w:val="0"/>
      <w:divBdr>
        <w:top w:val="none" w:sz="0" w:space="0" w:color="auto"/>
        <w:left w:val="none" w:sz="0" w:space="0" w:color="auto"/>
        <w:bottom w:val="none" w:sz="0" w:space="0" w:color="auto"/>
        <w:right w:val="none" w:sz="0" w:space="0" w:color="auto"/>
      </w:divBdr>
      <w:divsChild>
        <w:div w:id="1330987912">
          <w:marLeft w:val="0"/>
          <w:marRight w:val="0"/>
          <w:marTop w:val="0"/>
          <w:marBottom w:val="0"/>
          <w:divBdr>
            <w:top w:val="none" w:sz="0" w:space="0" w:color="auto"/>
            <w:left w:val="none" w:sz="0" w:space="0" w:color="auto"/>
            <w:bottom w:val="none" w:sz="0" w:space="0" w:color="auto"/>
            <w:right w:val="none" w:sz="0" w:space="0" w:color="auto"/>
          </w:divBdr>
          <w:divsChild>
            <w:div w:id="417405585">
              <w:marLeft w:val="0"/>
              <w:marRight w:val="0"/>
              <w:marTop w:val="0"/>
              <w:marBottom w:val="0"/>
              <w:divBdr>
                <w:top w:val="none" w:sz="0" w:space="0" w:color="auto"/>
                <w:left w:val="none" w:sz="0" w:space="0" w:color="auto"/>
                <w:bottom w:val="none" w:sz="0" w:space="0" w:color="auto"/>
                <w:right w:val="none" w:sz="0" w:space="0" w:color="auto"/>
              </w:divBdr>
              <w:divsChild>
                <w:div w:id="271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926">
      <w:bodyDiv w:val="1"/>
      <w:marLeft w:val="0"/>
      <w:marRight w:val="0"/>
      <w:marTop w:val="0"/>
      <w:marBottom w:val="0"/>
      <w:divBdr>
        <w:top w:val="none" w:sz="0" w:space="0" w:color="auto"/>
        <w:left w:val="none" w:sz="0" w:space="0" w:color="auto"/>
        <w:bottom w:val="none" w:sz="0" w:space="0" w:color="auto"/>
        <w:right w:val="none" w:sz="0" w:space="0" w:color="auto"/>
      </w:divBdr>
    </w:div>
    <w:div w:id="1201161454">
      <w:bodyDiv w:val="1"/>
      <w:marLeft w:val="0"/>
      <w:marRight w:val="0"/>
      <w:marTop w:val="0"/>
      <w:marBottom w:val="0"/>
      <w:divBdr>
        <w:top w:val="none" w:sz="0" w:space="0" w:color="auto"/>
        <w:left w:val="none" w:sz="0" w:space="0" w:color="auto"/>
        <w:bottom w:val="none" w:sz="0" w:space="0" w:color="auto"/>
        <w:right w:val="none" w:sz="0" w:space="0" w:color="auto"/>
      </w:divBdr>
      <w:divsChild>
        <w:div w:id="110978480">
          <w:marLeft w:val="0"/>
          <w:marRight w:val="0"/>
          <w:marTop w:val="0"/>
          <w:marBottom w:val="0"/>
          <w:divBdr>
            <w:top w:val="none" w:sz="0" w:space="0" w:color="auto"/>
            <w:left w:val="none" w:sz="0" w:space="0" w:color="auto"/>
            <w:bottom w:val="none" w:sz="0" w:space="0" w:color="auto"/>
            <w:right w:val="none" w:sz="0" w:space="0" w:color="auto"/>
          </w:divBdr>
          <w:divsChild>
            <w:div w:id="378826580">
              <w:marLeft w:val="0"/>
              <w:marRight w:val="0"/>
              <w:marTop w:val="0"/>
              <w:marBottom w:val="0"/>
              <w:divBdr>
                <w:top w:val="none" w:sz="0" w:space="0" w:color="auto"/>
                <w:left w:val="none" w:sz="0" w:space="0" w:color="auto"/>
                <w:bottom w:val="none" w:sz="0" w:space="0" w:color="auto"/>
                <w:right w:val="none" w:sz="0" w:space="0" w:color="auto"/>
              </w:divBdr>
              <w:divsChild>
                <w:div w:id="917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20476">
      <w:bodyDiv w:val="1"/>
      <w:marLeft w:val="0"/>
      <w:marRight w:val="0"/>
      <w:marTop w:val="0"/>
      <w:marBottom w:val="0"/>
      <w:divBdr>
        <w:top w:val="none" w:sz="0" w:space="0" w:color="auto"/>
        <w:left w:val="none" w:sz="0" w:space="0" w:color="auto"/>
        <w:bottom w:val="none" w:sz="0" w:space="0" w:color="auto"/>
        <w:right w:val="none" w:sz="0" w:space="0" w:color="auto"/>
      </w:divBdr>
    </w:div>
    <w:div w:id="1537037254">
      <w:bodyDiv w:val="1"/>
      <w:marLeft w:val="0"/>
      <w:marRight w:val="0"/>
      <w:marTop w:val="0"/>
      <w:marBottom w:val="0"/>
      <w:divBdr>
        <w:top w:val="none" w:sz="0" w:space="0" w:color="auto"/>
        <w:left w:val="none" w:sz="0" w:space="0" w:color="auto"/>
        <w:bottom w:val="none" w:sz="0" w:space="0" w:color="auto"/>
        <w:right w:val="none" w:sz="0" w:space="0" w:color="auto"/>
      </w:divBdr>
    </w:div>
    <w:div w:id="1625772666">
      <w:bodyDiv w:val="1"/>
      <w:marLeft w:val="0"/>
      <w:marRight w:val="0"/>
      <w:marTop w:val="0"/>
      <w:marBottom w:val="0"/>
      <w:divBdr>
        <w:top w:val="none" w:sz="0" w:space="0" w:color="auto"/>
        <w:left w:val="none" w:sz="0" w:space="0" w:color="auto"/>
        <w:bottom w:val="none" w:sz="0" w:space="0" w:color="auto"/>
        <w:right w:val="none" w:sz="0" w:space="0" w:color="auto"/>
      </w:divBdr>
      <w:divsChild>
        <w:div w:id="379741961">
          <w:marLeft w:val="0"/>
          <w:marRight w:val="0"/>
          <w:marTop w:val="0"/>
          <w:marBottom w:val="0"/>
          <w:divBdr>
            <w:top w:val="none" w:sz="0" w:space="0" w:color="auto"/>
            <w:left w:val="none" w:sz="0" w:space="0" w:color="auto"/>
            <w:bottom w:val="none" w:sz="0" w:space="0" w:color="auto"/>
            <w:right w:val="none" w:sz="0" w:space="0" w:color="auto"/>
          </w:divBdr>
          <w:divsChild>
            <w:div w:id="1814446505">
              <w:marLeft w:val="0"/>
              <w:marRight w:val="0"/>
              <w:marTop w:val="0"/>
              <w:marBottom w:val="0"/>
              <w:divBdr>
                <w:top w:val="none" w:sz="0" w:space="0" w:color="auto"/>
                <w:left w:val="none" w:sz="0" w:space="0" w:color="auto"/>
                <w:bottom w:val="none" w:sz="0" w:space="0" w:color="auto"/>
                <w:right w:val="none" w:sz="0" w:space="0" w:color="auto"/>
              </w:divBdr>
              <w:divsChild>
                <w:div w:id="1131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3789">
      <w:bodyDiv w:val="1"/>
      <w:marLeft w:val="0"/>
      <w:marRight w:val="0"/>
      <w:marTop w:val="0"/>
      <w:marBottom w:val="0"/>
      <w:divBdr>
        <w:top w:val="none" w:sz="0" w:space="0" w:color="auto"/>
        <w:left w:val="none" w:sz="0" w:space="0" w:color="auto"/>
        <w:bottom w:val="none" w:sz="0" w:space="0" w:color="auto"/>
        <w:right w:val="none" w:sz="0" w:space="0" w:color="auto"/>
      </w:divBdr>
    </w:div>
    <w:div w:id="1645937269">
      <w:bodyDiv w:val="1"/>
      <w:marLeft w:val="0"/>
      <w:marRight w:val="0"/>
      <w:marTop w:val="0"/>
      <w:marBottom w:val="0"/>
      <w:divBdr>
        <w:top w:val="none" w:sz="0" w:space="0" w:color="auto"/>
        <w:left w:val="none" w:sz="0" w:space="0" w:color="auto"/>
        <w:bottom w:val="none" w:sz="0" w:space="0" w:color="auto"/>
        <w:right w:val="none" w:sz="0" w:space="0" w:color="auto"/>
      </w:divBdr>
    </w:div>
    <w:div w:id="1688947787">
      <w:bodyDiv w:val="1"/>
      <w:marLeft w:val="0"/>
      <w:marRight w:val="0"/>
      <w:marTop w:val="0"/>
      <w:marBottom w:val="0"/>
      <w:divBdr>
        <w:top w:val="none" w:sz="0" w:space="0" w:color="auto"/>
        <w:left w:val="none" w:sz="0" w:space="0" w:color="auto"/>
        <w:bottom w:val="none" w:sz="0" w:space="0" w:color="auto"/>
        <w:right w:val="none" w:sz="0" w:space="0" w:color="auto"/>
      </w:divBdr>
    </w:div>
    <w:div w:id="1732267194">
      <w:bodyDiv w:val="1"/>
      <w:marLeft w:val="0"/>
      <w:marRight w:val="0"/>
      <w:marTop w:val="0"/>
      <w:marBottom w:val="0"/>
      <w:divBdr>
        <w:top w:val="none" w:sz="0" w:space="0" w:color="auto"/>
        <w:left w:val="none" w:sz="0" w:space="0" w:color="auto"/>
        <w:bottom w:val="none" w:sz="0" w:space="0" w:color="auto"/>
        <w:right w:val="none" w:sz="0" w:space="0" w:color="auto"/>
      </w:divBdr>
    </w:div>
    <w:div w:id="1733038073">
      <w:bodyDiv w:val="1"/>
      <w:marLeft w:val="0"/>
      <w:marRight w:val="0"/>
      <w:marTop w:val="0"/>
      <w:marBottom w:val="0"/>
      <w:divBdr>
        <w:top w:val="none" w:sz="0" w:space="0" w:color="auto"/>
        <w:left w:val="none" w:sz="0" w:space="0" w:color="auto"/>
        <w:bottom w:val="none" w:sz="0" w:space="0" w:color="auto"/>
        <w:right w:val="none" w:sz="0" w:space="0" w:color="auto"/>
      </w:divBdr>
      <w:divsChild>
        <w:div w:id="1144591324">
          <w:marLeft w:val="0"/>
          <w:marRight w:val="0"/>
          <w:marTop w:val="0"/>
          <w:marBottom w:val="0"/>
          <w:divBdr>
            <w:top w:val="none" w:sz="0" w:space="0" w:color="auto"/>
            <w:left w:val="none" w:sz="0" w:space="0" w:color="auto"/>
            <w:bottom w:val="none" w:sz="0" w:space="0" w:color="auto"/>
            <w:right w:val="none" w:sz="0" w:space="0" w:color="auto"/>
          </w:divBdr>
          <w:divsChild>
            <w:div w:id="1379165820">
              <w:marLeft w:val="0"/>
              <w:marRight w:val="0"/>
              <w:marTop w:val="0"/>
              <w:marBottom w:val="0"/>
              <w:divBdr>
                <w:top w:val="none" w:sz="0" w:space="0" w:color="auto"/>
                <w:left w:val="none" w:sz="0" w:space="0" w:color="auto"/>
                <w:bottom w:val="none" w:sz="0" w:space="0" w:color="auto"/>
                <w:right w:val="none" w:sz="0" w:space="0" w:color="auto"/>
              </w:divBdr>
              <w:divsChild>
                <w:div w:id="660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0724">
      <w:bodyDiv w:val="1"/>
      <w:marLeft w:val="0"/>
      <w:marRight w:val="0"/>
      <w:marTop w:val="0"/>
      <w:marBottom w:val="0"/>
      <w:divBdr>
        <w:top w:val="none" w:sz="0" w:space="0" w:color="auto"/>
        <w:left w:val="none" w:sz="0" w:space="0" w:color="auto"/>
        <w:bottom w:val="none" w:sz="0" w:space="0" w:color="auto"/>
        <w:right w:val="none" w:sz="0" w:space="0" w:color="auto"/>
      </w:divBdr>
      <w:divsChild>
        <w:div w:id="568538799">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1340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7780">
      <w:bodyDiv w:val="1"/>
      <w:marLeft w:val="0"/>
      <w:marRight w:val="0"/>
      <w:marTop w:val="0"/>
      <w:marBottom w:val="0"/>
      <w:divBdr>
        <w:top w:val="none" w:sz="0" w:space="0" w:color="auto"/>
        <w:left w:val="none" w:sz="0" w:space="0" w:color="auto"/>
        <w:bottom w:val="none" w:sz="0" w:space="0" w:color="auto"/>
        <w:right w:val="none" w:sz="0" w:space="0" w:color="auto"/>
      </w:divBdr>
      <w:divsChild>
        <w:div w:id="2135321971">
          <w:marLeft w:val="0"/>
          <w:marRight w:val="0"/>
          <w:marTop w:val="0"/>
          <w:marBottom w:val="0"/>
          <w:divBdr>
            <w:top w:val="none" w:sz="0" w:space="0" w:color="auto"/>
            <w:left w:val="none" w:sz="0" w:space="0" w:color="auto"/>
            <w:bottom w:val="none" w:sz="0" w:space="0" w:color="auto"/>
            <w:right w:val="none" w:sz="0" w:space="0" w:color="auto"/>
          </w:divBdr>
          <w:divsChild>
            <w:div w:id="2100514828">
              <w:marLeft w:val="0"/>
              <w:marRight w:val="0"/>
              <w:marTop w:val="0"/>
              <w:marBottom w:val="0"/>
              <w:divBdr>
                <w:top w:val="none" w:sz="0" w:space="0" w:color="auto"/>
                <w:left w:val="none" w:sz="0" w:space="0" w:color="auto"/>
                <w:bottom w:val="none" w:sz="0" w:space="0" w:color="auto"/>
                <w:right w:val="none" w:sz="0" w:space="0" w:color="auto"/>
              </w:divBdr>
              <w:divsChild>
                <w:div w:id="7211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9719">
      <w:bodyDiv w:val="1"/>
      <w:marLeft w:val="0"/>
      <w:marRight w:val="0"/>
      <w:marTop w:val="0"/>
      <w:marBottom w:val="0"/>
      <w:divBdr>
        <w:top w:val="none" w:sz="0" w:space="0" w:color="auto"/>
        <w:left w:val="none" w:sz="0" w:space="0" w:color="auto"/>
        <w:bottom w:val="none" w:sz="0" w:space="0" w:color="auto"/>
        <w:right w:val="none" w:sz="0" w:space="0" w:color="auto"/>
      </w:divBdr>
    </w:div>
    <w:div w:id="1910311466">
      <w:bodyDiv w:val="1"/>
      <w:marLeft w:val="0"/>
      <w:marRight w:val="0"/>
      <w:marTop w:val="0"/>
      <w:marBottom w:val="0"/>
      <w:divBdr>
        <w:top w:val="none" w:sz="0" w:space="0" w:color="auto"/>
        <w:left w:val="none" w:sz="0" w:space="0" w:color="auto"/>
        <w:bottom w:val="none" w:sz="0" w:space="0" w:color="auto"/>
        <w:right w:val="none" w:sz="0" w:space="0" w:color="auto"/>
      </w:divBdr>
      <w:divsChild>
        <w:div w:id="916474077">
          <w:marLeft w:val="0"/>
          <w:marRight w:val="0"/>
          <w:marTop w:val="0"/>
          <w:marBottom w:val="0"/>
          <w:divBdr>
            <w:top w:val="none" w:sz="0" w:space="0" w:color="auto"/>
            <w:left w:val="none" w:sz="0" w:space="0" w:color="auto"/>
            <w:bottom w:val="none" w:sz="0" w:space="0" w:color="auto"/>
            <w:right w:val="none" w:sz="0" w:space="0" w:color="auto"/>
          </w:divBdr>
          <w:divsChild>
            <w:div w:id="2145467981">
              <w:marLeft w:val="0"/>
              <w:marRight w:val="0"/>
              <w:marTop w:val="0"/>
              <w:marBottom w:val="0"/>
              <w:divBdr>
                <w:top w:val="none" w:sz="0" w:space="0" w:color="auto"/>
                <w:left w:val="none" w:sz="0" w:space="0" w:color="auto"/>
                <w:bottom w:val="none" w:sz="0" w:space="0" w:color="auto"/>
                <w:right w:val="none" w:sz="0" w:space="0" w:color="auto"/>
              </w:divBdr>
              <w:divsChild>
                <w:div w:id="129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258">
      <w:bodyDiv w:val="1"/>
      <w:marLeft w:val="0"/>
      <w:marRight w:val="0"/>
      <w:marTop w:val="0"/>
      <w:marBottom w:val="0"/>
      <w:divBdr>
        <w:top w:val="none" w:sz="0" w:space="0" w:color="auto"/>
        <w:left w:val="none" w:sz="0" w:space="0" w:color="auto"/>
        <w:bottom w:val="none" w:sz="0" w:space="0" w:color="auto"/>
        <w:right w:val="none" w:sz="0" w:space="0" w:color="auto"/>
      </w:divBdr>
    </w:div>
    <w:div w:id="1999721930">
      <w:bodyDiv w:val="1"/>
      <w:marLeft w:val="0"/>
      <w:marRight w:val="0"/>
      <w:marTop w:val="0"/>
      <w:marBottom w:val="0"/>
      <w:divBdr>
        <w:top w:val="none" w:sz="0" w:space="0" w:color="auto"/>
        <w:left w:val="none" w:sz="0" w:space="0" w:color="auto"/>
        <w:bottom w:val="none" w:sz="0" w:space="0" w:color="auto"/>
        <w:right w:val="none" w:sz="0" w:space="0" w:color="auto"/>
      </w:divBdr>
    </w:div>
    <w:div w:id="2019692097">
      <w:bodyDiv w:val="1"/>
      <w:marLeft w:val="0"/>
      <w:marRight w:val="0"/>
      <w:marTop w:val="0"/>
      <w:marBottom w:val="0"/>
      <w:divBdr>
        <w:top w:val="none" w:sz="0" w:space="0" w:color="auto"/>
        <w:left w:val="none" w:sz="0" w:space="0" w:color="auto"/>
        <w:bottom w:val="none" w:sz="0" w:space="0" w:color="auto"/>
        <w:right w:val="none" w:sz="0" w:space="0" w:color="auto"/>
      </w:divBdr>
    </w:div>
    <w:div w:id="2069834798">
      <w:bodyDiv w:val="1"/>
      <w:marLeft w:val="0"/>
      <w:marRight w:val="0"/>
      <w:marTop w:val="0"/>
      <w:marBottom w:val="0"/>
      <w:divBdr>
        <w:top w:val="none" w:sz="0" w:space="0" w:color="auto"/>
        <w:left w:val="none" w:sz="0" w:space="0" w:color="auto"/>
        <w:bottom w:val="none" w:sz="0" w:space="0" w:color="auto"/>
        <w:right w:val="none" w:sz="0" w:space="0" w:color="auto"/>
      </w:divBdr>
      <w:divsChild>
        <w:div w:id="1753964671">
          <w:marLeft w:val="0"/>
          <w:marRight w:val="0"/>
          <w:marTop w:val="0"/>
          <w:marBottom w:val="0"/>
          <w:divBdr>
            <w:top w:val="none" w:sz="0" w:space="0" w:color="auto"/>
            <w:left w:val="none" w:sz="0" w:space="0" w:color="auto"/>
            <w:bottom w:val="none" w:sz="0" w:space="0" w:color="auto"/>
            <w:right w:val="none" w:sz="0" w:space="0" w:color="auto"/>
          </w:divBdr>
          <w:divsChild>
            <w:div w:id="308748757">
              <w:marLeft w:val="0"/>
              <w:marRight w:val="0"/>
              <w:marTop w:val="0"/>
              <w:marBottom w:val="0"/>
              <w:divBdr>
                <w:top w:val="none" w:sz="0" w:space="0" w:color="auto"/>
                <w:left w:val="none" w:sz="0" w:space="0" w:color="auto"/>
                <w:bottom w:val="none" w:sz="0" w:space="0" w:color="auto"/>
                <w:right w:val="none" w:sz="0" w:space="0" w:color="auto"/>
              </w:divBdr>
              <w:divsChild>
                <w:div w:id="729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29">
      <w:bodyDiv w:val="1"/>
      <w:marLeft w:val="0"/>
      <w:marRight w:val="0"/>
      <w:marTop w:val="0"/>
      <w:marBottom w:val="0"/>
      <w:divBdr>
        <w:top w:val="none" w:sz="0" w:space="0" w:color="auto"/>
        <w:left w:val="none" w:sz="0" w:space="0" w:color="auto"/>
        <w:bottom w:val="none" w:sz="0" w:space="0" w:color="auto"/>
        <w:right w:val="none" w:sz="0" w:space="0" w:color="auto"/>
      </w:divBdr>
    </w:div>
    <w:div w:id="2140875064">
      <w:bodyDiv w:val="1"/>
      <w:marLeft w:val="0"/>
      <w:marRight w:val="0"/>
      <w:marTop w:val="0"/>
      <w:marBottom w:val="0"/>
      <w:divBdr>
        <w:top w:val="none" w:sz="0" w:space="0" w:color="auto"/>
        <w:left w:val="none" w:sz="0" w:space="0" w:color="auto"/>
        <w:bottom w:val="none" w:sz="0" w:space="0" w:color="auto"/>
        <w:right w:val="none" w:sz="0" w:space="0" w:color="auto"/>
      </w:divBdr>
      <w:divsChild>
        <w:div w:id="1924795406">
          <w:marLeft w:val="0"/>
          <w:marRight w:val="0"/>
          <w:marTop w:val="0"/>
          <w:marBottom w:val="0"/>
          <w:divBdr>
            <w:top w:val="none" w:sz="0" w:space="0" w:color="auto"/>
            <w:left w:val="none" w:sz="0" w:space="0" w:color="auto"/>
            <w:bottom w:val="none" w:sz="0" w:space="0" w:color="auto"/>
            <w:right w:val="none" w:sz="0" w:space="0" w:color="auto"/>
          </w:divBdr>
          <w:divsChild>
            <w:div w:id="959185526">
              <w:marLeft w:val="0"/>
              <w:marRight w:val="0"/>
              <w:marTop w:val="0"/>
              <w:marBottom w:val="0"/>
              <w:divBdr>
                <w:top w:val="none" w:sz="0" w:space="0" w:color="auto"/>
                <w:left w:val="none" w:sz="0" w:space="0" w:color="auto"/>
                <w:bottom w:val="none" w:sz="0" w:space="0" w:color="auto"/>
                <w:right w:val="none" w:sz="0" w:space="0" w:color="auto"/>
              </w:divBdr>
              <w:divsChild>
                <w:div w:id="9386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6520-E3D4-453D-B806-E4F1D805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10479</Words>
  <Characters>57637</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2019-01-23T14:27:00Z</dcterms:created>
  <dcterms:modified xsi:type="dcterms:W3CDTF">2019-01-23T17:02:00Z</dcterms:modified>
</cp:coreProperties>
</file>