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B97C65" w:rsidRDefault="0096645E" w:rsidP="00B97C65">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B97C65" w:rsidRDefault="00B97C65" w:rsidP="00B97C65">
      <w:pPr>
        <w:spacing w:after="120" w:line="276" w:lineRule="auto"/>
        <w:ind w:firstLine="708"/>
        <w:jc w:val="both"/>
        <w:rPr>
          <w:rFonts w:ascii="Palatino Linotype" w:hAnsi="Palatino Linotype"/>
          <w:sz w:val="22"/>
          <w:szCs w:val="22"/>
        </w:rPr>
      </w:pPr>
      <w:r w:rsidRPr="009278B5">
        <w:rPr>
          <w:rFonts w:ascii="Palatino Linotype" w:hAnsi="Palatino Linotype"/>
          <w:sz w:val="22"/>
          <w:szCs w:val="22"/>
        </w:rPr>
        <w:t>La Urbanización de Interés Social de Desarrollo Progresivo a favor de la Cooperativa de Vivienda “Luchador Eloy Alfaro”, al inicio del proceso de regularización contaba con 20 años de existencia y 95% de consolidación, actualmente cuenta con 28 años de existencia y 96</w:t>
      </w:r>
      <w:r>
        <w:rPr>
          <w:rFonts w:ascii="Palatino Linotype" w:hAnsi="Palatino Linotype"/>
          <w:b/>
          <w:sz w:val="22"/>
          <w:szCs w:val="22"/>
        </w:rPr>
        <w:t>,</w:t>
      </w:r>
      <w:r w:rsidRPr="009278B5">
        <w:rPr>
          <w:rFonts w:ascii="Palatino Linotype" w:hAnsi="Palatino Linotype"/>
          <w:sz w:val="22"/>
          <w:szCs w:val="22"/>
        </w:rPr>
        <w:t>16% de consolidación, sin embargo</w:t>
      </w:r>
      <w:r>
        <w:rPr>
          <w:rFonts w:ascii="Palatino Linotype" w:hAnsi="Palatino Linotype"/>
          <w:b/>
          <w:sz w:val="22"/>
          <w:szCs w:val="22"/>
        </w:rPr>
        <w:t>,</w:t>
      </w:r>
      <w:r w:rsidRPr="009278B5">
        <w:rPr>
          <w:rFonts w:ascii="Palatino Linotype" w:hAnsi="Palatino Linotype"/>
          <w:sz w:val="22"/>
          <w:szCs w:val="22"/>
        </w:rPr>
        <w:t xml:space="preserve"> al momento de la sanción de la presente ordenanza el asentamiento cuenta con </w:t>
      </w:r>
      <w:r w:rsidRPr="00B97C65">
        <w:rPr>
          <w:rFonts w:ascii="Palatino Linotype" w:hAnsi="Palatino Linotype"/>
          <w:sz w:val="22"/>
          <w:szCs w:val="22"/>
        </w:rPr>
        <w:t>22 años</w:t>
      </w:r>
      <w:r w:rsidRPr="009278B5">
        <w:rPr>
          <w:rFonts w:ascii="Palatino Linotype" w:hAnsi="Palatino Linotype"/>
          <w:sz w:val="22"/>
          <w:szCs w:val="22"/>
        </w:rPr>
        <w:t xml:space="preserve"> de asentamiento y 1.044 beneficiarios.</w:t>
      </w:r>
    </w:p>
    <w:p w:rsidR="00B97C65" w:rsidRPr="00B97C65" w:rsidRDefault="00B97C65" w:rsidP="00B97C65">
      <w:pPr>
        <w:spacing w:after="120" w:line="276" w:lineRule="auto"/>
        <w:ind w:firstLine="708"/>
        <w:jc w:val="both"/>
        <w:rPr>
          <w:rFonts w:ascii="Palatino Linotype" w:hAnsi="Palatino Linotype"/>
          <w:sz w:val="22"/>
          <w:szCs w:val="22"/>
        </w:rPr>
      </w:pPr>
      <w:r w:rsidRPr="009278B5">
        <w:rPr>
          <w:rFonts w:ascii="Palatino Linotype" w:hAnsi="Palatino Linotype"/>
          <w:color w:val="000000" w:themeColor="text1"/>
          <w:sz w:val="22"/>
          <w:szCs w:val="22"/>
        </w:rPr>
        <w:t>Dicha Urbanización de Interés Social de Desarrollo Progresivo a favor de la Cooperativa de Vivienda “Luchador Eloy Alfaro”, fue reconocida mediante Ordenanza No. 0027, sancionada el 02 de marzo de 2011, sin embargo, debido a que existen errores de áreas de los lotes, la Unidad Especial Regula Tu Barrio realizó el proceso tendiente a reformar dicha Ordenanza, a fin de permitir que los socios de la Cooperativa de Vivienda “Luchador Eloy Alfaro” en liquidación, cuenten con escrituras que garanticen el ejercicio del derecho a la vivienda, adecuada y digna, conforme lo prevé la Constitución del Ecuador.</w:t>
      </w:r>
    </w:p>
    <w:p w:rsidR="007750DE" w:rsidRPr="000C7EBE" w:rsidRDefault="00B97C65" w:rsidP="00B97C65">
      <w:pPr>
        <w:spacing w:after="120" w:line="276" w:lineRule="auto"/>
        <w:ind w:firstLine="708"/>
        <w:jc w:val="both"/>
        <w:rPr>
          <w:rFonts w:ascii="Palatino Linotype" w:hAnsi="Palatino Linotype"/>
          <w:b/>
          <w:sz w:val="22"/>
          <w:szCs w:val="22"/>
        </w:rPr>
      </w:pPr>
      <w:r w:rsidRPr="009278B5">
        <w:rPr>
          <w:rFonts w:ascii="Palatino Linotype" w:hAnsi="Palatino Linotype"/>
          <w:sz w:val="22"/>
          <w:szCs w:val="22"/>
        </w:rPr>
        <w:t>En este sentido, la presente Ordenanza contiene la normativa tendiente a reformar la Ordenanza No. 0027, sancionada el 02 de marzo de 2011</w:t>
      </w:r>
      <w:r>
        <w:rPr>
          <w:rFonts w:ascii="Palatino Linotype" w:hAnsi="Palatino Linotype"/>
          <w:b/>
          <w:sz w:val="22"/>
          <w:szCs w:val="22"/>
        </w:rPr>
        <w:t>,</w:t>
      </w:r>
      <w:r w:rsidRPr="009278B5">
        <w:rPr>
          <w:rFonts w:ascii="Palatino Linotype" w:hAnsi="Palatino Linotype"/>
          <w:sz w:val="22"/>
          <w:szCs w:val="22"/>
        </w:rPr>
        <w:t xml:space="preserve"> de la Urbanización de Interés Social de Desarrollo Progresivo a favor de la Cooperativa de Vivienda “Luchador Eloy Alfaro”, a fin de garantizar 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412FF5">
        <w:rPr>
          <w:rFonts w:ascii="Palatino Linotype" w:hAnsi="Palatino Linotype"/>
          <w:sz w:val="22"/>
          <w:szCs w:val="22"/>
        </w:rPr>
        <w:t>9</w:t>
      </w:r>
      <w:r w:rsidR="00236471" w:rsidRPr="00091622">
        <w:rPr>
          <w:rFonts w:ascii="Palatino Linotype" w:hAnsi="Palatino Linotype"/>
          <w:sz w:val="22"/>
          <w:szCs w:val="22"/>
        </w:rPr>
        <w:t>-</w:t>
      </w:r>
      <w:r w:rsidR="006C3F46">
        <w:rPr>
          <w:rFonts w:ascii="Palatino Linotype" w:hAnsi="Palatino Linotype"/>
          <w:sz w:val="22"/>
          <w:szCs w:val="22"/>
        </w:rPr>
        <w:t>0</w:t>
      </w:r>
      <w:r w:rsidR="000C7EBE">
        <w:rPr>
          <w:rFonts w:ascii="Palatino Linotype" w:hAnsi="Palatino Linotype"/>
          <w:sz w:val="22"/>
          <w:szCs w:val="22"/>
        </w:rPr>
        <w:t>6</w:t>
      </w:r>
      <w:r w:rsidR="006C3F46">
        <w:rPr>
          <w:rFonts w:ascii="Palatino Linotype" w:hAnsi="Palatino Linotype"/>
          <w:sz w:val="22"/>
          <w:szCs w:val="22"/>
        </w:rPr>
        <w:t>2</w:t>
      </w:r>
      <w:r w:rsidR="007359A3" w:rsidRPr="00091622">
        <w:rPr>
          <w:rFonts w:ascii="Palatino Linotype" w:hAnsi="Palatino Linotype"/>
          <w:sz w:val="22"/>
          <w:szCs w:val="22"/>
        </w:rPr>
        <w:t xml:space="preserve">, de </w:t>
      </w:r>
      <w:r w:rsidR="006C3F46">
        <w:rPr>
          <w:rFonts w:ascii="Palatino Linotype" w:hAnsi="Palatino Linotype"/>
          <w:sz w:val="22"/>
          <w:szCs w:val="22"/>
        </w:rPr>
        <w:t>28</w:t>
      </w:r>
      <w:r w:rsidRPr="00091622">
        <w:rPr>
          <w:rFonts w:ascii="Palatino Linotype" w:hAnsi="Palatino Linotype"/>
          <w:sz w:val="22"/>
          <w:szCs w:val="22"/>
        </w:rPr>
        <w:t xml:space="preserve"> de </w:t>
      </w:r>
      <w:r w:rsidR="006C3F46">
        <w:rPr>
          <w:rFonts w:ascii="Palatino Linotype" w:hAnsi="Palatino Linotype"/>
          <w:sz w:val="22"/>
          <w:szCs w:val="22"/>
        </w:rPr>
        <w:t xml:space="preserve">febrero </w:t>
      </w:r>
      <w:r w:rsidR="00412FF5">
        <w:rPr>
          <w:rFonts w:ascii="Palatino Linotype" w:hAnsi="Palatino Linotype"/>
          <w:sz w:val="22"/>
          <w:szCs w:val="22"/>
        </w:rPr>
        <w:t>de 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091622">
        <w:rPr>
          <w:rFonts w:ascii="Palatino Linotype" w:hAnsi="Palatino Linotype"/>
          <w:iCs/>
        </w:rPr>
        <w:t xml:space="preserve">”; </w:t>
      </w:r>
    </w:p>
    <w:p w:rsidR="00DD1A49" w:rsidRPr="00091622" w:rsidRDefault="00F112F0"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793402" w:rsidRPr="00091622" w:rsidRDefault="00793402"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la Disposición Transitoria Dé</w:t>
      </w:r>
      <w:r w:rsidR="00494DA4" w:rsidRPr="00091622">
        <w:rPr>
          <w:rFonts w:ascii="Palatino Linotype" w:hAnsi="Palatino Linotype"/>
          <w:bCs/>
        </w:rPr>
        <w:t xml:space="preserve">cima Cuarta del COOTAD, señala: </w:t>
      </w:r>
      <w:r w:rsidRPr="00091622">
        <w:rPr>
          <w:rFonts w:ascii="Palatino Linotype" w:hAnsi="Palatino Linotype"/>
          <w:bCs/>
        </w:rPr>
        <w:t>“</w:t>
      </w:r>
      <w:r w:rsidRPr="00091622">
        <w:rPr>
          <w:rFonts w:ascii="Palatino Linotype" w:hAnsi="Palatino Linotype"/>
          <w:bCs/>
          <w:i/>
        </w:rPr>
        <w:t xml:space="preserve">(…) </w:t>
      </w:r>
      <w:r w:rsidRPr="0009162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91622">
        <w:rPr>
          <w:rFonts w:ascii="Palatino Linotype" w:hAnsi="Palatino Linotype"/>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97C65" w:rsidRPr="00B97C65" w:rsidRDefault="00B97C65" w:rsidP="00B97C65">
      <w:pPr>
        <w:pStyle w:val="Sinespaciado"/>
        <w:spacing w:after="120" w:line="276" w:lineRule="auto"/>
        <w:ind w:left="709" w:hanging="709"/>
        <w:jc w:val="both"/>
        <w:rPr>
          <w:rFonts w:ascii="Palatino Linotype" w:hAnsi="Palatino Linotype"/>
          <w:bCs/>
        </w:rPr>
      </w:pPr>
      <w:r w:rsidRPr="009278B5">
        <w:rPr>
          <w:rFonts w:ascii="Palatino Linotype" w:hAnsi="Palatino Linotype"/>
          <w:b/>
          <w:bCs/>
        </w:rPr>
        <w:t>Que</w:t>
      </w:r>
      <w:r w:rsidRPr="009278B5">
        <w:rPr>
          <w:rFonts w:ascii="Palatino Linotype" w:hAnsi="Palatino Linotype"/>
          <w:bCs/>
        </w:rPr>
        <w:t xml:space="preserve">, </w:t>
      </w:r>
      <w:r w:rsidRPr="009278B5">
        <w:rPr>
          <w:rFonts w:ascii="Palatino Linotype" w:hAnsi="Palatino Linotype"/>
          <w:bCs/>
        </w:rPr>
        <w:tab/>
        <w:t xml:space="preserve">mediante Ordenanza Municipal No. </w:t>
      </w:r>
      <w:r w:rsidRPr="009278B5">
        <w:rPr>
          <w:rFonts w:ascii="Palatino Linotype" w:hAnsi="Palatino Linotype"/>
        </w:rPr>
        <w:t>0027, sancionada el 2 de marzo de 2011</w:t>
      </w:r>
      <w:r w:rsidRPr="009278B5">
        <w:rPr>
          <w:rFonts w:ascii="Palatino Linotype" w:hAnsi="Palatino Linotype"/>
          <w:bCs/>
        </w:rPr>
        <w:t>, se reconoce y aprueba la Urbanización de Interés Social de Desarrollo Progresivo a favor de la Cooperativa de Vivienda “Luchador Eloy Alfaro”</w:t>
      </w:r>
      <w:r w:rsidRPr="009278B5">
        <w:rPr>
          <w:rFonts w:ascii="Palatino Linotype" w:hAnsi="Palatino Linotype"/>
        </w:rPr>
        <w:t xml:space="preserve">; </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w:t>
      </w:r>
      <w:r w:rsidRPr="00091622">
        <w:rPr>
          <w:rFonts w:ascii="Palatino Linotype" w:hAnsi="Palatino Linotype"/>
          <w:bCs/>
          <w:sz w:val="22"/>
          <w:szCs w:val="22"/>
        </w:rPr>
        <w:lastRenderedPageBreak/>
        <w:t>aquellos asentamientos que cumplen las condiciones socioeconómicas, legales y físicas establecidas para el efecto;</w:t>
      </w:r>
    </w:p>
    <w:p w:rsidR="00A675DA" w:rsidRPr="00091622" w:rsidRDefault="00683507"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91622" w:rsidRDefault="00C83BE6"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B97C65" w:rsidRPr="009278B5">
        <w:rPr>
          <w:rFonts w:ascii="Palatino Linotype" w:hAnsi="Palatino Linotype"/>
          <w:sz w:val="22"/>
          <w:szCs w:val="22"/>
        </w:rPr>
        <w:t>la Mesa Institucional, reunida el 7 de diciembre de 2017</w:t>
      </w:r>
      <w:r w:rsidR="00B97C65">
        <w:rPr>
          <w:rFonts w:ascii="Palatino Linotype" w:hAnsi="Palatino Linotype"/>
          <w:sz w:val="22"/>
          <w:szCs w:val="22"/>
        </w:rPr>
        <w:t>,</w:t>
      </w:r>
      <w:r w:rsidR="00B97C65" w:rsidRPr="009278B5">
        <w:rPr>
          <w:rFonts w:ascii="Palatino Linotype" w:hAnsi="Palatino Linotype"/>
          <w:sz w:val="22"/>
          <w:szCs w:val="22"/>
        </w:rPr>
        <w:t xml:space="preserve"> en la Administración Zonal La Delicia, integrada por: Arq. Juan Carlos Echeverría, Coordinador UERB-AZLD; Ab. Lucia Jurado Orna, Responsable Legal UERB-AZLD; Gabriel Bedón Álvarez, Responsable Socio Organizativo UERB-AZLD; Ab. Fernanda Durán, Delegada de la AZLD; Ab. Karla Naranjo, Directora Jurídica AZLD;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Nº. 009-UERB-AZLD-SOLT-2017, de fecha 04 de diciembre de 2017, habilitante de la Ordenanza Reformatoria de la Ordenanza No. 0027, sancionada el 02 de marzo de 2011 de la Urbanización de Interés Social de Desarrollo Progresivo a favor de la Cooperativa de Vivienda “Luchador Eloy Alfaro”, del Asentamiento Humano de Hecho y Consolidado de Interés Social denominado Cooperativa de Vivienda “Luchador Eloy Alfaro” en liquidación, ubicado en la Parroquia Comité del Pueblo, a favor de sus socios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B51E8" w:rsidRPr="00091622" w:rsidRDefault="005B51E8" w:rsidP="00E4288C">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907ED5" w:rsidRPr="00B97C65" w:rsidRDefault="00495C11" w:rsidP="00B97C65">
      <w:pPr>
        <w:spacing w:after="120" w:line="276" w:lineRule="auto"/>
        <w:jc w:val="center"/>
        <w:rPr>
          <w:rFonts w:ascii="Palatino Linotype" w:hAnsi="Palatino Linotype"/>
          <w:b/>
          <w:sz w:val="22"/>
          <w:szCs w:val="22"/>
        </w:rPr>
      </w:pPr>
      <w:r w:rsidRPr="00091622">
        <w:rPr>
          <w:rFonts w:ascii="Palatino Linotype" w:hAnsi="Palatino Linotype"/>
          <w:b/>
          <w:bCs/>
          <w:sz w:val="22"/>
          <w:szCs w:val="22"/>
        </w:rPr>
        <w:t xml:space="preserve">ORDENANZA </w:t>
      </w:r>
      <w:r w:rsidR="00B97C65" w:rsidRPr="009278B5">
        <w:rPr>
          <w:rFonts w:ascii="Palatino Linotype" w:hAnsi="Palatino Linotype"/>
          <w:b/>
          <w:sz w:val="22"/>
          <w:szCs w:val="22"/>
        </w:rPr>
        <w:t>REFORMATORIA DE LA ORDENANZA No. 0027, SANCIONADA EL 2 DE MARZO DE 2011, DE LA URBANIZACIÓN DE INTERÉS SOCIAL DE DESARROLLO PROGRESIVO A FAVOR DE LA COOPERATIVA DE VIVIENDA “LUCHADOR ELOY ALFARO”</w:t>
      </w:r>
    </w:p>
    <w:p w:rsidR="00B97C65" w:rsidRPr="009278B5" w:rsidRDefault="00B97C65" w:rsidP="00B97C65">
      <w:pPr>
        <w:spacing w:after="120" w:line="276" w:lineRule="auto"/>
        <w:jc w:val="both"/>
        <w:rPr>
          <w:rFonts w:ascii="Palatino Linotype" w:hAnsi="Palatino Linotype"/>
          <w:bCs/>
          <w:sz w:val="22"/>
          <w:szCs w:val="22"/>
        </w:rPr>
      </w:pPr>
      <w:r w:rsidRPr="009278B5">
        <w:rPr>
          <w:rFonts w:ascii="Palatino Linotype" w:hAnsi="Palatino Linotype"/>
          <w:b/>
          <w:bCs/>
          <w:sz w:val="22"/>
          <w:szCs w:val="22"/>
        </w:rPr>
        <w:t xml:space="preserve">Artículo 1.- </w:t>
      </w:r>
      <w:r w:rsidRPr="009278B5">
        <w:rPr>
          <w:rFonts w:ascii="Palatino Linotype" w:hAnsi="Palatino Linotype"/>
          <w:bCs/>
          <w:sz w:val="22"/>
          <w:szCs w:val="22"/>
        </w:rPr>
        <w:t xml:space="preserve">Sustitúyase el título de la Ordenanza No. 0027, </w:t>
      </w:r>
      <w:r w:rsidRPr="009278B5">
        <w:rPr>
          <w:rFonts w:ascii="Palatino Linotype" w:hAnsi="Palatino Linotype"/>
          <w:sz w:val="22"/>
          <w:szCs w:val="22"/>
        </w:rPr>
        <w:t>sancionada el 2 de marzo de 2011</w:t>
      </w:r>
      <w:r w:rsidRPr="009278B5">
        <w:rPr>
          <w:rFonts w:ascii="Palatino Linotype" w:hAnsi="Palatino Linotype"/>
          <w:bCs/>
          <w:sz w:val="22"/>
          <w:szCs w:val="22"/>
        </w:rPr>
        <w:t xml:space="preserve">, por el siguiente: </w:t>
      </w:r>
      <w:r w:rsidRPr="009278B5">
        <w:rPr>
          <w:rFonts w:ascii="Palatino Linotype" w:hAnsi="Palatino Linotype"/>
          <w:bCs/>
          <w:i/>
          <w:sz w:val="22"/>
          <w:szCs w:val="22"/>
        </w:rPr>
        <w:t>“ORDENANZA QUE RECONOCE Y APRUEBA EL FRACCIONAMIENTO DE LOS PREDIOS N</w:t>
      </w:r>
      <w:r w:rsidR="00750082">
        <w:rPr>
          <w:rFonts w:ascii="Palatino Linotype" w:hAnsi="Palatino Linotype"/>
          <w:bCs/>
          <w:i/>
          <w:sz w:val="22"/>
          <w:szCs w:val="22"/>
        </w:rPr>
        <w:t>os.</w:t>
      </w:r>
      <w:r w:rsidRPr="009278B5">
        <w:rPr>
          <w:rFonts w:ascii="Palatino Linotype" w:hAnsi="Palatino Linotype"/>
          <w:bCs/>
          <w:i/>
          <w:sz w:val="22"/>
          <w:szCs w:val="22"/>
        </w:rPr>
        <w:t xml:space="preserve"> 567129</w:t>
      </w:r>
      <w:r w:rsidR="00750082">
        <w:rPr>
          <w:rFonts w:ascii="Palatino Linotype" w:hAnsi="Palatino Linotype"/>
          <w:bCs/>
          <w:i/>
          <w:sz w:val="22"/>
          <w:szCs w:val="22"/>
        </w:rPr>
        <w:t>,</w:t>
      </w:r>
      <w:r w:rsidRPr="009278B5">
        <w:rPr>
          <w:rFonts w:ascii="Palatino Linotype" w:hAnsi="Palatino Linotype"/>
          <w:bCs/>
          <w:i/>
          <w:sz w:val="22"/>
          <w:szCs w:val="22"/>
        </w:rPr>
        <w:t xml:space="preserve"> 566657</w:t>
      </w:r>
      <w:r w:rsidR="00750082">
        <w:rPr>
          <w:rFonts w:ascii="Palatino Linotype" w:hAnsi="Palatino Linotype"/>
          <w:bCs/>
          <w:i/>
          <w:sz w:val="22"/>
          <w:szCs w:val="22"/>
        </w:rPr>
        <w:t>,</w:t>
      </w:r>
      <w:r w:rsidRPr="009278B5">
        <w:rPr>
          <w:rFonts w:ascii="Palatino Linotype" w:hAnsi="Palatino Linotype"/>
          <w:bCs/>
          <w:i/>
          <w:sz w:val="22"/>
          <w:szCs w:val="22"/>
        </w:rPr>
        <w:t xml:space="preserve"> 567178</w:t>
      </w:r>
      <w:r w:rsidR="00750082">
        <w:rPr>
          <w:rFonts w:ascii="Palatino Linotype" w:hAnsi="Palatino Linotype"/>
          <w:bCs/>
          <w:i/>
          <w:sz w:val="22"/>
          <w:szCs w:val="22"/>
        </w:rPr>
        <w:t>,</w:t>
      </w:r>
      <w:r w:rsidRPr="009278B5">
        <w:rPr>
          <w:rFonts w:ascii="Palatino Linotype" w:hAnsi="Palatino Linotype"/>
          <w:bCs/>
          <w:i/>
          <w:sz w:val="22"/>
          <w:szCs w:val="22"/>
        </w:rPr>
        <w:t xml:space="preserve"> 567043</w:t>
      </w:r>
      <w:r w:rsidR="00750082">
        <w:rPr>
          <w:rFonts w:ascii="Palatino Linotype" w:hAnsi="Palatino Linotype"/>
          <w:bCs/>
          <w:i/>
          <w:sz w:val="22"/>
          <w:szCs w:val="22"/>
        </w:rPr>
        <w:t>,</w:t>
      </w:r>
      <w:r w:rsidRPr="009278B5">
        <w:rPr>
          <w:rFonts w:ascii="Palatino Linotype" w:hAnsi="Palatino Linotype"/>
          <w:bCs/>
          <w:i/>
          <w:sz w:val="22"/>
          <w:szCs w:val="22"/>
        </w:rPr>
        <w:t xml:space="preserve"> 567027</w:t>
      </w:r>
      <w:r w:rsidR="00750082">
        <w:rPr>
          <w:rFonts w:ascii="Palatino Linotype" w:hAnsi="Palatino Linotype"/>
          <w:bCs/>
          <w:i/>
          <w:sz w:val="22"/>
          <w:szCs w:val="22"/>
        </w:rPr>
        <w:t>,</w:t>
      </w:r>
      <w:r w:rsidRPr="009278B5">
        <w:rPr>
          <w:rFonts w:ascii="Palatino Linotype" w:hAnsi="Palatino Linotype"/>
          <w:bCs/>
          <w:i/>
          <w:sz w:val="22"/>
          <w:szCs w:val="22"/>
        </w:rPr>
        <w:t xml:space="preserve"> </w:t>
      </w:r>
      <w:r w:rsidR="00750082">
        <w:rPr>
          <w:rFonts w:ascii="Palatino Linotype" w:hAnsi="Palatino Linotype"/>
          <w:bCs/>
          <w:i/>
          <w:sz w:val="22"/>
          <w:szCs w:val="22"/>
        </w:rPr>
        <w:lastRenderedPageBreak/>
        <w:t>566828 Y</w:t>
      </w:r>
      <w:r w:rsidRPr="009278B5">
        <w:rPr>
          <w:rFonts w:ascii="Palatino Linotype" w:hAnsi="Palatino Linotype"/>
          <w:bCs/>
          <w:i/>
          <w:sz w:val="22"/>
          <w:szCs w:val="22"/>
        </w:rPr>
        <w:t xml:space="preserve"> 567392</w:t>
      </w:r>
      <w:r w:rsidR="00750082">
        <w:rPr>
          <w:rFonts w:ascii="Palatino Linotype" w:hAnsi="Palatino Linotype"/>
          <w:bCs/>
          <w:i/>
          <w:sz w:val="22"/>
          <w:szCs w:val="22"/>
        </w:rPr>
        <w:t>,</w:t>
      </w:r>
      <w:r w:rsidRPr="009278B5">
        <w:rPr>
          <w:rFonts w:ascii="Palatino Linotype" w:hAnsi="Palatino Linotype"/>
          <w:bCs/>
          <w:i/>
          <w:sz w:val="22"/>
          <w:szCs w:val="22"/>
        </w:rPr>
        <w:t xml:space="preserve"> SOBRE LOS QUE SE ENCUENTRA EL ASENTAMIENTO HUMANO DE HECHO Y CONSOLIDADO DE INTERÉS SOCIAL DENOMINADO COOPERATIVA DE VIVIENDA “LUCHADOR ELOY ALFARO” EN LIQUIDACIÓN, A FAVOR DE SUS SOCIOS”.</w:t>
      </w:r>
    </w:p>
    <w:p w:rsidR="00B97C65" w:rsidRPr="009278B5" w:rsidRDefault="00B97C65" w:rsidP="00B97C65">
      <w:pPr>
        <w:spacing w:after="120" w:line="276" w:lineRule="auto"/>
        <w:jc w:val="both"/>
        <w:rPr>
          <w:rFonts w:ascii="Palatino Linotype" w:hAnsi="Palatino Linotype"/>
          <w:sz w:val="22"/>
          <w:szCs w:val="22"/>
        </w:rPr>
      </w:pPr>
      <w:r w:rsidRPr="009278B5">
        <w:rPr>
          <w:rFonts w:ascii="Palatino Linotype" w:hAnsi="Palatino Linotype"/>
          <w:b/>
          <w:bCs/>
          <w:sz w:val="22"/>
          <w:szCs w:val="22"/>
        </w:rPr>
        <w:t xml:space="preserve">Artículo 2.-  </w:t>
      </w:r>
      <w:r w:rsidRPr="009278B5">
        <w:rPr>
          <w:rFonts w:ascii="Palatino Linotype" w:hAnsi="Palatino Linotype"/>
          <w:bCs/>
          <w:sz w:val="22"/>
          <w:szCs w:val="22"/>
        </w:rPr>
        <w:t>Sustitúyase el artículo 1 de la Ordenanza No. 0027, sancionada el 2 de marzo de 2011</w:t>
      </w:r>
      <w:r w:rsidRPr="009278B5">
        <w:rPr>
          <w:rFonts w:ascii="Palatino Linotype" w:hAnsi="Palatino Linotype"/>
          <w:sz w:val="22"/>
          <w:szCs w:val="22"/>
        </w:rPr>
        <w:t xml:space="preserve">, por el siguiente: </w:t>
      </w:r>
    </w:p>
    <w:p w:rsidR="00B97C65" w:rsidRPr="009278B5" w:rsidRDefault="00B97C65" w:rsidP="00B97C65">
      <w:pPr>
        <w:spacing w:after="120" w:line="276" w:lineRule="auto"/>
        <w:ind w:left="708"/>
        <w:jc w:val="both"/>
        <w:rPr>
          <w:rFonts w:ascii="Palatino Linotype" w:hAnsi="Palatino Linotype"/>
          <w:i/>
          <w:sz w:val="22"/>
          <w:szCs w:val="22"/>
        </w:rPr>
      </w:pPr>
      <w:r w:rsidRPr="009278B5">
        <w:rPr>
          <w:rFonts w:ascii="Palatino Linotype" w:hAnsi="Palatino Linotype"/>
          <w:b/>
          <w:bCs/>
          <w:i/>
          <w:sz w:val="22"/>
          <w:szCs w:val="22"/>
        </w:rPr>
        <w:t>“Artículo 1.- De los planos y documentos presentados.-</w:t>
      </w:r>
      <w:r w:rsidRPr="009278B5">
        <w:rPr>
          <w:rFonts w:ascii="Palatino Linotype" w:hAnsi="Palatino Linotype"/>
          <w:i/>
          <w:sz w:val="22"/>
          <w:szCs w:val="22"/>
        </w:rPr>
        <w:t xml:space="preserve">“Los planos y documentos presentados son de exclusiva responsabilidad del proyectista y de los socios del Asentamiento Humano de Hecho y Consolidado de Interés Social denominado </w:t>
      </w:r>
      <w:r w:rsidRPr="009278B5">
        <w:rPr>
          <w:rFonts w:ascii="Palatino Linotype" w:hAnsi="Palatino Linotype"/>
          <w:bCs/>
          <w:i/>
          <w:sz w:val="22"/>
          <w:szCs w:val="22"/>
        </w:rPr>
        <w:t>Cooperativa de Vivienda “Luchador Eloy Alfaro” en Liquidación</w:t>
      </w:r>
      <w:r w:rsidRPr="009278B5">
        <w:rPr>
          <w:rFonts w:ascii="Palatino Linotype" w:hAnsi="Palatino Linotype"/>
          <w:i/>
          <w:sz w:val="22"/>
          <w:szCs w:val="22"/>
        </w:rPr>
        <w:t>, ubicado en la P</w:t>
      </w:r>
      <w:r w:rsidR="00750082">
        <w:rPr>
          <w:rFonts w:ascii="Palatino Linotype" w:hAnsi="Palatino Linotype"/>
          <w:i/>
          <w:sz w:val="22"/>
          <w:szCs w:val="22"/>
        </w:rPr>
        <w:t xml:space="preserve">arroquia </w:t>
      </w:r>
      <w:r w:rsidR="00750082" w:rsidRPr="009278B5">
        <w:rPr>
          <w:rFonts w:ascii="Palatino Linotype" w:hAnsi="Palatino Linotype"/>
          <w:i/>
          <w:sz w:val="22"/>
          <w:szCs w:val="22"/>
        </w:rPr>
        <w:t>Comité del Pueblo</w:t>
      </w:r>
      <w:r w:rsidR="00750082">
        <w:rPr>
          <w:rFonts w:ascii="Palatino Linotype" w:hAnsi="Palatino Linotype"/>
          <w:i/>
          <w:sz w:val="22"/>
          <w:szCs w:val="22"/>
        </w:rPr>
        <w:t xml:space="preserve"> (antes Cotocollao)</w:t>
      </w:r>
      <w:r w:rsidRPr="009278B5">
        <w:rPr>
          <w:rFonts w:ascii="Palatino Linotype" w:hAnsi="Palatino Linotype"/>
          <w:i/>
          <w:sz w:val="22"/>
          <w:szCs w:val="22"/>
        </w:rPr>
        <w:t xml:space="preserve">, </w:t>
      </w:r>
      <w:r w:rsidRPr="009278B5">
        <w:rPr>
          <w:rFonts w:ascii="Palatino Linotype" w:hAnsi="Palatino Linotype"/>
          <w:bCs/>
          <w:i/>
          <w:sz w:val="22"/>
          <w:szCs w:val="22"/>
        </w:rPr>
        <w:t xml:space="preserve">sin </w:t>
      </w:r>
      <w:r w:rsidRPr="009278B5">
        <w:rPr>
          <w:rFonts w:ascii="Palatino Linotype" w:hAnsi="Palatino Linotype"/>
          <w:i/>
          <w:sz w:val="22"/>
          <w:szCs w:val="22"/>
        </w:rPr>
        <w:t>perjuicio de la responsabilidad de quienes revisaron los planos y los documentos legales, excepto que hayan sido inducidos a engaño.</w:t>
      </w:r>
    </w:p>
    <w:p w:rsidR="00B97C65" w:rsidRPr="009278B5" w:rsidRDefault="00B97C65" w:rsidP="00B97C65">
      <w:pPr>
        <w:spacing w:after="120" w:line="276" w:lineRule="auto"/>
        <w:ind w:left="708"/>
        <w:jc w:val="both"/>
        <w:rPr>
          <w:rFonts w:ascii="Palatino Linotype" w:hAnsi="Palatino Linotype"/>
          <w:i/>
          <w:sz w:val="22"/>
          <w:szCs w:val="22"/>
        </w:rPr>
      </w:pPr>
      <w:r w:rsidRPr="009278B5">
        <w:rPr>
          <w:rFonts w:ascii="Palatino Linotype" w:hAnsi="Palatino Linotype"/>
          <w:i/>
          <w:sz w:val="22"/>
          <w:szCs w:val="22"/>
        </w:rPr>
        <w:t>En caso de comprobarse ocultación o falsedad en planos, datos, documentos, o de existir reclamos de terceros afectados, será de exclusiva responsabilidad del técnico y de los copropietarios del predio.</w:t>
      </w:r>
    </w:p>
    <w:p w:rsidR="00B97C65" w:rsidRPr="009278B5" w:rsidRDefault="00B97C65" w:rsidP="00B97C65">
      <w:pPr>
        <w:spacing w:after="120" w:line="276" w:lineRule="auto"/>
        <w:ind w:left="708"/>
        <w:jc w:val="both"/>
        <w:rPr>
          <w:rFonts w:ascii="Palatino Linotype" w:hAnsi="Palatino Linotype"/>
          <w:i/>
          <w:sz w:val="22"/>
          <w:szCs w:val="22"/>
        </w:rPr>
      </w:pPr>
      <w:r w:rsidRPr="009278B5">
        <w:rPr>
          <w:rFonts w:ascii="Palatino Linotype" w:hAnsi="Palatino Linotype"/>
          <w:i/>
          <w:sz w:val="22"/>
          <w:szCs w:val="22"/>
        </w:rPr>
        <w:t xml:space="preserve">Las dimensiones y superficies de los lotes, son las determinadas en el plano aprobatorio que forma parte integrante de </w:t>
      </w:r>
      <w:r>
        <w:rPr>
          <w:rFonts w:ascii="Palatino Linotype" w:hAnsi="Palatino Linotype"/>
          <w:i/>
          <w:sz w:val="22"/>
          <w:szCs w:val="22"/>
        </w:rPr>
        <w:t>esta o</w:t>
      </w:r>
      <w:r w:rsidRPr="009278B5">
        <w:rPr>
          <w:rFonts w:ascii="Palatino Linotype" w:hAnsi="Palatino Linotype"/>
          <w:i/>
          <w:sz w:val="22"/>
          <w:szCs w:val="22"/>
        </w:rPr>
        <w:t xml:space="preserve">rdenanza. </w:t>
      </w:r>
    </w:p>
    <w:p w:rsidR="00B97C65" w:rsidRPr="009278B5" w:rsidRDefault="00B97C65" w:rsidP="00B97C65">
      <w:pPr>
        <w:spacing w:after="120" w:line="276" w:lineRule="auto"/>
        <w:ind w:left="708"/>
        <w:jc w:val="both"/>
        <w:rPr>
          <w:rFonts w:ascii="Palatino Linotype" w:hAnsi="Palatino Linotype"/>
          <w:i/>
          <w:sz w:val="22"/>
          <w:szCs w:val="22"/>
        </w:rPr>
      </w:pPr>
      <w:r w:rsidRPr="009278B5">
        <w:rPr>
          <w:rFonts w:ascii="Palatino Linotype" w:hAnsi="Palatino Linotype"/>
          <w:i/>
          <w:sz w:val="22"/>
          <w:szCs w:val="22"/>
        </w:rPr>
        <w:t xml:space="preserve">Los socios del Asentamiento Humano de Hecho y Consolidado de Interés Social denominado </w:t>
      </w:r>
      <w:r w:rsidRPr="009278B5">
        <w:rPr>
          <w:rFonts w:ascii="Palatino Linotype" w:hAnsi="Palatino Linotype"/>
          <w:bCs/>
          <w:i/>
          <w:sz w:val="22"/>
          <w:szCs w:val="22"/>
        </w:rPr>
        <w:t>Cooperativa de Vivienda “Luchador Eloy Alfaro” en Liquidación</w:t>
      </w:r>
      <w:r w:rsidRPr="009278B5">
        <w:rPr>
          <w:rFonts w:ascii="Palatino Linotype" w:hAnsi="Palatino Linotype"/>
          <w:i/>
          <w:sz w:val="22"/>
          <w:szCs w:val="22"/>
        </w:rPr>
        <w:t xml:space="preserve">, se comprometen a respetar las características de los lotes establecidas en el Plano y en este instrumento; por tanto, no podrán fraccionarlos o dividirlos. </w:t>
      </w:r>
    </w:p>
    <w:p w:rsidR="00B97C65" w:rsidRPr="009278B5" w:rsidRDefault="00B97C65" w:rsidP="00B97C65">
      <w:pPr>
        <w:spacing w:after="120" w:line="276" w:lineRule="auto"/>
        <w:ind w:left="708"/>
        <w:jc w:val="both"/>
        <w:rPr>
          <w:rFonts w:ascii="Palatino Linotype" w:hAnsi="Palatino Linotype"/>
          <w:i/>
          <w:sz w:val="22"/>
          <w:szCs w:val="22"/>
        </w:rPr>
      </w:pPr>
      <w:r w:rsidRPr="009278B5">
        <w:rPr>
          <w:rFonts w:ascii="Palatino Linotype" w:hAnsi="Palatino Linotype"/>
          <w:i/>
          <w:sz w:val="22"/>
          <w:szCs w:val="22"/>
        </w:rPr>
        <w:t xml:space="preserve">El incumplimiento de los dispuesto en la presente </w:t>
      </w:r>
      <w:r>
        <w:rPr>
          <w:rFonts w:ascii="Palatino Linotype" w:hAnsi="Palatino Linotype"/>
          <w:i/>
          <w:sz w:val="22"/>
          <w:szCs w:val="22"/>
        </w:rPr>
        <w:t>o</w:t>
      </w:r>
      <w:r w:rsidRPr="009278B5">
        <w:rPr>
          <w:rFonts w:ascii="Palatino Linotype" w:hAnsi="Palatino Linotype"/>
          <w:i/>
          <w:sz w:val="22"/>
          <w:szCs w:val="22"/>
        </w:rPr>
        <w:t>rdenanza y en la normativa metropolitana nacional vigente al respecto, dará lugar a la imposición de las sanciones correspondientes.</w:t>
      </w:r>
    </w:p>
    <w:p w:rsidR="00B97C65" w:rsidRPr="009278B5" w:rsidRDefault="00B97C65" w:rsidP="00B97C65">
      <w:pPr>
        <w:spacing w:after="120" w:line="276" w:lineRule="auto"/>
        <w:ind w:left="708"/>
        <w:jc w:val="both"/>
        <w:rPr>
          <w:rFonts w:ascii="Palatino Linotype" w:hAnsi="Palatino Linotype"/>
          <w:i/>
          <w:sz w:val="22"/>
          <w:szCs w:val="22"/>
        </w:rPr>
      </w:pPr>
      <w:r w:rsidRPr="009278B5">
        <w:rPr>
          <w:rFonts w:ascii="Palatino Linotype" w:hAnsi="Palatino Linotype"/>
          <w:i/>
          <w:sz w:val="22"/>
          <w:szCs w:val="22"/>
        </w:rPr>
        <w:t xml:space="preserve">Por las condiciones del asentamiento humano de hecho y consolidado, se lo aprueba considerándolo de </w:t>
      </w:r>
      <w:r w:rsidRPr="009278B5">
        <w:rPr>
          <w:rFonts w:ascii="Palatino Linotype" w:hAnsi="Palatino Linotype"/>
          <w:i/>
          <w:sz w:val="22"/>
          <w:szCs w:val="22"/>
        </w:rPr>
        <w:t>interés social</w:t>
      </w:r>
      <w:r w:rsidRPr="009278B5">
        <w:rPr>
          <w:rFonts w:ascii="Palatino Linotype" w:hAnsi="Palatino Linotype"/>
          <w:i/>
          <w:sz w:val="22"/>
          <w:szCs w:val="22"/>
        </w:rPr>
        <w:t>.”</w:t>
      </w:r>
    </w:p>
    <w:p w:rsidR="00B97C65" w:rsidRPr="009278B5" w:rsidRDefault="00B97C65" w:rsidP="00B97C65">
      <w:pPr>
        <w:spacing w:after="120" w:line="276" w:lineRule="auto"/>
        <w:jc w:val="both"/>
        <w:rPr>
          <w:rFonts w:ascii="Palatino Linotype" w:hAnsi="Palatino Linotype"/>
          <w:bCs/>
          <w:sz w:val="22"/>
          <w:szCs w:val="22"/>
        </w:rPr>
      </w:pPr>
      <w:r w:rsidRPr="009278B5">
        <w:rPr>
          <w:rFonts w:ascii="Palatino Linotype" w:hAnsi="Palatino Linotype"/>
          <w:b/>
          <w:bCs/>
          <w:sz w:val="22"/>
          <w:szCs w:val="22"/>
        </w:rPr>
        <w:t>Artículo 3.-</w:t>
      </w:r>
      <w:r w:rsidR="00750082">
        <w:rPr>
          <w:rFonts w:ascii="Palatino Linotype" w:hAnsi="Palatino Linotype"/>
          <w:b/>
          <w:bCs/>
          <w:sz w:val="22"/>
          <w:szCs w:val="22"/>
        </w:rPr>
        <w:t xml:space="preserve"> </w:t>
      </w:r>
      <w:r w:rsidRPr="009278B5">
        <w:rPr>
          <w:rFonts w:ascii="Palatino Linotype" w:hAnsi="Palatino Linotype"/>
          <w:bCs/>
          <w:sz w:val="22"/>
          <w:szCs w:val="22"/>
        </w:rPr>
        <w:t xml:space="preserve">Sustitúyase el artículo 2 de la Ordenanza No. 0027, sancionada el 02 de marzo de 2011, por el siguiente: </w:t>
      </w:r>
    </w:p>
    <w:p w:rsidR="00B97C65" w:rsidRPr="009278B5" w:rsidRDefault="00B97C65" w:rsidP="00B97C65">
      <w:pPr>
        <w:spacing w:after="120" w:line="276" w:lineRule="auto"/>
        <w:ind w:firstLine="708"/>
        <w:jc w:val="both"/>
        <w:rPr>
          <w:rFonts w:ascii="Palatino Linotype" w:hAnsi="Palatino Linotype"/>
          <w:b/>
          <w:bCs/>
          <w:i/>
          <w:sz w:val="22"/>
          <w:szCs w:val="22"/>
        </w:rPr>
      </w:pPr>
      <w:r w:rsidRPr="009278B5">
        <w:rPr>
          <w:rFonts w:ascii="Palatino Linotype" w:hAnsi="Palatino Linotype"/>
          <w:b/>
          <w:bCs/>
          <w:i/>
          <w:sz w:val="22"/>
          <w:szCs w:val="22"/>
        </w:rPr>
        <w:t>“Artículo 2.- Especificaciones técnicas.-</w:t>
      </w:r>
    </w:p>
    <w:tbl>
      <w:tblPr>
        <w:tblStyle w:val="Tablaconcuadrcula"/>
        <w:tblW w:w="8222" w:type="dxa"/>
        <w:jc w:val="center"/>
        <w:tblLayout w:type="fixed"/>
        <w:tblLook w:val="04A0" w:firstRow="1" w:lastRow="0" w:firstColumn="1" w:lastColumn="0" w:noHBand="0" w:noVBand="1"/>
      </w:tblPr>
      <w:tblGrid>
        <w:gridCol w:w="988"/>
        <w:gridCol w:w="141"/>
        <w:gridCol w:w="1418"/>
        <w:gridCol w:w="992"/>
        <w:gridCol w:w="1276"/>
        <w:gridCol w:w="147"/>
        <w:gridCol w:w="1412"/>
        <w:gridCol w:w="1706"/>
        <w:gridCol w:w="142"/>
      </w:tblGrid>
      <w:tr w:rsidR="00B97C65" w:rsidRPr="009278B5" w:rsidTr="00B97C65">
        <w:trPr>
          <w:jc w:val="center"/>
        </w:trPr>
        <w:tc>
          <w:tcPr>
            <w:tcW w:w="98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Predio</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Zonificación actual</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Lote mínimo</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Forma ocupación del suelo</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Uso principal</w:t>
            </w:r>
          </w:p>
        </w:tc>
        <w:tc>
          <w:tcPr>
            <w:tcW w:w="1843"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Clasificación del Suelo</w:t>
            </w:r>
          </w:p>
        </w:tc>
      </w:tr>
      <w:tr w:rsidR="00B97C65" w:rsidRPr="009278B5" w:rsidTr="00B97C65">
        <w:trPr>
          <w:jc w:val="center"/>
        </w:trPr>
        <w:tc>
          <w:tcPr>
            <w:tcW w:w="1129" w:type="dxa"/>
            <w:gridSpan w:val="2"/>
          </w:tcPr>
          <w:p w:rsidR="00B97C65" w:rsidRPr="00B97C65" w:rsidRDefault="00B97C65" w:rsidP="00B97C65">
            <w:pPr>
              <w:spacing w:after="120" w:line="276" w:lineRule="auto"/>
              <w:jc w:val="both"/>
              <w:rPr>
                <w:rFonts w:ascii="Palatino Linotype" w:hAnsi="Palatino Linotype"/>
                <w:i/>
                <w:sz w:val="22"/>
                <w:szCs w:val="22"/>
              </w:rPr>
            </w:pPr>
            <w:r w:rsidRPr="00B97C65">
              <w:rPr>
                <w:rFonts w:ascii="Palatino Linotype" w:hAnsi="Palatino Linotype"/>
                <w:i/>
                <w:color w:val="000000"/>
                <w:sz w:val="22"/>
                <w:szCs w:val="22"/>
                <w:shd w:val="clear" w:color="auto" w:fill="FFFFFF"/>
              </w:rPr>
              <w:lastRenderedPageBreak/>
              <w:t>567129</w:t>
            </w:r>
          </w:p>
        </w:tc>
        <w:tc>
          <w:tcPr>
            <w:tcW w:w="141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D3(D203-80)</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200</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(D) sobre línea de fábrica  </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(RU3) Residencial Urbano 3 </w:t>
            </w:r>
          </w:p>
        </w:tc>
        <w:tc>
          <w:tcPr>
            <w:tcW w:w="1843"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(SU) Suelo Urbano</w:t>
            </w:r>
          </w:p>
        </w:tc>
      </w:tr>
      <w:tr w:rsidR="00B97C65" w:rsidRPr="009278B5" w:rsidTr="00B97C65">
        <w:trPr>
          <w:jc w:val="center"/>
        </w:trPr>
        <w:tc>
          <w:tcPr>
            <w:tcW w:w="1129" w:type="dxa"/>
            <w:gridSpan w:val="2"/>
          </w:tcPr>
          <w:p w:rsidR="00B97C65" w:rsidRPr="00B97C65" w:rsidRDefault="00B97C65" w:rsidP="00B97C65">
            <w:pPr>
              <w:spacing w:after="120" w:line="276" w:lineRule="auto"/>
              <w:jc w:val="both"/>
              <w:rPr>
                <w:rFonts w:ascii="Palatino Linotype" w:hAnsi="Palatino Linotype"/>
                <w:i/>
                <w:sz w:val="22"/>
                <w:szCs w:val="22"/>
              </w:rPr>
            </w:pPr>
            <w:r w:rsidRPr="00B97C65">
              <w:rPr>
                <w:rFonts w:ascii="Palatino Linotype" w:hAnsi="Palatino Linotype"/>
                <w:i/>
                <w:sz w:val="22"/>
                <w:szCs w:val="22"/>
              </w:rPr>
              <w:t>566657</w:t>
            </w:r>
          </w:p>
        </w:tc>
        <w:tc>
          <w:tcPr>
            <w:tcW w:w="141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D3(D203-80)</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200</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(D) sobre línea de fábrica  </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(RU3) Residencial Urbano 3 </w:t>
            </w:r>
          </w:p>
        </w:tc>
        <w:tc>
          <w:tcPr>
            <w:tcW w:w="1843"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(SU) Suelo Urbano</w:t>
            </w:r>
          </w:p>
        </w:tc>
      </w:tr>
      <w:tr w:rsidR="00B97C65" w:rsidRPr="009278B5" w:rsidTr="00B97C65">
        <w:trPr>
          <w:jc w:val="center"/>
        </w:trPr>
        <w:tc>
          <w:tcPr>
            <w:tcW w:w="1129" w:type="dxa"/>
            <w:gridSpan w:val="2"/>
          </w:tcPr>
          <w:p w:rsidR="00B97C65" w:rsidRPr="00B97C65" w:rsidRDefault="00B97C65" w:rsidP="00B97C65">
            <w:pPr>
              <w:spacing w:after="120" w:line="276" w:lineRule="auto"/>
              <w:jc w:val="both"/>
              <w:rPr>
                <w:rFonts w:ascii="Palatino Linotype" w:hAnsi="Palatino Linotype"/>
                <w:i/>
                <w:sz w:val="22"/>
                <w:szCs w:val="22"/>
              </w:rPr>
            </w:pPr>
            <w:r w:rsidRPr="00B97C65">
              <w:rPr>
                <w:rFonts w:ascii="Palatino Linotype" w:hAnsi="Palatino Linotype"/>
                <w:i/>
                <w:sz w:val="22"/>
                <w:szCs w:val="22"/>
              </w:rPr>
              <w:t>567178</w:t>
            </w:r>
          </w:p>
        </w:tc>
        <w:tc>
          <w:tcPr>
            <w:tcW w:w="141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D3(D203-80)</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200</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(D) sobre línea de fábrica  </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(RU3) Residencial Urbano 3 </w:t>
            </w:r>
          </w:p>
        </w:tc>
        <w:tc>
          <w:tcPr>
            <w:tcW w:w="1843" w:type="dxa"/>
            <w:gridSpan w:val="2"/>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i/>
                <w:sz w:val="22"/>
                <w:szCs w:val="22"/>
              </w:rPr>
              <w:t>(SU) Suelo Urbano</w:t>
            </w:r>
          </w:p>
          <w:p w:rsidR="00B97C65" w:rsidRPr="009278B5" w:rsidRDefault="00B97C65" w:rsidP="00B97C65">
            <w:pPr>
              <w:spacing w:after="120" w:line="276" w:lineRule="auto"/>
              <w:jc w:val="both"/>
              <w:rPr>
                <w:rFonts w:ascii="Palatino Linotype" w:hAnsi="Palatino Linotype"/>
                <w:i/>
                <w:sz w:val="22"/>
                <w:szCs w:val="22"/>
              </w:rPr>
            </w:pPr>
          </w:p>
          <w:p w:rsidR="00B97C65" w:rsidRPr="009278B5" w:rsidRDefault="00B97C65" w:rsidP="00B97C65">
            <w:pPr>
              <w:spacing w:after="120" w:line="276" w:lineRule="auto"/>
              <w:jc w:val="both"/>
              <w:rPr>
                <w:rFonts w:ascii="Palatino Linotype" w:hAnsi="Palatino Linotype"/>
                <w:b/>
                <w:i/>
                <w:sz w:val="22"/>
                <w:szCs w:val="22"/>
              </w:rPr>
            </w:pPr>
          </w:p>
        </w:tc>
      </w:tr>
      <w:tr w:rsidR="00B97C65" w:rsidRPr="009278B5" w:rsidTr="00B97C65">
        <w:trPr>
          <w:jc w:val="center"/>
        </w:trPr>
        <w:tc>
          <w:tcPr>
            <w:tcW w:w="1129" w:type="dxa"/>
            <w:gridSpan w:val="2"/>
          </w:tcPr>
          <w:p w:rsidR="00B97C65" w:rsidRPr="00B97C65" w:rsidRDefault="00B97C65" w:rsidP="00B97C65">
            <w:pPr>
              <w:spacing w:after="120" w:line="276" w:lineRule="auto"/>
              <w:jc w:val="both"/>
              <w:rPr>
                <w:rFonts w:ascii="Palatino Linotype" w:hAnsi="Palatino Linotype"/>
                <w:i/>
                <w:sz w:val="22"/>
                <w:szCs w:val="22"/>
              </w:rPr>
            </w:pPr>
            <w:r w:rsidRPr="00B97C65">
              <w:rPr>
                <w:rFonts w:ascii="Palatino Linotype" w:hAnsi="Palatino Linotype"/>
                <w:i/>
                <w:sz w:val="22"/>
                <w:szCs w:val="22"/>
              </w:rPr>
              <w:t>567043</w:t>
            </w:r>
          </w:p>
        </w:tc>
        <w:tc>
          <w:tcPr>
            <w:tcW w:w="141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D3(D203-80)</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200</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(D) sobre línea de fábrica  </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(RU3) Residencial Urbano 3 </w:t>
            </w:r>
          </w:p>
        </w:tc>
        <w:tc>
          <w:tcPr>
            <w:tcW w:w="1843"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(SU) Suelo Urbano</w:t>
            </w:r>
          </w:p>
        </w:tc>
      </w:tr>
      <w:tr w:rsidR="00B97C65" w:rsidRPr="009278B5" w:rsidTr="00B97C65">
        <w:trPr>
          <w:jc w:val="center"/>
        </w:trPr>
        <w:tc>
          <w:tcPr>
            <w:tcW w:w="1129" w:type="dxa"/>
            <w:gridSpan w:val="2"/>
          </w:tcPr>
          <w:p w:rsidR="00B97C65" w:rsidRPr="00B97C65" w:rsidRDefault="00B97C65" w:rsidP="00B97C65">
            <w:pPr>
              <w:spacing w:after="120" w:line="276" w:lineRule="auto"/>
              <w:jc w:val="both"/>
              <w:rPr>
                <w:rFonts w:ascii="Palatino Linotype" w:hAnsi="Palatino Linotype"/>
                <w:i/>
                <w:sz w:val="22"/>
                <w:szCs w:val="22"/>
              </w:rPr>
            </w:pPr>
            <w:r w:rsidRPr="00B97C65">
              <w:rPr>
                <w:rFonts w:ascii="Palatino Linotype" w:hAnsi="Palatino Linotype"/>
                <w:i/>
                <w:sz w:val="22"/>
                <w:szCs w:val="22"/>
              </w:rPr>
              <w:t>567027</w:t>
            </w:r>
          </w:p>
        </w:tc>
        <w:tc>
          <w:tcPr>
            <w:tcW w:w="141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D3(D203-80)</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200</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(D) sobre línea de fábrica  </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(RU3) Residencial Urbano 3 </w:t>
            </w:r>
          </w:p>
        </w:tc>
        <w:tc>
          <w:tcPr>
            <w:tcW w:w="1843"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(SU) Suelo Urbano</w:t>
            </w:r>
          </w:p>
        </w:tc>
      </w:tr>
      <w:tr w:rsidR="00B97C65" w:rsidRPr="009278B5" w:rsidTr="00B97C65">
        <w:trPr>
          <w:jc w:val="center"/>
        </w:trPr>
        <w:tc>
          <w:tcPr>
            <w:tcW w:w="1129" w:type="dxa"/>
            <w:gridSpan w:val="2"/>
          </w:tcPr>
          <w:p w:rsidR="00B97C65" w:rsidRPr="00B97C65" w:rsidRDefault="00B97C65" w:rsidP="00B97C65">
            <w:pPr>
              <w:spacing w:after="120" w:line="276" w:lineRule="auto"/>
              <w:jc w:val="both"/>
              <w:rPr>
                <w:rFonts w:ascii="Palatino Linotype" w:hAnsi="Palatino Linotype"/>
                <w:i/>
                <w:sz w:val="22"/>
                <w:szCs w:val="22"/>
              </w:rPr>
            </w:pPr>
            <w:r w:rsidRPr="00B97C65">
              <w:rPr>
                <w:rFonts w:ascii="Palatino Linotype" w:hAnsi="Palatino Linotype"/>
                <w:i/>
                <w:sz w:val="22"/>
                <w:szCs w:val="22"/>
              </w:rPr>
              <w:t>566828</w:t>
            </w:r>
          </w:p>
        </w:tc>
        <w:tc>
          <w:tcPr>
            <w:tcW w:w="141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D3(D203-80)</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200</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(D) sobre línea de fábrica  </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(RU3) Residencial Urbano 3 </w:t>
            </w:r>
          </w:p>
        </w:tc>
        <w:tc>
          <w:tcPr>
            <w:tcW w:w="1843"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(SU) Suelo Urbano</w:t>
            </w:r>
          </w:p>
        </w:tc>
      </w:tr>
      <w:tr w:rsidR="00B97C65" w:rsidRPr="009278B5" w:rsidTr="00B97C65">
        <w:trPr>
          <w:jc w:val="center"/>
        </w:trPr>
        <w:tc>
          <w:tcPr>
            <w:tcW w:w="1129" w:type="dxa"/>
            <w:gridSpan w:val="2"/>
          </w:tcPr>
          <w:p w:rsidR="00B97C65" w:rsidRPr="00B97C65" w:rsidRDefault="00B97C65" w:rsidP="00B97C65">
            <w:pPr>
              <w:spacing w:after="120" w:line="276" w:lineRule="auto"/>
              <w:jc w:val="both"/>
              <w:rPr>
                <w:rFonts w:ascii="Palatino Linotype" w:hAnsi="Palatino Linotype"/>
                <w:i/>
                <w:sz w:val="22"/>
                <w:szCs w:val="22"/>
              </w:rPr>
            </w:pPr>
            <w:r w:rsidRPr="00B97C65">
              <w:rPr>
                <w:rFonts w:ascii="Palatino Linotype" w:hAnsi="Palatino Linotype"/>
                <w:i/>
                <w:sz w:val="22"/>
                <w:szCs w:val="22"/>
              </w:rPr>
              <w:t>567392</w:t>
            </w:r>
          </w:p>
        </w:tc>
        <w:tc>
          <w:tcPr>
            <w:tcW w:w="1418"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D3(D203-80)</w:t>
            </w:r>
          </w:p>
        </w:tc>
        <w:tc>
          <w:tcPr>
            <w:tcW w:w="992"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200</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c>
          <w:tcPr>
            <w:tcW w:w="1276" w:type="dxa"/>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(D) sobre línea de fábrica  </w:t>
            </w:r>
          </w:p>
        </w:tc>
        <w:tc>
          <w:tcPr>
            <w:tcW w:w="1559"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 xml:space="preserve">(RU3) Residencial Urbano 3 </w:t>
            </w:r>
          </w:p>
        </w:tc>
        <w:tc>
          <w:tcPr>
            <w:tcW w:w="1843" w:type="dxa"/>
            <w:gridSpan w:val="2"/>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(SU) Suelo Urbano</w:t>
            </w:r>
          </w:p>
        </w:tc>
      </w:tr>
      <w:tr w:rsidR="00B97C65" w:rsidRPr="009278B5" w:rsidTr="00B97C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6"/>
            <w:vAlign w:val="bottom"/>
          </w:tcPr>
          <w:p w:rsidR="00B97C65" w:rsidRDefault="00B97C65" w:rsidP="00B97C65">
            <w:pPr>
              <w:spacing w:after="120" w:line="276" w:lineRule="auto"/>
              <w:jc w:val="both"/>
              <w:rPr>
                <w:rFonts w:ascii="Palatino Linotype" w:hAnsi="Palatino Linotype"/>
                <w:b/>
                <w:i/>
                <w:sz w:val="22"/>
                <w:szCs w:val="22"/>
              </w:rPr>
            </w:pPr>
          </w:p>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Número de lotes:</w:t>
            </w:r>
          </w:p>
        </w:tc>
        <w:tc>
          <w:tcPr>
            <w:tcW w:w="3118" w:type="dxa"/>
            <w:gridSpan w:val="2"/>
            <w:vAlign w:val="bottom"/>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261</w:t>
            </w:r>
          </w:p>
        </w:tc>
      </w:tr>
      <w:tr w:rsidR="00B97C65" w:rsidRPr="009278B5" w:rsidTr="00B97C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6"/>
            <w:vAlign w:val="bottom"/>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Área útil de lotes</w:t>
            </w:r>
            <w:r w:rsidRPr="009278B5">
              <w:rPr>
                <w:rFonts w:ascii="Palatino Linotype" w:hAnsi="Palatino Linotype"/>
                <w:i/>
                <w:sz w:val="22"/>
                <w:szCs w:val="22"/>
              </w:rPr>
              <w:t>:</w:t>
            </w:r>
          </w:p>
        </w:tc>
        <w:tc>
          <w:tcPr>
            <w:tcW w:w="3118" w:type="dxa"/>
            <w:gridSpan w:val="2"/>
            <w:vAlign w:val="bottom"/>
          </w:tcPr>
          <w:p w:rsidR="00B97C65" w:rsidRPr="009278B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i/>
                <w:sz w:val="22"/>
                <w:szCs w:val="22"/>
              </w:rPr>
              <w:t>27.070,57</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r>
      <w:tr w:rsidR="00B97C65" w:rsidRPr="009278B5" w:rsidTr="00B97C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6"/>
            <w:vAlign w:val="bottom"/>
          </w:tcPr>
          <w:p w:rsidR="00B97C65" w:rsidRPr="00B97C65" w:rsidRDefault="00B97C65" w:rsidP="00B97C65">
            <w:pPr>
              <w:spacing w:after="120" w:line="276" w:lineRule="auto"/>
              <w:jc w:val="both"/>
              <w:rPr>
                <w:rFonts w:ascii="Palatino Linotype" w:hAnsi="Palatino Linotype"/>
                <w:b/>
                <w:i/>
                <w:sz w:val="22"/>
                <w:szCs w:val="22"/>
              </w:rPr>
            </w:pPr>
            <w:r w:rsidRPr="009278B5">
              <w:rPr>
                <w:rFonts w:ascii="Palatino Linotype" w:hAnsi="Palatino Linotype"/>
                <w:b/>
                <w:i/>
                <w:sz w:val="22"/>
                <w:szCs w:val="22"/>
              </w:rPr>
              <w:t xml:space="preserve">Área de </w:t>
            </w:r>
            <w:r>
              <w:rPr>
                <w:rFonts w:ascii="Palatino Linotype" w:hAnsi="Palatino Linotype"/>
                <w:b/>
                <w:i/>
                <w:sz w:val="22"/>
                <w:szCs w:val="22"/>
              </w:rPr>
              <w:t>f</w:t>
            </w:r>
            <w:r w:rsidRPr="009278B5">
              <w:rPr>
                <w:rFonts w:ascii="Palatino Linotype" w:hAnsi="Palatino Linotype"/>
                <w:b/>
                <w:i/>
                <w:sz w:val="22"/>
                <w:szCs w:val="22"/>
              </w:rPr>
              <w:t>ranja de protección en quebrada lotes:</w:t>
            </w:r>
          </w:p>
        </w:tc>
        <w:tc>
          <w:tcPr>
            <w:tcW w:w="3118" w:type="dxa"/>
            <w:gridSpan w:val="2"/>
            <w:vAlign w:val="center"/>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i/>
                <w:sz w:val="22"/>
                <w:szCs w:val="22"/>
              </w:rPr>
              <w:t>235,36</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r>
      <w:tr w:rsidR="00B97C65" w:rsidRPr="009278B5" w:rsidTr="00B97C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6"/>
            <w:vAlign w:val="bottom"/>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b/>
                <w:i/>
                <w:sz w:val="22"/>
                <w:szCs w:val="22"/>
              </w:rPr>
              <w:t>Área de vías y pasajes:</w:t>
            </w:r>
          </w:p>
        </w:tc>
        <w:tc>
          <w:tcPr>
            <w:tcW w:w="3118" w:type="dxa"/>
            <w:gridSpan w:val="2"/>
            <w:vAlign w:val="center"/>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i/>
                <w:sz w:val="22"/>
                <w:szCs w:val="22"/>
              </w:rPr>
              <w:t>8.175,56</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r>
      <w:tr w:rsidR="00B97C65" w:rsidRPr="009278B5" w:rsidTr="00B97C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6"/>
            <w:vAlign w:val="bottom"/>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b/>
                <w:i/>
                <w:sz w:val="22"/>
                <w:szCs w:val="22"/>
              </w:rPr>
              <w:t xml:space="preserve">Área </w:t>
            </w:r>
            <w:r w:rsidRPr="009278B5">
              <w:rPr>
                <w:rFonts w:ascii="Palatino Linotype" w:hAnsi="Palatino Linotype"/>
                <w:b/>
                <w:i/>
                <w:sz w:val="22"/>
                <w:szCs w:val="22"/>
              </w:rPr>
              <w:t>verde y equipamiento comunal:</w:t>
            </w:r>
          </w:p>
        </w:tc>
        <w:tc>
          <w:tcPr>
            <w:tcW w:w="3118" w:type="dxa"/>
            <w:gridSpan w:val="2"/>
            <w:vAlign w:val="bottom"/>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i/>
                <w:sz w:val="22"/>
                <w:szCs w:val="22"/>
              </w:rPr>
              <w:t>1.299,84</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r>
      <w:tr w:rsidR="00B97C65" w:rsidRPr="009278B5" w:rsidTr="00B97C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6"/>
            <w:vAlign w:val="bottom"/>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b/>
                <w:i/>
                <w:sz w:val="22"/>
                <w:szCs w:val="22"/>
              </w:rPr>
              <w:t xml:space="preserve">Área bruta del </w:t>
            </w:r>
            <w:r w:rsidRPr="009278B5">
              <w:rPr>
                <w:rFonts w:ascii="Palatino Linotype" w:hAnsi="Palatino Linotype"/>
                <w:b/>
                <w:i/>
                <w:sz w:val="22"/>
                <w:szCs w:val="22"/>
              </w:rPr>
              <w:t>terreno (área total</w:t>
            </w:r>
            <w:r>
              <w:rPr>
                <w:rFonts w:ascii="Palatino Linotype" w:hAnsi="Palatino Linotype"/>
                <w:b/>
                <w:i/>
                <w:sz w:val="22"/>
                <w:szCs w:val="22"/>
              </w:rPr>
              <w:t>)</w:t>
            </w:r>
            <w:r w:rsidRPr="009278B5">
              <w:rPr>
                <w:rFonts w:ascii="Palatino Linotype" w:hAnsi="Palatino Linotype"/>
                <w:b/>
                <w:i/>
                <w:sz w:val="22"/>
                <w:szCs w:val="22"/>
              </w:rPr>
              <w:t>:</w:t>
            </w:r>
          </w:p>
        </w:tc>
        <w:tc>
          <w:tcPr>
            <w:tcW w:w="3118" w:type="dxa"/>
            <w:gridSpan w:val="2"/>
            <w:vAlign w:val="center"/>
          </w:tcPr>
          <w:p w:rsidR="00B97C65" w:rsidRPr="009278B5" w:rsidRDefault="00B97C65" w:rsidP="00B97C65">
            <w:pPr>
              <w:spacing w:after="120" w:line="276" w:lineRule="auto"/>
              <w:jc w:val="both"/>
              <w:rPr>
                <w:rFonts w:ascii="Palatino Linotype" w:hAnsi="Palatino Linotype"/>
                <w:i/>
                <w:sz w:val="22"/>
                <w:szCs w:val="22"/>
              </w:rPr>
            </w:pPr>
            <w:r w:rsidRPr="009278B5">
              <w:rPr>
                <w:rFonts w:ascii="Palatino Linotype" w:hAnsi="Palatino Linotype"/>
                <w:i/>
                <w:sz w:val="22"/>
                <w:szCs w:val="22"/>
              </w:rPr>
              <w:t>36.771,33</w:t>
            </w:r>
            <w:r>
              <w:rPr>
                <w:rFonts w:ascii="Palatino Linotype" w:hAnsi="Palatino Linotype"/>
                <w:i/>
                <w:sz w:val="22"/>
                <w:szCs w:val="22"/>
              </w:rPr>
              <w:t xml:space="preserve"> </w:t>
            </w:r>
            <w:r w:rsidRPr="009278B5">
              <w:rPr>
                <w:rFonts w:ascii="Palatino Linotype" w:hAnsi="Palatino Linotype"/>
                <w:i/>
                <w:sz w:val="22"/>
                <w:szCs w:val="22"/>
              </w:rPr>
              <w:t>m</w:t>
            </w:r>
            <w:r w:rsidRPr="009278B5">
              <w:rPr>
                <w:rFonts w:ascii="Palatino Linotype" w:hAnsi="Palatino Linotype"/>
                <w:i/>
                <w:sz w:val="22"/>
                <w:szCs w:val="22"/>
                <w:vertAlign w:val="superscript"/>
              </w:rPr>
              <w:t>2</w:t>
            </w:r>
          </w:p>
        </w:tc>
      </w:tr>
    </w:tbl>
    <w:p w:rsidR="00B97C65" w:rsidRPr="00750082" w:rsidRDefault="00B97C65" w:rsidP="00B97C65">
      <w:pPr>
        <w:tabs>
          <w:tab w:val="left" w:pos="4253"/>
          <w:tab w:val="center" w:pos="4394"/>
        </w:tabs>
        <w:spacing w:after="120" w:line="276" w:lineRule="auto"/>
        <w:jc w:val="both"/>
        <w:rPr>
          <w:rFonts w:ascii="Palatino Linotype" w:hAnsi="Palatino Linotype"/>
          <w:i/>
          <w:sz w:val="22"/>
          <w:szCs w:val="22"/>
        </w:rPr>
      </w:pPr>
      <w:r w:rsidRPr="00750082">
        <w:rPr>
          <w:rFonts w:ascii="Palatino Linotype" w:hAnsi="Palatino Linotype"/>
          <w:i/>
          <w:sz w:val="22"/>
          <w:szCs w:val="22"/>
        </w:rPr>
        <w:t>El número total de lotes es de 261, signados del uno (1) al doscientos sesenta y uno (261), cuyo detalle es el que consta en los planos aprobatorios que forman parte de la presente Ordenanza.”</w:t>
      </w:r>
    </w:p>
    <w:p w:rsidR="00B97C65" w:rsidRPr="009278B5" w:rsidRDefault="00B97C65" w:rsidP="00B97C65">
      <w:pPr>
        <w:tabs>
          <w:tab w:val="left" w:pos="4253"/>
          <w:tab w:val="center" w:pos="4394"/>
        </w:tabs>
        <w:spacing w:after="120" w:line="276" w:lineRule="auto"/>
        <w:jc w:val="both"/>
        <w:rPr>
          <w:rFonts w:ascii="Palatino Linotype" w:hAnsi="Palatino Linotype"/>
          <w:sz w:val="22"/>
          <w:szCs w:val="22"/>
          <w:lang w:val="es-EC"/>
        </w:rPr>
      </w:pPr>
      <w:r w:rsidRPr="009278B5">
        <w:rPr>
          <w:rFonts w:ascii="Palatino Linotype" w:hAnsi="Palatino Linotype"/>
          <w:b/>
          <w:sz w:val="22"/>
          <w:szCs w:val="22"/>
          <w:lang w:val="es-EC"/>
        </w:rPr>
        <w:lastRenderedPageBreak/>
        <w:t>Artículo 4.-</w:t>
      </w:r>
      <w:r w:rsidRPr="009278B5">
        <w:rPr>
          <w:rFonts w:ascii="Palatino Linotype" w:hAnsi="Palatino Linotype"/>
          <w:sz w:val="22"/>
          <w:szCs w:val="22"/>
          <w:lang w:val="es-EC"/>
        </w:rPr>
        <w:t xml:space="preserve"> Sustitúyase el </w:t>
      </w:r>
      <w:r w:rsidR="00750082">
        <w:rPr>
          <w:rFonts w:ascii="Palatino Linotype" w:hAnsi="Palatino Linotype"/>
          <w:sz w:val="22"/>
          <w:szCs w:val="22"/>
          <w:lang w:val="es-EC"/>
        </w:rPr>
        <w:t>artículo</w:t>
      </w:r>
      <w:r w:rsidRPr="009278B5">
        <w:rPr>
          <w:rFonts w:ascii="Palatino Linotype" w:hAnsi="Palatino Linotype"/>
          <w:sz w:val="22"/>
          <w:szCs w:val="22"/>
          <w:lang w:val="es-EC"/>
        </w:rPr>
        <w:t xml:space="preserve"> 3 de la Ordenanza </w:t>
      </w:r>
      <w:r w:rsidRPr="009278B5">
        <w:rPr>
          <w:rFonts w:ascii="Palatino Linotype" w:hAnsi="Palatino Linotype"/>
          <w:bCs/>
          <w:sz w:val="22"/>
          <w:szCs w:val="22"/>
        </w:rPr>
        <w:t>No. 0027, sancionada el 02 de marzo de 2011, por el siguiente</w:t>
      </w:r>
      <w:r w:rsidRPr="009278B5">
        <w:rPr>
          <w:rFonts w:ascii="Palatino Linotype" w:hAnsi="Palatino Linotype"/>
          <w:sz w:val="22"/>
          <w:szCs w:val="22"/>
          <w:lang w:val="es-EC"/>
        </w:rPr>
        <w:t>:</w:t>
      </w:r>
    </w:p>
    <w:p w:rsidR="00B97C65" w:rsidRPr="009278B5" w:rsidRDefault="00B97C65" w:rsidP="00750082">
      <w:pPr>
        <w:tabs>
          <w:tab w:val="left" w:pos="4253"/>
          <w:tab w:val="center" w:pos="4394"/>
        </w:tabs>
        <w:spacing w:after="120" w:line="276" w:lineRule="auto"/>
        <w:ind w:left="708"/>
        <w:jc w:val="both"/>
        <w:rPr>
          <w:rFonts w:ascii="Palatino Linotype" w:hAnsi="Palatino Linotype"/>
          <w:i/>
          <w:sz w:val="22"/>
          <w:szCs w:val="22"/>
        </w:rPr>
      </w:pPr>
      <w:r w:rsidRPr="009278B5">
        <w:rPr>
          <w:rFonts w:ascii="Palatino Linotype" w:hAnsi="Palatino Linotype"/>
          <w:b/>
          <w:bCs/>
          <w:i/>
          <w:sz w:val="22"/>
          <w:szCs w:val="22"/>
          <w:lang w:val="es-ES_tradnl"/>
        </w:rPr>
        <w:t>“Artículo 3.-</w:t>
      </w:r>
      <w:r w:rsidRPr="009278B5">
        <w:rPr>
          <w:rFonts w:ascii="Palatino Linotype" w:hAnsi="Palatino Linotype"/>
          <w:b/>
          <w:bCs/>
          <w:i/>
          <w:sz w:val="22"/>
          <w:szCs w:val="22"/>
        </w:rPr>
        <w:t xml:space="preserve"> Zonificación de los lotes.-</w:t>
      </w:r>
      <w:r w:rsidRPr="009278B5">
        <w:rPr>
          <w:rFonts w:ascii="Palatino Linotype" w:hAnsi="Palatino Linotype"/>
          <w:i/>
          <w:sz w:val="22"/>
          <w:szCs w:val="22"/>
        </w:rPr>
        <w:t xml:space="preserve"> Los 261 lotes fraccionados se modificarán conforme se detalla a continuación: D9 (D102-80), forma de ocupación: (D) sobre línea de fábrica, Lote mínimo: 100 m</w:t>
      </w:r>
      <w:r w:rsidRPr="00750082">
        <w:rPr>
          <w:rFonts w:ascii="Palatino Linotype" w:hAnsi="Palatino Linotype"/>
          <w:i/>
          <w:sz w:val="22"/>
          <w:szCs w:val="22"/>
          <w:vertAlign w:val="superscript"/>
        </w:rPr>
        <w:t>2</w:t>
      </w:r>
      <w:r w:rsidRPr="009278B5">
        <w:rPr>
          <w:rFonts w:ascii="Palatino Linotype" w:hAnsi="Palatino Linotype"/>
          <w:i/>
          <w:sz w:val="22"/>
          <w:szCs w:val="22"/>
        </w:rPr>
        <w:t>, Número de pisos 2, COS planta baja: 80%, COS total: 160%, Uso principal: (RU2) Residencial Urbano 2.</w:t>
      </w:r>
      <w:r w:rsidR="00750082">
        <w:rPr>
          <w:rFonts w:ascii="Palatino Linotype" w:hAnsi="Palatino Linotype"/>
          <w:i/>
          <w:sz w:val="22"/>
          <w:szCs w:val="22"/>
        </w:rPr>
        <w:t>”</w:t>
      </w:r>
    </w:p>
    <w:p w:rsidR="00B97C65" w:rsidRPr="009278B5" w:rsidRDefault="00B97C65" w:rsidP="00B97C65">
      <w:pPr>
        <w:tabs>
          <w:tab w:val="left" w:pos="4253"/>
          <w:tab w:val="center" w:pos="4394"/>
        </w:tabs>
        <w:spacing w:after="120" w:line="276" w:lineRule="auto"/>
        <w:jc w:val="both"/>
        <w:rPr>
          <w:rFonts w:ascii="Palatino Linotype" w:hAnsi="Palatino Linotype"/>
          <w:sz w:val="22"/>
          <w:szCs w:val="22"/>
          <w:lang w:val="es-EC"/>
        </w:rPr>
      </w:pPr>
      <w:r w:rsidRPr="009278B5">
        <w:rPr>
          <w:rFonts w:ascii="Palatino Linotype" w:hAnsi="Palatino Linotype"/>
          <w:b/>
          <w:sz w:val="22"/>
          <w:szCs w:val="22"/>
          <w:lang w:val="es-EC"/>
        </w:rPr>
        <w:t>Artículo 5.-</w:t>
      </w:r>
      <w:r w:rsidRPr="009278B5">
        <w:rPr>
          <w:rFonts w:ascii="Palatino Linotype" w:hAnsi="Palatino Linotype"/>
          <w:sz w:val="22"/>
          <w:szCs w:val="22"/>
          <w:lang w:val="es-EC"/>
        </w:rPr>
        <w:t xml:space="preserve"> Inclúyase un artículo innumerado a continuación del artículo 3 de la Ordenanza </w:t>
      </w:r>
      <w:r w:rsidRPr="009278B5">
        <w:rPr>
          <w:rFonts w:ascii="Palatino Linotype" w:hAnsi="Palatino Linotype"/>
          <w:bCs/>
          <w:sz w:val="22"/>
          <w:szCs w:val="22"/>
        </w:rPr>
        <w:t>No. 0027, sancionada el 02 de marzo de 2011, por el siguiente</w:t>
      </w:r>
      <w:r w:rsidRPr="009278B5">
        <w:rPr>
          <w:rFonts w:ascii="Palatino Linotype" w:hAnsi="Palatino Linotype"/>
          <w:sz w:val="22"/>
          <w:szCs w:val="22"/>
          <w:lang w:val="es-EC"/>
        </w:rPr>
        <w:t xml:space="preserve"> texto:</w:t>
      </w:r>
    </w:p>
    <w:p w:rsidR="00B97C65" w:rsidRPr="00750082" w:rsidRDefault="00B97C65" w:rsidP="00750082">
      <w:pPr>
        <w:tabs>
          <w:tab w:val="left" w:pos="4253"/>
          <w:tab w:val="center" w:pos="4394"/>
        </w:tabs>
        <w:spacing w:after="120" w:line="276" w:lineRule="auto"/>
        <w:ind w:left="708"/>
        <w:jc w:val="both"/>
        <w:rPr>
          <w:rFonts w:ascii="Palatino Linotype" w:hAnsi="Palatino Linotype"/>
          <w:i/>
          <w:sz w:val="22"/>
          <w:szCs w:val="22"/>
        </w:rPr>
      </w:pPr>
      <w:r w:rsidRPr="00750082">
        <w:rPr>
          <w:rFonts w:ascii="Palatino Linotype" w:hAnsi="Palatino Linotype"/>
          <w:b/>
          <w:bCs/>
          <w:i/>
          <w:sz w:val="22"/>
          <w:szCs w:val="22"/>
          <w:lang w:val="es-ES_tradnl"/>
        </w:rPr>
        <w:t>“Artículo…-</w:t>
      </w:r>
      <w:r w:rsidRPr="00750082">
        <w:rPr>
          <w:rFonts w:ascii="Palatino Linotype" w:hAnsi="Palatino Linotype"/>
          <w:b/>
          <w:bCs/>
          <w:i/>
          <w:sz w:val="22"/>
          <w:szCs w:val="22"/>
        </w:rPr>
        <w:t xml:space="preserve"> Clasificación del </w:t>
      </w:r>
      <w:r w:rsidR="00750082">
        <w:rPr>
          <w:rFonts w:ascii="Palatino Linotype" w:hAnsi="Palatino Linotype"/>
          <w:b/>
          <w:bCs/>
          <w:i/>
          <w:sz w:val="22"/>
          <w:szCs w:val="22"/>
        </w:rPr>
        <w:t>s</w:t>
      </w:r>
      <w:r w:rsidRPr="00750082">
        <w:rPr>
          <w:rFonts w:ascii="Palatino Linotype" w:hAnsi="Palatino Linotype"/>
          <w:b/>
          <w:bCs/>
          <w:i/>
          <w:sz w:val="22"/>
          <w:szCs w:val="22"/>
        </w:rPr>
        <w:t>uelo.-</w:t>
      </w:r>
      <w:r w:rsidRPr="00750082">
        <w:rPr>
          <w:rFonts w:ascii="Palatino Linotype" w:hAnsi="Palatino Linotype"/>
          <w:i/>
          <w:sz w:val="22"/>
          <w:szCs w:val="22"/>
        </w:rPr>
        <w:t xml:space="preserve"> La </w:t>
      </w:r>
      <w:r w:rsidR="00750082" w:rsidRPr="00750082">
        <w:rPr>
          <w:rFonts w:ascii="Palatino Linotype" w:hAnsi="Palatino Linotype"/>
          <w:i/>
          <w:sz w:val="22"/>
          <w:szCs w:val="22"/>
        </w:rPr>
        <w:t xml:space="preserve">clasificación del suelo </w:t>
      </w:r>
      <w:r w:rsidRPr="00750082">
        <w:rPr>
          <w:rFonts w:ascii="Palatino Linotype" w:hAnsi="Palatino Linotype"/>
          <w:i/>
          <w:sz w:val="22"/>
          <w:szCs w:val="22"/>
        </w:rPr>
        <w:t>se mantiene en: (SU) Suelo Urbano.</w:t>
      </w:r>
      <w:r w:rsidR="00750082" w:rsidRPr="00750082">
        <w:rPr>
          <w:rFonts w:ascii="Palatino Linotype" w:hAnsi="Palatino Linotype"/>
          <w:i/>
          <w:sz w:val="22"/>
          <w:szCs w:val="22"/>
        </w:rPr>
        <w:t>”</w:t>
      </w:r>
    </w:p>
    <w:p w:rsidR="00B97C65" w:rsidRPr="009278B5" w:rsidRDefault="00B97C65" w:rsidP="00B97C65">
      <w:pPr>
        <w:tabs>
          <w:tab w:val="left" w:pos="4253"/>
          <w:tab w:val="center" w:pos="4394"/>
        </w:tabs>
        <w:spacing w:after="120" w:line="276" w:lineRule="auto"/>
        <w:jc w:val="both"/>
        <w:rPr>
          <w:rFonts w:ascii="Palatino Linotype" w:hAnsi="Palatino Linotype"/>
          <w:sz w:val="22"/>
          <w:szCs w:val="22"/>
          <w:lang w:val="es-EC"/>
        </w:rPr>
      </w:pPr>
      <w:r w:rsidRPr="009278B5">
        <w:rPr>
          <w:rFonts w:ascii="Palatino Linotype" w:hAnsi="Palatino Linotype"/>
          <w:b/>
          <w:sz w:val="22"/>
          <w:szCs w:val="22"/>
          <w:lang w:val="es-EC"/>
        </w:rPr>
        <w:t>Artículo 6.-</w:t>
      </w:r>
      <w:r w:rsidRPr="009278B5">
        <w:rPr>
          <w:rFonts w:ascii="Palatino Linotype" w:hAnsi="Palatino Linotype"/>
          <w:sz w:val="22"/>
          <w:szCs w:val="22"/>
          <w:lang w:val="es-EC"/>
        </w:rPr>
        <w:t xml:space="preserve"> Sustitúyase el </w:t>
      </w:r>
      <w:r w:rsidR="00750082">
        <w:rPr>
          <w:rFonts w:ascii="Palatino Linotype" w:hAnsi="Palatino Linotype"/>
          <w:sz w:val="22"/>
          <w:szCs w:val="22"/>
          <w:lang w:val="es-EC"/>
        </w:rPr>
        <w:t>a</w:t>
      </w:r>
      <w:r w:rsidRPr="009278B5">
        <w:rPr>
          <w:rFonts w:ascii="Palatino Linotype" w:hAnsi="Palatino Linotype"/>
          <w:sz w:val="22"/>
          <w:szCs w:val="22"/>
          <w:lang w:val="es-EC"/>
        </w:rPr>
        <w:t>rt</w:t>
      </w:r>
      <w:r w:rsidR="00750082">
        <w:rPr>
          <w:rFonts w:ascii="Palatino Linotype" w:hAnsi="Palatino Linotype"/>
          <w:sz w:val="22"/>
          <w:szCs w:val="22"/>
          <w:lang w:val="es-EC"/>
        </w:rPr>
        <w:t>ículo</w:t>
      </w:r>
      <w:r w:rsidRPr="009278B5">
        <w:rPr>
          <w:rFonts w:ascii="Palatino Linotype" w:hAnsi="Palatino Linotype"/>
          <w:sz w:val="22"/>
          <w:szCs w:val="22"/>
          <w:lang w:val="es-EC"/>
        </w:rPr>
        <w:t xml:space="preserve"> 4 de la Ordenanza </w:t>
      </w:r>
      <w:r w:rsidRPr="009278B5">
        <w:rPr>
          <w:rFonts w:ascii="Palatino Linotype" w:hAnsi="Palatino Linotype"/>
          <w:bCs/>
          <w:sz w:val="22"/>
          <w:szCs w:val="22"/>
        </w:rPr>
        <w:t>No. 0027, sancionada el 02 de marzo de 2011, por el siguiente</w:t>
      </w:r>
      <w:r w:rsidRPr="009278B5">
        <w:rPr>
          <w:rFonts w:ascii="Palatino Linotype" w:hAnsi="Palatino Linotype"/>
          <w:sz w:val="22"/>
          <w:szCs w:val="22"/>
          <w:lang w:val="es-EC"/>
        </w:rPr>
        <w:t>:</w:t>
      </w:r>
    </w:p>
    <w:p w:rsidR="00B97C65" w:rsidRPr="009278B5" w:rsidRDefault="00B97C65" w:rsidP="00750082">
      <w:pPr>
        <w:spacing w:after="120" w:line="276" w:lineRule="auto"/>
        <w:ind w:left="708"/>
        <w:jc w:val="both"/>
        <w:rPr>
          <w:rFonts w:ascii="Palatino Linotype" w:hAnsi="Palatino Linotype"/>
          <w:sz w:val="22"/>
          <w:szCs w:val="22"/>
        </w:rPr>
      </w:pPr>
      <w:r w:rsidRPr="009278B5">
        <w:rPr>
          <w:rFonts w:ascii="Palatino Linotype" w:hAnsi="Palatino Linotype"/>
          <w:b/>
          <w:bCs/>
          <w:i/>
          <w:sz w:val="22"/>
          <w:szCs w:val="22"/>
          <w:lang w:val="es-ES_tradnl"/>
        </w:rPr>
        <w:t>“</w:t>
      </w:r>
      <w:r w:rsidRPr="00750082">
        <w:rPr>
          <w:rFonts w:ascii="Palatino Linotype" w:hAnsi="Palatino Linotype"/>
          <w:b/>
          <w:bCs/>
          <w:i/>
          <w:sz w:val="22"/>
          <w:szCs w:val="22"/>
          <w:lang w:val="es-ES_tradnl"/>
        </w:rPr>
        <w:t>Artículo 4</w:t>
      </w:r>
      <w:r w:rsidR="00750082" w:rsidRPr="00750082">
        <w:rPr>
          <w:rFonts w:ascii="Palatino Linotype" w:hAnsi="Palatino Linotype"/>
          <w:b/>
          <w:bCs/>
          <w:i/>
          <w:sz w:val="22"/>
          <w:szCs w:val="22"/>
          <w:lang w:val="es-ES_tradnl"/>
        </w:rPr>
        <w:t>.</w:t>
      </w:r>
      <w:r w:rsidRPr="00750082">
        <w:rPr>
          <w:rFonts w:ascii="Palatino Linotype" w:hAnsi="Palatino Linotype"/>
          <w:b/>
          <w:bCs/>
          <w:i/>
          <w:sz w:val="22"/>
          <w:szCs w:val="22"/>
          <w:lang w:val="es-ES_tradnl"/>
        </w:rPr>
        <w:t>-</w:t>
      </w:r>
      <w:r w:rsidRPr="00750082">
        <w:rPr>
          <w:rFonts w:ascii="Palatino Linotype" w:hAnsi="Palatino Linotype"/>
          <w:b/>
          <w:i/>
          <w:sz w:val="22"/>
          <w:szCs w:val="22"/>
        </w:rPr>
        <w:t xml:space="preserve"> Del </w:t>
      </w:r>
      <w:r w:rsidR="00750082" w:rsidRPr="00750082">
        <w:rPr>
          <w:rFonts w:ascii="Palatino Linotype" w:hAnsi="Palatino Linotype"/>
          <w:b/>
          <w:i/>
          <w:sz w:val="22"/>
          <w:szCs w:val="22"/>
        </w:rPr>
        <w:t>área verde y equipamiento comunal</w:t>
      </w:r>
      <w:r w:rsidRPr="00750082">
        <w:rPr>
          <w:rFonts w:ascii="Palatino Linotype" w:hAnsi="Palatino Linotype"/>
          <w:b/>
          <w:i/>
          <w:sz w:val="22"/>
          <w:szCs w:val="22"/>
        </w:rPr>
        <w:t>.-</w:t>
      </w:r>
      <w:r w:rsidRPr="00750082">
        <w:rPr>
          <w:rFonts w:ascii="Palatino Linotype" w:hAnsi="Palatino Linotype"/>
          <w:bCs/>
          <w:i/>
          <w:sz w:val="22"/>
          <w:szCs w:val="22"/>
        </w:rPr>
        <w:t xml:space="preserve"> </w:t>
      </w:r>
      <w:r w:rsidRPr="00750082">
        <w:rPr>
          <w:rFonts w:ascii="Palatino Linotype" w:hAnsi="Palatino Linotype"/>
          <w:i/>
          <w:sz w:val="22"/>
          <w:szCs w:val="22"/>
        </w:rPr>
        <w:t>El Asentamiento Humano de Hecho y Consolidado de Interés Social denominado Cooperativa de Vivienda “Luchador Eloy Alfaro” en liquidación, transfiere al Municipio del Distrito Metropolitano de Quito como contribución de área verde y equipamiento comunal, un área total de 1.299,84</w:t>
      </w:r>
      <w:r w:rsidR="00750082">
        <w:rPr>
          <w:rFonts w:ascii="Palatino Linotype" w:hAnsi="Palatino Linotype"/>
          <w:i/>
          <w:sz w:val="22"/>
          <w:szCs w:val="22"/>
        </w:rPr>
        <w:t xml:space="preserve"> </w:t>
      </w:r>
      <w:r w:rsidRPr="00750082">
        <w:rPr>
          <w:rFonts w:ascii="Palatino Linotype" w:hAnsi="Palatino Linotype"/>
          <w:i/>
          <w:sz w:val="22"/>
          <w:szCs w:val="22"/>
        </w:rPr>
        <w:t>m</w:t>
      </w:r>
      <w:r w:rsidRPr="00750082">
        <w:rPr>
          <w:rFonts w:ascii="Palatino Linotype" w:hAnsi="Palatino Linotype"/>
          <w:i/>
          <w:sz w:val="22"/>
          <w:szCs w:val="22"/>
          <w:vertAlign w:val="superscript"/>
        </w:rPr>
        <w:t>2</w:t>
      </w:r>
      <w:r w:rsidRPr="00750082">
        <w:rPr>
          <w:rFonts w:ascii="Palatino Linotype" w:hAnsi="Palatino Linotype"/>
          <w:i/>
          <w:sz w:val="22"/>
          <w:szCs w:val="22"/>
        </w:rPr>
        <w:t>, de conformidad al siguiente detalle:</w:t>
      </w:r>
    </w:p>
    <w:tbl>
      <w:tblPr>
        <w:tblW w:w="5180" w:type="pct"/>
        <w:tblInd w:w="-34" w:type="dxa"/>
        <w:tblLayout w:type="fixed"/>
        <w:tblCellMar>
          <w:left w:w="70" w:type="dxa"/>
          <w:right w:w="70" w:type="dxa"/>
        </w:tblCellMar>
        <w:tblLook w:val="04A0" w:firstRow="1" w:lastRow="0" w:firstColumn="1" w:lastColumn="0" w:noHBand="0" w:noVBand="1"/>
      </w:tblPr>
      <w:tblGrid>
        <w:gridCol w:w="1568"/>
        <w:gridCol w:w="977"/>
        <w:gridCol w:w="2508"/>
        <w:gridCol w:w="1084"/>
        <w:gridCol w:w="1372"/>
        <w:gridCol w:w="1586"/>
      </w:tblGrid>
      <w:tr w:rsidR="00B97C65" w:rsidRPr="009278B5" w:rsidTr="00D36BE0">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Área comunal</w:t>
            </w:r>
          </w:p>
        </w:tc>
      </w:tr>
      <w:tr w:rsidR="00B97C65" w:rsidRPr="009278B5" w:rsidTr="00D36BE0">
        <w:trPr>
          <w:trHeight w:val="300"/>
        </w:trPr>
        <w:tc>
          <w:tcPr>
            <w:tcW w:w="862" w:type="pct"/>
            <w:vMerge w:val="restart"/>
            <w:tcBorders>
              <w:top w:val="single" w:sz="4" w:space="0" w:color="auto"/>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p w:rsidR="00B97C65" w:rsidRPr="009278B5" w:rsidRDefault="00B97C65"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xml:space="preserve">Área comunal </w:t>
            </w:r>
            <w:r w:rsidR="00B97C65" w:rsidRPr="009278B5">
              <w:rPr>
                <w:rFonts w:ascii="Palatino Linotype" w:hAnsi="Palatino Linotype"/>
                <w:b/>
                <w:bCs/>
                <w:i/>
                <w:sz w:val="22"/>
                <w:szCs w:val="22"/>
                <w:lang w:val="es-EC" w:eastAsia="es-EC"/>
              </w:rPr>
              <w:t>1</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i/>
                <w:sz w:val="22"/>
                <w:szCs w:val="22"/>
                <w:lang w:val="es-EC" w:eastAsia="es-EC"/>
              </w:rPr>
              <w:t> </w:t>
            </w:r>
          </w:p>
        </w:tc>
        <w:tc>
          <w:tcPr>
            <w:tcW w:w="537" w:type="pct"/>
            <w:tcBorders>
              <w:top w:val="nil"/>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tc>
        <w:tc>
          <w:tcPr>
            <w:tcW w:w="1379" w:type="pct"/>
            <w:tcBorders>
              <w:top w:val="nil"/>
              <w:left w:val="nil"/>
              <w:bottom w:val="single" w:sz="4" w:space="0" w:color="auto"/>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Lindero</w:t>
            </w:r>
          </w:p>
        </w:tc>
        <w:tc>
          <w:tcPr>
            <w:tcW w:w="596" w:type="pct"/>
            <w:tcBorders>
              <w:top w:val="nil"/>
              <w:left w:val="nil"/>
              <w:bottom w:val="single" w:sz="4" w:space="0" w:color="auto"/>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En parte</w:t>
            </w:r>
          </w:p>
        </w:tc>
        <w:tc>
          <w:tcPr>
            <w:tcW w:w="754" w:type="pct"/>
            <w:tcBorders>
              <w:top w:val="nil"/>
              <w:left w:val="nil"/>
              <w:bottom w:val="nil"/>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Total</w:t>
            </w:r>
          </w:p>
        </w:tc>
        <w:tc>
          <w:tcPr>
            <w:tcW w:w="872" w:type="pct"/>
            <w:tcBorders>
              <w:top w:val="nil"/>
              <w:left w:val="nil"/>
              <w:bottom w:val="nil"/>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Superficie</w:t>
            </w:r>
          </w:p>
        </w:tc>
      </w:tr>
      <w:tr w:rsidR="00B97C65" w:rsidRPr="009278B5" w:rsidTr="00D36BE0">
        <w:trPr>
          <w:trHeight w:val="315"/>
        </w:trPr>
        <w:tc>
          <w:tcPr>
            <w:tcW w:w="86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537" w:type="pct"/>
            <w:tcBorders>
              <w:top w:val="single" w:sz="4" w:space="0" w:color="auto"/>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Norte:</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CALLE N65C</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single" w:sz="4" w:space="0" w:color="auto"/>
              <w:left w:val="nil"/>
              <w:bottom w:val="nil"/>
              <w:right w:val="nil"/>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36</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06 m</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50082" w:rsidRDefault="00750082" w:rsidP="00B97C65">
            <w:pPr>
              <w:spacing w:after="120" w:line="276" w:lineRule="auto"/>
              <w:jc w:val="center"/>
              <w:rPr>
                <w:rFonts w:ascii="Palatino Linotype" w:hAnsi="Palatino Linotype"/>
                <w:i/>
                <w:sz w:val="22"/>
                <w:szCs w:val="22"/>
              </w:rPr>
            </w:pPr>
          </w:p>
          <w:p w:rsidR="00750082" w:rsidRDefault="00750082" w:rsidP="00B97C65">
            <w:pPr>
              <w:spacing w:after="120" w:line="276" w:lineRule="auto"/>
              <w:jc w:val="center"/>
              <w:rPr>
                <w:rFonts w:ascii="Palatino Linotype" w:hAnsi="Palatino Linotype"/>
                <w:i/>
                <w:sz w:val="22"/>
                <w:szCs w:val="22"/>
              </w:rPr>
            </w:pPr>
          </w:p>
          <w:p w:rsidR="00B97C65" w:rsidRPr="00750082" w:rsidRDefault="00B97C65" w:rsidP="00B97C65">
            <w:pPr>
              <w:spacing w:after="120" w:line="276" w:lineRule="auto"/>
              <w:jc w:val="center"/>
              <w:rPr>
                <w:rFonts w:ascii="Palatino Linotype" w:hAnsi="Palatino Linotype"/>
                <w:i/>
                <w:sz w:val="22"/>
                <w:szCs w:val="22"/>
              </w:rPr>
            </w:pPr>
            <w:r w:rsidRPr="00750082">
              <w:rPr>
                <w:rFonts w:ascii="Palatino Linotype" w:hAnsi="Palatino Linotype"/>
                <w:i/>
                <w:sz w:val="22"/>
                <w:szCs w:val="22"/>
              </w:rPr>
              <w:t xml:space="preserve">495,04 </w:t>
            </w:r>
            <w:r w:rsidR="00750082" w:rsidRPr="00750082">
              <w:rPr>
                <w:rFonts w:ascii="Palatino Linotype" w:hAnsi="Palatino Linotype"/>
                <w:i/>
                <w:sz w:val="22"/>
                <w:szCs w:val="22"/>
              </w:rPr>
              <w:t>m</w:t>
            </w:r>
            <w:r w:rsidR="00750082" w:rsidRPr="00750082">
              <w:rPr>
                <w:rFonts w:ascii="Palatino Linotype" w:hAnsi="Palatino Linotype"/>
                <w:i/>
                <w:sz w:val="22"/>
                <w:szCs w:val="22"/>
                <w:vertAlign w:val="superscript"/>
              </w:rPr>
              <w:t>2</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i/>
                <w:sz w:val="22"/>
                <w:szCs w:val="22"/>
                <w:lang w:val="es-EC" w:eastAsia="es-EC"/>
              </w:rPr>
              <w:t> </w:t>
            </w:r>
          </w:p>
        </w:tc>
      </w:tr>
      <w:tr w:rsidR="00B97C65" w:rsidRPr="009278B5" w:rsidTr="00D36BE0">
        <w:trPr>
          <w:trHeight w:val="351"/>
        </w:trPr>
        <w:tc>
          <w:tcPr>
            <w:tcW w:w="86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537" w:type="pct"/>
            <w:tcBorders>
              <w:top w:val="single" w:sz="4" w:space="0" w:color="auto"/>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Sur:</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INTERSECCI</w:t>
            </w:r>
            <w:r w:rsidR="00750082">
              <w:rPr>
                <w:rFonts w:ascii="Palatino Linotype" w:hAnsi="Palatino Linotype"/>
                <w:i/>
                <w:sz w:val="22"/>
                <w:szCs w:val="22"/>
                <w:lang w:val="es-EC" w:eastAsia="es-EC"/>
              </w:rPr>
              <w:t>Ó</w:t>
            </w:r>
            <w:r w:rsidRPr="009278B5">
              <w:rPr>
                <w:rFonts w:ascii="Palatino Linotype" w:hAnsi="Palatino Linotype"/>
                <w:i/>
                <w:sz w:val="22"/>
                <w:szCs w:val="22"/>
                <w:lang w:val="es-EC" w:eastAsia="es-EC"/>
              </w:rPr>
              <w:t>N ENTRE CALLE N65A Y CALLE E8</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single" w:sz="4" w:space="0" w:color="auto"/>
              <w:left w:val="nil"/>
              <w:bottom w:val="nil"/>
              <w:right w:val="single" w:sz="4" w:space="0" w:color="auto"/>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0</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00 m</w:t>
            </w:r>
          </w:p>
        </w:tc>
        <w:tc>
          <w:tcPr>
            <w:tcW w:w="87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i/>
                <w:sz w:val="22"/>
                <w:szCs w:val="22"/>
              </w:rPr>
            </w:pPr>
          </w:p>
        </w:tc>
      </w:tr>
      <w:tr w:rsidR="00B97C65" w:rsidRPr="009278B5" w:rsidTr="00D36BE0">
        <w:trPr>
          <w:trHeight w:val="300"/>
        </w:trPr>
        <w:tc>
          <w:tcPr>
            <w:tcW w:w="86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single" w:sz="4" w:space="0" w:color="auto"/>
              <w:left w:val="single" w:sz="4" w:space="0" w:color="auto"/>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1379" w:type="pct"/>
            <w:vMerge w:val="restar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CALLE E8</w:t>
            </w:r>
          </w:p>
        </w:tc>
        <w:tc>
          <w:tcPr>
            <w:tcW w:w="596" w:type="pct"/>
            <w:vMerge w:val="restart"/>
            <w:tcBorders>
              <w:top w:val="nil"/>
              <w:left w:val="nil"/>
              <w:bottom w:val="single" w:sz="4" w:space="0" w:color="auto"/>
              <w:right w:val="nil"/>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33</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65 m</w:t>
            </w:r>
          </w:p>
        </w:tc>
        <w:tc>
          <w:tcPr>
            <w:tcW w:w="87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r w:rsidR="00B97C65" w:rsidRPr="009278B5" w:rsidTr="00D36BE0">
        <w:trPr>
          <w:trHeight w:val="70"/>
        </w:trPr>
        <w:tc>
          <w:tcPr>
            <w:tcW w:w="86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nil"/>
              <w:left w:val="single" w:sz="4" w:space="0" w:color="auto"/>
              <w:bottom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Este:</w:t>
            </w:r>
          </w:p>
        </w:tc>
        <w:tc>
          <w:tcPr>
            <w:tcW w:w="1379" w:type="pct"/>
            <w:vMerge/>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p>
        </w:tc>
        <w:tc>
          <w:tcPr>
            <w:tcW w:w="596" w:type="pct"/>
            <w:vMerge/>
            <w:tcBorders>
              <w:top w:val="nil"/>
              <w:left w:val="nil"/>
              <w:bottom w:val="single" w:sz="4" w:space="0" w:color="auto"/>
              <w:right w:val="nil"/>
            </w:tcBorders>
            <w:shd w:val="clear" w:color="auto" w:fill="auto"/>
            <w:vAlign w:val="center"/>
          </w:tcPr>
          <w:p w:rsidR="00B97C65" w:rsidRPr="009278B5" w:rsidRDefault="00B97C65" w:rsidP="00B97C65">
            <w:pPr>
              <w:spacing w:after="120" w:line="276" w:lineRule="auto"/>
              <w:rPr>
                <w:rFonts w:ascii="Palatino Linotype" w:hAnsi="Palatino Linotype"/>
                <w:i/>
                <w:sz w:val="22"/>
                <w:szCs w:val="22"/>
                <w:lang w:val="es-EC" w:eastAsia="es-EC"/>
              </w:rPr>
            </w:pPr>
          </w:p>
        </w:tc>
        <w:tc>
          <w:tcPr>
            <w:tcW w:w="7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7C65" w:rsidRPr="009278B5" w:rsidRDefault="00B97C65" w:rsidP="00B97C65">
            <w:pPr>
              <w:spacing w:after="120" w:line="276" w:lineRule="auto"/>
              <w:rPr>
                <w:rFonts w:ascii="Palatino Linotype" w:hAnsi="Palatino Linotype"/>
                <w:i/>
                <w:sz w:val="22"/>
                <w:szCs w:val="22"/>
                <w:lang w:val="es-EC" w:eastAsia="es-EC"/>
              </w:rPr>
            </w:pPr>
          </w:p>
        </w:tc>
        <w:tc>
          <w:tcPr>
            <w:tcW w:w="87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r w:rsidR="00B97C65" w:rsidRPr="009278B5" w:rsidTr="00D36BE0">
        <w:trPr>
          <w:trHeight w:val="495"/>
        </w:trPr>
        <w:tc>
          <w:tcPr>
            <w:tcW w:w="862" w:type="pct"/>
            <w:vMerge/>
            <w:tcBorders>
              <w:left w:val="single" w:sz="4" w:space="0" w:color="auto"/>
              <w:bottom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nil"/>
              <w:left w:val="nil"/>
              <w:bottom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Oeste:</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 xml:space="preserve">CALLE N65A </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nil"/>
              <w:left w:val="nil"/>
              <w:bottom w:val="single" w:sz="4" w:space="0" w:color="auto"/>
              <w:right w:val="nil"/>
            </w:tcBorders>
            <w:shd w:val="clear" w:color="auto" w:fill="auto"/>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46</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69m</w:t>
            </w:r>
          </w:p>
        </w:tc>
        <w:tc>
          <w:tcPr>
            <w:tcW w:w="872" w:type="pct"/>
            <w:vMerge/>
            <w:tcBorders>
              <w:left w:val="single" w:sz="4" w:space="0" w:color="auto"/>
              <w:bottom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bl>
    <w:p w:rsidR="00B97C65" w:rsidRPr="009278B5" w:rsidRDefault="00B97C65" w:rsidP="00B97C65">
      <w:pPr>
        <w:shd w:val="clear" w:color="auto" w:fill="FFFFFF" w:themeFill="background1"/>
        <w:spacing w:after="120" w:line="276" w:lineRule="auto"/>
        <w:contextualSpacing/>
        <w:jc w:val="both"/>
        <w:rPr>
          <w:rFonts w:ascii="Palatino Linotype" w:hAnsi="Palatino Linotype"/>
          <w:b/>
          <w:sz w:val="22"/>
          <w:szCs w:val="22"/>
        </w:rPr>
      </w:pPr>
    </w:p>
    <w:tbl>
      <w:tblPr>
        <w:tblW w:w="5180" w:type="pct"/>
        <w:tblInd w:w="-34" w:type="dxa"/>
        <w:tblLayout w:type="fixed"/>
        <w:tblCellMar>
          <w:left w:w="70" w:type="dxa"/>
          <w:right w:w="70" w:type="dxa"/>
        </w:tblCellMar>
        <w:tblLook w:val="04A0" w:firstRow="1" w:lastRow="0" w:firstColumn="1" w:lastColumn="0" w:noHBand="0" w:noVBand="1"/>
      </w:tblPr>
      <w:tblGrid>
        <w:gridCol w:w="1568"/>
        <w:gridCol w:w="977"/>
        <w:gridCol w:w="2508"/>
        <w:gridCol w:w="1084"/>
        <w:gridCol w:w="1372"/>
        <w:gridCol w:w="1586"/>
      </w:tblGrid>
      <w:tr w:rsidR="00B97C65" w:rsidRPr="009278B5" w:rsidTr="00D36BE0">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Área comunal</w:t>
            </w:r>
          </w:p>
        </w:tc>
      </w:tr>
      <w:tr w:rsidR="00B97C65" w:rsidRPr="009278B5" w:rsidTr="00D36BE0">
        <w:trPr>
          <w:trHeight w:val="300"/>
        </w:trPr>
        <w:tc>
          <w:tcPr>
            <w:tcW w:w="862" w:type="pct"/>
            <w:vMerge w:val="restart"/>
            <w:tcBorders>
              <w:top w:val="single" w:sz="4" w:space="0" w:color="auto"/>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p w:rsidR="00B97C65" w:rsidRPr="009278B5" w:rsidRDefault="00B97C65"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lastRenderedPageBreak/>
              <w:t xml:space="preserve">Área comunal </w:t>
            </w:r>
            <w:r w:rsidR="00B97C65" w:rsidRPr="009278B5">
              <w:rPr>
                <w:rFonts w:ascii="Palatino Linotype" w:hAnsi="Palatino Linotype"/>
                <w:b/>
                <w:bCs/>
                <w:i/>
                <w:sz w:val="22"/>
                <w:szCs w:val="22"/>
                <w:lang w:val="es-EC" w:eastAsia="es-EC"/>
              </w:rPr>
              <w:t>2</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i/>
                <w:sz w:val="22"/>
                <w:szCs w:val="22"/>
                <w:lang w:val="es-EC" w:eastAsia="es-EC"/>
              </w:rPr>
              <w:t> </w:t>
            </w:r>
          </w:p>
        </w:tc>
        <w:tc>
          <w:tcPr>
            <w:tcW w:w="537" w:type="pct"/>
            <w:tcBorders>
              <w:top w:val="nil"/>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lastRenderedPageBreak/>
              <w:t> </w:t>
            </w:r>
          </w:p>
        </w:tc>
        <w:tc>
          <w:tcPr>
            <w:tcW w:w="1379" w:type="pct"/>
            <w:tcBorders>
              <w:top w:val="nil"/>
              <w:left w:val="nil"/>
              <w:bottom w:val="single" w:sz="4" w:space="0" w:color="auto"/>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Lindero</w:t>
            </w:r>
          </w:p>
        </w:tc>
        <w:tc>
          <w:tcPr>
            <w:tcW w:w="596" w:type="pct"/>
            <w:tcBorders>
              <w:top w:val="nil"/>
              <w:left w:val="nil"/>
              <w:bottom w:val="single" w:sz="4" w:space="0" w:color="auto"/>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En parte</w:t>
            </w:r>
          </w:p>
        </w:tc>
        <w:tc>
          <w:tcPr>
            <w:tcW w:w="754" w:type="pct"/>
            <w:tcBorders>
              <w:top w:val="nil"/>
              <w:left w:val="nil"/>
              <w:bottom w:val="nil"/>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Total</w:t>
            </w:r>
          </w:p>
        </w:tc>
        <w:tc>
          <w:tcPr>
            <w:tcW w:w="872" w:type="pct"/>
            <w:tcBorders>
              <w:top w:val="nil"/>
              <w:left w:val="nil"/>
              <w:bottom w:val="nil"/>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Superficie</w:t>
            </w:r>
          </w:p>
        </w:tc>
      </w:tr>
      <w:tr w:rsidR="00B97C65" w:rsidRPr="009278B5" w:rsidTr="00D36BE0">
        <w:trPr>
          <w:trHeight w:val="315"/>
        </w:trPr>
        <w:tc>
          <w:tcPr>
            <w:tcW w:w="86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537" w:type="pct"/>
            <w:tcBorders>
              <w:top w:val="single" w:sz="4" w:space="0" w:color="auto"/>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Norte:</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CALLE N65F</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single" w:sz="4" w:space="0" w:color="auto"/>
              <w:left w:val="nil"/>
              <w:bottom w:val="nil"/>
              <w:right w:val="nil"/>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24</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00 m</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50082" w:rsidRDefault="00750082" w:rsidP="00B97C65">
            <w:pPr>
              <w:spacing w:after="120" w:line="276" w:lineRule="auto"/>
              <w:jc w:val="center"/>
              <w:rPr>
                <w:rFonts w:ascii="Palatino Linotype" w:hAnsi="Palatino Linotype"/>
                <w:i/>
                <w:sz w:val="22"/>
                <w:szCs w:val="22"/>
              </w:rPr>
            </w:pPr>
          </w:p>
          <w:p w:rsidR="00750082" w:rsidRDefault="00750082" w:rsidP="00B97C65">
            <w:pPr>
              <w:spacing w:after="120" w:line="276" w:lineRule="auto"/>
              <w:jc w:val="center"/>
              <w:rPr>
                <w:rFonts w:ascii="Palatino Linotype" w:hAnsi="Palatino Linotype"/>
                <w:i/>
                <w:sz w:val="22"/>
                <w:szCs w:val="22"/>
              </w:rPr>
            </w:pPr>
          </w:p>
          <w:p w:rsidR="00B97C65" w:rsidRPr="00750082" w:rsidRDefault="00B97C65" w:rsidP="00B97C65">
            <w:pPr>
              <w:spacing w:after="120" w:line="276" w:lineRule="auto"/>
              <w:jc w:val="center"/>
              <w:rPr>
                <w:rFonts w:ascii="Palatino Linotype" w:hAnsi="Palatino Linotype"/>
                <w:i/>
                <w:sz w:val="22"/>
                <w:szCs w:val="22"/>
              </w:rPr>
            </w:pPr>
            <w:r w:rsidRPr="00750082">
              <w:rPr>
                <w:rFonts w:ascii="Palatino Linotype" w:hAnsi="Palatino Linotype"/>
                <w:i/>
                <w:sz w:val="22"/>
                <w:szCs w:val="22"/>
              </w:rPr>
              <w:t xml:space="preserve">602,29 </w:t>
            </w:r>
            <w:r w:rsidR="00750082" w:rsidRPr="00750082">
              <w:rPr>
                <w:rFonts w:ascii="Palatino Linotype" w:hAnsi="Palatino Linotype"/>
                <w:i/>
                <w:sz w:val="22"/>
                <w:szCs w:val="22"/>
              </w:rPr>
              <w:t>m</w:t>
            </w:r>
            <w:r w:rsidR="00750082" w:rsidRPr="00750082">
              <w:rPr>
                <w:rFonts w:ascii="Palatino Linotype" w:hAnsi="Palatino Linotype"/>
                <w:i/>
                <w:sz w:val="22"/>
                <w:szCs w:val="22"/>
                <w:vertAlign w:val="superscript"/>
              </w:rPr>
              <w:t>2</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i/>
                <w:sz w:val="22"/>
                <w:szCs w:val="22"/>
                <w:lang w:val="es-EC" w:eastAsia="es-EC"/>
              </w:rPr>
              <w:t> </w:t>
            </w:r>
          </w:p>
        </w:tc>
      </w:tr>
      <w:tr w:rsidR="00B97C65" w:rsidRPr="009278B5" w:rsidTr="00D36BE0">
        <w:trPr>
          <w:trHeight w:val="351"/>
        </w:trPr>
        <w:tc>
          <w:tcPr>
            <w:tcW w:w="86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537" w:type="pct"/>
            <w:tcBorders>
              <w:top w:val="single" w:sz="4" w:space="0" w:color="auto"/>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Sur:</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CALLE N65E</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single" w:sz="4" w:space="0" w:color="auto"/>
              <w:left w:val="nil"/>
              <w:bottom w:val="nil"/>
              <w:right w:val="single" w:sz="4" w:space="0" w:color="auto"/>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23</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49 m</w:t>
            </w:r>
          </w:p>
        </w:tc>
        <w:tc>
          <w:tcPr>
            <w:tcW w:w="87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i/>
                <w:sz w:val="22"/>
                <w:szCs w:val="22"/>
              </w:rPr>
            </w:pPr>
          </w:p>
        </w:tc>
      </w:tr>
      <w:tr w:rsidR="00B97C65" w:rsidRPr="009278B5" w:rsidTr="00D36BE0">
        <w:trPr>
          <w:trHeight w:val="300"/>
        </w:trPr>
        <w:tc>
          <w:tcPr>
            <w:tcW w:w="86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single" w:sz="4" w:space="0" w:color="auto"/>
              <w:left w:val="single" w:sz="4" w:space="0" w:color="auto"/>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1379" w:type="pct"/>
            <w:vMerge w:val="restar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LOTE 52</w:t>
            </w:r>
          </w:p>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LOTE 63</w:t>
            </w:r>
          </w:p>
        </w:tc>
        <w:tc>
          <w:tcPr>
            <w:tcW w:w="596" w:type="pct"/>
            <w:vMerge w:val="restart"/>
            <w:tcBorders>
              <w:top w:val="nil"/>
              <w:left w:val="nil"/>
              <w:bottom w:val="single" w:sz="4" w:space="0" w:color="auto"/>
              <w:right w:val="nil"/>
            </w:tcBorders>
            <w:shd w:val="clear" w:color="auto" w:fill="auto"/>
            <w:noWrap/>
            <w:vAlign w:val="center"/>
          </w:tcPr>
          <w:p w:rsidR="00B97C65" w:rsidRPr="009278B5" w:rsidRDefault="00750082" w:rsidP="00B97C65">
            <w:pPr>
              <w:spacing w:after="120" w:line="276" w:lineRule="auto"/>
              <w:jc w:val="center"/>
              <w:rPr>
                <w:rFonts w:ascii="Palatino Linotype" w:hAnsi="Palatino Linotype"/>
                <w:i/>
                <w:sz w:val="22"/>
                <w:szCs w:val="22"/>
                <w:lang w:val="es-EC" w:eastAsia="es-EC"/>
              </w:rPr>
            </w:pPr>
            <w:r>
              <w:rPr>
                <w:rFonts w:ascii="Palatino Linotype" w:hAnsi="Palatino Linotype"/>
                <w:i/>
                <w:sz w:val="22"/>
                <w:szCs w:val="22"/>
                <w:lang w:val="es-EC" w:eastAsia="es-EC"/>
              </w:rPr>
              <w:t>12,</w:t>
            </w:r>
            <w:r w:rsidR="00B97C65" w:rsidRPr="009278B5">
              <w:rPr>
                <w:rFonts w:ascii="Palatino Linotype" w:hAnsi="Palatino Linotype"/>
                <w:i/>
                <w:sz w:val="22"/>
                <w:szCs w:val="22"/>
                <w:lang w:val="es-EC" w:eastAsia="es-EC"/>
              </w:rPr>
              <w:t>60</w:t>
            </w:r>
            <w:r>
              <w:rPr>
                <w:rFonts w:ascii="Palatino Linotype" w:hAnsi="Palatino Linotype"/>
                <w:i/>
                <w:sz w:val="22"/>
                <w:szCs w:val="22"/>
                <w:lang w:val="es-EC" w:eastAsia="es-EC"/>
              </w:rPr>
              <w:t xml:space="preserve"> </w:t>
            </w:r>
            <w:r w:rsidR="00B97C65" w:rsidRPr="009278B5">
              <w:rPr>
                <w:rFonts w:ascii="Palatino Linotype" w:hAnsi="Palatino Linotype"/>
                <w:i/>
                <w:sz w:val="22"/>
                <w:szCs w:val="22"/>
                <w:lang w:val="es-EC" w:eastAsia="es-EC"/>
              </w:rPr>
              <w:t>m</w:t>
            </w:r>
          </w:p>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12</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75</w:t>
            </w:r>
            <w:r w:rsidR="00750082">
              <w:rPr>
                <w:rFonts w:ascii="Palatino Linotype" w:hAnsi="Palatino Linotype"/>
                <w:i/>
                <w:sz w:val="22"/>
                <w:szCs w:val="22"/>
                <w:lang w:val="es-EC" w:eastAsia="es-EC"/>
              </w:rPr>
              <w:t xml:space="preserve"> </w:t>
            </w:r>
            <w:r w:rsidRPr="009278B5">
              <w:rPr>
                <w:rFonts w:ascii="Palatino Linotype" w:hAnsi="Palatino Linotype"/>
                <w:i/>
                <w:sz w:val="22"/>
                <w:szCs w:val="22"/>
                <w:lang w:val="es-EC" w:eastAsia="es-EC"/>
              </w:rPr>
              <w:t>m</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25</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35 m</w:t>
            </w:r>
          </w:p>
        </w:tc>
        <w:tc>
          <w:tcPr>
            <w:tcW w:w="87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r w:rsidR="00B97C65" w:rsidRPr="009278B5" w:rsidTr="00D36BE0">
        <w:trPr>
          <w:trHeight w:val="70"/>
        </w:trPr>
        <w:tc>
          <w:tcPr>
            <w:tcW w:w="86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nil"/>
              <w:left w:val="single" w:sz="4" w:space="0" w:color="auto"/>
              <w:bottom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Este:</w:t>
            </w:r>
          </w:p>
        </w:tc>
        <w:tc>
          <w:tcPr>
            <w:tcW w:w="1379" w:type="pct"/>
            <w:vMerge/>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p>
        </w:tc>
        <w:tc>
          <w:tcPr>
            <w:tcW w:w="596" w:type="pct"/>
            <w:vMerge/>
            <w:tcBorders>
              <w:top w:val="nil"/>
              <w:left w:val="nil"/>
              <w:bottom w:val="single" w:sz="4" w:space="0" w:color="auto"/>
              <w:right w:val="nil"/>
            </w:tcBorders>
            <w:shd w:val="clear" w:color="auto" w:fill="auto"/>
            <w:vAlign w:val="center"/>
          </w:tcPr>
          <w:p w:rsidR="00B97C65" w:rsidRPr="009278B5" w:rsidRDefault="00B97C65" w:rsidP="00B97C65">
            <w:pPr>
              <w:spacing w:after="120" w:line="276" w:lineRule="auto"/>
              <w:rPr>
                <w:rFonts w:ascii="Palatino Linotype" w:hAnsi="Palatino Linotype"/>
                <w:i/>
                <w:sz w:val="22"/>
                <w:szCs w:val="22"/>
                <w:lang w:val="es-EC" w:eastAsia="es-EC"/>
              </w:rPr>
            </w:pPr>
          </w:p>
        </w:tc>
        <w:tc>
          <w:tcPr>
            <w:tcW w:w="7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7C65" w:rsidRPr="009278B5" w:rsidRDefault="00B97C65" w:rsidP="00B97C65">
            <w:pPr>
              <w:spacing w:after="120" w:line="276" w:lineRule="auto"/>
              <w:rPr>
                <w:rFonts w:ascii="Palatino Linotype" w:hAnsi="Palatino Linotype"/>
                <w:i/>
                <w:sz w:val="22"/>
                <w:szCs w:val="22"/>
                <w:lang w:val="es-EC" w:eastAsia="es-EC"/>
              </w:rPr>
            </w:pPr>
          </w:p>
        </w:tc>
        <w:tc>
          <w:tcPr>
            <w:tcW w:w="87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r w:rsidR="00B97C65" w:rsidRPr="009278B5" w:rsidTr="00D36BE0">
        <w:trPr>
          <w:trHeight w:val="495"/>
        </w:trPr>
        <w:tc>
          <w:tcPr>
            <w:tcW w:w="862" w:type="pct"/>
            <w:vMerge/>
            <w:tcBorders>
              <w:left w:val="single" w:sz="4" w:space="0" w:color="auto"/>
              <w:bottom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nil"/>
              <w:left w:val="nil"/>
              <w:bottom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Oeste:</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 xml:space="preserve">ETADIO ELOY ALFARO </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nil"/>
              <w:left w:val="nil"/>
              <w:bottom w:val="single" w:sz="4" w:space="0" w:color="auto"/>
              <w:right w:val="nil"/>
            </w:tcBorders>
            <w:shd w:val="clear" w:color="auto" w:fill="auto"/>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16</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72m</w:t>
            </w:r>
          </w:p>
        </w:tc>
        <w:tc>
          <w:tcPr>
            <w:tcW w:w="872" w:type="pct"/>
            <w:vMerge/>
            <w:tcBorders>
              <w:left w:val="single" w:sz="4" w:space="0" w:color="auto"/>
              <w:bottom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bl>
    <w:p w:rsidR="00B97C65" w:rsidRPr="009278B5" w:rsidRDefault="00B97C65" w:rsidP="00B97C65">
      <w:pPr>
        <w:shd w:val="clear" w:color="auto" w:fill="FFFFFF" w:themeFill="background1"/>
        <w:spacing w:after="120" w:line="276" w:lineRule="auto"/>
        <w:contextualSpacing/>
        <w:jc w:val="both"/>
        <w:rPr>
          <w:rFonts w:ascii="Palatino Linotype" w:hAnsi="Palatino Linotype"/>
          <w:b/>
          <w:sz w:val="22"/>
          <w:szCs w:val="22"/>
        </w:rPr>
      </w:pPr>
    </w:p>
    <w:tbl>
      <w:tblPr>
        <w:tblW w:w="5180" w:type="pct"/>
        <w:tblInd w:w="-34" w:type="dxa"/>
        <w:tblLayout w:type="fixed"/>
        <w:tblCellMar>
          <w:left w:w="70" w:type="dxa"/>
          <w:right w:w="70" w:type="dxa"/>
        </w:tblCellMar>
        <w:tblLook w:val="04A0" w:firstRow="1" w:lastRow="0" w:firstColumn="1" w:lastColumn="0" w:noHBand="0" w:noVBand="1"/>
      </w:tblPr>
      <w:tblGrid>
        <w:gridCol w:w="1568"/>
        <w:gridCol w:w="977"/>
        <w:gridCol w:w="2508"/>
        <w:gridCol w:w="1084"/>
        <w:gridCol w:w="1372"/>
        <w:gridCol w:w="1586"/>
      </w:tblGrid>
      <w:tr w:rsidR="00B97C65" w:rsidRPr="009278B5" w:rsidTr="00D36BE0">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xml:space="preserve">Área municipal </w:t>
            </w:r>
          </w:p>
        </w:tc>
      </w:tr>
      <w:tr w:rsidR="00B97C65" w:rsidRPr="009278B5" w:rsidTr="00D36BE0">
        <w:trPr>
          <w:trHeight w:val="300"/>
        </w:trPr>
        <w:tc>
          <w:tcPr>
            <w:tcW w:w="862" w:type="pct"/>
            <w:vMerge w:val="restart"/>
            <w:tcBorders>
              <w:top w:val="single" w:sz="4" w:space="0" w:color="auto"/>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p w:rsidR="00B97C65" w:rsidRPr="009278B5" w:rsidRDefault="00B97C65"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p w:rsidR="00B97C65" w:rsidRPr="009278B5" w:rsidRDefault="00B97C65"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Á</w:t>
            </w:r>
            <w:r w:rsidR="00750082" w:rsidRPr="009278B5">
              <w:rPr>
                <w:rFonts w:ascii="Palatino Linotype" w:hAnsi="Palatino Linotype"/>
                <w:b/>
                <w:bCs/>
                <w:i/>
                <w:sz w:val="22"/>
                <w:szCs w:val="22"/>
                <w:lang w:val="es-EC" w:eastAsia="es-EC"/>
              </w:rPr>
              <w:t xml:space="preserve">rea comunal </w:t>
            </w:r>
            <w:r w:rsidRPr="009278B5">
              <w:rPr>
                <w:rFonts w:ascii="Palatino Linotype" w:hAnsi="Palatino Linotype"/>
                <w:b/>
                <w:bCs/>
                <w:i/>
                <w:sz w:val="22"/>
                <w:szCs w:val="22"/>
                <w:lang w:val="es-EC" w:eastAsia="es-EC"/>
              </w:rPr>
              <w:t>3</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i/>
                <w:sz w:val="22"/>
                <w:szCs w:val="22"/>
                <w:lang w:val="es-EC" w:eastAsia="es-EC"/>
              </w:rPr>
              <w:t> </w:t>
            </w:r>
          </w:p>
        </w:tc>
        <w:tc>
          <w:tcPr>
            <w:tcW w:w="537" w:type="pct"/>
            <w:tcBorders>
              <w:top w:val="nil"/>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 </w:t>
            </w:r>
          </w:p>
        </w:tc>
        <w:tc>
          <w:tcPr>
            <w:tcW w:w="1379" w:type="pct"/>
            <w:tcBorders>
              <w:top w:val="nil"/>
              <w:left w:val="nil"/>
              <w:bottom w:val="single" w:sz="4" w:space="0" w:color="auto"/>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Lindero</w:t>
            </w:r>
          </w:p>
        </w:tc>
        <w:tc>
          <w:tcPr>
            <w:tcW w:w="596" w:type="pct"/>
            <w:tcBorders>
              <w:top w:val="nil"/>
              <w:left w:val="nil"/>
              <w:bottom w:val="single" w:sz="4" w:space="0" w:color="auto"/>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En parte</w:t>
            </w:r>
          </w:p>
        </w:tc>
        <w:tc>
          <w:tcPr>
            <w:tcW w:w="754" w:type="pct"/>
            <w:tcBorders>
              <w:top w:val="nil"/>
              <w:left w:val="nil"/>
              <w:bottom w:val="nil"/>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Total</w:t>
            </w:r>
          </w:p>
        </w:tc>
        <w:tc>
          <w:tcPr>
            <w:tcW w:w="872" w:type="pct"/>
            <w:tcBorders>
              <w:top w:val="nil"/>
              <w:left w:val="nil"/>
              <w:bottom w:val="nil"/>
              <w:right w:val="single" w:sz="4" w:space="0" w:color="auto"/>
            </w:tcBorders>
            <w:shd w:val="clear" w:color="auto" w:fill="auto"/>
            <w:vAlign w:val="center"/>
            <w:hideMark/>
          </w:tcPr>
          <w:p w:rsidR="00B97C65" w:rsidRPr="009278B5" w:rsidRDefault="00750082" w:rsidP="00B97C65">
            <w:pPr>
              <w:spacing w:after="120" w:line="276" w:lineRule="auto"/>
              <w:jc w:val="center"/>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Superficie</w:t>
            </w:r>
          </w:p>
        </w:tc>
      </w:tr>
      <w:tr w:rsidR="00B97C65" w:rsidRPr="009278B5" w:rsidTr="00D36BE0">
        <w:trPr>
          <w:trHeight w:val="315"/>
        </w:trPr>
        <w:tc>
          <w:tcPr>
            <w:tcW w:w="86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537" w:type="pct"/>
            <w:tcBorders>
              <w:top w:val="single" w:sz="4" w:space="0" w:color="auto"/>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Norte:</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LOTE 135</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single" w:sz="4" w:space="0" w:color="auto"/>
              <w:left w:val="nil"/>
              <w:bottom w:val="nil"/>
              <w:right w:val="nil"/>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12</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07 m</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50082" w:rsidRDefault="00750082" w:rsidP="00B97C65">
            <w:pPr>
              <w:spacing w:after="120" w:line="276" w:lineRule="auto"/>
              <w:jc w:val="center"/>
              <w:rPr>
                <w:rFonts w:ascii="Palatino Linotype" w:hAnsi="Palatino Linotype"/>
                <w:b/>
                <w:i/>
                <w:sz w:val="22"/>
                <w:szCs w:val="22"/>
              </w:rPr>
            </w:pPr>
          </w:p>
          <w:p w:rsidR="00B97C65" w:rsidRPr="00750082" w:rsidRDefault="00B97C65" w:rsidP="00B97C65">
            <w:pPr>
              <w:spacing w:after="120" w:line="276" w:lineRule="auto"/>
              <w:jc w:val="center"/>
              <w:rPr>
                <w:rFonts w:ascii="Palatino Linotype" w:hAnsi="Palatino Linotype"/>
                <w:i/>
                <w:sz w:val="22"/>
                <w:szCs w:val="22"/>
              </w:rPr>
            </w:pPr>
            <w:r w:rsidRPr="00750082">
              <w:rPr>
                <w:rFonts w:ascii="Palatino Linotype" w:hAnsi="Palatino Linotype"/>
                <w:i/>
                <w:sz w:val="22"/>
                <w:szCs w:val="22"/>
              </w:rPr>
              <w:t xml:space="preserve">202,51 </w:t>
            </w:r>
            <w:r w:rsidR="00750082" w:rsidRPr="00750082">
              <w:rPr>
                <w:rFonts w:ascii="Palatino Linotype" w:hAnsi="Palatino Linotype"/>
                <w:i/>
                <w:sz w:val="22"/>
                <w:szCs w:val="22"/>
              </w:rPr>
              <w:t>m</w:t>
            </w:r>
            <w:r w:rsidR="00750082" w:rsidRPr="00750082">
              <w:rPr>
                <w:rFonts w:ascii="Palatino Linotype" w:hAnsi="Palatino Linotype"/>
                <w:i/>
                <w:sz w:val="22"/>
                <w:szCs w:val="22"/>
                <w:vertAlign w:val="superscript"/>
              </w:rPr>
              <w:t>2</w:t>
            </w:r>
          </w:p>
          <w:p w:rsidR="00B97C65" w:rsidRPr="00750082" w:rsidRDefault="00B97C65" w:rsidP="00B97C65">
            <w:pPr>
              <w:spacing w:after="120" w:line="276" w:lineRule="auto"/>
              <w:rPr>
                <w:rFonts w:ascii="Palatino Linotype" w:hAnsi="Palatino Linotype"/>
                <w:i/>
                <w:sz w:val="22"/>
                <w:szCs w:val="22"/>
                <w:lang w:val="es-EC" w:eastAsia="es-EC"/>
              </w:rPr>
            </w:pPr>
            <w:r w:rsidRPr="009278B5">
              <w:rPr>
                <w:rFonts w:ascii="Palatino Linotype" w:hAnsi="Palatino Linotype"/>
                <w:i/>
                <w:sz w:val="22"/>
                <w:szCs w:val="22"/>
                <w:lang w:val="es-EC" w:eastAsia="es-EC"/>
              </w:rPr>
              <w:t> </w:t>
            </w:r>
          </w:p>
        </w:tc>
      </w:tr>
      <w:tr w:rsidR="00B97C65" w:rsidRPr="009278B5" w:rsidTr="00D36BE0">
        <w:trPr>
          <w:trHeight w:val="351"/>
        </w:trPr>
        <w:tc>
          <w:tcPr>
            <w:tcW w:w="86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537" w:type="pct"/>
            <w:tcBorders>
              <w:top w:val="single" w:sz="4" w:space="0" w:color="auto"/>
              <w:left w:val="nil"/>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Sur:</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LOTE 136</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single" w:sz="4" w:space="0" w:color="auto"/>
              <w:left w:val="nil"/>
              <w:bottom w:val="nil"/>
              <w:right w:val="single" w:sz="4" w:space="0" w:color="auto"/>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12</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12 m</w:t>
            </w:r>
          </w:p>
        </w:tc>
        <w:tc>
          <w:tcPr>
            <w:tcW w:w="872" w:type="pct"/>
            <w:vMerge/>
            <w:tcBorders>
              <w:left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i/>
                <w:sz w:val="22"/>
                <w:szCs w:val="22"/>
              </w:rPr>
            </w:pPr>
          </w:p>
        </w:tc>
      </w:tr>
      <w:tr w:rsidR="00B97C65" w:rsidRPr="009278B5" w:rsidTr="00D36BE0">
        <w:trPr>
          <w:trHeight w:val="300"/>
        </w:trPr>
        <w:tc>
          <w:tcPr>
            <w:tcW w:w="86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single" w:sz="4" w:space="0" w:color="auto"/>
              <w:left w:val="single" w:sz="4" w:space="0" w:color="auto"/>
              <w:bottom w:val="nil"/>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p>
        </w:tc>
        <w:tc>
          <w:tcPr>
            <w:tcW w:w="1379" w:type="pct"/>
            <w:vMerge w:val="restar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LOTE 138</w:t>
            </w:r>
          </w:p>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LOTE 139</w:t>
            </w:r>
          </w:p>
        </w:tc>
        <w:tc>
          <w:tcPr>
            <w:tcW w:w="596" w:type="pct"/>
            <w:vMerge w:val="restart"/>
            <w:tcBorders>
              <w:top w:val="nil"/>
              <w:left w:val="nil"/>
              <w:bottom w:val="single" w:sz="4" w:space="0" w:color="auto"/>
              <w:right w:val="nil"/>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8</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41 m</w:t>
            </w:r>
          </w:p>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8</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37 m</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16</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78 m</w:t>
            </w:r>
          </w:p>
        </w:tc>
        <w:tc>
          <w:tcPr>
            <w:tcW w:w="87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r w:rsidR="00B97C65" w:rsidRPr="009278B5" w:rsidTr="00D36BE0">
        <w:trPr>
          <w:trHeight w:val="70"/>
        </w:trPr>
        <w:tc>
          <w:tcPr>
            <w:tcW w:w="86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nil"/>
              <w:left w:val="single" w:sz="4" w:space="0" w:color="auto"/>
              <w:bottom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Este:</w:t>
            </w:r>
          </w:p>
        </w:tc>
        <w:tc>
          <w:tcPr>
            <w:tcW w:w="1379" w:type="pct"/>
            <w:vMerge/>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p>
        </w:tc>
        <w:tc>
          <w:tcPr>
            <w:tcW w:w="596" w:type="pct"/>
            <w:vMerge/>
            <w:tcBorders>
              <w:top w:val="nil"/>
              <w:left w:val="nil"/>
              <w:bottom w:val="single" w:sz="4" w:space="0" w:color="auto"/>
              <w:right w:val="nil"/>
            </w:tcBorders>
            <w:shd w:val="clear" w:color="auto" w:fill="auto"/>
            <w:vAlign w:val="center"/>
          </w:tcPr>
          <w:p w:rsidR="00B97C65" w:rsidRPr="009278B5" w:rsidRDefault="00B97C65" w:rsidP="00B97C65">
            <w:pPr>
              <w:spacing w:after="120" w:line="276" w:lineRule="auto"/>
              <w:rPr>
                <w:rFonts w:ascii="Palatino Linotype" w:hAnsi="Palatino Linotype"/>
                <w:i/>
                <w:sz w:val="22"/>
                <w:szCs w:val="22"/>
                <w:lang w:val="es-EC" w:eastAsia="es-EC"/>
              </w:rPr>
            </w:pPr>
          </w:p>
        </w:tc>
        <w:tc>
          <w:tcPr>
            <w:tcW w:w="7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7C65" w:rsidRPr="009278B5" w:rsidRDefault="00B97C65" w:rsidP="00B97C65">
            <w:pPr>
              <w:spacing w:after="120" w:line="276" w:lineRule="auto"/>
              <w:rPr>
                <w:rFonts w:ascii="Palatino Linotype" w:hAnsi="Palatino Linotype"/>
                <w:i/>
                <w:sz w:val="22"/>
                <w:szCs w:val="22"/>
                <w:lang w:val="es-EC" w:eastAsia="es-EC"/>
              </w:rPr>
            </w:pPr>
          </w:p>
        </w:tc>
        <w:tc>
          <w:tcPr>
            <w:tcW w:w="872" w:type="pct"/>
            <w:vMerge/>
            <w:tcBorders>
              <w:left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r w:rsidR="00B97C65" w:rsidRPr="009278B5" w:rsidTr="00D36BE0">
        <w:trPr>
          <w:trHeight w:val="495"/>
        </w:trPr>
        <w:tc>
          <w:tcPr>
            <w:tcW w:w="862" w:type="pct"/>
            <w:vMerge/>
            <w:tcBorders>
              <w:left w:val="single" w:sz="4" w:space="0" w:color="auto"/>
              <w:bottom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c>
          <w:tcPr>
            <w:tcW w:w="537" w:type="pct"/>
            <w:tcBorders>
              <w:top w:val="nil"/>
              <w:left w:val="nil"/>
              <w:bottom w:val="single" w:sz="4" w:space="0" w:color="auto"/>
              <w:right w:val="single" w:sz="4" w:space="0" w:color="auto"/>
            </w:tcBorders>
            <w:shd w:val="clear" w:color="auto" w:fill="auto"/>
            <w:vAlign w:val="center"/>
            <w:hideMark/>
          </w:tcPr>
          <w:p w:rsidR="00B97C65" w:rsidRPr="009278B5" w:rsidRDefault="00B97C65" w:rsidP="00B97C65">
            <w:pPr>
              <w:spacing w:after="120" w:line="276" w:lineRule="auto"/>
              <w:rPr>
                <w:rFonts w:ascii="Palatino Linotype" w:hAnsi="Palatino Linotype"/>
                <w:b/>
                <w:bCs/>
                <w:i/>
                <w:sz w:val="22"/>
                <w:szCs w:val="22"/>
                <w:lang w:val="es-EC" w:eastAsia="es-EC"/>
              </w:rPr>
            </w:pPr>
            <w:r w:rsidRPr="009278B5">
              <w:rPr>
                <w:rFonts w:ascii="Palatino Linotype" w:hAnsi="Palatino Linotype"/>
                <w:b/>
                <w:bCs/>
                <w:i/>
                <w:sz w:val="22"/>
                <w:szCs w:val="22"/>
                <w:lang w:val="es-EC" w:eastAsia="es-EC"/>
              </w:rPr>
              <w:t>Oeste:</w:t>
            </w:r>
          </w:p>
        </w:tc>
        <w:tc>
          <w:tcPr>
            <w:tcW w:w="1379" w:type="pct"/>
            <w:tcBorders>
              <w:top w:val="nil"/>
              <w:left w:val="nil"/>
              <w:bottom w:val="single" w:sz="4" w:space="0" w:color="auto"/>
              <w:right w:val="single" w:sz="4" w:space="0" w:color="auto"/>
            </w:tcBorders>
            <w:shd w:val="clear" w:color="auto" w:fill="auto"/>
            <w:vAlign w:val="center"/>
          </w:tcPr>
          <w:p w:rsidR="00B97C65" w:rsidRPr="009278B5" w:rsidRDefault="00B97C65" w:rsidP="00750082">
            <w:pPr>
              <w:spacing w:after="120" w:line="276" w:lineRule="auto"/>
              <w:jc w:val="both"/>
              <w:rPr>
                <w:rFonts w:ascii="Palatino Linotype" w:hAnsi="Palatino Linotype"/>
                <w:i/>
                <w:sz w:val="22"/>
                <w:szCs w:val="22"/>
                <w:lang w:val="es-EC" w:eastAsia="es-EC"/>
              </w:rPr>
            </w:pPr>
            <w:r w:rsidRPr="009278B5">
              <w:rPr>
                <w:rFonts w:ascii="Palatino Linotype" w:hAnsi="Palatino Linotype"/>
                <w:i/>
                <w:sz w:val="22"/>
                <w:szCs w:val="22"/>
                <w:lang w:val="es-EC" w:eastAsia="es-EC"/>
              </w:rPr>
              <w:t>CALLE E8B</w:t>
            </w:r>
          </w:p>
        </w:tc>
        <w:tc>
          <w:tcPr>
            <w:tcW w:w="596" w:type="pct"/>
            <w:tcBorders>
              <w:top w:val="nil"/>
              <w:left w:val="nil"/>
              <w:bottom w:val="single" w:sz="4" w:space="0" w:color="auto"/>
              <w:right w:val="single" w:sz="4" w:space="0" w:color="auto"/>
            </w:tcBorders>
            <w:shd w:val="clear" w:color="auto" w:fill="auto"/>
            <w:noWrap/>
            <w:vAlign w:val="center"/>
          </w:tcPr>
          <w:p w:rsidR="00B97C65" w:rsidRPr="009278B5" w:rsidRDefault="00B97C65" w:rsidP="00B97C65">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w:t>
            </w:r>
          </w:p>
        </w:tc>
        <w:tc>
          <w:tcPr>
            <w:tcW w:w="754" w:type="pct"/>
            <w:tcBorders>
              <w:top w:val="nil"/>
              <w:left w:val="nil"/>
              <w:bottom w:val="single" w:sz="4" w:space="0" w:color="auto"/>
              <w:right w:val="nil"/>
            </w:tcBorders>
            <w:shd w:val="clear" w:color="auto" w:fill="auto"/>
            <w:vAlign w:val="center"/>
          </w:tcPr>
          <w:p w:rsidR="00B97C65" w:rsidRPr="009278B5" w:rsidRDefault="00B97C65" w:rsidP="00750082">
            <w:pPr>
              <w:spacing w:after="120" w:line="276" w:lineRule="auto"/>
              <w:jc w:val="center"/>
              <w:rPr>
                <w:rFonts w:ascii="Palatino Linotype" w:hAnsi="Palatino Linotype"/>
                <w:i/>
                <w:sz w:val="22"/>
                <w:szCs w:val="22"/>
                <w:lang w:val="es-EC" w:eastAsia="es-EC"/>
              </w:rPr>
            </w:pPr>
            <w:r w:rsidRPr="009278B5">
              <w:rPr>
                <w:rFonts w:ascii="Palatino Linotype" w:hAnsi="Palatino Linotype"/>
                <w:i/>
                <w:sz w:val="22"/>
                <w:szCs w:val="22"/>
                <w:lang w:val="es-EC" w:eastAsia="es-EC"/>
              </w:rPr>
              <w:t>16</w:t>
            </w:r>
            <w:r w:rsidR="00750082">
              <w:rPr>
                <w:rFonts w:ascii="Palatino Linotype" w:hAnsi="Palatino Linotype"/>
                <w:i/>
                <w:sz w:val="22"/>
                <w:szCs w:val="22"/>
                <w:lang w:val="es-EC" w:eastAsia="es-EC"/>
              </w:rPr>
              <w:t>,</w:t>
            </w:r>
            <w:r w:rsidRPr="009278B5">
              <w:rPr>
                <w:rFonts w:ascii="Palatino Linotype" w:hAnsi="Palatino Linotype"/>
                <w:i/>
                <w:sz w:val="22"/>
                <w:szCs w:val="22"/>
                <w:lang w:val="es-EC" w:eastAsia="es-EC"/>
              </w:rPr>
              <w:t>72m</w:t>
            </w:r>
          </w:p>
        </w:tc>
        <w:tc>
          <w:tcPr>
            <w:tcW w:w="872" w:type="pct"/>
            <w:vMerge/>
            <w:tcBorders>
              <w:left w:val="single" w:sz="4" w:space="0" w:color="auto"/>
              <w:bottom w:val="single" w:sz="4" w:space="0" w:color="auto"/>
              <w:right w:val="single" w:sz="4" w:space="0" w:color="auto"/>
            </w:tcBorders>
            <w:shd w:val="clear" w:color="auto" w:fill="auto"/>
            <w:noWrap/>
            <w:vAlign w:val="center"/>
            <w:hideMark/>
          </w:tcPr>
          <w:p w:rsidR="00B97C65" w:rsidRPr="009278B5" w:rsidRDefault="00B97C65" w:rsidP="00B97C65">
            <w:pPr>
              <w:spacing w:after="120" w:line="276" w:lineRule="auto"/>
              <w:rPr>
                <w:rFonts w:ascii="Palatino Linotype" w:hAnsi="Palatino Linotype"/>
                <w:i/>
                <w:sz w:val="22"/>
                <w:szCs w:val="22"/>
                <w:lang w:val="es-EC" w:eastAsia="es-EC"/>
              </w:rPr>
            </w:pPr>
          </w:p>
        </w:tc>
      </w:tr>
    </w:tbl>
    <w:p w:rsidR="00B97C65" w:rsidRPr="009278B5" w:rsidRDefault="00B97C65" w:rsidP="00B97C65">
      <w:pPr>
        <w:spacing w:after="120" w:line="276" w:lineRule="auto"/>
        <w:jc w:val="both"/>
        <w:rPr>
          <w:rFonts w:ascii="Palatino Linotype" w:hAnsi="Palatino Linotype"/>
          <w:sz w:val="22"/>
          <w:szCs w:val="22"/>
        </w:rPr>
      </w:pPr>
    </w:p>
    <w:p w:rsidR="00B97C65" w:rsidRPr="009278B5" w:rsidRDefault="00B97C65" w:rsidP="00B97C65">
      <w:pPr>
        <w:tabs>
          <w:tab w:val="left" w:pos="4253"/>
          <w:tab w:val="center" w:pos="4394"/>
        </w:tabs>
        <w:spacing w:after="120" w:line="276" w:lineRule="auto"/>
        <w:jc w:val="both"/>
        <w:rPr>
          <w:rFonts w:ascii="Palatino Linotype" w:hAnsi="Palatino Linotype"/>
          <w:bCs/>
          <w:sz w:val="22"/>
          <w:szCs w:val="22"/>
        </w:rPr>
      </w:pPr>
      <w:r w:rsidRPr="009278B5">
        <w:rPr>
          <w:rFonts w:ascii="Palatino Linotype" w:hAnsi="Palatino Linotype"/>
          <w:b/>
          <w:bCs/>
          <w:color w:val="000000"/>
          <w:sz w:val="22"/>
          <w:szCs w:val="22"/>
        </w:rPr>
        <w:t xml:space="preserve">Artículo 7.- </w:t>
      </w:r>
      <w:r w:rsidRPr="009278B5">
        <w:rPr>
          <w:rFonts w:ascii="Palatino Linotype" w:hAnsi="Palatino Linotype"/>
          <w:bCs/>
          <w:sz w:val="22"/>
          <w:szCs w:val="22"/>
        </w:rPr>
        <w:t>Sustitúyase el artículo 5 de la Ordenanza No. 0027, sancionada el 02 de marzo de 2011, por el siguiente</w:t>
      </w:r>
      <w:r w:rsidRPr="009278B5">
        <w:rPr>
          <w:rFonts w:ascii="Palatino Linotype" w:hAnsi="Palatino Linotype"/>
          <w:sz w:val="22"/>
          <w:szCs w:val="22"/>
          <w:lang w:val="es-EC"/>
        </w:rPr>
        <w:t xml:space="preserve"> texto:</w:t>
      </w:r>
    </w:p>
    <w:p w:rsidR="00B97C65" w:rsidRPr="009278B5" w:rsidRDefault="00B97C65" w:rsidP="00410D05">
      <w:pPr>
        <w:spacing w:after="120" w:line="276" w:lineRule="auto"/>
        <w:ind w:left="708"/>
        <w:jc w:val="both"/>
        <w:rPr>
          <w:rFonts w:ascii="Palatino Linotype" w:hAnsi="Palatino Linotype"/>
          <w:bCs/>
          <w:i/>
          <w:sz w:val="22"/>
          <w:szCs w:val="22"/>
        </w:rPr>
      </w:pPr>
      <w:r w:rsidRPr="009278B5">
        <w:rPr>
          <w:rFonts w:ascii="Palatino Linotype" w:hAnsi="Palatino Linotype"/>
          <w:b/>
          <w:i/>
          <w:sz w:val="22"/>
          <w:szCs w:val="22"/>
        </w:rPr>
        <w:t xml:space="preserve"> “Articulo 5.- </w:t>
      </w:r>
      <w:r w:rsidRPr="009278B5">
        <w:rPr>
          <w:rFonts w:ascii="Palatino Linotype" w:hAnsi="Palatino Linotype"/>
          <w:b/>
          <w:bCs/>
          <w:i/>
          <w:sz w:val="22"/>
          <w:szCs w:val="22"/>
        </w:rPr>
        <w:t xml:space="preserve">Informe Técnico de Evaluación de Riesgos de la Secretaría General de Seguridad y Gobernabilidad.-  </w:t>
      </w:r>
      <w:r w:rsidRPr="009278B5">
        <w:rPr>
          <w:rFonts w:ascii="Palatino Linotype" w:hAnsi="Palatino Linotype"/>
          <w:bCs/>
          <w:i/>
          <w:sz w:val="22"/>
          <w:szCs w:val="22"/>
        </w:rPr>
        <w:t>Los socios de la Cooperativa de Vivienda “Luchador Eloy Alfaro”, en liquidación,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y la Unidad Desconcentrada de Control de la Administración La Delicia</w:t>
      </w:r>
      <w:r w:rsidRPr="009278B5">
        <w:rPr>
          <w:rFonts w:ascii="Palatino Linotype" w:hAnsi="Palatino Linotype"/>
          <w:i/>
          <w:color w:val="2A2A2A"/>
          <w:sz w:val="22"/>
          <w:szCs w:val="22"/>
        </w:rPr>
        <w:t xml:space="preserve">, </w:t>
      </w:r>
      <w:r w:rsidRPr="009278B5">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B97C65" w:rsidRPr="009278B5" w:rsidRDefault="00B97C65" w:rsidP="00410D05">
      <w:pPr>
        <w:spacing w:after="120" w:line="276" w:lineRule="auto"/>
        <w:ind w:left="708"/>
        <w:jc w:val="both"/>
        <w:rPr>
          <w:rFonts w:ascii="Palatino Linotype" w:hAnsi="Palatino Linotype"/>
          <w:bCs/>
          <w:i/>
          <w:sz w:val="22"/>
          <w:szCs w:val="22"/>
        </w:rPr>
      </w:pPr>
      <w:r w:rsidRPr="009278B5">
        <w:rPr>
          <w:rFonts w:ascii="Palatino Linotype" w:hAnsi="Palatino Linotype"/>
          <w:bCs/>
          <w:i/>
          <w:sz w:val="22"/>
          <w:szCs w:val="22"/>
        </w:rPr>
        <w:t xml:space="preserve">La Agencia Metropolitana de Control realizará el seguimiento en la ejecución y avance de las obras de mitigación hasta la terminación de las mismas. </w:t>
      </w:r>
    </w:p>
    <w:p w:rsidR="00B97C65" w:rsidRPr="009278B5" w:rsidRDefault="00B97C65" w:rsidP="00410D05">
      <w:pPr>
        <w:tabs>
          <w:tab w:val="left" w:pos="4253"/>
          <w:tab w:val="center" w:pos="4394"/>
        </w:tabs>
        <w:spacing w:after="120" w:line="276" w:lineRule="auto"/>
        <w:ind w:left="708"/>
        <w:jc w:val="both"/>
        <w:rPr>
          <w:rFonts w:ascii="Palatino Linotype" w:hAnsi="Palatino Linotype"/>
          <w:i/>
          <w:sz w:val="22"/>
          <w:szCs w:val="22"/>
        </w:rPr>
      </w:pPr>
      <w:r w:rsidRPr="009278B5">
        <w:rPr>
          <w:rFonts w:ascii="Palatino Linotype" w:hAnsi="Palatino Linotype"/>
          <w:i/>
          <w:sz w:val="22"/>
          <w:szCs w:val="22"/>
        </w:rPr>
        <w:t>Los socios de la Cooperativa de Vivienda “Luchador Eloy Alfaro” en liquidación,</w:t>
      </w:r>
      <w:r w:rsidRPr="009278B5">
        <w:rPr>
          <w:rFonts w:ascii="Palatino Linotype" w:hAnsi="Palatino Linotype"/>
          <w:bCs/>
          <w:i/>
          <w:sz w:val="22"/>
          <w:szCs w:val="22"/>
        </w:rPr>
        <w:t xml:space="preserve"> deberán cumplir con lo </w:t>
      </w:r>
      <w:r w:rsidR="00410D05" w:rsidRPr="009278B5">
        <w:rPr>
          <w:rFonts w:ascii="Palatino Linotype" w:hAnsi="Palatino Linotype"/>
          <w:bCs/>
          <w:i/>
          <w:sz w:val="22"/>
          <w:szCs w:val="22"/>
        </w:rPr>
        <w:t>establecido dentro</w:t>
      </w:r>
      <w:r w:rsidRPr="009278B5">
        <w:rPr>
          <w:rFonts w:ascii="Palatino Linotype" w:hAnsi="Palatino Linotype"/>
          <w:bCs/>
          <w:i/>
          <w:sz w:val="22"/>
          <w:szCs w:val="22"/>
        </w:rPr>
        <w:t xml:space="preserve"> de la calificación del riesgo y acatar las recomendaciones que se encuentran determinadas en el informe de la Dirección Metropolitana de Gestión de </w:t>
      </w:r>
      <w:r w:rsidRPr="009278B5">
        <w:rPr>
          <w:rFonts w:ascii="Palatino Linotype" w:hAnsi="Palatino Linotype"/>
          <w:bCs/>
          <w:i/>
          <w:sz w:val="22"/>
          <w:szCs w:val="22"/>
        </w:rPr>
        <w:lastRenderedPageBreak/>
        <w:t>Riesgos No. 222 AT-DMGR-2016</w:t>
      </w:r>
      <w:r w:rsidR="00410D05">
        <w:rPr>
          <w:rFonts w:ascii="Palatino Linotype" w:hAnsi="Palatino Linotype"/>
          <w:bCs/>
          <w:i/>
          <w:sz w:val="22"/>
          <w:szCs w:val="22"/>
        </w:rPr>
        <w:t>, de fecha 30</w:t>
      </w:r>
      <w:r w:rsidRPr="009278B5">
        <w:rPr>
          <w:rFonts w:ascii="Palatino Linotype" w:hAnsi="Palatino Linotype"/>
          <w:bCs/>
          <w:i/>
          <w:sz w:val="22"/>
          <w:szCs w:val="22"/>
        </w:rPr>
        <w:t xml:space="preserve"> de </w:t>
      </w:r>
      <w:r w:rsidR="00410D05">
        <w:rPr>
          <w:rFonts w:ascii="Palatino Linotype" w:hAnsi="Palatino Linotype"/>
          <w:bCs/>
          <w:i/>
          <w:sz w:val="22"/>
          <w:szCs w:val="22"/>
        </w:rPr>
        <w:t>noviembre de 2016</w:t>
      </w:r>
      <w:r w:rsidRPr="009278B5">
        <w:rPr>
          <w:rFonts w:ascii="Palatino Linotype" w:hAnsi="Palatino Linotype"/>
          <w:bCs/>
          <w:i/>
          <w:sz w:val="22"/>
          <w:szCs w:val="22"/>
        </w:rPr>
        <w:t>, el mismo establece que:</w:t>
      </w:r>
      <w:r w:rsidRPr="009278B5">
        <w:rPr>
          <w:rFonts w:ascii="Palatino Linotype" w:hAnsi="Palatino Linotype"/>
          <w:i/>
          <w:sz w:val="22"/>
          <w:szCs w:val="22"/>
        </w:rPr>
        <w:t xml:space="preserve"> </w:t>
      </w:r>
    </w:p>
    <w:p w:rsidR="00B97C65" w:rsidRPr="009278B5" w:rsidRDefault="00B97C65" w:rsidP="00410D05">
      <w:pPr>
        <w:spacing w:after="120" w:line="276" w:lineRule="auto"/>
        <w:ind w:left="708"/>
        <w:rPr>
          <w:rFonts w:ascii="Palatino Linotype" w:hAnsi="Palatino Linotype"/>
          <w:b/>
          <w:i/>
          <w:sz w:val="22"/>
          <w:szCs w:val="22"/>
          <w:lang w:eastAsia="en-US"/>
        </w:rPr>
      </w:pPr>
      <w:r w:rsidRPr="009278B5">
        <w:rPr>
          <w:rFonts w:ascii="Palatino Linotype" w:hAnsi="Palatino Linotype"/>
          <w:b/>
          <w:i/>
          <w:sz w:val="22"/>
          <w:szCs w:val="22"/>
          <w:lang w:eastAsia="en-US"/>
        </w:rPr>
        <w:t>“6 CALIFICACIÓN DEL RIESGO</w:t>
      </w:r>
    </w:p>
    <w:p w:rsidR="00B97C65" w:rsidRPr="009278B5" w:rsidRDefault="00B97C65" w:rsidP="00410D05">
      <w:pPr>
        <w:spacing w:after="120" w:line="276" w:lineRule="auto"/>
        <w:ind w:left="1140"/>
        <w:jc w:val="both"/>
        <w:rPr>
          <w:rFonts w:ascii="Palatino Linotype" w:hAnsi="Palatino Linotype"/>
          <w:i/>
          <w:sz w:val="22"/>
          <w:szCs w:val="22"/>
          <w:lang w:eastAsia="en-US"/>
        </w:rPr>
      </w:pPr>
      <w:r w:rsidRPr="009278B5">
        <w:rPr>
          <w:rFonts w:ascii="Palatino Linotype" w:hAnsi="Palatino Linotype"/>
          <w:i/>
          <w:sz w:val="22"/>
          <w:szCs w:val="22"/>
          <w:lang w:eastAsia="en-US"/>
        </w:rPr>
        <w:t>La zona en estudio, una vez realizada la inspección técnica al AHHYC cooperativa de vivienda “Luchador Eloy Alfaro” que se encuentra dentro de la Parroquia Comité del Pueblo, considerando las amenazas, elementos expuestos y vulnerabilidades se determina que:</w:t>
      </w:r>
    </w:p>
    <w:p w:rsidR="00B97C65" w:rsidRPr="009278B5" w:rsidRDefault="00B97C65" w:rsidP="00410D05">
      <w:pPr>
        <w:spacing w:after="120" w:line="276" w:lineRule="auto"/>
        <w:ind w:left="1140"/>
        <w:jc w:val="both"/>
        <w:rPr>
          <w:rFonts w:ascii="Palatino Linotype" w:hAnsi="Palatino Linotype"/>
          <w:b/>
          <w:i/>
          <w:sz w:val="22"/>
          <w:szCs w:val="22"/>
          <w:lang w:eastAsia="en-US"/>
        </w:rPr>
      </w:pPr>
      <w:r w:rsidRPr="009278B5">
        <w:rPr>
          <w:rFonts w:ascii="Palatino Linotype" w:hAnsi="Palatino Linotype"/>
          <w:i/>
          <w:sz w:val="22"/>
          <w:szCs w:val="22"/>
          <w:lang w:eastAsia="en-US"/>
        </w:rPr>
        <w:t>De acuerdo a las condiciones morfológicas, litológicas y elementos expuestos se manifiesta que presenta un Riesgo</w:t>
      </w:r>
      <w:r w:rsidRPr="009278B5">
        <w:rPr>
          <w:rFonts w:ascii="Palatino Linotype" w:hAnsi="Palatino Linotype"/>
          <w:b/>
          <w:i/>
          <w:sz w:val="22"/>
          <w:szCs w:val="22"/>
          <w:lang w:eastAsia="en-US"/>
        </w:rPr>
        <w:t xml:space="preserve"> Moderado Mitigable </w:t>
      </w:r>
      <w:r w:rsidRPr="009278B5">
        <w:rPr>
          <w:rFonts w:ascii="Palatino Linotype" w:hAnsi="Palatino Linotype"/>
          <w:i/>
          <w:sz w:val="22"/>
          <w:szCs w:val="22"/>
          <w:lang w:eastAsia="en-US"/>
        </w:rPr>
        <w:t>frente a movimientos de remoción en masa</w:t>
      </w:r>
      <w:r w:rsidRPr="009278B5">
        <w:rPr>
          <w:rFonts w:ascii="Palatino Linotype" w:hAnsi="Palatino Linotype"/>
          <w:b/>
          <w:i/>
          <w:sz w:val="22"/>
          <w:szCs w:val="22"/>
          <w:lang w:eastAsia="en-US"/>
        </w:rPr>
        <w:t>.</w:t>
      </w:r>
    </w:p>
    <w:p w:rsidR="00B97C65" w:rsidRPr="009278B5" w:rsidRDefault="00B97C65" w:rsidP="00410D05">
      <w:pPr>
        <w:spacing w:after="120" w:line="276" w:lineRule="auto"/>
        <w:ind w:left="1140"/>
        <w:jc w:val="both"/>
        <w:rPr>
          <w:rFonts w:ascii="Palatino Linotype" w:hAnsi="Palatino Linotype"/>
          <w:i/>
          <w:sz w:val="22"/>
          <w:szCs w:val="22"/>
          <w:lang w:eastAsia="en-US"/>
        </w:rPr>
      </w:pPr>
      <w:r w:rsidRPr="009278B5">
        <w:rPr>
          <w:rFonts w:ascii="Palatino Linotype" w:hAnsi="Palatino Linotype"/>
          <w:i/>
          <w:sz w:val="22"/>
          <w:szCs w:val="22"/>
          <w:lang w:eastAsia="en-US"/>
        </w:rPr>
        <w:t xml:space="preserve">Con respecto a la amenaza sísmica el AHHYC cooperativa de vivienda “Luchador Eloy Alfaro” que se encuentra dentro de la Parroquia Comité del Pueblo, presenta un nivel de riesgo </w:t>
      </w:r>
      <w:r w:rsidRPr="009278B5">
        <w:rPr>
          <w:rFonts w:ascii="Palatino Linotype" w:hAnsi="Palatino Linotype"/>
          <w:b/>
          <w:i/>
          <w:sz w:val="22"/>
          <w:szCs w:val="22"/>
          <w:lang w:eastAsia="en-US"/>
        </w:rPr>
        <w:t>Moderado</w:t>
      </w:r>
      <w:r w:rsidRPr="009278B5">
        <w:rPr>
          <w:rFonts w:ascii="Palatino Linotype" w:hAnsi="Palatino Linotype"/>
          <w:i/>
          <w:sz w:val="22"/>
          <w:szCs w:val="22"/>
          <w:lang w:eastAsia="en-US"/>
        </w:rPr>
        <w:t xml:space="preserve"> por cuanto al ser construcciones informales, no cumplen la NEC y se consideran viviendas con vulnerabilidad estructural.</w:t>
      </w:r>
    </w:p>
    <w:p w:rsidR="00B97C65" w:rsidRPr="009278B5" w:rsidRDefault="00B97C65" w:rsidP="00410D05">
      <w:pPr>
        <w:spacing w:after="120" w:line="276" w:lineRule="auto"/>
        <w:ind w:left="1140"/>
        <w:jc w:val="both"/>
        <w:rPr>
          <w:rFonts w:ascii="Palatino Linotype" w:hAnsi="Palatino Linotype"/>
          <w:i/>
          <w:sz w:val="22"/>
          <w:szCs w:val="22"/>
          <w:lang w:eastAsia="en-US"/>
        </w:rPr>
      </w:pPr>
      <w:r w:rsidRPr="009278B5">
        <w:rPr>
          <w:rFonts w:ascii="Palatino Linotype" w:hAnsi="Palatino Linotype"/>
          <w:i/>
          <w:sz w:val="22"/>
          <w:szCs w:val="22"/>
          <w:lang w:eastAsia="en-US"/>
        </w:rPr>
        <w:t xml:space="preserve">Adicionalmente, con respecto a la amenaza volcánica el AHHYC cooperativa de vivienda “Luchador Eloy Alfaro” que se encuentra dentro de la Parroquia Comité del Pueblo, presenta un nivel de riesgo </w:t>
      </w:r>
      <w:r w:rsidRPr="009278B5">
        <w:rPr>
          <w:rFonts w:ascii="Palatino Linotype" w:hAnsi="Palatino Linotype"/>
          <w:b/>
          <w:i/>
          <w:sz w:val="22"/>
          <w:szCs w:val="22"/>
          <w:lang w:eastAsia="en-US"/>
        </w:rPr>
        <w:t xml:space="preserve">Alto </w:t>
      </w:r>
      <w:r w:rsidRPr="009278B5">
        <w:rPr>
          <w:rFonts w:ascii="Palatino Linotype" w:hAnsi="Palatino Linotype"/>
          <w:i/>
          <w:sz w:val="22"/>
          <w:szCs w:val="22"/>
          <w:lang w:eastAsia="en-US"/>
        </w:rPr>
        <w:t>por la probable caída ceniza, lapilli de los volcanes descritos, dependiendo de la dirección del viento.</w:t>
      </w:r>
    </w:p>
    <w:p w:rsidR="00B97C65" w:rsidRPr="009278B5" w:rsidRDefault="00B97C65" w:rsidP="00410D05">
      <w:pPr>
        <w:spacing w:after="120" w:line="276" w:lineRule="auto"/>
        <w:ind w:left="1140"/>
        <w:jc w:val="both"/>
        <w:rPr>
          <w:rFonts w:ascii="Palatino Linotype" w:hAnsi="Palatino Linotype"/>
          <w:bCs/>
          <w:i/>
          <w:sz w:val="22"/>
          <w:szCs w:val="22"/>
          <w:lang w:eastAsia="en-US"/>
        </w:rPr>
      </w:pPr>
      <w:r w:rsidRPr="009278B5">
        <w:rPr>
          <w:rFonts w:ascii="Palatino Linotype" w:hAnsi="Palatino Linotype"/>
          <w:bCs/>
          <w:i/>
          <w:sz w:val="22"/>
          <w:szCs w:val="22"/>
          <w:lang w:eastAsia="en-US"/>
        </w:rPr>
        <w:t xml:space="preserve">La calificación de la evaluación de la condición del riesgo está dada en base a la probabilidad de ocurrencia de eventos adversos y a las perdidas con su consecuente afectación. </w:t>
      </w:r>
      <w:r w:rsidRPr="009278B5">
        <w:rPr>
          <w:rFonts w:ascii="Palatino Linotype" w:hAnsi="Palatino Linotype"/>
          <w:i/>
          <w:sz w:val="22"/>
          <w:szCs w:val="22"/>
          <w:lang w:eastAsia="en-US"/>
        </w:rPr>
        <w:t xml:space="preserve">Por lo tanto, desde el análisis de la DMGR se expresa que es </w:t>
      </w:r>
      <w:r w:rsidRPr="009278B5">
        <w:rPr>
          <w:rFonts w:ascii="Palatino Linotype" w:hAnsi="Palatino Linotype"/>
          <w:b/>
          <w:i/>
          <w:sz w:val="22"/>
          <w:szCs w:val="22"/>
          <w:lang w:eastAsia="en-US"/>
        </w:rPr>
        <w:t>Factible</w:t>
      </w:r>
      <w:r w:rsidRPr="009278B5">
        <w:rPr>
          <w:rFonts w:ascii="Palatino Linotype" w:hAnsi="Palatino Linotype"/>
          <w:i/>
          <w:sz w:val="22"/>
          <w:szCs w:val="22"/>
          <w:lang w:eastAsia="en-US"/>
        </w:rPr>
        <w:t xml:space="preserve"> continuar con el proceso de regularización del AHHYC. Ya que siguiendo </w:t>
      </w:r>
      <w:r w:rsidRPr="009278B5">
        <w:rPr>
          <w:rFonts w:ascii="Palatino Linotype" w:hAnsi="Palatino Linotype"/>
          <w:bCs/>
          <w:i/>
          <w:sz w:val="22"/>
          <w:szCs w:val="22"/>
          <w:lang w:eastAsia="en-US"/>
        </w:rPr>
        <w:t xml:space="preserve">las recomendaciones que se describen en este informe, contribuirá a garantizar la reducción del riesgo en la zona en análisis. </w:t>
      </w:r>
    </w:p>
    <w:p w:rsidR="00B97C65" w:rsidRPr="009278B5" w:rsidRDefault="00B97C65" w:rsidP="00410D05">
      <w:pPr>
        <w:spacing w:after="120" w:line="276" w:lineRule="auto"/>
        <w:ind w:left="708"/>
        <w:jc w:val="both"/>
        <w:rPr>
          <w:rFonts w:ascii="Palatino Linotype" w:hAnsi="Palatino Linotype"/>
          <w:b/>
          <w:bCs/>
          <w:i/>
          <w:sz w:val="22"/>
          <w:szCs w:val="22"/>
          <w:lang w:eastAsia="en-US"/>
        </w:rPr>
      </w:pPr>
      <w:r w:rsidRPr="009278B5">
        <w:rPr>
          <w:rFonts w:ascii="Palatino Linotype" w:hAnsi="Palatino Linotype"/>
          <w:b/>
          <w:bCs/>
          <w:i/>
          <w:sz w:val="22"/>
          <w:szCs w:val="22"/>
          <w:lang w:eastAsia="en-US"/>
        </w:rPr>
        <w:t>7 RECOMENDACIONES</w:t>
      </w:r>
    </w:p>
    <w:p w:rsidR="00B97C65" w:rsidRPr="009278B5" w:rsidRDefault="00B97C65" w:rsidP="00410D05">
      <w:pPr>
        <w:spacing w:after="120" w:line="276" w:lineRule="auto"/>
        <w:ind w:left="708"/>
        <w:rPr>
          <w:rFonts w:ascii="Palatino Linotype" w:hAnsi="Palatino Linotype"/>
          <w:b/>
          <w:bCs/>
          <w:i/>
          <w:sz w:val="22"/>
          <w:szCs w:val="22"/>
          <w:lang w:eastAsia="en-US"/>
        </w:rPr>
      </w:pPr>
      <w:r w:rsidRPr="009278B5">
        <w:rPr>
          <w:rFonts w:ascii="Palatino Linotype" w:hAnsi="Palatino Linotype"/>
          <w:b/>
          <w:bCs/>
          <w:i/>
          <w:sz w:val="22"/>
          <w:szCs w:val="22"/>
          <w:lang w:eastAsia="en-US"/>
        </w:rPr>
        <w:t>NORMATIVA VIGENTE:</w:t>
      </w:r>
    </w:p>
    <w:p w:rsidR="00B97C65" w:rsidRPr="009278B5" w:rsidRDefault="00B97C65" w:rsidP="00410D05">
      <w:pPr>
        <w:spacing w:after="120" w:line="276" w:lineRule="auto"/>
        <w:ind w:left="708"/>
        <w:jc w:val="both"/>
        <w:rPr>
          <w:rFonts w:ascii="Palatino Linotype" w:hAnsi="Palatino Linotype"/>
          <w:i/>
          <w:color w:val="000000"/>
          <w:sz w:val="22"/>
          <w:szCs w:val="22"/>
        </w:rPr>
      </w:pPr>
      <w:r w:rsidRPr="009278B5">
        <w:rPr>
          <w:rFonts w:ascii="Palatino Linotype" w:hAnsi="Palatino Linotype"/>
          <w:i/>
          <w:color w:val="000000"/>
          <w:sz w:val="22"/>
          <w:szCs w:val="22"/>
        </w:rPr>
        <w:t xml:space="preserve">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 </w:t>
      </w:r>
    </w:p>
    <w:p w:rsidR="00B97C65" w:rsidRPr="009278B5" w:rsidRDefault="00750082" w:rsidP="00410D05">
      <w:pPr>
        <w:numPr>
          <w:ilvl w:val="0"/>
          <w:numId w:val="11"/>
        </w:numPr>
        <w:spacing w:after="120" w:line="276" w:lineRule="auto"/>
        <w:ind w:left="1428"/>
        <w:contextualSpacing/>
        <w:jc w:val="both"/>
        <w:rPr>
          <w:rFonts w:ascii="Palatino Linotype" w:eastAsia="Calibri" w:hAnsi="Palatino Linotype"/>
          <w:bCs/>
          <w:i/>
          <w:sz w:val="22"/>
          <w:szCs w:val="22"/>
          <w:lang w:eastAsia="en-US"/>
        </w:rPr>
      </w:pPr>
      <w:r>
        <w:rPr>
          <w:rFonts w:ascii="Palatino Linotype" w:eastAsia="Calibri" w:hAnsi="Palatino Linotype"/>
          <w:bCs/>
          <w:i/>
          <w:sz w:val="22"/>
          <w:szCs w:val="22"/>
          <w:lang w:eastAsia="en-US"/>
        </w:rPr>
        <w:t>Tomar en cuenta el a</w:t>
      </w:r>
      <w:r w:rsidR="00B97C65" w:rsidRPr="009278B5">
        <w:rPr>
          <w:rFonts w:ascii="Palatino Linotype" w:eastAsia="Calibri" w:hAnsi="Palatino Linotype"/>
          <w:bCs/>
          <w:i/>
          <w:sz w:val="22"/>
          <w:szCs w:val="22"/>
          <w:lang w:eastAsia="en-US"/>
        </w:rPr>
        <w:t>rtículo 264 de la Constitución de la República del Ecuador dispone:</w:t>
      </w:r>
    </w:p>
    <w:p w:rsidR="00B97C65" w:rsidRPr="009278B5" w:rsidRDefault="00B97C65" w:rsidP="00410D05">
      <w:pPr>
        <w:spacing w:after="120" w:line="276" w:lineRule="auto"/>
        <w:ind w:left="1428"/>
        <w:contextualSpacing/>
        <w:jc w:val="both"/>
        <w:rPr>
          <w:rFonts w:ascii="Palatino Linotype" w:eastAsia="Calibri" w:hAnsi="Palatino Linotype"/>
          <w:i/>
          <w:sz w:val="22"/>
          <w:szCs w:val="22"/>
          <w:lang w:eastAsia="en-US"/>
        </w:rPr>
      </w:pPr>
      <w:r w:rsidRPr="009278B5">
        <w:rPr>
          <w:rFonts w:ascii="Palatino Linotype" w:eastAsia="Calibri" w:hAnsi="Palatino Linotype"/>
          <w:i/>
          <w:sz w:val="22"/>
          <w:szCs w:val="22"/>
          <w:lang w:eastAsia="en-US"/>
        </w:rPr>
        <w:lastRenderedPageBreak/>
        <w:t xml:space="preserve">Los gobiernos municipales tendrán las siguientes competencias exclusivas sin perjuicio de otras que determine la ley: </w:t>
      </w:r>
    </w:p>
    <w:p w:rsidR="00B97C65" w:rsidRPr="009278B5" w:rsidRDefault="00B97C65" w:rsidP="00410D05">
      <w:pPr>
        <w:spacing w:after="120" w:line="276" w:lineRule="auto"/>
        <w:ind w:left="1428"/>
        <w:contextualSpacing/>
        <w:jc w:val="both"/>
        <w:rPr>
          <w:rFonts w:ascii="Palatino Linotype" w:eastAsia="Calibri" w:hAnsi="Palatino Linotype"/>
          <w:i/>
          <w:sz w:val="22"/>
          <w:szCs w:val="22"/>
          <w:lang w:eastAsia="en-US"/>
        </w:rPr>
      </w:pPr>
      <w:r w:rsidRPr="009278B5">
        <w:rPr>
          <w:rFonts w:ascii="Palatino Linotype" w:eastAsia="Calibri" w:hAnsi="Palatino Linotype"/>
          <w:i/>
          <w:sz w:val="22"/>
          <w:szCs w:val="22"/>
          <w:lang w:eastAsia="en-US"/>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p>
    <w:p w:rsidR="00B97C65" w:rsidRPr="009278B5" w:rsidRDefault="00B97C65" w:rsidP="00410D05">
      <w:pPr>
        <w:spacing w:after="120" w:line="276" w:lineRule="auto"/>
        <w:ind w:left="1428"/>
        <w:contextualSpacing/>
        <w:jc w:val="both"/>
        <w:rPr>
          <w:rFonts w:ascii="Palatino Linotype" w:eastAsia="Calibri" w:hAnsi="Palatino Linotype"/>
          <w:b/>
          <w:bCs/>
          <w:i/>
          <w:sz w:val="22"/>
          <w:szCs w:val="22"/>
          <w:lang w:eastAsia="en-US"/>
        </w:rPr>
      </w:pPr>
      <w:r w:rsidRPr="009278B5">
        <w:rPr>
          <w:rFonts w:ascii="Palatino Linotype" w:eastAsia="Calibri" w:hAnsi="Palatino Linotype"/>
          <w:i/>
          <w:sz w:val="22"/>
          <w:szCs w:val="22"/>
          <w:lang w:eastAsia="en-US"/>
        </w:rPr>
        <w:t>2. Ejercer el control sobre el uso y ocupación del suelo en el cantón</w:t>
      </w:r>
      <w:r w:rsidRPr="009278B5">
        <w:rPr>
          <w:rFonts w:ascii="Palatino Linotype" w:eastAsia="Calibri" w:hAnsi="Palatino Linotype"/>
          <w:b/>
          <w:bCs/>
          <w:i/>
          <w:sz w:val="22"/>
          <w:szCs w:val="22"/>
          <w:lang w:eastAsia="en-US"/>
        </w:rPr>
        <w:t>.</w:t>
      </w:r>
    </w:p>
    <w:p w:rsidR="00B97C65" w:rsidRPr="009278B5" w:rsidRDefault="00B97C65" w:rsidP="00410D05">
      <w:pPr>
        <w:spacing w:after="120" w:line="276" w:lineRule="auto"/>
        <w:ind w:left="1428"/>
        <w:contextualSpacing/>
        <w:jc w:val="both"/>
        <w:rPr>
          <w:rFonts w:ascii="Palatino Linotype" w:eastAsia="Calibri" w:hAnsi="Palatino Linotype"/>
          <w:b/>
          <w:bCs/>
          <w:i/>
          <w:sz w:val="22"/>
          <w:szCs w:val="22"/>
          <w:lang w:eastAsia="en-US"/>
        </w:rPr>
      </w:pPr>
    </w:p>
    <w:p w:rsidR="00B97C65" w:rsidRPr="009278B5" w:rsidRDefault="00B97C65" w:rsidP="00410D05">
      <w:pPr>
        <w:numPr>
          <w:ilvl w:val="0"/>
          <w:numId w:val="11"/>
        </w:numPr>
        <w:spacing w:after="120" w:line="276" w:lineRule="auto"/>
        <w:ind w:left="1428"/>
        <w:contextualSpacing/>
        <w:jc w:val="both"/>
        <w:rPr>
          <w:rFonts w:ascii="Palatino Linotype" w:eastAsia="Calibri" w:hAnsi="Palatino Linotype"/>
          <w:b/>
          <w:bCs/>
          <w:i/>
          <w:sz w:val="22"/>
          <w:szCs w:val="22"/>
          <w:lang w:eastAsia="en-US"/>
        </w:rPr>
      </w:pPr>
      <w:r w:rsidRPr="009278B5">
        <w:rPr>
          <w:rFonts w:ascii="Palatino Linotype" w:eastAsia="Calibri" w:hAnsi="Palatino Linotype"/>
          <w:bCs/>
          <w:i/>
          <w:sz w:val="22"/>
          <w:szCs w:val="22"/>
          <w:lang w:eastAsia="en-US"/>
        </w:rPr>
        <w:t xml:space="preserve">También considerar el Artículo 13.- de Ley Orgánica Reformatoria al COOTAD en su </w:t>
      </w:r>
      <w:r w:rsidR="00410D05">
        <w:rPr>
          <w:rFonts w:ascii="Palatino Linotype" w:eastAsia="Calibri" w:hAnsi="Palatino Linotype"/>
          <w:bCs/>
          <w:i/>
          <w:sz w:val="22"/>
          <w:szCs w:val="22"/>
          <w:lang w:eastAsia="en-US"/>
        </w:rPr>
        <w:t>a</w:t>
      </w:r>
      <w:r w:rsidRPr="009278B5">
        <w:rPr>
          <w:rFonts w:ascii="Palatino Linotype" w:eastAsia="Calibri" w:hAnsi="Palatino Linotype"/>
          <w:bCs/>
          <w:i/>
          <w:sz w:val="22"/>
          <w:szCs w:val="22"/>
          <w:lang w:eastAsia="en-US"/>
        </w:rPr>
        <w:t xml:space="preserve">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9278B5">
        <w:rPr>
          <w:rFonts w:ascii="Palatino Linotype" w:eastAsia="Calibri" w:hAnsi="Palatino Linotype"/>
          <w:b/>
          <w:bCs/>
          <w:i/>
          <w:sz w:val="22"/>
          <w:szCs w:val="22"/>
          <w:lang w:eastAsia="en-US"/>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B97C65" w:rsidRPr="009278B5" w:rsidRDefault="00B97C65" w:rsidP="00410D05">
      <w:pPr>
        <w:numPr>
          <w:ilvl w:val="0"/>
          <w:numId w:val="11"/>
        </w:numPr>
        <w:spacing w:after="120" w:line="276" w:lineRule="auto"/>
        <w:ind w:left="1428"/>
        <w:jc w:val="both"/>
        <w:rPr>
          <w:rFonts w:ascii="Palatino Linotype" w:eastAsia="Calibri" w:hAnsi="Palatino Linotype"/>
          <w:bCs/>
          <w:i/>
          <w:sz w:val="22"/>
          <w:szCs w:val="22"/>
          <w:lang w:eastAsia="en-US"/>
        </w:rPr>
      </w:pPr>
      <w:r w:rsidRPr="009278B5">
        <w:rPr>
          <w:rFonts w:ascii="Palatino Linotype" w:eastAsia="Calibri" w:hAnsi="Palatino Linotype"/>
          <w:bCs/>
          <w:i/>
          <w:sz w:val="22"/>
          <w:szCs w:val="22"/>
          <w:lang w:eastAsia="en-US"/>
        </w:rPr>
        <w:t>En el proyecto se debe respetar la normativa vigente de las Ordenanzas Metropolitanas de: aprobación de los Planes Metropolitanos de Ordenamiento Territorial, (PMOT</w:t>
      </w:r>
      <w:r w:rsidR="00410D05" w:rsidRPr="009278B5">
        <w:rPr>
          <w:rFonts w:ascii="Palatino Linotype" w:eastAsia="Calibri" w:hAnsi="Palatino Linotype"/>
          <w:bCs/>
          <w:i/>
          <w:sz w:val="22"/>
          <w:szCs w:val="22"/>
          <w:lang w:eastAsia="en-US"/>
        </w:rPr>
        <w:t>), Uso</w:t>
      </w:r>
      <w:r w:rsidRPr="009278B5">
        <w:rPr>
          <w:rFonts w:ascii="Palatino Linotype" w:eastAsia="Calibri" w:hAnsi="Palatino Linotype"/>
          <w:bCs/>
          <w:i/>
          <w:sz w:val="22"/>
          <w:szCs w:val="22"/>
          <w:lang w:eastAsia="en-US"/>
        </w:rPr>
        <w:t xml:space="preserve"> y Ocupación del Suelo, (PUOS) la Ordenanza </w:t>
      </w:r>
      <w:r w:rsidRPr="009278B5">
        <w:rPr>
          <w:rFonts w:ascii="Palatino Linotype" w:eastAsia="Calibri" w:hAnsi="Palatino Linotype"/>
          <w:i/>
          <w:sz w:val="22"/>
          <w:szCs w:val="22"/>
          <w:lang w:eastAsia="en-US"/>
        </w:rPr>
        <w:t>N</w:t>
      </w:r>
      <w:r w:rsidR="00410D05">
        <w:rPr>
          <w:rFonts w:ascii="Palatino Linotype" w:eastAsia="Calibri" w:hAnsi="Palatino Linotype"/>
          <w:i/>
          <w:sz w:val="22"/>
          <w:szCs w:val="22"/>
          <w:lang w:eastAsia="en-US"/>
        </w:rPr>
        <w:t xml:space="preserve">o. </w:t>
      </w:r>
      <w:r w:rsidRPr="009278B5">
        <w:rPr>
          <w:rFonts w:ascii="Palatino Linotype" w:eastAsia="Calibri" w:hAnsi="Palatino Linotype"/>
          <w:bCs/>
          <w:i/>
          <w:sz w:val="22"/>
          <w:szCs w:val="22"/>
          <w:lang w:eastAsia="en-US"/>
        </w:rPr>
        <w:t xml:space="preserve">127 del 25 de julio del 2016 y Régimen Administrativo del Suelo en el D.M.Q. (Ordenanza Metropolitana </w:t>
      </w:r>
      <w:r w:rsidR="00410D05">
        <w:rPr>
          <w:rFonts w:ascii="Palatino Linotype" w:eastAsia="Calibri" w:hAnsi="Palatino Linotype"/>
          <w:i/>
          <w:sz w:val="22"/>
          <w:szCs w:val="22"/>
          <w:lang w:eastAsia="en-US"/>
        </w:rPr>
        <w:t xml:space="preserve">No. </w:t>
      </w:r>
      <w:r w:rsidRPr="009278B5">
        <w:rPr>
          <w:rFonts w:ascii="Palatino Linotype" w:eastAsia="Calibri" w:hAnsi="Palatino Linotype"/>
          <w:bCs/>
          <w:i/>
          <w:sz w:val="22"/>
          <w:szCs w:val="22"/>
          <w:lang w:eastAsia="en-US"/>
        </w:rPr>
        <w:t>447, ordenanza N</w:t>
      </w:r>
      <w:r w:rsidR="00410D05">
        <w:rPr>
          <w:rFonts w:ascii="Palatino Linotype" w:eastAsia="Calibri" w:hAnsi="Palatino Linotype"/>
          <w:bCs/>
          <w:i/>
          <w:sz w:val="22"/>
          <w:szCs w:val="22"/>
          <w:lang w:eastAsia="en-US"/>
        </w:rPr>
        <w:t xml:space="preserve">o. </w:t>
      </w:r>
      <w:r w:rsidRPr="009278B5">
        <w:rPr>
          <w:rFonts w:ascii="Palatino Linotype" w:eastAsia="Calibri" w:hAnsi="Palatino Linotype"/>
          <w:bCs/>
          <w:i/>
          <w:sz w:val="22"/>
          <w:szCs w:val="22"/>
          <w:lang w:eastAsia="en-US"/>
        </w:rPr>
        <w:t>041 y su modificatoria N</w:t>
      </w:r>
      <w:r w:rsidR="00410D05">
        <w:rPr>
          <w:rFonts w:ascii="Palatino Linotype" w:eastAsia="Calibri" w:hAnsi="Palatino Linotype"/>
          <w:bCs/>
          <w:i/>
          <w:sz w:val="22"/>
          <w:szCs w:val="22"/>
          <w:lang w:eastAsia="en-US"/>
        </w:rPr>
        <w:t xml:space="preserve">o. </w:t>
      </w:r>
      <w:r w:rsidRPr="009278B5">
        <w:rPr>
          <w:rFonts w:ascii="Palatino Linotype" w:eastAsia="Calibri" w:hAnsi="Palatino Linotype"/>
          <w:bCs/>
          <w:i/>
          <w:sz w:val="22"/>
          <w:szCs w:val="22"/>
          <w:lang w:eastAsia="en-US"/>
        </w:rPr>
        <w:t xml:space="preserve">0127 y ordenanza </w:t>
      </w:r>
      <w:r w:rsidRPr="009278B5">
        <w:rPr>
          <w:rFonts w:ascii="Palatino Linotype" w:eastAsia="Calibri" w:hAnsi="Palatino Linotype"/>
          <w:i/>
          <w:sz w:val="22"/>
          <w:szCs w:val="22"/>
          <w:lang w:eastAsia="en-US"/>
        </w:rPr>
        <w:t>N</w:t>
      </w:r>
      <w:r w:rsidR="00410D05">
        <w:rPr>
          <w:rFonts w:ascii="Palatino Linotype" w:eastAsia="Calibri" w:hAnsi="Palatino Linotype"/>
          <w:i/>
          <w:sz w:val="22"/>
          <w:szCs w:val="22"/>
          <w:lang w:eastAsia="en-US"/>
        </w:rPr>
        <w:t xml:space="preserve">o. </w:t>
      </w:r>
      <w:r w:rsidRPr="009278B5">
        <w:rPr>
          <w:rFonts w:ascii="Palatino Linotype" w:eastAsia="Calibri" w:hAnsi="Palatino Linotype"/>
          <w:bCs/>
          <w:i/>
          <w:sz w:val="22"/>
          <w:szCs w:val="22"/>
          <w:lang w:eastAsia="en-US"/>
        </w:rPr>
        <w:t xml:space="preserve">172 y su Reformatoria </w:t>
      </w:r>
      <w:r w:rsidRPr="009278B5">
        <w:rPr>
          <w:rFonts w:ascii="Palatino Linotype" w:eastAsia="Calibri" w:hAnsi="Palatino Linotype"/>
          <w:i/>
          <w:sz w:val="22"/>
          <w:szCs w:val="22"/>
          <w:lang w:eastAsia="en-US"/>
        </w:rPr>
        <w:t>N</w:t>
      </w:r>
      <w:r w:rsidR="00410D05">
        <w:rPr>
          <w:rFonts w:ascii="Palatino Linotype" w:eastAsia="Calibri" w:hAnsi="Palatino Linotype"/>
          <w:i/>
          <w:sz w:val="22"/>
          <w:szCs w:val="22"/>
          <w:lang w:eastAsia="en-US"/>
        </w:rPr>
        <w:t>o</w:t>
      </w:r>
      <w:r w:rsidRPr="009278B5">
        <w:rPr>
          <w:rFonts w:ascii="Palatino Linotype" w:eastAsia="Calibri" w:hAnsi="Palatino Linotype"/>
          <w:i/>
          <w:sz w:val="22"/>
          <w:szCs w:val="22"/>
          <w:lang w:eastAsia="en-US"/>
        </w:rPr>
        <w:t>.</w:t>
      </w:r>
      <w:r w:rsidR="00410D05">
        <w:rPr>
          <w:rFonts w:ascii="Palatino Linotype" w:eastAsia="Calibri" w:hAnsi="Palatino Linotype"/>
          <w:i/>
          <w:sz w:val="22"/>
          <w:szCs w:val="22"/>
          <w:lang w:eastAsia="en-US"/>
        </w:rPr>
        <w:t xml:space="preserve"> </w:t>
      </w:r>
      <w:r w:rsidRPr="009278B5">
        <w:rPr>
          <w:rFonts w:ascii="Palatino Linotype" w:eastAsia="Calibri" w:hAnsi="Palatino Linotype"/>
          <w:bCs/>
          <w:i/>
          <w:sz w:val="22"/>
          <w:szCs w:val="22"/>
          <w:lang w:eastAsia="en-US"/>
        </w:rPr>
        <w:t>432)</w:t>
      </w:r>
    </w:p>
    <w:p w:rsidR="00B97C65" w:rsidRPr="009278B5" w:rsidRDefault="00B97C65" w:rsidP="00410D05">
      <w:pPr>
        <w:numPr>
          <w:ilvl w:val="0"/>
          <w:numId w:val="11"/>
        </w:numPr>
        <w:spacing w:after="120" w:line="276" w:lineRule="auto"/>
        <w:ind w:left="1428"/>
        <w:jc w:val="both"/>
        <w:rPr>
          <w:rFonts w:ascii="Palatino Linotype" w:eastAsia="Calibri" w:hAnsi="Palatino Linotype"/>
          <w:bCs/>
          <w:i/>
          <w:sz w:val="22"/>
          <w:szCs w:val="22"/>
          <w:lang w:eastAsia="en-US"/>
        </w:rPr>
      </w:pPr>
      <w:r w:rsidRPr="009278B5">
        <w:rPr>
          <w:rFonts w:ascii="Palatino Linotype" w:eastAsia="Calibri" w:hAnsi="Palatino Linotype"/>
          <w:bCs/>
          <w:i/>
          <w:sz w:val="22"/>
          <w:szCs w:val="22"/>
          <w:lang w:eastAsia="en-US"/>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B97C65" w:rsidRPr="009278B5" w:rsidRDefault="00B97C65" w:rsidP="00410D05">
      <w:pPr>
        <w:spacing w:after="120" w:line="276" w:lineRule="auto"/>
        <w:ind w:left="708"/>
        <w:jc w:val="both"/>
        <w:rPr>
          <w:rFonts w:ascii="Palatino Linotype" w:hAnsi="Palatino Linotype"/>
          <w:b/>
          <w:bCs/>
          <w:i/>
          <w:sz w:val="22"/>
          <w:szCs w:val="22"/>
          <w:lang w:eastAsia="en-US"/>
        </w:rPr>
      </w:pPr>
      <w:r w:rsidRPr="009278B5">
        <w:rPr>
          <w:rFonts w:ascii="Palatino Linotype" w:hAnsi="Palatino Linotype"/>
          <w:b/>
          <w:bCs/>
          <w:i/>
          <w:sz w:val="22"/>
          <w:szCs w:val="22"/>
          <w:lang w:eastAsia="en-US"/>
        </w:rPr>
        <w:t>PARA LAS CONSTRUCCIONES:</w:t>
      </w:r>
    </w:p>
    <w:p w:rsidR="00B97C65" w:rsidRPr="009278B5" w:rsidRDefault="00B97C65" w:rsidP="00410D05">
      <w:pPr>
        <w:numPr>
          <w:ilvl w:val="0"/>
          <w:numId w:val="8"/>
        </w:numPr>
        <w:spacing w:after="120" w:line="276" w:lineRule="auto"/>
        <w:ind w:left="1352"/>
        <w:jc w:val="both"/>
        <w:rPr>
          <w:rFonts w:ascii="Palatino Linotype" w:hAnsi="Palatino Linotype"/>
          <w:i/>
          <w:color w:val="000000"/>
          <w:sz w:val="22"/>
          <w:szCs w:val="22"/>
        </w:rPr>
      </w:pPr>
      <w:r w:rsidRPr="009278B5">
        <w:rPr>
          <w:rFonts w:ascii="Palatino Linotype" w:eastAsia="Calibri" w:hAnsi="Palatino Linotype"/>
          <w:bCs/>
          <w:i/>
          <w:sz w:val="22"/>
          <w:szCs w:val="22"/>
          <w:lang w:eastAsia="en-US"/>
        </w:rPr>
        <w:t xml:space="preserve">Después de la regularización de AHHHYC en las </w:t>
      </w:r>
      <w:r w:rsidRPr="009278B5">
        <w:rPr>
          <w:rFonts w:ascii="Palatino Linotype" w:eastAsia="Calibri" w:hAnsi="Palatino Linotype"/>
          <w:i/>
          <w:sz w:val="22"/>
          <w:szCs w:val="22"/>
          <w:lang w:eastAsia="en-US"/>
        </w:rPr>
        <w:t xml:space="preserve">edificaciones en proceso de construcción, aumento en planta o elevación y demás edificaciones dentro del área en análisis, que no dispongan de un diseño estructural o algún tipo de asesoría técnica, los propietarios deberán </w:t>
      </w:r>
      <w:r w:rsidRPr="009278B5">
        <w:rPr>
          <w:rFonts w:ascii="Palatino Linotype" w:eastAsia="Calibri" w:hAnsi="Palatino Linotype"/>
          <w:bCs/>
          <w:i/>
          <w:sz w:val="22"/>
          <w:szCs w:val="22"/>
          <w:lang w:eastAsia="en-US"/>
        </w:rPr>
        <w:t>contratar a un especialista (</w:t>
      </w:r>
      <w:r w:rsidRPr="009278B5">
        <w:rPr>
          <w:rFonts w:ascii="Palatino Linotype" w:eastAsia="Calibri" w:hAnsi="Palatino Linotype"/>
          <w:i/>
          <w:sz w:val="22"/>
          <w:szCs w:val="22"/>
          <w:lang w:eastAsia="en-US"/>
        </w:rPr>
        <w:t xml:space="preserve">Ingeniero Civil con experiencia </w:t>
      </w:r>
      <w:r w:rsidRPr="009278B5">
        <w:rPr>
          <w:rFonts w:ascii="Palatino Linotype" w:eastAsia="Calibri" w:hAnsi="Palatino Linotype"/>
          <w:i/>
          <w:sz w:val="22"/>
          <w:szCs w:val="22"/>
          <w:lang w:eastAsia="en-US"/>
        </w:rPr>
        <w:lastRenderedPageBreak/>
        <w:t xml:space="preserve">en Estructuras), para que se realice un estudio estructural y  </w:t>
      </w:r>
      <w:r w:rsidRPr="009278B5">
        <w:rPr>
          <w:rFonts w:ascii="Palatino Linotype" w:eastAsia="Calibri" w:hAnsi="Palatino Linotype"/>
          <w:bCs/>
          <w:i/>
          <w:sz w:val="22"/>
          <w:szCs w:val="22"/>
          <w:lang w:eastAsia="en-US"/>
        </w:rPr>
        <w:t>proponga una solución a cada caso, como puede ser un diseño estructural o un sistema de reforzamiento estructural en el caso de ameritarlo.</w:t>
      </w:r>
    </w:p>
    <w:p w:rsidR="00B97C65" w:rsidRPr="009278B5" w:rsidRDefault="00B97C65" w:rsidP="00410D05">
      <w:pPr>
        <w:numPr>
          <w:ilvl w:val="0"/>
          <w:numId w:val="8"/>
        </w:numPr>
        <w:spacing w:after="120" w:line="276" w:lineRule="auto"/>
        <w:ind w:left="1352"/>
        <w:jc w:val="both"/>
        <w:rPr>
          <w:rFonts w:ascii="Palatino Linotype" w:hAnsi="Palatino Linotype"/>
          <w:i/>
          <w:color w:val="000000"/>
          <w:sz w:val="22"/>
          <w:szCs w:val="22"/>
        </w:rPr>
      </w:pPr>
      <w:r w:rsidRPr="009278B5">
        <w:rPr>
          <w:rFonts w:ascii="Palatino Linotype" w:hAnsi="Palatino Linotype"/>
          <w:i/>
          <w:color w:val="000000"/>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Eugenio espejo que emiten los permisos de construcción, certificarán la prohibición correspondiente.</w:t>
      </w:r>
    </w:p>
    <w:p w:rsidR="00B97C65" w:rsidRPr="009278B5" w:rsidRDefault="00B97C65" w:rsidP="00410D05">
      <w:pPr>
        <w:numPr>
          <w:ilvl w:val="0"/>
          <w:numId w:val="8"/>
        </w:numPr>
        <w:spacing w:after="120" w:line="276" w:lineRule="auto"/>
        <w:ind w:left="1352"/>
        <w:jc w:val="both"/>
        <w:rPr>
          <w:rFonts w:ascii="Palatino Linotype" w:hAnsi="Palatino Linotype"/>
          <w:i/>
          <w:color w:val="000000"/>
          <w:sz w:val="22"/>
          <w:szCs w:val="22"/>
        </w:rPr>
      </w:pPr>
      <w:r w:rsidRPr="009278B5">
        <w:rPr>
          <w:rFonts w:ascii="Palatino Linotype" w:eastAsia="Calibri" w:hAnsi="Palatino Linotype"/>
          <w:bCs/>
          <w:i/>
          <w:sz w:val="22"/>
          <w:szCs w:val="22"/>
          <w:lang w:eastAsia="en-US"/>
        </w:rPr>
        <w:t xml:space="preserve">La Dirección Metropolitana de Gestión de Riesgos (DMGR) recomienda que en las edificaciones levantadas informalmente no se realice más ampliaciones verticales por cuanto se desconoce la capacidad portante del suelo y el sistema constructivo de cada una vivienda, ya que a futuro pueden tener problemas de resistencia y </w:t>
      </w:r>
      <w:r w:rsidR="00410D05" w:rsidRPr="009278B5">
        <w:rPr>
          <w:rFonts w:ascii="Palatino Linotype" w:eastAsia="Calibri" w:hAnsi="Palatino Linotype"/>
          <w:bCs/>
          <w:i/>
          <w:sz w:val="22"/>
          <w:szCs w:val="22"/>
          <w:lang w:eastAsia="en-US"/>
        </w:rPr>
        <w:t>seguridad, para</w:t>
      </w:r>
      <w:r w:rsidRPr="009278B5">
        <w:rPr>
          <w:rFonts w:ascii="Palatino Linotype" w:eastAsia="Calibri" w:hAnsi="Palatino Linotype"/>
          <w:bCs/>
          <w:i/>
          <w:sz w:val="22"/>
          <w:szCs w:val="22"/>
          <w:lang w:eastAsia="en-US"/>
        </w:rPr>
        <w:t xml:space="preserve"> lo cual la Agencia Metropolitana de Control deberá hacer cumplir la normativa vigente.</w:t>
      </w:r>
    </w:p>
    <w:p w:rsidR="00B97C65" w:rsidRPr="009278B5" w:rsidRDefault="00B97C65" w:rsidP="00410D05">
      <w:pPr>
        <w:spacing w:after="120" w:line="276" w:lineRule="auto"/>
        <w:ind w:left="708"/>
        <w:jc w:val="both"/>
        <w:rPr>
          <w:rFonts w:ascii="Palatino Linotype" w:hAnsi="Palatino Linotype"/>
          <w:b/>
          <w:bCs/>
          <w:i/>
          <w:sz w:val="22"/>
          <w:szCs w:val="22"/>
          <w:lang w:eastAsia="en-US"/>
        </w:rPr>
      </w:pPr>
      <w:r w:rsidRPr="009278B5">
        <w:rPr>
          <w:rFonts w:ascii="Palatino Linotype" w:hAnsi="Palatino Linotype"/>
          <w:b/>
          <w:bCs/>
          <w:i/>
          <w:sz w:val="22"/>
          <w:szCs w:val="22"/>
          <w:lang w:eastAsia="en-US"/>
        </w:rPr>
        <w:t>PARA LOS SUELOS O TERRENOS:</w:t>
      </w:r>
    </w:p>
    <w:p w:rsidR="00B97C65" w:rsidRPr="009278B5" w:rsidRDefault="00B97C65" w:rsidP="00410D05">
      <w:pPr>
        <w:numPr>
          <w:ilvl w:val="0"/>
          <w:numId w:val="8"/>
        </w:numPr>
        <w:spacing w:after="120" w:line="276" w:lineRule="auto"/>
        <w:ind w:left="1275" w:hanging="283"/>
        <w:jc w:val="both"/>
        <w:rPr>
          <w:rFonts w:ascii="Palatino Linotype" w:eastAsia="Calibri" w:hAnsi="Palatino Linotype"/>
          <w:bCs/>
          <w:i/>
          <w:sz w:val="22"/>
          <w:szCs w:val="22"/>
          <w:lang w:eastAsia="en-US"/>
        </w:rPr>
      </w:pPr>
      <w:r w:rsidRPr="009278B5">
        <w:rPr>
          <w:rFonts w:ascii="Palatino Linotype" w:hAnsi="Palatino Linotype"/>
          <w:i/>
          <w:color w:val="000000"/>
          <w:sz w:val="22"/>
          <w:szCs w:val="22"/>
        </w:rPr>
        <w:t>La Dirección Metropolitana de Gestión de Riesgos (DMGR) recomienda cumplir con la Ordenanza Metropolitana No. 0127, de 25 de julio de 2016, y su </w:t>
      </w:r>
      <w:r w:rsidRPr="009278B5">
        <w:rPr>
          <w:rFonts w:ascii="Palatino Linotype" w:hAnsi="Palatino Linotype"/>
          <w:i/>
          <w:iCs/>
          <w:color w:val="000000"/>
          <w:sz w:val="22"/>
          <w:szCs w:val="22"/>
        </w:rPr>
        <w:t>Anexo: Plan de Uso y Ocupación del Suelo (PUOS), sub numeral 1.3 RIESGOS.</w:t>
      </w:r>
    </w:p>
    <w:p w:rsidR="00B97C65" w:rsidRPr="009278B5" w:rsidRDefault="00B97C65" w:rsidP="00410D05">
      <w:pPr>
        <w:numPr>
          <w:ilvl w:val="0"/>
          <w:numId w:val="8"/>
        </w:numPr>
        <w:spacing w:after="120" w:line="276" w:lineRule="auto"/>
        <w:ind w:left="1275" w:hanging="283"/>
        <w:jc w:val="both"/>
        <w:rPr>
          <w:rFonts w:ascii="Palatino Linotype" w:eastAsia="Calibri" w:hAnsi="Palatino Linotype"/>
          <w:bCs/>
          <w:i/>
          <w:sz w:val="22"/>
          <w:szCs w:val="22"/>
          <w:lang w:eastAsia="en-US"/>
        </w:rPr>
      </w:pPr>
      <w:r w:rsidRPr="009278B5">
        <w:rPr>
          <w:rFonts w:ascii="Palatino Linotype" w:eastAsia="Calibri" w:hAnsi="Palatino Linotype"/>
          <w:bCs/>
          <w:i/>
          <w:sz w:val="22"/>
          <w:szCs w:val="22"/>
          <w:lang w:eastAsia="en-US"/>
        </w:rPr>
        <w:t>Durante el proceso de Regularización, para seguridad de la edificabilidad se debe realizar el estudio geológico y geotécnico del suelo (en varios perfiles), donde se establezca parámetros como cohesión, ángulo de fricción, capacidad portante o de carga, así como la estabilidad del terreno en zonas de mayor pendiente considerando distintos escenarios (saturación de agua y cargas dinámicas ejercidas por sismos) de manera que se proponga el diseño estructural  y la ejecución de las obras de mitigación que se requieran con un  profesional responsable a cargo deberá tener experiencia en estas obras de mitigación.</w:t>
      </w:r>
    </w:p>
    <w:p w:rsidR="00B97C65" w:rsidRPr="009278B5" w:rsidRDefault="00B97C65" w:rsidP="00410D05">
      <w:pPr>
        <w:numPr>
          <w:ilvl w:val="0"/>
          <w:numId w:val="8"/>
        </w:numPr>
        <w:spacing w:after="120" w:line="276" w:lineRule="auto"/>
        <w:ind w:left="1352"/>
        <w:jc w:val="both"/>
        <w:rPr>
          <w:rFonts w:ascii="Palatino Linotype" w:hAnsi="Palatino Linotype"/>
          <w:i/>
          <w:color w:val="000000"/>
          <w:sz w:val="22"/>
          <w:szCs w:val="22"/>
        </w:rPr>
      </w:pPr>
      <w:r w:rsidRPr="009278B5">
        <w:rPr>
          <w:rFonts w:ascii="Palatino Linotype" w:hAnsi="Palatino Linotype"/>
          <w:i/>
          <w:color w:val="000000"/>
          <w:sz w:val="22"/>
          <w:szCs w:val="22"/>
        </w:rPr>
        <w:t>Realizar un estudio técnico que determine las medidas de mitigación frente a la amenaza o amenazas identificadas en el sector, con los respectivos diseños estructurales de las obras planteadas, que deberán ser sustentadas mediante un estudio geotécnico del suelo; ya que l</w:t>
      </w:r>
      <w:r w:rsidRPr="009278B5">
        <w:rPr>
          <w:rFonts w:ascii="Palatino Linotype" w:eastAsia="Calibri" w:hAnsi="Palatino Linotype"/>
          <w:bCs/>
          <w:i/>
          <w:sz w:val="22"/>
          <w:szCs w:val="22"/>
          <w:lang w:eastAsia="en-US"/>
        </w:rPr>
        <w:t xml:space="preserve">a topografía del terreno ha sido alterada al realizar cortes y/o desbanques de tierra para implementar vías, caminos y construcciones, formando taludes verticales de alturas variables. Se recomienda que </w:t>
      </w:r>
      <w:r w:rsidRPr="009278B5">
        <w:rPr>
          <w:rFonts w:ascii="Palatino Linotype" w:eastAsia="Calibri" w:hAnsi="Palatino Linotype"/>
          <w:bCs/>
          <w:i/>
          <w:sz w:val="22"/>
          <w:szCs w:val="22"/>
          <w:lang w:eastAsia="en-US"/>
        </w:rPr>
        <w:lastRenderedPageBreak/>
        <w:t>la comunidad realice un estudio de estabilidad de taludes y ladera el cual deberá establecer el factor de seguridad en distintos escenarios que permitirá conocer las condiciones de mecánicas del suelo, estudios que serán validados posteriormente por la DMGR, debido a la característica litológica desfavorable y medianamente favorable que presenta la base de datos de la DMGR y que se observó en análisis de campo.</w:t>
      </w:r>
    </w:p>
    <w:p w:rsidR="00B97C65" w:rsidRPr="009278B5" w:rsidRDefault="00B97C65" w:rsidP="00410D05">
      <w:pPr>
        <w:numPr>
          <w:ilvl w:val="0"/>
          <w:numId w:val="8"/>
        </w:numPr>
        <w:spacing w:after="120" w:line="276" w:lineRule="auto"/>
        <w:ind w:left="1352"/>
        <w:jc w:val="both"/>
        <w:rPr>
          <w:rFonts w:ascii="Palatino Linotype" w:hAnsi="Palatino Linotype"/>
          <w:i/>
          <w:color w:val="000000"/>
          <w:sz w:val="22"/>
          <w:szCs w:val="22"/>
        </w:rPr>
      </w:pPr>
      <w:r w:rsidRPr="009278B5">
        <w:rPr>
          <w:rFonts w:ascii="Palatino Linotype" w:hAnsi="Palatino Linotype"/>
          <w:i/>
          <w:color w:val="000000"/>
          <w:sz w:val="22"/>
          <w:szCs w:val="22"/>
        </w:rPr>
        <w:t>En caso que los estudios técnicos establezcan que no se cumplen con las condiciones necesarias e indispensables para la habilitación de suelo y construcción, la administración zonal que emite los permisos de construcción, certificarán la prohibición correspondiente.</w:t>
      </w:r>
    </w:p>
    <w:p w:rsidR="00B97C65" w:rsidRPr="009278B5" w:rsidRDefault="00B97C65" w:rsidP="00410D05">
      <w:pPr>
        <w:numPr>
          <w:ilvl w:val="0"/>
          <w:numId w:val="8"/>
        </w:numPr>
        <w:spacing w:after="120" w:line="276" w:lineRule="auto"/>
        <w:ind w:left="1352"/>
        <w:jc w:val="both"/>
        <w:rPr>
          <w:rFonts w:ascii="Palatino Linotype" w:hAnsi="Palatino Linotype"/>
          <w:i/>
          <w:color w:val="000000"/>
          <w:sz w:val="22"/>
          <w:szCs w:val="22"/>
        </w:rPr>
      </w:pPr>
      <w:r w:rsidRPr="009278B5">
        <w:rPr>
          <w:rFonts w:ascii="Palatino Linotype" w:eastAsia="Calibri" w:hAnsi="Palatino Linotype"/>
          <w:bCs/>
          <w:i/>
          <w:sz w:val="22"/>
          <w:szCs w:val="22"/>
          <w:lang w:eastAsia="en-US"/>
        </w:rPr>
        <w:t>La Unidad Especial Regula Tu barrio de la Administración Zonal Eugenio Espejo deberá informar a la comunidad asentada en el área de</w:t>
      </w:r>
      <w:r w:rsidR="00410D05">
        <w:rPr>
          <w:rFonts w:ascii="Palatino Linotype" w:eastAsia="Calibri" w:hAnsi="Palatino Linotype"/>
          <w:bCs/>
          <w:i/>
          <w:sz w:val="22"/>
          <w:szCs w:val="22"/>
          <w:lang w:eastAsia="en-US"/>
        </w:rPr>
        <w:t xml:space="preserve"> análisis sobre su exposición a</w:t>
      </w:r>
      <w:r w:rsidRPr="009278B5">
        <w:rPr>
          <w:rFonts w:ascii="Palatino Linotype" w:eastAsia="Calibri" w:hAnsi="Palatino Linotype"/>
          <w:bCs/>
          <w:i/>
          <w:sz w:val="22"/>
          <w:szCs w:val="22"/>
          <w:lang w:eastAsia="en-US"/>
        </w:rPr>
        <w:t xml:space="preserve"> amenazas por eventos adversos (movimientos de masa, amenaza sísmica, amenaza volcánica); informar sobre la estabilidad geomorfológica para que los propietarios de los lotes sean conscientes de su exposición al riesgo evaluado y para que eviten la construcción de más edificaciones.</w:t>
      </w:r>
    </w:p>
    <w:p w:rsidR="00B97C65" w:rsidRPr="009278B5" w:rsidRDefault="00B97C65" w:rsidP="00410D05">
      <w:pPr>
        <w:numPr>
          <w:ilvl w:val="0"/>
          <w:numId w:val="8"/>
        </w:numPr>
        <w:spacing w:after="120" w:line="276" w:lineRule="auto"/>
        <w:ind w:left="1352"/>
        <w:jc w:val="both"/>
        <w:rPr>
          <w:rFonts w:ascii="Palatino Linotype" w:hAnsi="Palatino Linotype"/>
          <w:i/>
          <w:color w:val="000000"/>
          <w:sz w:val="22"/>
          <w:szCs w:val="22"/>
        </w:rPr>
      </w:pPr>
      <w:r w:rsidRPr="009278B5">
        <w:rPr>
          <w:rFonts w:ascii="Palatino Linotype" w:eastAsia="Calibri" w:hAnsi="Palatino Linotype"/>
          <w:bCs/>
          <w:i/>
          <w:sz w:val="22"/>
          <w:szCs w:val="22"/>
          <w:lang w:eastAsia="en-US"/>
        </w:rPr>
        <w:t>Conforme se puede evidenciar en la parte cartográfica del informe solicitado se debe tener especial consideración con los bordes de quebrada que se encuentra en el área de estudio por cuanto a futuro pueden causar hundimientos, deslizamientos por los procesos de erosión, reacomodo de material y/o asentamientos diferenciales que afectarían a las edificaciones que se levanten cerca a estos espacios y las edificaciones que ya se encuentran construidas cerca de esta zona.</w:t>
      </w:r>
    </w:p>
    <w:p w:rsidR="00B97C65" w:rsidRPr="009278B5" w:rsidRDefault="00B97C65" w:rsidP="00410D05">
      <w:pPr>
        <w:numPr>
          <w:ilvl w:val="0"/>
          <w:numId w:val="8"/>
        </w:numPr>
        <w:spacing w:after="120" w:line="276" w:lineRule="auto"/>
        <w:ind w:left="1422" w:hanging="357"/>
        <w:jc w:val="both"/>
        <w:rPr>
          <w:rFonts w:ascii="Palatino Linotype" w:eastAsia="Calibri" w:hAnsi="Palatino Linotype"/>
          <w:bCs/>
          <w:i/>
          <w:sz w:val="22"/>
          <w:szCs w:val="22"/>
          <w:lang w:eastAsia="en-US"/>
        </w:rPr>
      </w:pPr>
      <w:r w:rsidRPr="009278B5">
        <w:rPr>
          <w:rFonts w:ascii="Palatino Linotype" w:eastAsia="Calibri" w:hAnsi="Palatino Linotype"/>
          <w:bCs/>
          <w:i/>
          <w:sz w:val="22"/>
          <w:szCs w:val="22"/>
          <w:lang w:eastAsia="en-US"/>
        </w:rPr>
        <w:t>Existen dos taludes sin protección los cuales deben ser mitigados mediante la reforestación o la construcción de muros de contención, la actividad debe ser realizada por la comunidad con la supervisión de un profesional competente.</w:t>
      </w:r>
    </w:p>
    <w:p w:rsidR="00B97C65" w:rsidRPr="009278B5" w:rsidRDefault="00B97C65" w:rsidP="00410D05">
      <w:pPr>
        <w:numPr>
          <w:ilvl w:val="0"/>
          <w:numId w:val="8"/>
        </w:numPr>
        <w:spacing w:after="120" w:line="276" w:lineRule="auto"/>
        <w:ind w:left="1422" w:hanging="357"/>
        <w:jc w:val="both"/>
        <w:rPr>
          <w:rFonts w:ascii="Palatino Linotype" w:eastAsia="Calibri" w:hAnsi="Palatino Linotype"/>
          <w:bCs/>
          <w:i/>
          <w:sz w:val="22"/>
          <w:szCs w:val="22"/>
          <w:lang w:eastAsia="en-US"/>
        </w:rPr>
      </w:pPr>
      <w:r w:rsidRPr="009278B5">
        <w:rPr>
          <w:rFonts w:ascii="Palatino Linotype" w:eastAsia="Calibri" w:hAnsi="Palatino Linotype"/>
          <w:bCs/>
          <w:i/>
          <w:sz w:val="22"/>
          <w:szCs w:val="22"/>
          <w:lang w:eastAsia="en-US"/>
        </w:rPr>
        <w:t>Verificar la situación del lote 240, mismo que presenta dentro del plano estar edificado sobre un pasaje, además se debe observar la separación del borde de quebrada.</w:t>
      </w:r>
    </w:p>
    <w:p w:rsidR="00B97C65" w:rsidRPr="009278B5" w:rsidRDefault="00B97C65" w:rsidP="00410D05">
      <w:pPr>
        <w:numPr>
          <w:ilvl w:val="0"/>
          <w:numId w:val="8"/>
        </w:numPr>
        <w:spacing w:after="120" w:line="276" w:lineRule="auto"/>
        <w:ind w:left="1422" w:hanging="357"/>
        <w:jc w:val="both"/>
        <w:rPr>
          <w:rFonts w:ascii="Palatino Linotype" w:eastAsia="Calibri" w:hAnsi="Palatino Linotype"/>
          <w:bCs/>
          <w:i/>
          <w:sz w:val="22"/>
          <w:szCs w:val="22"/>
          <w:lang w:eastAsia="en-US"/>
        </w:rPr>
      </w:pPr>
      <w:r w:rsidRPr="009278B5">
        <w:rPr>
          <w:rFonts w:ascii="Palatino Linotype" w:hAnsi="Palatino Linotype"/>
          <w:bCs/>
          <w:i/>
          <w:sz w:val="22"/>
          <w:szCs w:val="22"/>
          <w:lang w:eastAsia="en-US"/>
        </w:rPr>
        <w:t xml:space="preserve">Posterior a la regularización del AHHYC y con trazado vial aprobado la EPMAPS podrá concluir el sistema de alcantarillado pluvial que evite la erosión del suelo por ser una zona que presenta inclinaciones, de esta forma </w:t>
      </w:r>
      <w:r w:rsidRPr="009278B5">
        <w:rPr>
          <w:rFonts w:ascii="Palatino Linotype" w:hAnsi="Palatino Linotype"/>
          <w:i/>
          <w:color w:val="000000"/>
          <w:sz w:val="22"/>
          <w:szCs w:val="22"/>
        </w:rPr>
        <w:t>mejorar las condiciones de vida de la población mediante los servicios descritos.</w:t>
      </w:r>
      <w:r w:rsidRPr="009278B5">
        <w:rPr>
          <w:rFonts w:ascii="Palatino Linotype" w:hAnsi="Palatino Linotype"/>
          <w:bCs/>
          <w:i/>
          <w:sz w:val="22"/>
          <w:szCs w:val="22"/>
          <w:lang w:eastAsia="en-US"/>
        </w:rPr>
        <w:t xml:space="preserve"> Acciones que restringirán la erosión del suelo en época de lluvia ya que esta recorre </w:t>
      </w:r>
      <w:r w:rsidR="00410D05" w:rsidRPr="009278B5">
        <w:rPr>
          <w:rFonts w:ascii="Palatino Linotype" w:hAnsi="Palatino Linotype"/>
          <w:bCs/>
          <w:i/>
          <w:sz w:val="22"/>
          <w:szCs w:val="22"/>
          <w:lang w:eastAsia="en-US"/>
        </w:rPr>
        <w:t>a favor</w:t>
      </w:r>
      <w:r w:rsidRPr="009278B5">
        <w:rPr>
          <w:rFonts w:ascii="Palatino Linotype" w:hAnsi="Palatino Linotype"/>
          <w:bCs/>
          <w:i/>
          <w:sz w:val="22"/>
          <w:szCs w:val="22"/>
          <w:lang w:eastAsia="en-US"/>
        </w:rPr>
        <w:t xml:space="preserve"> de la pendiente generando infiltración al terreno.</w:t>
      </w:r>
    </w:p>
    <w:p w:rsidR="00B97C65" w:rsidRPr="00A32052" w:rsidRDefault="00A32052" w:rsidP="00A32052">
      <w:pPr>
        <w:pStyle w:val="Prrafodelista"/>
        <w:spacing w:after="120" w:line="276" w:lineRule="auto"/>
        <w:ind w:left="720"/>
        <w:jc w:val="both"/>
        <w:rPr>
          <w:rFonts w:ascii="Palatino Linotype" w:eastAsia="Calibri" w:hAnsi="Palatino Linotype"/>
          <w:bCs/>
          <w:i/>
          <w:sz w:val="22"/>
          <w:szCs w:val="22"/>
          <w:lang w:eastAsia="en-US"/>
        </w:rPr>
      </w:pPr>
      <w:r w:rsidRPr="00A32052">
        <w:rPr>
          <w:rFonts w:ascii="Palatino Linotype" w:hAnsi="Palatino Linotype"/>
          <w:bCs/>
          <w:i/>
          <w:sz w:val="22"/>
          <w:szCs w:val="22"/>
        </w:rPr>
        <w:lastRenderedPageBreak/>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A32052">
        <w:rPr>
          <w:rFonts w:ascii="Palatino Linotype" w:hAnsi="Palatino Linotype"/>
          <w:i/>
          <w:sz w:val="22"/>
          <w:szCs w:val="22"/>
        </w:rPr>
        <w:t>que señalan las amenazas de origen natural o antrópico que pueden generar distintos niveles de riesgo que condicionen o limi</w:t>
      </w:r>
      <w:bookmarkStart w:id="0" w:name="_GoBack"/>
      <w:bookmarkEnd w:id="0"/>
      <w:r w:rsidRPr="00A32052">
        <w:rPr>
          <w:rFonts w:ascii="Palatino Linotype" w:hAnsi="Palatino Linotype"/>
          <w:i/>
          <w:sz w:val="22"/>
          <w:szCs w:val="22"/>
        </w:rPr>
        <w:t>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A32052">
        <w:rPr>
          <w:rFonts w:ascii="Palatino Linotype" w:hAnsi="Palatino Linotype"/>
          <w:bCs/>
          <w:i/>
          <w:sz w:val="22"/>
          <w:szCs w:val="22"/>
        </w:rPr>
        <w:t>.</w:t>
      </w:r>
      <w:r w:rsidR="00B97C65" w:rsidRPr="00A32052">
        <w:rPr>
          <w:rFonts w:ascii="Palatino Linotype" w:hAnsi="Palatino Linotype"/>
          <w:bCs/>
          <w:i/>
          <w:iCs/>
          <w:sz w:val="22"/>
          <w:szCs w:val="22"/>
        </w:rPr>
        <w:t>”</w:t>
      </w:r>
    </w:p>
    <w:p w:rsidR="00B97C65" w:rsidRPr="009278B5" w:rsidRDefault="00B97C65" w:rsidP="00B97C65">
      <w:pPr>
        <w:tabs>
          <w:tab w:val="left" w:pos="4253"/>
          <w:tab w:val="center" w:pos="4394"/>
        </w:tabs>
        <w:spacing w:after="120" w:line="276" w:lineRule="auto"/>
        <w:jc w:val="both"/>
        <w:rPr>
          <w:rFonts w:ascii="Palatino Linotype" w:hAnsi="Palatino Linotype"/>
          <w:bCs/>
          <w:sz w:val="22"/>
          <w:szCs w:val="22"/>
        </w:rPr>
      </w:pPr>
      <w:r w:rsidRPr="009278B5">
        <w:rPr>
          <w:rFonts w:ascii="Palatino Linotype" w:hAnsi="Palatino Linotype"/>
          <w:b/>
          <w:bCs/>
          <w:color w:val="000000"/>
          <w:sz w:val="22"/>
          <w:szCs w:val="22"/>
        </w:rPr>
        <w:t>Artíc</w:t>
      </w:r>
      <w:r w:rsidR="00410D05">
        <w:rPr>
          <w:rFonts w:ascii="Palatino Linotype" w:hAnsi="Palatino Linotype"/>
          <w:b/>
          <w:bCs/>
          <w:color w:val="000000"/>
          <w:sz w:val="22"/>
          <w:szCs w:val="22"/>
        </w:rPr>
        <w:t>u</w:t>
      </w:r>
      <w:r w:rsidRPr="009278B5">
        <w:rPr>
          <w:rFonts w:ascii="Palatino Linotype" w:hAnsi="Palatino Linotype"/>
          <w:b/>
          <w:bCs/>
          <w:color w:val="000000"/>
          <w:sz w:val="22"/>
          <w:szCs w:val="22"/>
        </w:rPr>
        <w:t xml:space="preserve">lo 8.- </w:t>
      </w:r>
      <w:r w:rsidRPr="009278B5">
        <w:rPr>
          <w:rFonts w:ascii="Palatino Linotype" w:hAnsi="Palatino Linotype"/>
          <w:bCs/>
          <w:sz w:val="22"/>
          <w:szCs w:val="22"/>
        </w:rPr>
        <w:t>Sustitúyase el artículo 6 de la Ordenanza No. 0027, sancionada el 02 de marzo de 2011, por el siguiente texto:</w:t>
      </w:r>
    </w:p>
    <w:p w:rsidR="00B97C65" w:rsidRPr="009278B5" w:rsidRDefault="00B97C65" w:rsidP="00410D05">
      <w:pPr>
        <w:spacing w:after="120" w:line="276" w:lineRule="auto"/>
        <w:ind w:left="708"/>
        <w:jc w:val="both"/>
        <w:rPr>
          <w:rFonts w:ascii="Palatino Linotype" w:hAnsi="Palatino Linotype"/>
          <w:i/>
          <w:sz w:val="22"/>
          <w:szCs w:val="22"/>
        </w:rPr>
      </w:pPr>
      <w:r w:rsidRPr="009278B5">
        <w:rPr>
          <w:rFonts w:ascii="Palatino Linotype" w:hAnsi="Palatino Linotype"/>
          <w:b/>
          <w:i/>
          <w:sz w:val="22"/>
          <w:szCs w:val="22"/>
        </w:rPr>
        <w:t>Articulo 6.-</w:t>
      </w:r>
      <w:r w:rsidRPr="009278B5">
        <w:rPr>
          <w:rFonts w:ascii="Palatino Linotype" w:hAnsi="Palatino Linotype"/>
          <w:i/>
          <w:sz w:val="22"/>
          <w:szCs w:val="22"/>
        </w:rPr>
        <w:t xml:space="preserve"> </w:t>
      </w:r>
      <w:r w:rsidRPr="009278B5">
        <w:rPr>
          <w:rFonts w:ascii="Palatino Linotype" w:hAnsi="Palatino Linotype"/>
          <w:b/>
          <w:bCs/>
          <w:i/>
          <w:sz w:val="22"/>
          <w:szCs w:val="22"/>
        </w:rPr>
        <w:t xml:space="preserve">De las vías y Pasajes.- </w:t>
      </w:r>
      <w:r w:rsidRPr="009278B5">
        <w:rPr>
          <w:rFonts w:ascii="Palatino Linotype" w:hAnsi="Palatino Linotype"/>
          <w:i/>
          <w:sz w:val="22"/>
          <w:szCs w:val="22"/>
        </w:rPr>
        <w:t xml:space="preserve">El Asentamiento </w:t>
      </w:r>
      <w:r w:rsidRPr="009278B5">
        <w:rPr>
          <w:rFonts w:ascii="Palatino Linotype" w:hAnsi="Palatino Linotype"/>
          <w:bCs/>
          <w:i/>
          <w:iCs/>
          <w:sz w:val="22"/>
          <w:szCs w:val="22"/>
        </w:rPr>
        <w:t xml:space="preserve">Humano de Hecho y Consolidado de Interés Social </w:t>
      </w:r>
      <w:r w:rsidRPr="009278B5">
        <w:rPr>
          <w:rFonts w:ascii="Palatino Linotype" w:hAnsi="Palatino Linotype"/>
          <w:bCs/>
          <w:i/>
          <w:sz w:val="22"/>
          <w:szCs w:val="22"/>
        </w:rPr>
        <w:t>denominado</w:t>
      </w:r>
      <w:r w:rsidRPr="009278B5">
        <w:rPr>
          <w:rFonts w:ascii="Palatino Linotype" w:hAnsi="Palatino Linotype"/>
          <w:i/>
          <w:sz w:val="22"/>
          <w:szCs w:val="22"/>
        </w:rPr>
        <w:t xml:space="preserve"> </w:t>
      </w:r>
      <w:r w:rsidRPr="009278B5">
        <w:rPr>
          <w:rFonts w:ascii="Palatino Linotype" w:hAnsi="Palatino Linotype"/>
          <w:bCs/>
          <w:i/>
          <w:sz w:val="22"/>
          <w:szCs w:val="22"/>
        </w:rPr>
        <w:t>Cooperativa de Vivienda “Luchador Eloy Alfaro”, en liquidación</w:t>
      </w:r>
      <w:r w:rsidRPr="009278B5">
        <w:rPr>
          <w:rFonts w:ascii="Palatino Linotype" w:hAnsi="Palatino Linotype"/>
          <w:i/>
          <w:sz w:val="22"/>
          <w:szCs w:val="22"/>
        </w:rPr>
        <w:t xml:space="preserve">, ubicado en la Parroquia </w:t>
      </w:r>
      <w:r w:rsidR="00410D05" w:rsidRPr="009278B5">
        <w:rPr>
          <w:rFonts w:ascii="Palatino Linotype" w:hAnsi="Palatino Linotype"/>
          <w:i/>
          <w:sz w:val="22"/>
          <w:szCs w:val="22"/>
        </w:rPr>
        <w:t>Comité del Pueblo</w:t>
      </w:r>
      <w:r w:rsidR="00410D05" w:rsidRPr="009278B5">
        <w:rPr>
          <w:rFonts w:ascii="Palatino Linotype" w:hAnsi="Palatino Linotype"/>
          <w:i/>
          <w:sz w:val="22"/>
          <w:szCs w:val="22"/>
        </w:rPr>
        <w:t xml:space="preserve"> </w:t>
      </w:r>
      <w:r w:rsidRPr="009278B5">
        <w:rPr>
          <w:rFonts w:ascii="Palatino Linotype" w:hAnsi="Palatino Linotype"/>
          <w:i/>
          <w:sz w:val="22"/>
          <w:szCs w:val="22"/>
        </w:rPr>
        <w:t xml:space="preserve">(antes Cotocollao), contempla un sistema vial de uso público, debido a que este es un asentamiento humano de hecho y consolidado de interés social  de 28 años de existencia, con 96,16% de consolidación de viviendas y se encuentra ejecutando obras de infraestructura, razón por la cual los anchos viales se sujetarán al plano adjunto a la presente ordenanza. </w:t>
      </w:r>
    </w:p>
    <w:p w:rsidR="00B97C65" w:rsidRPr="009278B5" w:rsidRDefault="00B97C65" w:rsidP="00410D05">
      <w:pPr>
        <w:spacing w:after="120" w:line="276" w:lineRule="auto"/>
        <w:ind w:left="708"/>
        <w:jc w:val="both"/>
        <w:rPr>
          <w:rFonts w:ascii="Palatino Linotype" w:hAnsi="Palatino Linotype"/>
          <w:i/>
          <w:sz w:val="22"/>
          <w:szCs w:val="22"/>
        </w:rPr>
      </w:pPr>
      <w:r w:rsidRPr="009278B5">
        <w:rPr>
          <w:rFonts w:ascii="Palatino Linotype" w:hAnsi="Palatino Linotype"/>
          <w:i/>
          <w:sz w:val="22"/>
          <w:szCs w:val="22"/>
        </w:rPr>
        <w:t xml:space="preserve">Se </w:t>
      </w:r>
      <w:r w:rsidR="00410D05" w:rsidRPr="009278B5">
        <w:rPr>
          <w:rFonts w:ascii="Palatino Linotype" w:hAnsi="Palatino Linotype"/>
          <w:i/>
          <w:sz w:val="22"/>
          <w:szCs w:val="22"/>
        </w:rPr>
        <w:t>aprueban las</w:t>
      </w:r>
      <w:r w:rsidRPr="009278B5">
        <w:rPr>
          <w:rFonts w:ascii="Palatino Linotype" w:hAnsi="Palatino Linotype"/>
          <w:i/>
          <w:sz w:val="22"/>
          <w:szCs w:val="22"/>
        </w:rPr>
        <w:t xml:space="preserve"> vías y pasajes con los siguientes anchos: </w:t>
      </w:r>
    </w:p>
    <w:tbl>
      <w:tblPr>
        <w:tblpPr w:leftFromText="141" w:rightFromText="141" w:vertAnchor="text" w:horzAnchor="margin" w:tblpXSpec="center" w:tblpY="192"/>
        <w:tblW w:w="43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3810"/>
      </w:tblGrid>
      <w:tr w:rsidR="00B97C65" w:rsidRPr="009278B5" w:rsidTr="00A32052">
        <w:trPr>
          <w:trHeight w:val="699"/>
        </w:trPr>
        <w:tc>
          <w:tcPr>
            <w:tcW w:w="2489" w:type="pct"/>
            <w:tcBorders>
              <w:top w:val="single" w:sz="4" w:space="0" w:color="auto"/>
              <w:left w:val="single" w:sz="4" w:space="0" w:color="auto"/>
              <w:bottom w:val="single" w:sz="4" w:space="0" w:color="auto"/>
              <w:right w:val="single" w:sz="4" w:space="0" w:color="auto"/>
            </w:tcBorders>
            <w:shd w:val="clear" w:color="auto" w:fill="FFFFFF"/>
            <w:vAlign w:val="center"/>
          </w:tcPr>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CALLE N65A</w:t>
            </w:r>
            <w:r w:rsidRPr="009278B5">
              <w:rPr>
                <w:rFonts w:ascii="Palatino Linotype" w:hAnsi="Palatino Linotype"/>
                <w:i/>
                <w:sz w:val="22"/>
                <w:szCs w:val="22"/>
                <w:lang w:val="es-EC"/>
              </w:rPr>
              <w:tab/>
            </w:r>
            <w:r w:rsidRPr="009278B5">
              <w:rPr>
                <w:rFonts w:ascii="Palatino Linotype" w:hAnsi="Palatino Linotype"/>
                <w:i/>
                <w:sz w:val="22"/>
                <w:szCs w:val="22"/>
                <w:lang w:val="es-EC"/>
              </w:rPr>
              <w:tab/>
            </w:r>
            <w:r w:rsidRPr="009278B5">
              <w:rPr>
                <w:rFonts w:ascii="Palatino Linotype" w:hAnsi="Palatino Linotype"/>
                <w:i/>
                <w:sz w:val="22"/>
                <w:szCs w:val="22"/>
                <w:lang w:val="es-EC"/>
              </w:rPr>
              <w:tab/>
              <w:t>5,91m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 xml:space="preserve">CALLE N65C </w:t>
            </w:r>
            <w:r w:rsidRPr="009278B5">
              <w:rPr>
                <w:rFonts w:ascii="Palatino Linotype" w:hAnsi="Palatino Linotype"/>
                <w:i/>
                <w:sz w:val="22"/>
                <w:szCs w:val="22"/>
                <w:lang w:val="es-EC"/>
              </w:rPr>
              <w:tab/>
            </w:r>
            <w:r w:rsidRPr="009278B5">
              <w:rPr>
                <w:rFonts w:ascii="Palatino Linotype" w:hAnsi="Palatino Linotype"/>
                <w:i/>
                <w:sz w:val="22"/>
                <w:szCs w:val="22"/>
                <w:lang w:val="es-EC"/>
              </w:rPr>
              <w:tab/>
            </w:r>
            <w:r w:rsidRPr="009278B5">
              <w:rPr>
                <w:rFonts w:ascii="Palatino Linotype" w:hAnsi="Palatino Linotype"/>
                <w:i/>
                <w:sz w:val="22"/>
                <w:szCs w:val="22"/>
                <w:lang w:val="es-EC"/>
              </w:rPr>
              <w:tab/>
              <w:t>4,31m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 xml:space="preserve">CALLE N65D </w:t>
            </w:r>
            <w:r w:rsidRPr="009278B5">
              <w:rPr>
                <w:rFonts w:ascii="Palatino Linotype" w:hAnsi="Palatino Linotype"/>
                <w:i/>
                <w:sz w:val="22"/>
                <w:szCs w:val="22"/>
                <w:lang w:val="es-EC"/>
              </w:rPr>
              <w:tab/>
            </w:r>
            <w:r w:rsidRPr="009278B5">
              <w:rPr>
                <w:rFonts w:ascii="Palatino Linotype" w:hAnsi="Palatino Linotype"/>
                <w:i/>
                <w:sz w:val="22"/>
                <w:szCs w:val="22"/>
                <w:lang w:val="es-EC"/>
              </w:rPr>
              <w:tab/>
            </w:r>
            <w:r w:rsidRPr="009278B5">
              <w:rPr>
                <w:rFonts w:ascii="Palatino Linotype" w:hAnsi="Palatino Linotype"/>
                <w:i/>
                <w:sz w:val="22"/>
                <w:szCs w:val="22"/>
                <w:lang w:val="es-EC"/>
              </w:rPr>
              <w:tab/>
              <w:t>6,23m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 xml:space="preserve">CALLE N65E </w:t>
            </w:r>
            <w:r w:rsidRPr="009278B5">
              <w:rPr>
                <w:rFonts w:ascii="Palatino Linotype" w:hAnsi="Palatino Linotype"/>
                <w:i/>
                <w:sz w:val="22"/>
                <w:szCs w:val="22"/>
                <w:lang w:val="es-EC"/>
              </w:rPr>
              <w:tab/>
            </w:r>
            <w:r w:rsidRPr="009278B5">
              <w:rPr>
                <w:rFonts w:ascii="Palatino Linotype" w:hAnsi="Palatino Linotype"/>
                <w:i/>
                <w:sz w:val="22"/>
                <w:szCs w:val="22"/>
                <w:lang w:val="es-EC"/>
              </w:rPr>
              <w:tab/>
            </w:r>
            <w:r w:rsidRPr="009278B5">
              <w:rPr>
                <w:rFonts w:ascii="Palatino Linotype" w:hAnsi="Palatino Linotype"/>
                <w:i/>
                <w:sz w:val="22"/>
                <w:szCs w:val="22"/>
                <w:lang w:val="es-EC"/>
              </w:rPr>
              <w:tab/>
              <w:t>5,67m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 xml:space="preserve">CALLE N65F </w:t>
            </w:r>
            <w:r w:rsidRPr="009278B5">
              <w:rPr>
                <w:rFonts w:ascii="Palatino Linotype" w:hAnsi="Palatino Linotype"/>
                <w:i/>
                <w:sz w:val="22"/>
                <w:szCs w:val="22"/>
                <w:lang w:val="es-EC"/>
              </w:rPr>
              <w:tab/>
            </w:r>
            <w:r w:rsidRPr="009278B5">
              <w:rPr>
                <w:rFonts w:ascii="Palatino Linotype" w:hAnsi="Palatino Linotype"/>
                <w:i/>
                <w:sz w:val="22"/>
                <w:szCs w:val="22"/>
                <w:lang w:val="es-EC"/>
              </w:rPr>
              <w:tab/>
            </w:r>
            <w:r w:rsidRPr="009278B5">
              <w:rPr>
                <w:rFonts w:ascii="Palatino Linotype" w:hAnsi="Palatino Linotype"/>
                <w:i/>
                <w:sz w:val="22"/>
                <w:szCs w:val="22"/>
                <w:lang w:val="es-EC"/>
              </w:rPr>
              <w:tab/>
              <w:t>5,65m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CALLE MANUEL</w:t>
            </w:r>
            <w:r w:rsidRPr="009278B5">
              <w:rPr>
                <w:rFonts w:ascii="Palatino Linotype" w:hAnsi="Palatino Linotype"/>
                <w:i/>
                <w:sz w:val="22"/>
                <w:szCs w:val="22"/>
                <w:lang w:val="es-EC"/>
              </w:rPr>
              <w:tab/>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CORRAL</w:t>
            </w:r>
            <w:r w:rsidRPr="009278B5">
              <w:rPr>
                <w:rFonts w:ascii="Palatino Linotype" w:hAnsi="Palatino Linotype"/>
                <w:i/>
                <w:sz w:val="22"/>
                <w:szCs w:val="22"/>
                <w:lang w:val="es-EC"/>
              </w:rPr>
              <w:tab/>
            </w:r>
            <w:r w:rsidRPr="009278B5">
              <w:rPr>
                <w:rFonts w:ascii="Palatino Linotype" w:hAnsi="Palatino Linotype"/>
                <w:i/>
                <w:sz w:val="22"/>
                <w:szCs w:val="22"/>
                <w:lang w:val="es-EC"/>
              </w:rPr>
              <w:tab/>
            </w:r>
            <w:r w:rsidRPr="009278B5">
              <w:rPr>
                <w:rFonts w:ascii="Palatino Linotype" w:hAnsi="Palatino Linotype"/>
                <w:i/>
                <w:sz w:val="22"/>
                <w:szCs w:val="22"/>
                <w:lang w:val="es-EC"/>
              </w:rPr>
              <w:tab/>
              <w:t>3,75m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CALLE N65A JOAQUIN</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lastRenderedPageBreak/>
              <w:t xml:space="preserve">PAREJA </w:t>
            </w:r>
            <w:r w:rsidRPr="009278B5">
              <w:rPr>
                <w:rFonts w:ascii="Palatino Linotype" w:hAnsi="Palatino Linotype"/>
                <w:i/>
                <w:sz w:val="22"/>
                <w:szCs w:val="22"/>
                <w:lang w:val="es-EC"/>
              </w:rPr>
              <w:tab/>
            </w:r>
            <w:r w:rsidRPr="009278B5">
              <w:rPr>
                <w:rFonts w:ascii="Palatino Linotype" w:hAnsi="Palatino Linotype"/>
                <w:i/>
                <w:sz w:val="22"/>
                <w:szCs w:val="22"/>
                <w:lang w:val="es-EC"/>
              </w:rPr>
              <w:tab/>
            </w:r>
            <w:r w:rsidRPr="009278B5">
              <w:rPr>
                <w:rFonts w:ascii="Palatino Linotype" w:hAnsi="Palatino Linotype"/>
                <w:i/>
                <w:sz w:val="22"/>
                <w:szCs w:val="22"/>
                <w:lang w:val="es-EC"/>
              </w:rPr>
              <w:tab/>
              <w:t>5,91m variable</w:t>
            </w:r>
          </w:p>
        </w:tc>
        <w:tc>
          <w:tcPr>
            <w:tcW w:w="2511" w:type="pct"/>
            <w:tcBorders>
              <w:top w:val="single" w:sz="4" w:space="0" w:color="auto"/>
              <w:left w:val="single" w:sz="4" w:space="0" w:color="auto"/>
              <w:bottom w:val="single" w:sz="4" w:space="0" w:color="auto"/>
              <w:right w:val="single" w:sz="4" w:space="0" w:color="000000"/>
            </w:tcBorders>
            <w:shd w:val="clear" w:color="auto" w:fill="FFFFFF"/>
          </w:tcPr>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lastRenderedPageBreak/>
              <w:t>CALLE E8A</w:t>
            </w:r>
            <w:r w:rsidRPr="009278B5">
              <w:rPr>
                <w:rFonts w:ascii="Palatino Linotype" w:hAnsi="Palatino Linotype"/>
                <w:i/>
                <w:sz w:val="22"/>
                <w:szCs w:val="22"/>
                <w:lang w:val="es-EC"/>
              </w:rPr>
              <w:tab/>
            </w:r>
            <w:r w:rsidRPr="009278B5">
              <w:rPr>
                <w:rFonts w:ascii="Palatino Linotype" w:hAnsi="Palatino Linotype"/>
                <w:i/>
                <w:sz w:val="22"/>
                <w:szCs w:val="22"/>
                <w:lang w:val="es-EC"/>
              </w:rPr>
              <w:tab/>
              <w:t>5,91m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CALLE E8B</w:t>
            </w:r>
            <w:r w:rsidRPr="009278B5">
              <w:rPr>
                <w:rFonts w:ascii="Palatino Linotype" w:hAnsi="Palatino Linotype"/>
                <w:i/>
                <w:sz w:val="22"/>
                <w:szCs w:val="22"/>
                <w:lang w:val="es-EC"/>
              </w:rPr>
              <w:tab/>
            </w:r>
            <w:r w:rsidRPr="009278B5">
              <w:rPr>
                <w:rFonts w:ascii="Palatino Linotype" w:hAnsi="Palatino Linotype"/>
                <w:i/>
                <w:sz w:val="22"/>
                <w:szCs w:val="22"/>
                <w:lang w:val="es-EC"/>
              </w:rPr>
              <w:tab/>
              <w:t>4,32m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CALLE E9</w:t>
            </w:r>
            <w:r w:rsidRPr="009278B5">
              <w:rPr>
                <w:rFonts w:ascii="Palatino Linotype" w:hAnsi="Palatino Linotype"/>
                <w:i/>
                <w:sz w:val="22"/>
                <w:szCs w:val="22"/>
                <w:lang w:val="es-EC"/>
              </w:rPr>
              <w:tab/>
            </w:r>
            <w:r w:rsidRPr="009278B5">
              <w:rPr>
                <w:rFonts w:ascii="Palatino Linotype" w:hAnsi="Palatino Linotype"/>
                <w:i/>
                <w:sz w:val="22"/>
                <w:szCs w:val="22"/>
                <w:lang w:val="es-EC"/>
              </w:rPr>
              <w:tab/>
              <w:t>4,62m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CALLE E10</w:t>
            </w:r>
            <w:r w:rsidRPr="009278B5">
              <w:rPr>
                <w:rFonts w:ascii="Palatino Linotype" w:hAnsi="Palatino Linotype"/>
                <w:i/>
                <w:sz w:val="22"/>
                <w:szCs w:val="22"/>
                <w:lang w:val="es-EC"/>
              </w:rPr>
              <w:tab/>
            </w:r>
            <w:r w:rsidRPr="009278B5">
              <w:rPr>
                <w:rFonts w:ascii="Palatino Linotype" w:hAnsi="Palatino Linotype"/>
                <w:i/>
                <w:sz w:val="22"/>
                <w:szCs w:val="22"/>
                <w:lang w:val="es-EC"/>
              </w:rPr>
              <w:tab/>
              <w:t>4,59m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CALLE E11</w:t>
            </w:r>
            <w:r w:rsidRPr="009278B5">
              <w:rPr>
                <w:rFonts w:ascii="Palatino Linotype" w:hAnsi="Palatino Linotype"/>
                <w:i/>
                <w:sz w:val="22"/>
                <w:szCs w:val="22"/>
                <w:lang w:val="es-EC"/>
              </w:rPr>
              <w:tab/>
            </w:r>
            <w:r w:rsidRPr="009278B5">
              <w:rPr>
                <w:rFonts w:ascii="Palatino Linotype" w:hAnsi="Palatino Linotype"/>
                <w:i/>
                <w:sz w:val="22"/>
                <w:szCs w:val="22"/>
                <w:lang w:val="es-EC"/>
              </w:rPr>
              <w:tab/>
              <w:t>4,85m variable</w:t>
            </w:r>
          </w:p>
          <w:p w:rsidR="00B97C65" w:rsidRPr="009278B5" w:rsidRDefault="00B97C65" w:rsidP="00B97C65">
            <w:pPr>
              <w:spacing w:after="120" w:line="276" w:lineRule="auto"/>
              <w:contextualSpacing/>
              <w:rPr>
                <w:rFonts w:ascii="Palatino Linotype" w:hAnsi="Palatino Linotype"/>
                <w:i/>
                <w:sz w:val="22"/>
                <w:szCs w:val="22"/>
                <w:lang w:val="es-EC"/>
              </w:rPr>
            </w:pPr>
            <w:r w:rsidRPr="009278B5">
              <w:rPr>
                <w:rFonts w:ascii="Palatino Linotype" w:hAnsi="Palatino Linotype"/>
                <w:i/>
                <w:sz w:val="22"/>
                <w:szCs w:val="22"/>
                <w:lang w:val="es-EC"/>
              </w:rPr>
              <w:t>PASAJE S/N</w:t>
            </w:r>
            <w:r w:rsidRPr="009278B5">
              <w:rPr>
                <w:rFonts w:ascii="Palatino Linotype" w:hAnsi="Palatino Linotype"/>
                <w:i/>
                <w:sz w:val="22"/>
                <w:szCs w:val="22"/>
                <w:lang w:val="es-EC"/>
              </w:rPr>
              <w:tab/>
              <w:t xml:space="preserve">              4,17m variable</w:t>
            </w:r>
          </w:p>
          <w:p w:rsidR="00B97C65" w:rsidRPr="009278B5" w:rsidRDefault="00B97C65" w:rsidP="00B97C65">
            <w:pPr>
              <w:spacing w:after="120" w:line="276" w:lineRule="auto"/>
              <w:contextualSpacing/>
              <w:rPr>
                <w:rFonts w:ascii="Palatino Linotype" w:hAnsi="Palatino Linotype"/>
                <w:i/>
                <w:sz w:val="22"/>
                <w:szCs w:val="22"/>
                <w:lang w:val="es-EC"/>
              </w:rPr>
            </w:pPr>
          </w:p>
          <w:p w:rsidR="00B97C65" w:rsidRPr="009278B5" w:rsidRDefault="00B97C65" w:rsidP="00B97C65">
            <w:pPr>
              <w:spacing w:after="120" w:line="276" w:lineRule="auto"/>
              <w:contextualSpacing/>
              <w:rPr>
                <w:rFonts w:ascii="Palatino Linotype" w:hAnsi="Palatino Linotype"/>
                <w:i/>
                <w:sz w:val="22"/>
                <w:szCs w:val="22"/>
                <w:lang w:val="es-EC"/>
              </w:rPr>
            </w:pPr>
          </w:p>
          <w:p w:rsidR="00B97C65" w:rsidRPr="009278B5" w:rsidRDefault="00B97C65" w:rsidP="00B97C65">
            <w:pPr>
              <w:spacing w:after="120" w:line="276" w:lineRule="auto"/>
              <w:contextualSpacing/>
              <w:rPr>
                <w:rFonts w:ascii="Palatino Linotype" w:hAnsi="Palatino Linotype"/>
                <w:i/>
                <w:sz w:val="22"/>
                <w:szCs w:val="22"/>
                <w:lang w:val="es-EC"/>
              </w:rPr>
            </w:pPr>
          </w:p>
          <w:p w:rsidR="00B97C65" w:rsidRPr="009278B5" w:rsidRDefault="00B97C65" w:rsidP="00B97C65">
            <w:pPr>
              <w:spacing w:after="120" w:line="276" w:lineRule="auto"/>
              <w:contextualSpacing/>
              <w:rPr>
                <w:rFonts w:ascii="Palatino Linotype" w:hAnsi="Palatino Linotype"/>
                <w:i/>
                <w:sz w:val="22"/>
                <w:szCs w:val="22"/>
                <w:lang w:val="es-EC"/>
              </w:rPr>
            </w:pPr>
          </w:p>
        </w:tc>
      </w:tr>
    </w:tbl>
    <w:p w:rsidR="00B97C65" w:rsidRPr="009278B5" w:rsidRDefault="00B97C65" w:rsidP="00B97C65">
      <w:pPr>
        <w:tabs>
          <w:tab w:val="left" w:pos="4253"/>
          <w:tab w:val="center" w:pos="4394"/>
        </w:tabs>
        <w:spacing w:after="120" w:line="276" w:lineRule="auto"/>
        <w:jc w:val="both"/>
        <w:rPr>
          <w:rFonts w:ascii="Palatino Linotype" w:eastAsia="Calibri" w:hAnsi="Palatino Linotype"/>
          <w:b/>
          <w:sz w:val="22"/>
          <w:szCs w:val="22"/>
          <w:lang w:val="es-EC"/>
        </w:rPr>
      </w:pPr>
    </w:p>
    <w:p w:rsidR="00B97C65" w:rsidRPr="009278B5" w:rsidRDefault="00B97C65" w:rsidP="00B97C65">
      <w:pPr>
        <w:tabs>
          <w:tab w:val="left" w:pos="4253"/>
          <w:tab w:val="center" w:pos="4394"/>
        </w:tabs>
        <w:spacing w:after="120" w:line="276" w:lineRule="auto"/>
        <w:jc w:val="both"/>
        <w:rPr>
          <w:rFonts w:ascii="Palatino Linotype" w:hAnsi="Palatino Linotype"/>
          <w:sz w:val="22"/>
          <w:szCs w:val="22"/>
        </w:rPr>
      </w:pPr>
    </w:p>
    <w:p w:rsidR="00B97C65" w:rsidRPr="009278B5" w:rsidRDefault="00B97C65" w:rsidP="00B97C65">
      <w:pPr>
        <w:tabs>
          <w:tab w:val="left" w:pos="4253"/>
          <w:tab w:val="center" w:pos="4394"/>
        </w:tabs>
        <w:spacing w:after="120" w:line="276" w:lineRule="auto"/>
        <w:jc w:val="both"/>
        <w:rPr>
          <w:rFonts w:ascii="Palatino Linotype" w:hAnsi="Palatino Linotype"/>
          <w:sz w:val="22"/>
          <w:szCs w:val="22"/>
          <w:lang w:val="es-EC"/>
        </w:rPr>
      </w:pPr>
      <w:r w:rsidRPr="009278B5">
        <w:rPr>
          <w:rFonts w:ascii="Palatino Linotype" w:hAnsi="Palatino Linotype"/>
          <w:b/>
          <w:sz w:val="22"/>
          <w:szCs w:val="22"/>
          <w:lang w:val="es-EC"/>
        </w:rPr>
        <w:t xml:space="preserve">Artículo 9.- </w:t>
      </w:r>
      <w:r w:rsidRPr="009278B5">
        <w:rPr>
          <w:rFonts w:ascii="Palatino Linotype" w:hAnsi="Palatino Linotype"/>
          <w:bCs/>
          <w:sz w:val="22"/>
          <w:szCs w:val="22"/>
        </w:rPr>
        <w:t xml:space="preserve"> Elimíne</w:t>
      </w:r>
      <w:r w:rsidR="00410D05">
        <w:rPr>
          <w:rFonts w:ascii="Palatino Linotype" w:hAnsi="Palatino Linotype"/>
          <w:bCs/>
          <w:sz w:val="22"/>
          <w:szCs w:val="22"/>
        </w:rPr>
        <w:t>n</w:t>
      </w:r>
      <w:r w:rsidRPr="009278B5">
        <w:rPr>
          <w:rFonts w:ascii="Palatino Linotype" w:hAnsi="Palatino Linotype"/>
          <w:bCs/>
          <w:sz w:val="22"/>
          <w:szCs w:val="22"/>
        </w:rPr>
        <w:t>se los artículos 7,8,9,10,11 y 12 de la Ordenanza No. 0027, sancionada el 02 de marzo de 2011.</w:t>
      </w:r>
    </w:p>
    <w:p w:rsidR="00B97C65" w:rsidRPr="009278B5" w:rsidRDefault="00B97C65" w:rsidP="00B97C65">
      <w:pPr>
        <w:tabs>
          <w:tab w:val="left" w:pos="4253"/>
          <w:tab w:val="center" w:pos="4394"/>
        </w:tabs>
        <w:spacing w:after="120" w:line="276" w:lineRule="auto"/>
        <w:jc w:val="both"/>
        <w:rPr>
          <w:rFonts w:ascii="Palatino Linotype" w:hAnsi="Palatino Linotype"/>
          <w:bCs/>
          <w:sz w:val="22"/>
          <w:szCs w:val="22"/>
        </w:rPr>
      </w:pPr>
      <w:r w:rsidRPr="009278B5">
        <w:rPr>
          <w:rFonts w:ascii="Palatino Linotype" w:hAnsi="Palatino Linotype"/>
          <w:b/>
          <w:bCs/>
          <w:color w:val="000000"/>
          <w:sz w:val="22"/>
          <w:szCs w:val="22"/>
        </w:rPr>
        <w:t xml:space="preserve">Artículo 10.- </w:t>
      </w:r>
      <w:r w:rsidRPr="009278B5">
        <w:rPr>
          <w:rFonts w:ascii="Palatino Linotype" w:hAnsi="Palatino Linotype"/>
          <w:bCs/>
          <w:sz w:val="22"/>
          <w:szCs w:val="22"/>
        </w:rPr>
        <w:t>Sustitúyase el artículo 13 de la Ordenanza No. 0027, sancionada el 02 de marzo de 2011, por el siguiente</w:t>
      </w:r>
      <w:r w:rsidRPr="009278B5">
        <w:rPr>
          <w:rFonts w:ascii="Palatino Linotype" w:hAnsi="Palatino Linotype"/>
          <w:sz w:val="22"/>
          <w:szCs w:val="22"/>
          <w:lang w:val="es-EC"/>
        </w:rPr>
        <w:t xml:space="preserve"> texto:</w:t>
      </w:r>
    </w:p>
    <w:p w:rsidR="00B97C65" w:rsidRPr="009278B5" w:rsidRDefault="00B97C65" w:rsidP="00410D05">
      <w:pPr>
        <w:pStyle w:val="Textoindependiente"/>
        <w:tabs>
          <w:tab w:val="left" w:pos="1306"/>
        </w:tabs>
        <w:spacing w:line="276" w:lineRule="auto"/>
        <w:ind w:left="708"/>
        <w:jc w:val="both"/>
        <w:rPr>
          <w:rFonts w:ascii="Palatino Linotype" w:hAnsi="Palatino Linotype"/>
          <w:i/>
          <w:sz w:val="22"/>
          <w:szCs w:val="22"/>
          <w:lang w:val="es-EC"/>
        </w:rPr>
      </w:pPr>
      <w:r w:rsidRPr="009278B5">
        <w:rPr>
          <w:rFonts w:ascii="Palatino Linotype" w:hAnsi="Palatino Linotype"/>
          <w:b/>
          <w:bCs/>
          <w:i/>
          <w:sz w:val="22"/>
          <w:szCs w:val="22"/>
        </w:rPr>
        <w:t>“Artículo</w:t>
      </w:r>
      <w:r w:rsidRPr="009278B5">
        <w:rPr>
          <w:rFonts w:ascii="Palatino Linotype" w:hAnsi="Palatino Linotype"/>
          <w:b/>
          <w:bCs/>
          <w:i/>
          <w:sz w:val="22"/>
          <w:szCs w:val="22"/>
          <w:lang w:val="es-ES_tradnl"/>
        </w:rPr>
        <w:t xml:space="preserve"> 13.- De la </w:t>
      </w:r>
      <w:r w:rsidR="006C6089">
        <w:rPr>
          <w:rFonts w:ascii="Palatino Linotype" w:hAnsi="Palatino Linotype"/>
          <w:b/>
          <w:bCs/>
          <w:i/>
          <w:sz w:val="22"/>
          <w:szCs w:val="22"/>
          <w:lang w:val="es-ES_tradnl"/>
        </w:rPr>
        <w:t>p</w:t>
      </w:r>
      <w:r w:rsidRPr="009278B5">
        <w:rPr>
          <w:rFonts w:ascii="Palatino Linotype" w:hAnsi="Palatino Linotype"/>
          <w:b/>
          <w:bCs/>
          <w:i/>
          <w:sz w:val="22"/>
          <w:szCs w:val="22"/>
          <w:lang w:val="es-ES_tradnl"/>
        </w:rPr>
        <w:t xml:space="preserve">rotocolización e inscripción de la </w:t>
      </w:r>
      <w:r w:rsidR="00410D05">
        <w:rPr>
          <w:rFonts w:ascii="Palatino Linotype" w:hAnsi="Palatino Linotype"/>
          <w:b/>
          <w:bCs/>
          <w:i/>
          <w:sz w:val="22"/>
          <w:szCs w:val="22"/>
          <w:lang w:val="es-ES_tradnl"/>
        </w:rPr>
        <w:t>o</w:t>
      </w:r>
      <w:r w:rsidRPr="009278B5">
        <w:rPr>
          <w:rFonts w:ascii="Palatino Linotype" w:hAnsi="Palatino Linotype"/>
          <w:b/>
          <w:bCs/>
          <w:i/>
          <w:sz w:val="22"/>
          <w:szCs w:val="22"/>
          <w:lang w:val="es-ES_tradnl"/>
        </w:rPr>
        <w:t xml:space="preserve">rdenanza.- </w:t>
      </w:r>
      <w:r w:rsidRPr="009278B5">
        <w:rPr>
          <w:rFonts w:ascii="Palatino Linotype" w:hAnsi="Palatino Linotype"/>
          <w:i/>
          <w:sz w:val="22"/>
          <w:szCs w:val="22"/>
          <w:lang w:val="es-EC"/>
        </w:rPr>
        <w:t xml:space="preserve">Los socios del predio del Asentamiento Humano de Hecho y Consolidado </w:t>
      </w:r>
      <w:r w:rsidRPr="009278B5">
        <w:rPr>
          <w:rFonts w:ascii="Palatino Linotype" w:hAnsi="Palatino Linotype"/>
          <w:i/>
          <w:sz w:val="22"/>
          <w:szCs w:val="22"/>
        </w:rPr>
        <w:t>de Interés Social denominado Cooperativa de Vivienda “Luchador Eloy Alfaro” en liquidación</w:t>
      </w:r>
      <w:r w:rsidRPr="009278B5">
        <w:rPr>
          <w:rFonts w:ascii="Palatino Linotype" w:hAnsi="Palatino Linotype"/>
          <w:i/>
          <w:sz w:val="22"/>
          <w:szCs w:val="22"/>
          <w:lang w:val="es-ES_tradnl"/>
        </w:rPr>
        <w:t xml:space="preserve">, deberán </w:t>
      </w:r>
      <w:r w:rsidR="006C6089">
        <w:rPr>
          <w:rFonts w:ascii="Palatino Linotype" w:hAnsi="Palatino Linotype"/>
          <w:i/>
          <w:sz w:val="22"/>
          <w:szCs w:val="22"/>
          <w:lang w:val="es-EC"/>
        </w:rPr>
        <w:t>protocolizar la presente o</w:t>
      </w:r>
      <w:r w:rsidRPr="009278B5">
        <w:rPr>
          <w:rFonts w:ascii="Palatino Linotype" w:hAnsi="Palatino Linotype"/>
          <w:i/>
          <w:sz w:val="22"/>
          <w:szCs w:val="22"/>
          <w:lang w:val="es-EC"/>
        </w:rPr>
        <w:t xml:space="preserve">rdenanza ante Notario Público e inscribirla en el Registro de la Propiedad del Distrito Metropolitano de Quito, </w:t>
      </w:r>
      <w:r w:rsidRPr="009278B5">
        <w:rPr>
          <w:rFonts w:ascii="Palatino Linotype" w:hAnsi="Palatino Linotype"/>
          <w:i/>
          <w:sz w:val="22"/>
          <w:szCs w:val="22"/>
          <w:lang w:val="es-ES_tradnl"/>
        </w:rPr>
        <w:t>con todos sus documentos habilitantes</w:t>
      </w:r>
      <w:r w:rsidRPr="009278B5">
        <w:rPr>
          <w:rFonts w:ascii="Palatino Linotype" w:hAnsi="Palatino Linotype"/>
          <w:i/>
          <w:sz w:val="22"/>
          <w:szCs w:val="22"/>
          <w:lang w:val="es-EC"/>
        </w:rPr>
        <w:t>.</w:t>
      </w:r>
    </w:p>
    <w:p w:rsidR="00B97C65" w:rsidRPr="009278B5" w:rsidRDefault="00B97C65" w:rsidP="00410D05">
      <w:pPr>
        <w:pStyle w:val="Textoindependiente"/>
        <w:tabs>
          <w:tab w:val="left" w:pos="1306"/>
        </w:tabs>
        <w:spacing w:line="276" w:lineRule="auto"/>
        <w:ind w:left="708"/>
        <w:jc w:val="both"/>
        <w:rPr>
          <w:rFonts w:ascii="Palatino Linotype" w:hAnsi="Palatino Linotype"/>
          <w:bCs/>
          <w:i/>
          <w:sz w:val="22"/>
          <w:szCs w:val="22"/>
          <w:lang w:val="es-ES_tradnl"/>
        </w:rPr>
      </w:pPr>
      <w:r w:rsidRPr="009278B5">
        <w:rPr>
          <w:rFonts w:ascii="Palatino Linotype" w:hAnsi="Palatino Linotype"/>
          <w:bCs/>
          <w:i/>
          <w:sz w:val="22"/>
          <w:szCs w:val="22"/>
          <w:lang w:val="es-ES_tradnl"/>
        </w:rPr>
        <w:t>En caso no legalizar la presente ordenanza, ésta caducará conforme lo determinado en la normativa nacional vigente.</w:t>
      </w:r>
    </w:p>
    <w:p w:rsidR="00B97C65" w:rsidRPr="009278B5" w:rsidRDefault="00B97C65" w:rsidP="00410D05">
      <w:pPr>
        <w:spacing w:after="120" w:line="276" w:lineRule="auto"/>
        <w:ind w:left="708"/>
        <w:jc w:val="both"/>
        <w:rPr>
          <w:rFonts w:ascii="Palatino Linotype" w:hAnsi="Palatino Linotype"/>
          <w:i/>
          <w:sz w:val="22"/>
          <w:szCs w:val="22"/>
          <w:lang w:val="es-ES_tradnl"/>
        </w:rPr>
      </w:pPr>
      <w:r w:rsidRPr="009278B5">
        <w:rPr>
          <w:rFonts w:ascii="Palatino Linotype" w:hAnsi="Palatino Linotype"/>
          <w:i/>
          <w:sz w:val="22"/>
          <w:szCs w:val="22"/>
          <w:lang w:val="es-ES_tradnl"/>
        </w:rPr>
        <w:t>La inscripción de la presente ordenanza servirá como título de dominio para efectos de la transferencia de áreas verdes, en caso de que existan.”</w:t>
      </w:r>
    </w:p>
    <w:p w:rsidR="00B97C65" w:rsidRPr="009278B5" w:rsidRDefault="00B97C65" w:rsidP="00B97C65">
      <w:pPr>
        <w:tabs>
          <w:tab w:val="left" w:pos="4253"/>
          <w:tab w:val="center" w:pos="4394"/>
        </w:tabs>
        <w:spacing w:after="120" w:line="276" w:lineRule="auto"/>
        <w:jc w:val="both"/>
        <w:rPr>
          <w:rFonts w:ascii="Palatino Linotype" w:hAnsi="Palatino Linotype"/>
          <w:bCs/>
          <w:sz w:val="22"/>
          <w:szCs w:val="22"/>
        </w:rPr>
      </w:pPr>
      <w:r w:rsidRPr="009278B5">
        <w:rPr>
          <w:rFonts w:ascii="Palatino Linotype" w:hAnsi="Palatino Linotype"/>
          <w:b/>
          <w:bCs/>
          <w:color w:val="000000"/>
          <w:sz w:val="22"/>
          <w:szCs w:val="22"/>
        </w:rPr>
        <w:t xml:space="preserve">Artículo 11.- </w:t>
      </w:r>
      <w:r w:rsidRPr="009278B5">
        <w:rPr>
          <w:rFonts w:ascii="Palatino Linotype" w:hAnsi="Palatino Linotype"/>
          <w:bCs/>
          <w:sz w:val="22"/>
          <w:szCs w:val="22"/>
        </w:rPr>
        <w:t>Sustitúyase el artículo 14 de la Ordenanza No. 0027, sancionada el 02 de marzo de 2011, por el siguiente</w:t>
      </w:r>
      <w:r w:rsidRPr="009278B5">
        <w:rPr>
          <w:rFonts w:ascii="Palatino Linotype" w:hAnsi="Palatino Linotype"/>
          <w:sz w:val="22"/>
          <w:szCs w:val="22"/>
          <w:lang w:val="es-EC"/>
        </w:rPr>
        <w:t xml:space="preserve"> texto:</w:t>
      </w:r>
    </w:p>
    <w:p w:rsidR="00B97C65" w:rsidRPr="009278B5" w:rsidRDefault="00B97C65" w:rsidP="006C6089">
      <w:pPr>
        <w:spacing w:after="120" w:line="276" w:lineRule="auto"/>
        <w:ind w:left="708"/>
        <w:jc w:val="both"/>
        <w:rPr>
          <w:rFonts w:ascii="Palatino Linotype" w:hAnsi="Palatino Linotype"/>
          <w:i/>
          <w:sz w:val="22"/>
          <w:szCs w:val="22"/>
          <w:lang w:val="es-ES_tradnl"/>
        </w:rPr>
      </w:pPr>
      <w:r w:rsidRPr="009278B5">
        <w:rPr>
          <w:rFonts w:ascii="Palatino Linotype" w:hAnsi="Palatino Linotype"/>
          <w:b/>
          <w:i/>
          <w:sz w:val="22"/>
          <w:szCs w:val="22"/>
        </w:rPr>
        <w:t>“</w:t>
      </w:r>
      <w:r w:rsidRPr="009278B5">
        <w:rPr>
          <w:rFonts w:ascii="Palatino Linotype" w:hAnsi="Palatino Linotype"/>
          <w:b/>
          <w:i/>
          <w:sz w:val="22"/>
          <w:szCs w:val="22"/>
          <w:lang w:val="es-ES_tradnl"/>
        </w:rPr>
        <w:t>Artículo 14.- De la entrega de escrituras individuales.-</w:t>
      </w:r>
      <w:r w:rsidRPr="009278B5">
        <w:rPr>
          <w:rFonts w:ascii="Palatino Linotype" w:hAnsi="Palatino Linotype"/>
          <w:i/>
          <w:sz w:val="22"/>
          <w:szCs w:val="22"/>
          <w:lang w:val="es-ES_tradnl"/>
        </w:rPr>
        <w:t xml:space="preserve"> El Representante legal de la Cooperativa de Vivienda “Luchador Eloy Alfaro”, en liquidación, deberá entregar las respectivas escrituras individuales a favor de los socios conforme consta en el plano adjunto a esta Ordenanza una vez inscrita en el Registro de la Propiedad del cantón Quito, bajo eventual responsabilidad civil y penal de su representante en caso de incumplimiento.”  </w:t>
      </w:r>
    </w:p>
    <w:p w:rsidR="00B97C65" w:rsidRPr="009278B5" w:rsidRDefault="00B97C65" w:rsidP="00B97C65">
      <w:pPr>
        <w:spacing w:after="120" w:line="276" w:lineRule="auto"/>
        <w:jc w:val="both"/>
        <w:rPr>
          <w:rFonts w:ascii="Palatino Linotype" w:hAnsi="Palatino Linotype"/>
          <w:b/>
          <w:bCs/>
          <w:sz w:val="22"/>
          <w:szCs w:val="22"/>
          <w:lang w:val="es-ES_tradnl"/>
        </w:rPr>
      </w:pPr>
      <w:r w:rsidRPr="009278B5">
        <w:rPr>
          <w:rFonts w:ascii="Palatino Linotype" w:hAnsi="Palatino Linotype"/>
          <w:b/>
          <w:bCs/>
          <w:sz w:val="22"/>
          <w:szCs w:val="22"/>
          <w:lang w:val="es-ES_tradnl"/>
        </w:rPr>
        <w:t xml:space="preserve">Artículo 12.- </w:t>
      </w:r>
      <w:r w:rsidRPr="009278B5">
        <w:rPr>
          <w:rFonts w:ascii="Palatino Linotype" w:hAnsi="Palatino Linotype"/>
          <w:bCs/>
          <w:sz w:val="22"/>
          <w:szCs w:val="22"/>
        </w:rPr>
        <w:t>Sustitúyase el artículo 15 de la Ordenanza No. 0027, sancionada el 02 de marzo de 2011, por el siguiente</w:t>
      </w:r>
      <w:r w:rsidRPr="009278B5">
        <w:rPr>
          <w:rFonts w:ascii="Palatino Linotype" w:hAnsi="Palatino Linotype"/>
          <w:sz w:val="22"/>
          <w:szCs w:val="22"/>
          <w:lang w:val="es-EC"/>
        </w:rPr>
        <w:t xml:space="preserve"> texto:</w:t>
      </w:r>
    </w:p>
    <w:p w:rsidR="00B97C65" w:rsidRDefault="00B97C65" w:rsidP="006C6089">
      <w:pPr>
        <w:spacing w:after="120" w:line="276" w:lineRule="auto"/>
        <w:ind w:left="708"/>
        <w:jc w:val="both"/>
        <w:rPr>
          <w:rFonts w:ascii="Palatino Linotype" w:hAnsi="Palatino Linotype"/>
          <w:b/>
          <w:sz w:val="22"/>
          <w:szCs w:val="22"/>
          <w:lang w:val="es-ES_tradnl"/>
        </w:rPr>
      </w:pPr>
      <w:r w:rsidRPr="009278B5">
        <w:rPr>
          <w:rFonts w:ascii="Palatino Linotype" w:hAnsi="Palatino Linotype"/>
          <w:b/>
          <w:bCs/>
          <w:i/>
          <w:sz w:val="22"/>
          <w:szCs w:val="22"/>
          <w:lang w:val="es-ES_tradnl"/>
        </w:rPr>
        <w:t xml:space="preserve">“Artículo 15.- Solicitudes de ampliación de plazo.- </w:t>
      </w:r>
      <w:r w:rsidRPr="009278B5">
        <w:rPr>
          <w:rFonts w:ascii="Palatino Linotype" w:hAnsi="Palatino Linotype"/>
          <w:bCs/>
          <w:i/>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683507" w:rsidRDefault="00683507" w:rsidP="00BB2853">
      <w:pPr>
        <w:spacing w:after="120" w:line="276" w:lineRule="auto"/>
        <w:jc w:val="both"/>
        <w:rPr>
          <w:rFonts w:ascii="Palatino Linotype" w:hAnsi="Palatino Linotype"/>
          <w:bCs/>
          <w:sz w:val="22"/>
          <w:szCs w:val="22"/>
          <w:lang w:val="es-ES_tradnl"/>
        </w:rPr>
      </w:pPr>
      <w:r w:rsidRPr="00091622">
        <w:rPr>
          <w:rFonts w:ascii="Palatino Linotype" w:hAnsi="Palatino Linotype"/>
          <w:b/>
          <w:sz w:val="22"/>
          <w:szCs w:val="22"/>
          <w:lang w:val="es-ES_tradnl"/>
        </w:rPr>
        <w:t xml:space="preserve">Disposición </w:t>
      </w:r>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 xml:space="preserve">inal.-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6C6089" w:rsidRDefault="006C6089" w:rsidP="00BB2853">
      <w:pPr>
        <w:spacing w:after="120" w:line="276" w:lineRule="auto"/>
        <w:jc w:val="both"/>
        <w:rPr>
          <w:rFonts w:ascii="Palatino Linotype" w:hAnsi="Palatino Linotype"/>
          <w:bCs/>
          <w:sz w:val="22"/>
          <w:szCs w:val="22"/>
          <w:lang w:val="es-ES_tradnl"/>
        </w:rPr>
      </w:pPr>
    </w:p>
    <w:p w:rsidR="006C6089" w:rsidRDefault="006C6089" w:rsidP="00BB2853">
      <w:pPr>
        <w:spacing w:after="120" w:line="276" w:lineRule="auto"/>
        <w:jc w:val="both"/>
        <w:rPr>
          <w:rFonts w:ascii="Palatino Linotype" w:hAnsi="Palatino Linotype"/>
          <w:bCs/>
          <w:sz w:val="22"/>
          <w:szCs w:val="22"/>
          <w:lang w:val="es-ES_tradnl"/>
        </w:rPr>
      </w:pP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lastRenderedPageBreak/>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Pr="00091622" w:rsidRDefault="00823CB7" w:rsidP="00AF343E">
      <w:pPr>
        <w:spacing w:after="240"/>
        <w:contextualSpacing/>
        <w:jc w:val="both"/>
        <w:rPr>
          <w:rFonts w:ascii="Palatino Linotype" w:hAnsi="Palatino Linotype"/>
          <w:sz w:val="22"/>
          <w:szCs w:val="22"/>
        </w:rPr>
      </w:pPr>
    </w:p>
    <w:p w:rsidR="00F36FDA" w:rsidRDefault="00F36FDA"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6C6089">
        <w:rPr>
          <w:rFonts w:ascii="Palatino Linotype" w:eastAsia="MS Mincho" w:hAnsi="Palatino Linotype"/>
          <w:sz w:val="22"/>
          <w:szCs w:val="22"/>
          <w:lang w:val="es-EC"/>
        </w:rPr>
        <w:t>20</w:t>
      </w:r>
      <w:r w:rsidR="00D427EA"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noviembre </w:t>
      </w:r>
      <w:r w:rsidR="00412FF5">
        <w:rPr>
          <w:rFonts w:ascii="Palatino Linotype" w:eastAsia="MS Mincho" w:hAnsi="Palatino Linotype"/>
          <w:sz w:val="22"/>
          <w:szCs w:val="22"/>
          <w:lang w:val="es-EC"/>
        </w:rPr>
        <w:t>de 201</w:t>
      </w:r>
      <w:r w:rsidR="006C6089">
        <w:rPr>
          <w:rFonts w:ascii="Palatino Linotype" w:eastAsia="MS Mincho" w:hAnsi="Palatino Linotype"/>
          <w:sz w:val="22"/>
          <w:szCs w:val="22"/>
          <w:lang w:val="es-EC"/>
        </w:rPr>
        <w:t>8</w:t>
      </w:r>
      <w:r w:rsidR="00412FF5">
        <w:rPr>
          <w:rFonts w:ascii="Palatino Linotype" w:eastAsia="MS Mincho" w:hAnsi="Palatino Linotype"/>
          <w:sz w:val="22"/>
          <w:szCs w:val="22"/>
          <w:lang w:val="es-EC"/>
        </w:rPr>
        <w:t xml:space="preserve">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6FDA" w:rsidRDefault="00F36FDA"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ALCALDÍA DEL DISTRITO METROPOLITANO DE QUITO.-</w:t>
      </w:r>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37" w:rsidRDefault="00215A37">
      <w:r>
        <w:separator/>
      </w:r>
    </w:p>
  </w:endnote>
  <w:endnote w:type="continuationSeparator" w:id="0">
    <w:p w:rsidR="00215A37" w:rsidRDefault="0021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A32052">
              <w:rPr>
                <w:rFonts w:ascii="Palatino Linotype" w:hAnsi="Palatino Linotype"/>
                <w:b/>
                <w:bCs/>
                <w:noProof/>
                <w:sz w:val="22"/>
                <w:szCs w:val="22"/>
              </w:rPr>
              <w:t>14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6C6089">
              <w:rPr>
                <w:rFonts w:ascii="Palatino Linotype" w:hAnsi="Palatino Linotype"/>
                <w:b/>
                <w:bCs/>
                <w:sz w:val="22"/>
                <w:szCs w:val="22"/>
              </w:rPr>
              <w:t>4</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A32052">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6C6089">
              <w:rPr>
                <w:rFonts w:ascii="Palatino Linotype" w:hAnsi="Palatino Linotype"/>
                <w:b/>
                <w:bCs/>
                <w:sz w:val="22"/>
                <w:szCs w:val="22"/>
              </w:rPr>
              <w:t>4</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37" w:rsidRDefault="00215A37">
      <w:r>
        <w:separator/>
      </w:r>
    </w:p>
  </w:footnote>
  <w:footnote w:type="continuationSeparator" w:id="0">
    <w:p w:rsidR="00215A37" w:rsidRDefault="0021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0"/>
  </w:num>
  <w:num w:numId="3">
    <w:abstractNumId w:val="18"/>
  </w:num>
  <w:num w:numId="4">
    <w:abstractNumId w:val="14"/>
  </w:num>
  <w:num w:numId="5">
    <w:abstractNumId w:val="20"/>
  </w:num>
  <w:num w:numId="6">
    <w:abstractNumId w:val="15"/>
  </w:num>
  <w:num w:numId="7">
    <w:abstractNumId w:val="21"/>
  </w:num>
  <w:num w:numId="8">
    <w:abstractNumId w:val="16"/>
  </w:num>
  <w:num w:numId="9">
    <w:abstractNumId w:val="11"/>
  </w:num>
  <w:num w:numId="10">
    <w:abstractNumId w:val="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 w:numId="15">
    <w:abstractNumId w:val="7"/>
  </w:num>
  <w:num w:numId="16">
    <w:abstractNumId w:val="1"/>
  </w:num>
  <w:num w:numId="17">
    <w:abstractNumId w:val="19"/>
  </w:num>
  <w:num w:numId="18">
    <w:abstractNumId w:val="17"/>
  </w:num>
  <w:num w:numId="19">
    <w:abstractNumId w:val="8"/>
  </w:num>
  <w:num w:numId="20">
    <w:abstractNumId w:val="13"/>
  </w:num>
  <w:num w:numId="21">
    <w:abstractNumId w:val="5"/>
  </w:num>
  <w:num w:numId="22">
    <w:abstractNumId w:val="23"/>
  </w:num>
  <w:num w:numId="23">
    <w:abstractNumId w:val="22"/>
  </w:num>
  <w:num w:numId="24">
    <w:abstractNumId w:val="10"/>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4000BB"/>
    <w:rsid w:val="0040390B"/>
    <w:rsid w:val="00406BD2"/>
    <w:rsid w:val="00410D05"/>
    <w:rsid w:val="00412FF5"/>
    <w:rsid w:val="00413975"/>
    <w:rsid w:val="004200C2"/>
    <w:rsid w:val="004230DF"/>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B0FB6"/>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6DB0"/>
    <w:rsid w:val="00857903"/>
    <w:rsid w:val="00860836"/>
    <w:rsid w:val="00865BDD"/>
    <w:rsid w:val="00874F69"/>
    <w:rsid w:val="00875EF6"/>
    <w:rsid w:val="008865E1"/>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4CF"/>
    <w:rsid w:val="00935B1F"/>
    <w:rsid w:val="00937A0B"/>
    <w:rsid w:val="00937DB0"/>
    <w:rsid w:val="00943B3B"/>
    <w:rsid w:val="009451C2"/>
    <w:rsid w:val="00945D6C"/>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C0DB0"/>
    <w:rsid w:val="00EC1415"/>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C291"/>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E80B7-E12B-4579-8E47-A857EF92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15</Pages>
  <Words>4758</Words>
  <Characters>26175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5</cp:revision>
  <cp:lastPrinted>2019-04-22T23:32:00Z</cp:lastPrinted>
  <dcterms:created xsi:type="dcterms:W3CDTF">2019-04-22T18:53:00Z</dcterms:created>
  <dcterms:modified xsi:type="dcterms:W3CDTF">2019-04-22T23:32:00Z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