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Default="003078EC" w:rsidP="003078EC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E9318F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>El asentamiento humano de hecho y consolidado denomina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do Comité </w:t>
      </w:r>
      <w:r w:rsidR="00446D8B">
        <w:rPr>
          <w:rFonts w:ascii="Palatino Linotype" w:hAnsi="Palatino Linotype" w:cs="Arial"/>
          <w:b w:val="0"/>
          <w:sz w:val="22"/>
          <w:szCs w:val="22"/>
        </w:rPr>
        <w:t>Pro</w:t>
      </w:r>
      <w:r w:rsidR="00057D41">
        <w:rPr>
          <w:rFonts w:ascii="Palatino Linotype" w:hAnsi="Palatino Linotype" w:cs="Arial"/>
          <w:b w:val="0"/>
          <w:sz w:val="22"/>
          <w:szCs w:val="22"/>
        </w:rPr>
        <w:t>-M</w:t>
      </w:r>
      <w:r w:rsidR="00446D8B">
        <w:rPr>
          <w:rFonts w:ascii="Palatino Linotype" w:hAnsi="Palatino Linotype" w:cs="Arial"/>
          <w:b w:val="0"/>
          <w:sz w:val="22"/>
          <w:szCs w:val="22"/>
        </w:rPr>
        <w:t xml:space="preserve">ejoras del Barrio </w:t>
      </w:r>
      <w:r>
        <w:rPr>
          <w:rFonts w:ascii="Palatino Linotype" w:hAnsi="Palatino Linotype" w:cs="Arial"/>
          <w:b w:val="0"/>
          <w:sz w:val="22"/>
          <w:szCs w:val="22"/>
        </w:rPr>
        <w:t>“</w:t>
      </w:r>
      <w:r w:rsidR="00642909">
        <w:rPr>
          <w:rFonts w:ascii="Palatino Linotype" w:hAnsi="Palatino Linotype" w:cs="Arial"/>
          <w:b w:val="0"/>
          <w:sz w:val="22"/>
          <w:szCs w:val="22"/>
        </w:rPr>
        <w:t>Calicanto</w:t>
      </w:r>
      <w:r w:rsidR="00446D8B">
        <w:rPr>
          <w:rFonts w:ascii="Palatino Linotype" w:hAnsi="Palatino Linotype" w:cs="Arial"/>
          <w:b w:val="0"/>
          <w:sz w:val="22"/>
          <w:szCs w:val="22"/>
        </w:rPr>
        <w:t>”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, ubicado en la parroquia </w:t>
      </w:r>
      <w:r w:rsidR="00642909">
        <w:rPr>
          <w:rFonts w:ascii="Palatino Linotype" w:hAnsi="Palatino Linotype" w:cs="Arial"/>
          <w:b w:val="0"/>
          <w:sz w:val="22"/>
          <w:szCs w:val="22"/>
        </w:rPr>
        <w:t>Quitumbe</w:t>
      </w:r>
      <w:r w:rsidR="00057D41">
        <w:rPr>
          <w:rFonts w:ascii="Palatino Linotype" w:hAnsi="Palatino Linotype" w:cs="Arial"/>
          <w:b w:val="0"/>
          <w:sz w:val="22"/>
          <w:szCs w:val="22"/>
        </w:rPr>
        <w:t>,</w:t>
      </w:r>
      <w:r>
        <w:rPr>
          <w:rFonts w:ascii="Palatino Linotype" w:hAnsi="Palatino Linotype" w:cs="Arial"/>
          <w:b w:val="0"/>
          <w:sz w:val="22"/>
          <w:szCs w:val="22"/>
        </w:rPr>
        <w:t xml:space="preserve"> cuenta con </w:t>
      </w:r>
      <w:r w:rsidR="00642909">
        <w:rPr>
          <w:rFonts w:ascii="Palatino Linotype" w:hAnsi="Palatino Linotype" w:cs="Arial"/>
          <w:b w:val="0"/>
          <w:sz w:val="22"/>
          <w:szCs w:val="22"/>
        </w:rPr>
        <w:t>19</w:t>
      </w:r>
      <w:r>
        <w:rPr>
          <w:rFonts w:ascii="Palatino Linotype" w:hAnsi="Palatino Linotype" w:cs="Arial"/>
          <w:b w:val="0"/>
          <w:sz w:val="22"/>
          <w:szCs w:val="22"/>
        </w:rPr>
        <w:t xml:space="preserve"> años de asentamiento, </w:t>
      </w:r>
      <w:r w:rsidR="00642909">
        <w:rPr>
          <w:rFonts w:ascii="Palatino Linotype" w:hAnsi="Palatino Linotype" w:cs="Arial"/>
          <w:b w:val="0"/>
          <w:sz w:val="22"/>
          <w:szCs w:val="22"/>
        </w:rPr>
        <w:t>51</w:t>
      </w:r>
      <w:r w:rsidR="001169DD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57D41">
        <w:rPr>
          <w:rFonts w:ascii="Palatino Linotype" w:hAnsi="Palatino Linotype" w:cs="Arial"/>
          <w:b w:val="0"/>
          <w:sz w:val="22"/>
          <w:szCs w:val="22"/>
        </w:rPr>
        <w:t xml:space="preserve">posesionarios </w:t>
      </w:r>
      <w:r>
        <w:rPr>
          <w:rFonts w:ascii="Palatino Linotype" w:hAnsi="Palatino Linotype" w:cs="Arial"/>
          <w:b w:val="0"/>
          <w:sz w:val="22"/>
          <w:szCs w:val="22"/>
        </w:rPr>
        <w:t xml:space="preserve">y </w:t>
      </w:r>
      <w:r w:rsidR="00642909">
        <w:rPr>
          <w:rFonts w:ascii="Palatino Linotype" w:hAnsi="Palatino Linotype" w:cs="Arial"/>
          <w:b w:val="0"/>
          <w:sz w:val="22"/>
          <w:szCs w:val="22"/>
        </w:rPr>
        <w:t>204</w:t>
      </w:r>
      <w:r>
        <w:rPr>
          <w:rFonts w:ascii="Palatino Linotype" w:hAnsi="Palatino Linotype" w:cs="Arial"/>
          <w:b w:val="0"/>
          <w:sz w:val="22"/>
          <w:szCs w:val="22"/>
        </w:rPr>
        <w:t xml:space="preserve"> habitantes. Dicho barrio no cuenta con reconocimiento legal por parte de la Municipalidad, por lo que la Unidad Especial Regula Tu Barrio realizó el proceso tendiente a regularizar el mismo,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3078EC" w:rsidRDefault="003078EC" w:rsidP="003078EC">
      <w:pPr>
        <w:pStyle w:val="Ttulo"/>
        <w:spacing w:after="240" w:line="276" w:lineRule="auto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contiene la normativa tendiente a la regularización del asentamiento humano de hecho y consolidado denominado </w:t>
      </w:r>
      <w:r w:rsidR="00F83D99">
        <w:rPr>
          <w:rFonts w:ascii="Palatino Linotype" w:hAnsi="Palatino Linotype" w:cs="Arial"/>
          <w:b w:val="0"/>
          <w:sz w:val="22"/>
          <w:szCs w:val="22"/>
        </w:rPr>
        <w:t>Comité Pro-Mejoras del Barrio “Calicanto”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3078EC" w:rsidRDefault="003078EC" w:rsidP="003843CA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3078EC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C52450" w:rsidRPr="003843CA" w:rsidRDefault="00C52450" w:rsidP="001C370A">
      <w:pPr>
        <w:pStyle w:val="Ttulo"/>
        <w:spacing w:before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870361" w:rsidRPr="00870361" w:rsidRDefault="00870361" w:rsidP="00893F6A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Visto </w:t>
      </w:r>
      <w:r w:rsidR="00057D41">
        <w:rPr>
          <w:rFonts w:ascii="Palatino Linotype" w:hAnsi="Palatino Linotype" w:cs="Arial"/>
          <w:sz w:val="22"/>
          <w:szCs w:val="22"/>
        </w:rPr>
        <w:t>e</w:t>
      </w:r>
      <w:r>
        <w:rPr>
          <w:rFonts w:ascii="Palatino Linotype" w:hAnsi="Palatino Linotype" w:cs="Arial"/>
          <w:sz w:val="22"/>
          <w:szCs w:val="22"/>
        </w:rPr>
        <w:t>l Informe No. IC-O-201</w:t>
      </w:r>
      <w:r w:rsidR="00057D41">
        <w:rPr>
          <w:rFonts w:ascii="Palatino Linotype" w:hAnsi="Palatino Linotype" w:cs="Arial"/>
          <w:sz w:val="22"/>
          <w:szCs w:val="22"/>
        </w:rPr>
        <w:t>5</w:t>
      </w:r>
      <w:r>
        <w:rPr>
          <w:rFonts w:ascii="Palatino Linotype" w:hAnsi="Palatino Linotype" w:cs="Arial"/>
          <w:sz w:val="22"/>
          <w:szCs w:val="22"/>
        </w:rPr>
        <w:t>-</w:t>
      </w:r>
      <w:r w:rsidR="00057D41">
        <w:rPr>
          <w:rFonts w:ascii="Palatino Linotype" w:hAnsi="Palatino Linotype" w:cs="Arial"/>
          <w:sz w:val="22"/>
          <w:szCs w:val="22"/>
        </w:rPr>
        <w:t>0</w:t>
      </w:r>
      <w:r w:rsidR="00F83D99">
        <w:rPr>
          <w:rFonts w:ascii="Palatino Linotype" w:hAnsi="Palatino Linotype" w:cs="Arial"/>
          <w:sz w:val="22"/>
          <w:szCs w:val="22"/>
        </w:rPr>
        <w:t>10</w:t>
      </w:r>
      <w:r w:rsidR="007F3A59">
        <w:rPr>
          <w:rFonts w:ascii="Palatino Linotype" w:hAnsi="Palatino Linotype" w:cs="Arial"/>
          <w:sz w:val="22"/>
          <w:szCs w:val="22"/>
        </w:rPr>
        <w:t xml:space="preserve">, de </w:t>
      </w:r>
      <w:r w:rsidR="00057D41">
        <w:rPr>
          <w:rFonts w:ascii="Palatino Linotype" w:hAnsi="Palatino Linotype" w:cs="Arial"/>
          <w:sz w:val="22"/>
          <w:szCs w:val="22"/>
        </w:rPr>
        <w:t xml:space="preserve">15 </w:t>
      </w:r>
      <w:r w:rsidR="007F3A59">
        <w:rPr>
          <w:rFonts w:ascii="Palatino Linotype" w:hAnsi="Palatino Linotype" w:cs="Arial"/>
          <w:sz w:val="22"/>
          <w:szCs w:val="22"/>
        </w:rPr>
        <w:t xml:space="preserve">de </w:t>
      </w:r>
      <w:r w:rsidR="00057D41">
        <w:rPr>
          <w:rFonts w:ascii="Palatino Linotype" w:hAnsi="Palatino Linotype" w:cs="Arial"/>
          <w:sz w:val="22"/>
          <w:szCs w:val="22"/>
        </w:rPr>
        <w:t>enero de 2015</w:t>
      </w:r>
      <w:r w:rsidR="007F3A59">
        <w:rPr>
          <w:rFonts w:ascii="Palatino Linotype" w:hAnsi="Palatino Linotype" w:cs="Arial"/>
          <w:sz w:val="22"/>
          <w:szCs w:val="22"/>
        </w:rPr>
        <w:t xml:space="preserve">, expedido por la Comisión de </w:t>
      </w:r>
      <w:r>
        <w:rPr>
          <w:rFonts w:ascii="Palatino Linotype" w:hAnsi="Palatino Linotype" w:cs="Arial"/>
          <w:sz w:val="22"/>
          <w:szCs w:val="22"/>
        </w:rPr>
        <w:t>Ordenamiento Territorial.</w:t>
      </w:r>
    </w:p>
    <w:p w:rsidR="001123C1" w:rsidRPr="001123C1" w:rsidRDefault="001123C1" w:rsidP="001C370A">
      <w:pPr>
        <w:spacing w:before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 xml:space="preserve">x) Regular y </w:t>
      </w:r>
      <w:r w:rsidRPr="001842A8">
        <w:rPr>
          <w:rFonts w:ascii="Palatino Linotype" w:hAnsi="Palatino Linotype" w:cs="Arial"/>
          <w:i/>
          <w:iCs/>
        </w:rPr>
        <w:lastRenderedPageBreak/>
        <w:t>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3843CA" w:rsidRDefault="003843CA" w:rsidP="00866F6E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486 del COOTAD establece que: “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Cuando por resolución del órgano </w:t>
      </w:r>
      <w:r w:rsidR="00866F6E">
        <w:rPr>
          <w:rFonts w:ascii="Palatino Linotype" w:hAnsi="Palatino Linotype" w:cs="Arial"/>
          <w:bCs/>
          <w:i/>
          <w:lang w:val="es-ES_tradnl"/>
        </w:rPr>
        <w:t xml:space="preserve">de </w:t>
      </w:r>
      <w:r w:rsidRPr="001842A8">
        <w:rPr>
          <w:rFonts w:ascii="Palatino Linotype" w:hAnsi="Palatino Linotype" w:cs="Arial"/>
          <w:bCs/>
          <w:i/>
          <w:lang w:val="es-ES_tradnl"/>
        </w:rPr>
        <w:t>legisla</w:t>
      </w:r>
      <w:r w:rsidR="00866F6E">
        <w:rPr>
          <w:rFonts w:ascii="Palatino Linotype" w:hAnsi="Palatino Linotype" w:cs="Arial"/>
          <w:bCs/>
          <w:i/>
          <w:lang w:val="es-ES_tradnl"/>
        </w:rPr>
        <w:t>ción y fiscalización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 del </w:t>
      </w:r>
      <w:r w:rsidR="00866F6E">
        <w:rPr>
          <w:rFonts w:ascii="Palatino Linotype" w:hAnsi="Palatino Linotype" w:cs="Arial"/>
          <w:bCs/>
          <w:i/>
          <w:lang w:val="es-ES_tradnl"/>
        </w:rPr>
        <w:t>G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obierno </w:t>
      </w:r>
      <w:r w:rsidR="00866F6E">
        <w:rPr>
          <w:rFonts w:ascii="Palatino Linotype" w:hAnsi="Palatino Linotype" w:cs="Arial"/>
          <w:bCs/>
          <w:i/>
          <w:lang w:val="es-ES_tradnl"/>
        </w:rPr>
        <w:t>Autónomo D</w:t>
      </w:r>
      <w:r w:rsidRPr="001842A8">
        <w:rPr>
          <w:rFonts w:ascii="Palatino Linotype" w:hAnsi="Palatino Linotype" w:cs="Arial"/>
          <w:bCs/>
          <w:i/>
          <w:lang w:val="es-ES_tradnl"/>
        </w:rPr>
        <w:t xml:space="preserve">escentralizado municipal o metropolitano, se requiera regularizar </w:t>
      </w:r>
      <w:r w:rsidR="00866F6E">
        <w:rPr>
          <w:rFonts w:ascii="Palatino Linotype" w:hAnsi="Palatino Linotype" w:cs="Arial"/>
          <w:bCs/>
          <w:i/>
          <w:lang w:val="es-ES_tradnl"/>
        </w:rPr>
        <w:t xml:space="preserve">y legalizar asentamientos humanos consolidados de interés social ubicados en su circunscripción territorial en predios que se encuentren proindiviso, la alcaldesa o el alcalde, a través de los órganos administrativos de la municipalidad, de oficio o a petición de parte, estará facultado para ejercer la partición administrativa, </w:t>
      </w:r>
      <w:r w:rsidRPr="001842A8">
        <w:rPr>
          <w:rFonts w:ascii="Palatino Linotype" w:hAnsi="Palatino Linotype" w:cs="Arial"/>
          <w:bCs/>
          <w:i/>
          <w:lang w:val="es-ES_tradnl"/>
        </w:rPr>
        <w:t>(…)</w:t>
      </w:r>
      <w:r w:rsidRPr="001842A8">
        <w:rPr>
          <w:rFonts w:ascii="Palatino Linotype" w:hAnsi="Palatino Linotype" w:cs="Arial"/>
          <w:bCs/>
          <w:lang w:val="es-ES_tradnl"/>
        </w:rPr>
        <w:t>”</w:t>
      </w:r>
      <w:r w:rsidRPr="001842A8">
        <w:rPr>
          <w:rFonts w:ascii="Palatino Linotype" w:hAnsi="Palatino Linotype" w:cs="Arial"/>
          <w:b/>
          <w:bCs/>
        </w:rPr>
        <w:t>;</w:t>
      </w:r>
    </w:p>
    <w:p w:rsidR="00057D41" w:rsidRPr="001C788E" w:rsidRDefault="00057D41" w:rsidP="00057D41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  <w:i/>
        </w:rPr>
      </w:pPr>
      <w:r w:rsidRPr="001C788E">
        <w:rPr>
          <w:rFonts w:ascii="Palatino Linotype" w:hAnsi="Palatino Linotype" w:cs="Arial"/>
          <w:b/>
          <w:bCs/>
        </w:rPr>
        <w:t>Que,</w:t>
      </w:r>
      <w:r w:rsidRPr="001C788E">
        <w:rPr>
          <w:rFonts w:ascii="Palatino Linotype" w:hAnsi="Palatino Linotype" w:cs="Arial"/>
          <w:b/>
          <w:bCs/>
        </w:rPr>
        <w:tab/>
      </w:r>
      <w:r w:rsidRPr="001C788E">
        <w:rPr>
          <w:rFonts w:ascii="Palatino Linotype" w:hAnsi="Palatino Linotype" w:cs="Arial"/>
          <w:bCs/>
        </w:rPr>
        <w:t>la Disposición Transitoria Décima Cuarta del COOTAD, señala: “</w:t>
      </w:r>
      <w:r w:rsidRPr="001C788E">
        <w:rPr>
          <w:rFonts w:ascii="Palatino Linotype" w:hAnsi="Palatino Linotype" w:cs="Arial"/>
          <w:bCs/>
          <w:i/>
        </w:rPr>
        <w:t>(…)</w:t>
      </w:r>
      <w:r w:rsidR="0032128B">
        <w:rPr>
          <w:rFonts w:ascii="Palatino Linotype" w:hAnsi="Palatino Linotype" w:cs="Arial"/>
          <w:bCs/>
          <w:i/>
        </w:rPr>
        <w:t xml:space="preserve"> </w:t>
      </w:r>
      <w:r w:rsidRPr="00D377C3">
        <w:rPr>
          <w:rFonts w:ascii="Palatino Linotype" w:hAnsi="Palatino Linotype" w:cs="Arial"/>
          <w:i/>
        </w:rPr>
        <w:t>Excepcionalmente en los casos de asentamientos de hecho y consolidados declarados de interés social, en que no se ha previsto el porcentaje de áreas verdes y comunales establecidas en la ley, serán exoneradas de este porcentaje</w:t>
      </w:r>
      <w:r w:rsidRPr="001C788E">
        <w:rPr>
          <w:rFonts w:ascii="Palatino Linotype" w:hAnsi="Palatino Linotype" w:cs="Arial"/>
        </w:rPr>
        <w:t>.”;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3843CA" w:rsidRPr="001842A8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057D41">
        <w:rPr>
          <w:rFonts w:ascii="Palatino Linotype" w:hAnsi="Palatino Linotype" w:cs="Arial"/>
          <w:bCs/>
        </w:rPr>
        <w:t>el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3843CA" w:rsidRDefault="003843CA" w:rsidP="001C370A">
      <w:pPr>
        <w:pStyle w:val="Sinespaciado"/>
        <w:spacing w:before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B072AF" w:rsidRPr="008C42FE" w:rsidRDefault="00CA4237" w:rsidP="00B072AF">
      <w:pPr>
        <w:spacing w:after="240" w:line="276" w:lineRule="auto"/>
        <w:ind w:left="510" w:hanging="709"/>
        <w:jc w:val="both"/>
        <w:rPr>
          <w:rFonts w:ascii="Palatino Linotype" w:eastAsia="Calibri" w:hAnsi="Palatino Linotype"/>
          <w:sz w:val="22"/>
          <w:szCs w:val="22"/>
          <w:lang w:val="es-EC" w:eastAsia="en-US"/>
        </w:rPr>
      </w:pPr>
      <w:r w:rsidRPr="00B072AF">
        <w:rPr>
          <w:rFonts w:ascii="Palatino Linotype" w:hAnsi="Palatino Linotype"/>
          <w:b/>
          <w:bCs/>
          <w:sz w:val="22"/>
          <w:szCs w:val="22"/>
        </w:rPr>
        <w:lastRenderedPageBreak/>
        <w:t>Que,</w:t>
      </w:r>
      <w:r w:rsidRPr="00B072AF">
        <w:rPr>
          <w:rFonts w:ascii="Palatino Linotype" w:hAnsi="Palatino Linotype"/>
          <w:sz w:val="22"/>
          <w:szCs w:val="22"/>
        </w:rPr>
        <w:tab/>
        <w:t>la Mesa Institucional d</w:t>
      </w:r>
      <w:r w:rsidR="00BA7F93" w:rsidRPr="00B072AF">
        <w:rPr>
          <w:rFonts w:ascii="Palatino Linotype" w:hAnsi="Palatino Linotype"/>
          <w:sz w:val="22"/>
          <w:szCs w:val="22"/>
        </w:rPr>
        <w:t xml:space="preserve">e Trabajo, reunida el </w:t>
      </w:r>
      <w:r w:rsidR="00057D41" w:rsidRPr="00B072AF">
        <w:rPr>
          <w:rFonts w:ascii="Palatino Linotype" w:hAnsi="Palatino Linotype"/>
          <w:sz w:val="22"/>
          <w:szCs w:val="22"/>
        </w:rPr>
        <w:t>18</w:t>
      </w:r>
      <w:r w:rsidR="00BA7F93" w:rsidRPr="00B072AF">
        <w:rPr>
          <w:rFonts w:ascii="Palatino Linotype" w:hAnsi="Palatino Linotype"/>
          <w:sz w:val="22"/>
          <w:szCs w:val="22"/>
        </w:rPr>
        <w:t xml:space="preserve"> de </w:t>
      </w:r>
      <w:r w:rsidR="00B452F1" w:rsidRPr="00B072AF">
        <w:rPr>
          <w:rFonts w:ascii="Palatino Linotype" w:hAnsi="Palatino Linotype"/>
          <w:sz w:val="22"/>
          <w:szCs w:val="22"/>
        </w:rPr>
        <w:t xml:space="preserve">julio </w:t>
      </w:r>
      <w:r w:rsidR="00554B2F" w:rsidRPr="00B072AF">
        <w:rPr>
          <w:rFonts w:ascii="Palatino Linotype" w:hAnsi="Palatino Linotype"/>
          <w:sz w:val="22"/>
          <w:szCs w:val="22"/>
        </w:rPr>
        <w:t xml:space="preserve">de 2014 </w:t>
      </w:r>
      <w:r w:rsidRPr="00B072AF">
        <w:rPr>
          <w:rFonts w:ascii="Palatino Linotype" w:hAnsi="Palatino Linotype"/>
          <w:sz w:val="22"/>
          <w:szCs w:val="22"/>
        </w:rPr>
        <w:t xml:space="preserve">en la Administración Zonal </w:t>
      </w:r>
      <w:r w:rsidR="007F2C68">
        <w:rPr>
          <w:rFonts w:ascii="Palatino Linotype" w:hAnsi="Palatino Linotype"/>
          <w:sz w:val="22"/>
          <w:szCs w:val="22"/>
        </w:rPr>
        <w:t>Quitumbe</w:t>
      </w:r>
      <w:r w:rsidRPr="00B072AF">
        <w:rPr>
          <w:rFonts w:ascii="Palatino Linotype" w:hAnsi="Palatino Linotype"/>
          <w:sz w:val="22"/>
          <w:szCs w:val="22"/>
        </w:rPr>
        <w:t xml:space="preserve">, </w:t>
      </w:r>
      <w:r w:rsidR="00B452F1" w:rsidRPr="00B072AF">
        <w:rPr>
          <w:rFonts w:ascii="Palatino Linotype" w:hAnsi="Palatino Linotype"/>
          <w:sz w:val="22"/>
          <w:szCs w:val="22"/>
        </w:rPr>
        <w:t xml:space="preserve">integrada por los siguientes órganos y dependencias: </w:t>
      </w:r>
      <w:r w:rsidR="00B072AF"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Dr. Ramiro Cobos, Ex Administrador Zonal Quitumbe; Lcdo. Pablo Melo O,  Coordinador UERB-Q; Arq.</w:t>
      </w:r>
      <w:r w:rsidR="00B072AF" w:rsidRPr="006B1969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Iván Martínez, Delegado de la Secretaria de  Territorio, Hábitat y Vivienda; Arq. Víctor Hugo Aguilar, Delegado de la Dirección Metropolitana de Catastro; Arq. Alfonso Cevallos, Director de Gestión del Territorio Zona Quitumbe; Dr. Ivan Pacheco, Director Asesoría Jurídica Zona Quitumbe; Arq. Miguel Hidalgo, Responsable Técnico; Dr. Manuel Armijos, Responsable Legal; Lcda. </w:t>
      </w:r>
      <w:proofErr w:type="spellStart"/>
      <w:r w:rsidR="00B072AF" w:rsidRPr="006B1969">
        <w:rPr>
          <w:rFonts w:ascii="Palatino Linotype" w:eastAsia="Calibri" w:hAnsi="Palatino Linotype"/>
          <w:sz w:val="22"/>
          <w:szCs w:val="22"/>
          <w:lang w:val="es-EC" w:eastAsia="en-US"/>
        </w:rPr>
        <w:t>Gianyna</w:t>
      </w:r>
      <w:proofErr w:type="spellEnd"/>
      <w:r w:rsidR="00B072AF" w:rsidRPr="006B1969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Rosero, Responsable Socio-Organizativo, de la Unidad Especial Regula tu Barrio Quitumbe;  </w:t>
      </w:r>
      <w:r w:rsidR="00B072AF" w:rsidRPr="006B1969">
        <w:rPr>
          <w:rFonts w:ascii="Palatino Linotype" w:eastAsia="Calibri" w:hAnsi="Palatino Linotype"/>
          <w:iCs/>
          <w:sz w:val="22"/>
          <w:szCs w:val="22"/>
          <w:lang w:val="es-EC" w:eastAsia="en-US"/>
        </w:rPr>
        <w:t xml:space="preserve">emitió el </w:t>
      </w:r>
      <w:r w:rsidR="00B072AF" w:rsidRPr="006B1969">
        <w:rPr>
          <w:rFonts w:ascii="Palatino Linotype" w:hAnsi="Palatino Linotype" w:cs="Arial"/>
          <w:sz w:val="22"/>
          <w:szCs w:val="22"/>
        </w:rPr>
        <w:t>informe No. 021-</w:t>
      </w:r>
      <w:r w:rsidR="00B072AF" w:rsidRPr="006B1969">
        <w:rPr>
          <w:rFonts w:ascii="Palatino Linotype" w:hAnsi="Palatino Linotype" w:cs="Arial"/>
          <w:sz w:val="22"/>
          <w:szCs w:val="22"/>
          <w:lang w:val="es-EC"/>
        </w:rPr>
        <w:t>UERB-Q-SOLT-2014</w:t>
      </w:r>
      <w:r w:rsidR="00B072AF" w:rsidRPr="006B1969">
        <w:rPr>
          <w:rFonts w:ascii="Palatino Linotype" w:hAnsi="Palatino Linotype" w:cs="Arial"/>
          <w:sz w:val="22"/>
          <w:szCs w:val="22"/>
        </w:rPr>
        <w:t xml:space="preserve">, </w:t>
      </w:r>
      <w:r w:rsidR="00B072AF" w:rsidRPr="006B1969">
        <w:rPr>
          <w:rFonts w:ascii="Palatino Linotype" w:eastAsia="Calibri" w:hAnsi="Palatino Linotype"/>
          <w:sz w:val="22"/>
          <w:szCs w:val="22"/>
          <w:lang w:val="es-EC" w:eastAsia="en-US"/>
        </w:rPr>
        <w:t>para la aprobación del Asentamiento Humano de Hecho y Consolidado denominado Comité Pro-</w:t>
      </w:r>
      <w:r w:rsidR="001A7980">
        <w:rPr>
          <w:rFonts w:ascii="Palatino Linotype" w:eastAsia="Calibri" w:hAnsi="Palatino Linotype"/>
          <w:sz w:val="22"/>
          <w:szCs w:val="22"/>
          <w:lang w:val="es-EC" w:eastAsia="en-US"/>
        </w:rPr>
        <w:t>M</w:t>
      </w:r>
      <w:r w:rsidR="00B072AF" w:rsidRPr="006B1969">
        <w:rPr>
          <w:rFonts w:ascii="Palatino Linotype" w:eastAsia="Calibri" w:hAnsi="Palatino Linotype"/>
          <w:sz w:val="22"/>
          <w:szCs w:val="22"/>
          <w:lang w:val="es-EC" w:eastAsia="en-US"/>
        </w:rPr>
        <w:t>ejoras del Barrio “Calicanto”.</w:t>
      </w:r>
    </w:p>
    <w:p w:rsidR="00AD3B79" w:rsidRPr="00A837DE" w:rsidRDefault="00AD3B79" w:rsidP="00AD3B79">
      <w:pPr>
        <w:pStyle w:val="Sinespaciado"/>
        <w:spacing w:before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3667C0" w:rsidRPr="00B072AF" w:rsidRDefault="00C52450" w:rsidP="00B072AF">
      <w:pPr>
        <w:spacing w:before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EXPIDE</w:t>
      </w:r>
      <w:r w:rsidR="00B452F1" w:rsidRPr="00B072AF">
        <w:rPr>
          <w:rFonts w:ascii="Palatino Linotype" w:hAnsi="Palatino Linotype"/>
          <w:b/>
          <w:sz w:val="22"/>
          <w:szCs w:val="22"/>
        </w:rPr>
        <w:t xml:space="preserve"> LA SIGUIENTE</w:t>
      </w:r>
      <w:r w:rsidR="007863C1" w:rsidRPr="00B072AF">
        <w:rPr>
          <w:rFonts w:ascii="Palatino Linotype" w:hAnsi="Palatino Linotype"/>
          <w:b/>
          <w:sz w:val="22"/>
          <w:szCs w:val="22"/>
        </w:rPr>
        <w:t>:</w:t>
      </w:r>
    </w:p>
    <w:p w:rsidR="001C370A" w:rsidRPr="00B072AF" w:rsidRDefault="001C370A" w:rsidP="00B072AF">
      <w:pPr>
        <w:pStyle w:val="Sinespaciado"/>
        <w:spacing w:before="240" w:line="276" w:lineRule="auto"/>
        <w:jc w:val="center"/>
        <w:outlineLvl w:val="0"/>
        <w:rPr>
          <w:rFonts w:ascii="Palatino Linotype" w:hAnsi="Palatino Linotype"/>
        </w:rPr>
      </w:pPr>
      <w:r w:rsidRPr="00B072AF">
        <w:rPr>
          <w:rFonts w:ascii="Palatino Linotype" w:hAnsi="Palatino Linotype" w:cs="Arial"/>
          <w:b/>
        </w:rPr>
        <w:t>ORDENANZA QUE RECONOCE Y APRUEBA EL ASENTAMIENTO HUMANO DE HECHO Y CONSOLIDADO DENOMINADO</w:t>
      </w:r>
      <w:r w:rsidRPr="00B072AF">
        <w:rPr>
          <w:rFonts w:ascii="Palatino Linotype" w:hAnsi="Palatino Linotype"/>
        </w:rPr>
        <w:t xml:space="preserve"> </w:t>
      </w:r>
      <w:r w:rsidRPr="00B072AF">
        <w:rPr>
          <w:rFonts w:ascii="Palatino Linotype" w:hAnsi="Palatino Linotype"/>
          <w:b/>
        </w:rPr>
        <w:t>COMITÉ PRO</w:t>
      </w:r>
      <w:r w:rsidR="00057D41" w:rsidRPr="00B072AF">
        <w:rPr>
          <w:rFonts w:ascii="Palatino Linotype" w:hAnsi="Palatino Linotype"/>
          <w:b/>
        </w:rPr>
        <w:t>-</w:t>
      </w:r>
      <w:r w:rsidRPr="00B072AF">
        <w:rPr>
          <w:rFonts w:ascii="Palatino Linotype" w:hAnsi="Palatino Linotype"/>
          <w:b/>
        </w:rPr>
        <w:t>MEJORAS DEL BARRIO “</w:t>
      </w:r>
      <w:r w:rsidR="00B072AF" w:rsidRPr="00B072AF">
        <w:rPr>
          <w:rFonts w:ascii="Palatino Linotype" w:hAnsi="Palatino Linotype"/>
          <w:b/>
        </w:rPr>
        <w:t>CALICANTO”</w:t>
      </w:r>
      <w:r w:rsidRPr="00B072AF">
        <w:rPr>
          <w:rFonts w:ascii="Palatino Linotype" w:hAnsi="Palatino Linotype" w:cs="Arial"/>
          <w:b/>
        </w:rPr>
        <w:t>, A FAVOR DE SUS COPROPIETARIOS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sz w:val="22"/>
          <w:szCs w:val="22"/>
          <w:lang w:val="es-EC"/>
        </w:rPr>
        <w:t xml:space="preserve"> 1.- De los planos y documentos presentados.-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Los planos y documentos presentados son de exclusiva responsabilidad del proyectista, y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</w:t>
      </w:r>
      <w:r w:rsidR="001A7980">
        <w:rPr>
          <w:rFonts w:ascii="Palatino Linotype" w:eastAsia="Calibri" w:hAnsi="Palatino Linotype"/>
          <w:sz w:val="22"/>
          <w:szCs w:val="22"/>
          <w:lang w:val="es-EC" w:eastAsia="en-US"/>
        </w:rPr>
        <w:t>M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>ejoras del Barrio “Calicanto”</w:t>
      </w:r>
      <w:r w:rsidRPr="00B072AF">
        <w:rPr>
          <w:rFonts w:ascii="Palatino Linotype" w:hAnsi="Palatino Linotype"/>
          <w:sz w:val="22"/>
          <w:szCs w:val="22"/>
          <w:lang w:val="es-EC"/>
        </w:rPr>
        <w:t>, sin perjuicio de la responsabilidad de quienes revisaron los planos y los documentos legales, excepto en caso de que hayan sido inducidos a engaño.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En caso de comprobarse ocultación o falsedad en planos, datos, documentos; o de existir reclamos de terceros afectados, será de exclusiva responsabilidad del técnico y de los copropietarios del predio.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Las dimensiones y superficies de los lotes son las determinadas en el plano aprobatorio siendo en el futuro indivisibles.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lastRenderedPageBreak/>
        <w:t>Por las condiciones de asentamiento humano de hecho y consolidado, se lo aprueba considerándolo de interés social</w:t>
      </w:r>
      <w:r>
        <w:rPr>
          <w:rFonts w:ascii="Palatino Linotype" w:hAnsi="Palatino Linotype"/>
          <w:sz w:val="22"/>
          <w:szCs w:val="22"/>
          <w:lang w:val="es-EC"/>
        </w:rPr>
        <w:t>; sin perjuicio de lo cual,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 xml:space="preserve">se deberá elaborar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el Estudio Técnico de la Prolongación de la Avenida </w:t>
      </w:r>
      <w:r>
        <w:rPr>
          <w:rFonts w:ascii="Palatino Linotype" w:hAnsi="Palatino Linotype"/>
          <w:sz w:val="22"/>
          <w:szCs w:val="22"/>
          <w:lang w:val="es-EC"/>
        </w:rPr>
        <w:t xml:space="preserve">Mariscal Sucre, </w:t>
      </w:r>
      <w:r w:rsidRPr="00B072AF">
        <w:rPr>
          <w:rFonts w:ascii="Palatino Linotype" w:hAnsi="Palatino Linotype"/>
          <w:sz w:val="22"/>
          <w:szCs w:val="22"/>
          <w:lang w:val="es-EC"/>
        </w:rPr>
        <w:t>por parte de la Empresa Pública Metropolitana de Movilidad y Obras Públicas</w:t>
      </w:r>
      <w:r>
        <w:rPr>
          <w:rFonts w:ascii="Palatino Linotype" w:hAnsi="Palatino Linotype"/>
          <w:sz w:val="22"/>
          <w:szCs w:val="22"/>
          <w:lang w:val="es-EC"/>
        </w:rPr>
        <w:t xml:space="preserve"> -EPMMOP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AD3B79">
        <w:rPr>
          <w:rFonts w:ascii="Palatino Linotype" w:hAnsi="Palatino Linotype"/>
          <w:sz w:val="22"/>
          <w:szCs w:val="22"/>
          <w:lang w:val="es-EC"/>
        </w:rPr>
        <w:t>con el fin de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identificar las afectaciones que pud</w:t>
      </w:r>
      <w:r>
        <w:rPr>
          <w:rFonts w:ascii="Palatino Linotype" w:hAnsi="Palatino Linotype"/>
          <w:sz w:val="22"/>
          <w:szCs w:val="22"/>
          <w:lang w:val="es-EC"/>
        </w:rPr>
        <w:t>iera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tener el predio </w:t>
      </w:r>
      <w:r>
        <w:rPr>
          <w:rFonts w:ascii="Palatino Linotype" w:hAnsi="Palatino Linotype"/>
          <w:sz w:val="22"/>
          <w:szCs w:val="22"/>
          <w:lang w:val="es-EC"/>
        </w:rPr>
        <w:t>objeto de la presente Ordenanza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. 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 2.- Especificaciones técnicas.-</w:t>
      </w:r>
    </w:p>
    <w:p w:rsidR="00475588" w:rsidRDefault="0047558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Zonificación: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D3 (D203-80) – C8 (C408-70) – </w:t>
      </w:r>
    </w:p>
    <w:p w:rsidR="00475588" w:rsidRDefault="0047558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D5 (D304-80) – A31 (PQ)</w:t>
      </w:r>
    </w:p>
    <w:p w:rsidR="00475588" w:rsidRPr="00475588" w:rsidRDefault="0047558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475588">
        <w:rPr>
          <w:rFonts w:ascii="Palatino Linotype" w:hAnsi="Palatino Linotype"/>
          <w:b/>
          <w:sz w:val="22"/>
          <w:szCs w:val="22"/>
        </w:rPr>
        <w:t>Lote mínimo: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200 m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2 </w:t>
      </w:r>
      <w:r>
        <w:rPr>
          <w:rFonts w:ascii="Palatino Linotype" w:hAnsi="Palatino Linotype"/>
          <w:sz w:val="22"/>
          <w:szCs w:val="22"/>
        </w:rPr>
        <w:t>– 400 m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2 </w:t>
      </w:r>
      <w:r>
        <w:rPr>
          <w:rFonts w:ascii="Palatino Linotype" w:hAnsi="Palatino Linotype"/>
          <w:sz w:val="22"/>
          <w:szCs w:val="22"/>
        </w:rPr>
        <w:t>– 300 m</w:t>
      </w:r>
      <w:r>
        <w:rPr>
          <w:rFonts w:ascii="Palatino Linotype" w:hAnsi="Palatino Linotype"/>
          <w:sz w:val="22"/>
          <w:szCs w:val="22"/>
          <w:vertAlign w:val="superscript"/>
        </w:rPr>
        <w:t xml:space="preserve">2 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útil de l</w:t>
      </w:r>
      <w:r w:rsidRPr="00B072AF">
        <w:rPr>
          <w:rFonts w:ascii="Palatino Linotype" w:hAnsi="Palatino Linotype"/>
          <w:b/>
          <w:sz w:val="22"/>
          <w:szCs w:val="22"/>
        </w:rPr>
        <w:t>otes</w:t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10.022,10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</w:rPr>
        <w:tab/>
      </w:r>
      <w:r>
        <w:rPr>
          <w:rFonts w:ascii="Palatino Linotype" w:hAnsi="Palatino Linotype" w:cs="Calibri"/>
          <w:bCs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54,30%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de vías y </w:t>
      </w:r>
      <w:r>
        <w:rPr>
          <w:rFonts w:ascii="Palatino Linotype" w:hAnsi="Palatino Linotype"/>
          <w:b/>
          <w:sz w:val="22"/>
          <w:szCs w:val="22"/>
        </w:rPr>
        <w:t>p</w:t>
      </w:r>
      <w:r w:rsidRPr="00B072AF">
        <w:rPr>
          <w:rFonts w:ascii="Palatino Linotype" w:hAnsi="Palatino Linotype"/>
          <w:b/>
          <w:sz w:val="22"/>
          <w:szCs w:val="22"/>
        </w:rPr>
        <w:t>asajes</w:t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4.390,44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B072AF">
        <w:rPr>
          <w:rFonts w:ascii="Palatino Linotype" w:hAnsi="Palatino Linotype"/>
          <w:sz w:val="22"/>
          <w:szCs w:val="22"/>
        </w:rPr>
        <w:t>23,79%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Área v</w:t>
      </w:r>
      <w:r w:rsidRPr="00B072AF">
        <w:rPr>
          <w:rFonts w:ascii="Palatino Linotype" w:hAnsi="Palatino Linotype"/>
          <w:b/>
          <w:sz w:val="22"/>
          <w:szCs w:val="22"/>
        </w:rPr>
        <w:t>erde</w:t>
      </w:r>
      <w:r>
        <w:rPr>
          <w:rFonts w:ascii="Palatino Linotype" w:hAnsi="Palatino Linotype"/>
          <w:b/>
          <w:sz w:val="22"/>
          <w:szCs w:val="22"/>
        </w:rPr>
        <w:t>: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56,89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B072AF">
        <w:rPr>
          <w:rFonts w:ascii="Palatino Linotype" w:hAnsi="Palatino Linotype"/>
          <w:sz w:val="22"/>
          <w:szCs w:val="22"/>
        </w:rPr>
        <w:t>0,31%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de p</w:t>
      </w:r>
      <w:r w:rsidRPr="00B072AF">
        <w:rPr>
          <w:rFonts w:ascii="Palatino Linotype" w:hAnsi="Palatino Linotype"/>
          <w:b/>
          <w:sz w:val="22"/>
          <w:szCs w:val="22"/>
        </w:rPr>
        <w:t xml:space="preserve">rotección de </w:t>
      </w:r>
      <w:r>
        <w:rPr>
          <w:rFonts w:ascii="Palatino Linotype" w:hAnsi="Palatino Linotype"/>
          <w:b/>
          <w:sz w:val="22"/>
          <w:szCs w:val="22"/>
        </w:rPr>
        <w:t>q</w:t>
      </w:r>
      <w:r w:rsidRPr="00B072AF">
        <w:rPr>
          <w:rFonts w:ascii="Palatino Linotype" w:hAnsi="Palatino Linotype"/>
          <w:b/>
          <w:sz w:val="22"/>
          <w:szCs w:val="22"/>
        </w:rPr>
        <w:t>uebrada e</w:t>
      </w:r>
      <w:r>
        <w:rPr>
          <w:rFonts w:ascii="Palatino Linotype" w:hAnsi="Palatino Linotype"/>
          <w:b/>
          <w:sz w:val="22"/>
          <w:szCs w:val="22"/>
        </w:rPr>
        <w:t>n</w:t>
      </w:r>
      <w:r w:rsidRPr="00B072AF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l</w:t>
      </w:r>
      <w:r w:rsidRPr="00B072AF">
        <w:rPr>
          <w:rFonts w:ascii="Palatino Linotype" w:hAnsi="Palatino Linotype"/>
          <w:b/>
          <w:sz w:val="22"/>
          <w:szCs w:val="22"/>
        </w:rPr>
        <w:t>otes</w:t>
      </w:r>
      <w:r>
        <w:rPr>
          <w:rFonts w:ascii="Palatino Linotype" w:hAnsi="Palatino Linotype"/>
          <w:b/>
          <w:sz w:val="22"/>
          <w:szCs w:val="22"/>
        </w:rPr>
        <w:t>: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1.819,24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B072AF">
        <w:rPr>
          <w:rFonts w:ascii="Palatino Linotype" w:hAnsi="Palatino Linotype"/>
          <w:sz w:val="22"/>
          <w:szCs w:val="22"/>
        </w:rPr>
        <w:t>9,86%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de </w:t>
      </w:r>
      <w:r>
        <w:rPr>
          <w:rFonts w:ascii="Palatino Linotype" w:hAnsi="Palatino Linotype"/>
          <w:b/>
          <w:sz w:val="22"/>
          <w:szCs w:val="22"/>
        </w:rPr>
        <w:t>p</w:t>
      </w:r>
      <w:r w:rsidRPr="00B072AF">
        <w:rPr>
          <w:rFonts w:ascii="Palatino Linotype" w:hAnsi="Palatino Linotype"/>
          <w:b/>
          <w:sz w:val="22"/>
          <w:szCs w:val="22"/>
        </w:rPr>
        <w:t xml:space="preserve">rotección de </w:t>
      </w:r>
      <w:r>
        <w:rPr>
          <w:rFonts w:ascii="Palatino Linotype" w:hAnsi="Palatino Linotype"/>
          <w:b/>
          <w:sz w:val="22"/>
          <w:szCs w:val="22"/>
        </w:rPr>
        <w:t>q</w:t>
      </w:r>
      <w:r w:rsidRPr="00B072AF">
        <w:rPr>
          <w:rFonts w:ascii="Palatino Linotype" w:hAnsi="Palatino Linotype"/>
          <w:b/>
          <w:sz w:val="22"/>
          <w:szCs w:val="22"/>
        </w:rPr>
        <w:t>uebrada (</w:t>
      </w:r>
      <w:r>
        <w:rPr>
          <w:rFonts w:ascii="Palatino Linotype" w:hAnsi="Palatino Linotype"/>
          <w:b/>
          <w:sz w:val="22"/>
          <w:szCs w:val="22"/>
        </w:rPr>
        <w:t>á</w:t>
      </w:r>
      <w:r w:rsidRPr="00B072AF">
        <w:rPr>
          <w:rFonts w:ascii="Palatino Linotype" w:hAnsi="Palatino Linotype"/>
          <w:b/>
          <w:sz w:val="22"/>
          <w:szCs w:val="22"/>
        </w:rPr>
        <w:t xml:space="preserve">rea </w:t>
      </w:r>
      <w:r>
        <w:rPr>
          <w:rFonts w:ascii="Palatino Linotype" w:hAnsi="Palatino Linotype"/>
          <w:b/>
          <w:sz w:val="22"/>
          <w:szCs w:val="22"/>
        </w:rPr>
        <w:t>v</w:t>
      </w:r>
      <w:r w:rsidRPr="00B072AF">
        <w:rPr>
          <w:rFonts w:ascii="Palatino Linotype" w:hAnsi="Palatino Linotype"/>
          <w:b/>
          <w:sz w:val="22"/>
          <w:szCs w:val="22"/>
        </w:rPr>
        <w:t xml:space="preserve">erde </w:t>
      </w:r>
      <w:r>
        <w:rPr>
          <w:rFonts w:ascii="Palatino Linotype" w:hAnsi="Palatino Linotype"/>
          <w:b/>
          <w:sz w:val="22"/>
          <w:szCs w:val="22"/>
        </w:rPr>
        <w:t>a</w:t>
      </w:r>
      <w:r w:rsidRPr="00B072AF">
        <w:rPr>
          <w:rFonts w:ascii="Palatino Linotype" w:hAnsi="Palatino Linotype"/>
          <w:b/>
          <w:sz w:val="22"/>
          <w:szCs w:val="22"/>
        </w:rPr>
        <w:t>dicional)</w:t>
      </w:r>
      <w:r>
        <w:rPr>
          <w:rFonts w:ascii="Palatino Linotype" w:hAnsi="Palatino Linotype"/>
          <w:b/>
          <w:sz w:val="22"/>
          <w:szCs w:val="22"/>
        </w:rPr>
        <w:t>:</w:t>
      </w:r>
      <w:r w:rsidRPr="00B072AF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1.911,30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B072AF">
        <w:rPr>
          <w:rFonts w:ascii="Palatino Linotype" w:hAnsi="Palatino Linotype"/>
          <w:sz w:val="22"/>
          <w:szCs w:val="22"/>
        </w:rPr>
        <w:t>10,35%</w:t>
      </w:r>
    </w:p>
    <w:p w:rsid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 xml:space="preserve">Área de </w:t>
      </w:r>
      <w:r>
        <w:rPr>
          <w:rFonts w:ascii="Palatino Linotype" w:hAnsi="Palatino Linotype"/>
          <w:b/>
          <w:sz w:val="22"/>
          <w:szCs w:val="22"/>
        </w:rPr>
        <w:t>p</w:t>
      </w:r>
      <w:r w:rsidRPr="00B072AF">
        <w:rPr>
          <w:rFonts w:ascii="Palatino Linotype" w:hAnsi="Palatino Linotype"/>
          <w:b/>
          <w:sz w:val="22"/>
          <w:szCs w:val="22"/>
        </w:rPr>
        <w:t xml:space="preserve">rotección de </w:t>
      </w:r>
      <w:r>
        <w:rPr>
          <w:rFonts w:ascii="Palatino Linotype" w:hAnsi="Palatino Linotype"/>
          <w:b/>
          <w:sz w:val="22"/>
          <w:szCs w:val="22"/>
        </w:rPr>
        <w:t>t</w:t>
      </w:r>
      <w:r w:rsidRPr="00B072AF">
        <w:rPr>
          <w:rFonts w:ascii="Palatino Linotype" w:hAnsi="Palatino Linotype"/>
          <w:b/>
          <w:sz w:val="22"/>
          <w:szCs w:val="22"/>
        </w:rPr>
        <w:t xml:space="preserve">alud en </w:t>
      </w:r>
      <w:r>
        <w:rPr>
          <w:rFonts w:ascii="Palatino Linotype" w:hAnsi="Palatino Linotype"/>
          <w:b/>
          <w:sz w:val="22"/>
          <w:szCs w:val="22"/>
        </w:rPr>
        <w:t>l</w:t>
      </w:r>
      <w:r w:rsidRPr="00B072AF">
        <w:rPr>
          <w:rFonts w:ascii="Palatino Linotype" w:hAnsi="Palatino Linotype"/>
          <w:b/>
          <w:sz w:val="22"/>
          <w:szCs w:val="22"/>
        </w:rPr>
        <w:t>otes</w:t>
      </w:r>
      <w:r>
        <w:rPr>
          <w:rFonts w:ascii="Palatino Linotype" w:hAnsi="Palatino Linotype"/>
          <w:b/>
          <w:sz w:val="22"/>
          <w:szCs w:val="22"/>
        </w:rPr>
        <w:t>:</w:t>
      </w:r>
      <w:r w:rsidR="003D3461" w:rsidRPr="003D3461">
        <w:rPr>
          <w:rFonts w:ascii="Palatino Linotype" w:hAnsi="Palatino Linotype"/>
          <w:sz w:val="22"/>
          <w:szCs w:val="22"/>
        </w:rPr>
        <w:t xml:space="preserve"> </w:t>
      </w:r>
      <w:r w:rsidR="003D3461">
        <w:rPr>
          <w:rFonts w:ascii="Palatino Linotype" w:hAnsi="Palatino Linotype"/>
          <w:sz w:val="22"/>
          <w:szCs w:val="22"/>
        </w:rPr>
        <w:tab/>
      </w:r>
      <w:r w:rsidR="003D3461">
        <w:rPr>
          <w:rFonts w:ascii="Palatino Linotype" w:hAnsi="Palatino Linotype"/>
          <w:sz w:val="22"/>
          <w:szCs w:val="22"/>
        </w:rPr>
        <w:tab/>
      </w:r>
      <w:r w:rsidR="003D3461">
        <w:rPr>
          <w:rFonts w:ascii="Palatino Linotype" w:hAnsi="Palatino Linotype"/>
          <w:sz w:val="22"/>
          <w:szCs w:val="22"/>
        </w:rPr>
        <w:tab/>
      </w:r>
      <w:r w:rsidR="003D3461" w:rsidRPr="00B072AF">
        <w:rPr>
          <w:rFonts w:ascii="Palatino Linotype" w:hAnsi="Palatino Linotype"/>
          <w:sz w:val="22"/>
          <w:szCs w:val="22"/>
        </w:rPr>
        <w:t>256,18</w:t>
      </w:r>
      <w:r w:rsidR="003D3461">
        <w:rPr>
          <w:rFonts w:ascii="Palatino Linotype" w:hAnsi="Palatino Linotype"/>
          <w:sz w:val="22"/>
          <w:szCs w:val="22"/>
        </w:rPr>
        <w:t xml:space="preserve"> </w:t>
      </w:r>
      <w:r w:rsidR="003D3461"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="003D3461"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 w:rsidR="003D3461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3D3461"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="003D3461" w:rsidRPr="00B072AF">
        <w:rPr>
          <w:rFonts w:ascii="Palatino Linotype" w:hAnsi="Palatino Linotype"/>
          <w:sz w:val="22"/>
          <w:szCs w:val="22"/>
        </w:rPr>
        <w:t>1,39%</w:t>
      </w:r>
    </w:p>
    <w:p w:rsidR="003D3461" w:rsidRDefault="003D3461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</w:rPr>
        <w:t>Área bruta del terreno (</w:t>
      </w:r>
      <w:r>
        <w:rPr>
          <w:rFonts w:ascii="Palatino Linotype" w:hAnsi="Palatino Linotype"/>
          <w:b/>
          <w:sz w:val="22"/>
          <w:szCs w:val="22"/>
        </w:rPr>
        <w:t>l</w:t>
      </w:r>
      <w:r w:rsidRPr="00B072AF">
        <w:rPr>
          <w:rFonts w:ascii="Palatino Linotype" w:hAnsi="Palatino Linotype"/>
          <w:b/>
          <w:sz w:val="22"/>
          <w:szCs w:val="22"/>
        </w:rPr>
        <w:t xml:space="preserve">ev. </w:t>
      </w:r>
      <w:r>
        <w:rPr>
          <w:rFonts w:ascii="Palatino Linotype" w:hAnsi="Palatino Linotype"/>
          <w:b/>
          <w:sz w:val="22"/>
          <w:szCs w:val="22"/>
        </w:rPr>
        <w:t>t</w:t>
      </w:r>
      <w:r w:rsidRPr="00B072AF">
        <w:rPr>
          <w:rFonts w:ascii="Palatino Linotype" w:hAnsi="Palatino Linotype"/>
          <w:b/>
          <w:sz w:val="22"/>
          <w:szCs w:val="22"/>
        </w:rPr>
        <w:t>op)</w:t>
      </w:r>
      <w:r>
        <w:rPr>
          <w:rFonts w:ascii="Palatino Linotype" w:hAnsi="Palatino Linotype"/>
          <w:b/>
          <w:sz w:val="22"/>
          <w:szCs w:val="22"/>
        </w:rPr>
        <w:t>:</w:t>
      </w:r>
      <w:r w:rsidRPr="003D3461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3D3461">
        <w:rPr>
          <w:rFonts w:ascii="Palatino Linotype" w:hAnsi="Palatino Linotype"/>
          <w:sz w:val="22"/>
          <w:szCs w:val="22"/>
        </w:rPr>
        <w:t>18.456,15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3D3461">
        <w:rPr>
          <w:rFonts w:ascii="Palatino Linotype" w:hAnsi="Palatino Linotype"/>
          <w:sz w:val="22"/>
          <w:szCs w:val="22"/>
        </w:rPr>
        <w:t>100%</w:t>
      </w:r>
    </w:p>
    <w:p w:rsidR="003D3461" w:rsidRDefault="003D3461" w:rsidP="003D3461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Área t</w:t>
      </w:r>
      <w:r w:rsidRPr="00B072AF">
        <w:rPr>
          <w:rFonts w:ascii="Palatino Linotype" w:hAnsi="Palatino Linotype"/>
          <w:b/>
          <w:sz w:val="22"/>
          <w:szCs w:val="22"/>
        </w:rPr>
        <w:t>otal del terreno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B072AF">
        <w:rPr>
          <w:rFonts w:ascii="Palatino Linotype" w:hAnsi="Palatino Linotype"/>
          <w:b/>
          <w:sz w:val="22"/>
          <w:szCs w:val="22"/>
        </w:rPr>
        <w:t>(</w:t>
      </w:r>
      <w:r>
        <w:rPr>
          <w:rFonts w:ascii="Palatino Linotype" w:hAnsi="Palatino Linotype"/>
          <w:b/>
          <w:sz w:val="22"/>
          <w:szCs w:val="22"/>
        </w:rPr>
        <w:t>e</w:t>
      </w:r>
      <w:r w:rsidRPr="00B072AF">
        <w:rPr>
          <w:rFonts w:ascii="Palatino Linotype" w:hAnsi="Palatino Linotype"/>
          <w:b/>
          <w:sz w:val="22"/>
          <w:szCs w:val="22"/>
        </w:rPr>
        <w:t>scrit</w:t>
      </w:r>
      <w:r>
        <w:rPr>
          <w:rFonts w:ascii="Palatino Linotype" w:hAnsi="Palatino Linotype"/>
          <w:b/>
          <w:sz w:val="22"/>
          <w:szCs w:val="22"/>
        </w:rPr>
        <w:t>.</w:t>
      </w:r>
      <w:r w:rsidRPr="00B072AF">
        <w:rPr>
          <w:rFonts w:ascii="Palatino Linotype" w:hAnsi="Palatino Linotype"/>
          <w:b/>
          <w:sz w:val="22"/>
          <w:szCs w:val="22"/>
        </w:rPr>
        <w:t>)</w:t>
      </w:r>
      <w:r>
        <w:rPr>
          <w:rFonts w:ascii="Palatino Linotype" w:hAnsi="Palatino Linotype"/>
          <w:b/>
          <w:sz w:val="22"/>
          <w:szCs w:val="22"/>
        </w:rPr>
        <w:t>: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Pr="003D3461">
        <w:rPr>
          <w:rFonts w:ascii="Palatino Linotype" w:hAnsi="Palatino Linotype"/>
          <w:bCs/>
          <w:color w:val="000000"/>
          <w:sz w:val="22"/>
          <w:szCs w:val="22"/>
        </w:rPr>
        <w:t>18.651,92</w:t>
      </w:r>
      <w:r>
        <w:rPr>
          <w:rFonts w:ascii="Palatino Linotype" w:hAnsi="Palatino Linotype"/>
          <w:bCs/>
          <w:color w:val="000000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3D3461">
        <w:rPr>
          <w:rFonts w:ascii="Palatino Linotype" w:hAnsi="Palatino Linotype"/>
          <w:sz w:val="22"/>
          <w:szCs w:val="22"/>
        </w:rPr>
        <w:t>100%</w:t>
      </w:r>
    </w:p>
    <w:p w:rsidR="003D3461" w:rsidRPr="003D3461" w:rsidRDefault="003D3461" w:rsidP="003D3461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Área v</w:t>
      </w:r>
      <w:r w:rsidRPr="00B072AF">
        <w:rPr>
          <w:rFonts w:ascii="Palatino Linotype" w:hAnsi="Palatino Linotype"/>
          <w:b/>
          <w:sz w:val="22"/>
          <w:szCs w:val="22"/>
        </w:rPr>
        <w:t xml:space="preserve">erde y </w:t>
      </w:r>
      <w:r>
        <w:rPr>
          <w:rFonts w:ascii="Palatino Linotype" w:hAnsi="Palatino Linotype"/>
          <w:b/>
          <w:sz w:val="22"/>
          <w:szCs w:val="22"/>
        </w:rPr>
        <w:t>c</w:t>
      </w:r>
      <w:r w:rsidRPr="00B072AF">
        <w:rPr>
          <w:rFonts w:ascii="Palatino Linotype" w:hAnsi="Palatino Linotype"/>
          <w:b/>
          <w:sz w:val="22"/>
          <w:szCs w:val="22"/>
        </w:rPr>
        <w:t>omunal en relación al área útil de lotes</w:t>
      </w:r>
      <w:r>
        <w:rPr>
          <w:rFonts w:ascii="Palatino Linotype" w:hAnsi="Palatino Linotype"/>
          <w:b/>
          <w:sz w:val="22"/>
          <w:szCs w:val="22"/>
        </w:rPr>
        <w:t>:</w:t>
      </w:r>
      <w:r w:rsidRPr="003D3461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 w:rsidRPr="003D3461">
        <w:rPr>
          <w:rFonts w:ascii="Palatino Linotype" w:hAnsi="Palatino Linotype"/>
          <w:sz w:val="22"/>
          <w:szCs w:val="22"/>
        </w:rPr>
        <w:t>56,89</w:t>
      </w:r>
      <w:r w:rsidRPr="003D3461">
        <w:rPr>
          <w:rFonts w:ascii="Palatino Linotype" w:hAnsi="Palatino Linotype" w:cs="Calibri"/>
          <w:bCs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bCs/>
          <w:sz w:val="22"/>
          <w:szCs w:val="22"/>
        </w:rPr>
        <w:t>m</w:t>
      </w:r>
      <w:r w:rsidRPr="00B072AF">
        <w:rPr>
          <w:rFonts w:ascii="Palatino Linotype" w:hAnsi="Palatino Linotype" w:cs="Calibri"/>
          <w:bCs/>
          <w:sz w:val="22"/>
          <w:szCs w:val="22"/>
          <w:vertAlign w:val="superscript"/>
        </w:rPr>
        <w:t>2</w:t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>
        <w:rPr>
          <w:rFonts w:ascii="Palatino Linotype" w:hAnsi="Palatino Linotype" w:cs="Calibri"/>
          <w:bCs/>
          <w:sz w:val="22"/>
          <w:szCs w:val="22"/>
          <w:vertAlign w:val="superscript"/>
        </w:rPr>
        <w:tab/>
      </w:r>
      <w:r w:rsidRPr="003D3461">
        <w:rPr>
          <w:rFonts w:ascii="Palatino Linotype" w:hAnsi="Palatino Linotype"/>
          <w:sz w:val="22"/>
          <w:szCs w:val="22"/>
        </w:rPr>
        <w:t>0,57%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color w:val="000000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El número total de lotes es de 51</w:t>
      </w:r>
      <w:r w:rsidRPr="00B072AF">
        <w:rPr>
          <w:rFonts w:ascii="Palatino Linotype" w:hAnsi="Palatino Linotype" w:cs="Arial"/>
          <w:sz w:val="22"/>
          <w:szCs w:val="22"/>
        </w:rPr>
        <w:t>, signados del uno (1) al cincuenta y uno (51)</w:t>
      </w:r>
      <w:r w:rsidR="003D3461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3D3461" w:rsidRPr="005513A0">
        <w:rPr>
          <w:rFonts w:ascii="Palatino Linotype" w:hAnsi="Palatino Linotype"/>
          <w:sz w:val="22"/>
          <w:szCs w:val="22"/>
        </w:rPr>
        <w:t xml:space="preserve">cuyo detalle es el que consta en los planos aprobatorios que forman parte integrante de la presente </w:t>
      </w:r>
      <w:r w:rsidR="00E74CFF">
        <w:rPr>
          <w:rFonts w:ascii="Palatino Linotype" w:hAnsi="Palatino Linotype"/>
          <w:sz w:val="22"/>
          <w:szCs w:val="22"/>
        </w:rPr>
        <w:t>O</w:t>
      </w:r>
      <w:r w:rsidR="003D3461" w:rsidRPr="005513A0">
        <w:rPr>
          <w:rFonts w:ascii="Palatino Linotype" w:hAnsi="Palatino Linotype"/>
          <w:sz w:val="22"/>
          <w:szCs w:val="22"/>
        </w:rPr>
        <w:t>rdenanza.</w:t>
      </w:r>
    </w:p>
    <w:p w:rsidR="00B072AF" w:rsidRPr="00B072AF" w:rsidRDefault="00B072AF" w:rsidP="00B072AF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b/>
          <w:bCs/>
          <w:sz w:val="22"/>
          <w:szCs w:val="22"/>
        </w:rPr>
        <w:t xml:space="preserve">Artículo 3.- Zonificación de los lotes.- </w:t>
      </w:r>
      <w:r w:rsidR="003D3461" w:rsidRPr="00A619C0">
        <w:rPr>
          <w:rFonts w:ascii="Palatino Linotype" w:hAnsi="Palatino Linotype" w:cs="Arial"/>
          <w:bCs/>
          <w:sz w:val="22"/>
          <w:szCs w:val="22"/>
        </w:rPr>
        <w:t>A</w:t>
      </w:r>
      <w:r w:rsidR="003D3461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3D3461" w:rsidRPr="00B452F1">
        <w:rPr>
          <w:rFonts w:ascii="Palatino Linotype" w:hAnsi="Palatino Linotype" w:cs="Arial"/>
          <w:bCs/>
          <w:sz w:val="22"/>
          <w:szCs w:val="22"/>
        </w:rPr>
        <w:t xml:space="preserve">los lotes fraccionados se </w:t>
      </w:r>
      <w:r w:rsidR="003D3461">
        <w:rPr>
          <w:rFonts w:ascii="Palatino Linotype" w:hAnsi="Palatino Linotype" w:cs="Arial"/>
          <w:bCs/>
          <w:sz w:val="22"/>
          <w:szCs w:val="22"/>
        </w:rPr>
        <w:t xml:space="preserve">les asigna la siguiente </w:t>
      </w:r>
      <w:r w:rsidR="003D3461" w:rsidRPr="00B452F1">
        <w:rPr>
          <w:rFonts w:ascii="Palatino Linotype" w:hAnsi="Palatino Linotype"/>
          <w:sz w:val="22"/>
          <w:szCs w:val="22"/>
          <w:lang w:val="es-EC"/>
        </w:rPr>
        <w:t>zonificación: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B072AF">
        <w:rPr>
          <w:rFonts w:ascii="Palatino Linotype" w:hAnsi="Palatino Linotype"/>
          <w:sz w:val="22"/>
          <w:szCs w:val="22"/>
        </w:rPr>
        <w:t>D3(D203-80)</w:t>
      </w:r>
      <w:r w:rsidR="003D3461">
        <w:rPr>
          <w:rFonts w:ascii="Palatino Linotype" w:hAnsi="Palatino Linotype"/>
          <w:sz w:val="22"/>
          <w:szCs w:val="22"/>
        </w:rPr>
        <w:t xml:space="preserve"> - C8(C408-70) </w:t>
      </w:r>
      <w:r w:rsidRPr="00B072AF">
        <w:rPr>
          <w:rFonts w:ascii="Palatino Linotype" w:hAnsi="Palatino Linotype"/>
          <w:sz w:val="22"/>
          <w:szCs w:val="22"/>
        </w:rPr>
        <w:t>-</w:t>
      </w:r>
      <w:r w:rsidR="003D3461">
        <w:rPr>
          <w:rFonts w:ascii="Palatino Linotype" w:hAnsi="Palatino Linotype"/>
          <w:sz w:val="22"/>
          <w:szCs w:val="22"/>
        </w:rPr>
        <w:t xml:space="preserve"> </w:t>
      </w:r>
      <w:r w:rsidRPr="00B072AF">
        <w:rPr>
          <w:rFonts w:ascii="Palatino Linotype" w:hAnsi="Palatino Linotype"/>
          <w:sz w:val="22"/>
          <w:szCs w:val="22"/>
        </w:rPr>
        <w:t xml:space="preserve">D5(D304-80) </w:t>
      </w:r>
      <w:r w:rsidR="003D3461">
        <w:rPr>
          <w:rFonts w:ascii="Palatino Linotype" w:hAnsi="Palatino Linotype"/>
          <w:sz w:val="22"/>
          <w:szCs w:val="22"/>
        </w:rPr>
        <w:t>-</w:t>
      </w:r>
      <w:r w:rsidRPr="00B072AF">
        <w:rPr>
          <w:rFonts w:ascii="Palatino Linotype" w:hAnsi="Palatino Linotype"/>
          <w:sz w:val="22"/>
          <w:szCs w:val="22"/>
        </w:rPr>
        <w:t xml:space="preserve"> A31 (PQ)</w:t>
      </w:r>
      <w:r w:rsidRPr="00B072AF">
        <w:rPr>
          <w:rFonts w:ascii="Palatino Linotype" w:eastAsia="Calibri" w:hAnsi="Palatino Linotype" w:cs="Arial"/>
          <w:sz w:val="22"/>
          <w:szCs w:val="22"/>
        </w:rPr>
        <w:t>; forma de ocupaci</w:t>
      </w:r>
      <w:r w:rsidR="003D3461">
        <w:rPr>
          <w:rFonts w:ascii="Palatino Linotype" w:eastAsia="Calibri" w:hAnsi="Palatino Linotype" w:cs="Arial"/>
          <w:sz w:val="22"/>
          <w:szCs w:val="22"/>
        </w:rPr>
        <w:t>ón: (D) Sobre línea de fábrica -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 (C) Continua Con retiro Frontal </w:t>
      </w:r>
      <w:r w:rsidR="003D3461">
        <w:rPr>
          <w:rFonts w:ascii="Palatino Linotype" w:eastAsia="Calibri" w:hAnsi="Palatino Linotype" w:cs="Arial"/>
          <w:sz w:val="22"/>
          <w:szCs w:val="22"/>
        </w:rPr>
        <w:t xml:space="preserve">- 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(D) </w:t>
      </w:r>
      <w:r w:rsidR="003D3461">
        <w:rPr>
          <w:rFonts w:ascii="Palatino Linotype" w:eastAsia="Calibri" w:hAnsi="Palatino Linotype" w:cs="Arial"/>
          <w:sz w:val="22"/>
          <w:szCs w:val="22"/>
        </w:rPr>
        <w:t>S</w:t>
      </w:r>
      <w:r w:rsidRPr="00B072AF">
        <w:rPr>
          <w:rFonts w:ascii="Palatino Linotype" w:eastAsia="Calibri" w:hAnsi="Palatino Linotype" w:cs="Arial"/>
          <w:sz w:val="22"/>
          <w:szCs w:val="22"/>
        </w:rPr>
        <w:t>obre línea de fábrica; lote mínimo</w:t>
      </w:r>
      <w:r w:rsidR="003D3461">
        <w:rPr>
          <w:rFonts w:ascii="Palatino Linotype" w:eastAsia="Calibri" w:hAnsi="Palatino Linotype" w:cs="Arial"/>
          <w:sz w:val="22"/>
          <w:szCs w:val="22"/>
        </w:rPr>
        <w:t>:</w:t>
      </w:r>
      <w:r w:rsidRPr="00B072AF">
        <w:rPr>
          <w:rFonts w:ascii="Palatino Linotype" w:eastAsia="Calibri" w:hAnsi="Palatino Linotype" w:cs="Arial"/>
          <w:sz w:val="22"/>
          <w:szCs w:val="22"/>
        </w:rPr>
        <w:t xml:space="preserve"> </w:t>
      </w:r>
      <w:r w:rsidRPr="00B072AF">
        <w:rPr>
          <w:rFonts w:ascii="Palatino Linotype" w:hAnsi="Palatino Linotype" w:cs="Calibri"/>
          <w:sz w:val="22"/>
          <w:szCs w:val="22"/>
        </w:rPr>
        <w:t>200 m</w:t>
      </w:r>
      <w:r w:rsidRPr="003D3461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Pr="00B072AF">
        <w:rPr>
          <w:rFonts w:ascii="Palatino Linotype" w:hAnsi="Palatino Linotype" w:cs="Calibri"/>
          <w:sz w:val="22"/>
          <w:szCs w:val="22"/>
        </w:rPr>
        <w:t xml:space="preserve"> – 400 m</w:t>
      </w:r>
      <w:r w:rsidRPr="003D3461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Pr="00B072AF">
        <w:rPr>
          <w:rFonts w:ascii="Palatino Linotype" w:hAnsi="Palatino Linotype" w:cs="Calibri"/>
          <w:sz w:val="22"/>
          <w:szCs w:val="22"/>
        </w:rPr>
        <w:t xml:space="preserve"> - 300 m</w:t>
      </w:r>
      <w:r w:rsidRPr="003D3461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Pr="00B072AF">
        <w:rPr>
          <w:rFonts w:ascii="Palatino Linotype" w:eastAsia="Calibri" w:hAnsi="Palatino Linotype" w:cs="Arial"/>
          <w:sz w:val="22"/>
          <w:szCs w:val="22"/>
        </w:rPr>
        <w:t>; uso principal del suelo:</w:t>
      </w:r>
      <w:r w:rsidRPr="00B072AF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B072AF">
        <w:rPr>
          <w:rFonts w:ascii="Palatino Linotype" w:eastAsia="Calibri" w:hAnsi="Palatino Linotype" w:cs="Arial"/>
          <w:sz w:val="22"/>
          <w:szCs w:val="22"/>
        </w:rPr>
        <w:t>(R2) Residencia mediana densidad  - (M) Múltiple - (R3) Residencia alta densidad.</w:t>
      </w:r>
    </w:p>
    <w:p w:rsidR="00B072AF" w:rsidRPr="00B072AF" w:rsidRDefault="00B072AF" w:rsidP="00B072AF">
      <w:pPr>
        <w:shd w:val="clear" w:color="auto" w:fill="FFFFFF"/>
        <w:spacing w:before="240" w:line="276" w:lineRule="auto"/>
        <w:jc w:val="both"/>
        <w:rPr>
          <w:rFonts w:ascii="Palatino Linotype" w:eastAsia="Calibri" w:hAnsi="Palatino Linotype" w:cs="Arial"/>
          <w:sz w:val="22"/>
          <w:szCs w:val="22"/>
        </w:rPr>
      </w:pPr>
      <w:r w:rsidRPr="00B072AF">
        <w:rPr>
          <w:rFonts w:ascii="Palatino Linotype" w:hAnsi="Palatino Linotype"/>
          <w:b/>
          <w:sz w:val="22"/>
          <w:szCs w:val="22"/>
          <w:lang w:val="es-EC"/>
        </w:rPr>
        <w:lastRenderedPageBreak/>
        <w:t xml:space="preserve">Artículo 4.- Lotes por excepción.- 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Por tratarse de un </w:t>
      </w:r>
      <w:r w:rsidR="003D3461">
        <w:rPr>
          <w:rFonts w:ascii="Palatino Linotype" w:hAnsi="Palatino Linotype" w:cs="Arial"/>
          <w:bCs/>
          <w:sz w:val="22"/>
          <w:szCs w:val="22"/>
        </w:rPr>
        <w:t>a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sentamiento </w:t>
      </w:r>
      <w:r w:rsidR="003D3461">
        <w:rPr>
          <w:rFonts w:ascii="Palatino Linotype" w:hAnsi="Palatino Linotype" w:cs="Arial"/>
          <w:bCs/>
          <w:sz w:val="22"/>
          <w:szCs w:val="22"/>
        </w:rPr>
        <w:t>h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umano de </w:t>
      </w:r>
      <w:r w:rsidR="003D3461">
        <w:rPr>
          <w:rFonts w:ascii="Palatino Linotype" w:hAnsi="Palatino Linotype" w:cs="Arial"/>
          <w:bCs/>
          <w:sz w:val="22"/>
          <w:szCs w:val="22"/>
        </w:rPr>
        <w:t>h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echo y </w:t>
      </w:r>
      <w:r w:rsidR="003D3461">
        <w:rPr>
          <w:rFonts w:ascii="Palatino Linotype" w:hAnsi="Palatino Linotype" w:cs="Arial"/>
          <w:bCs/>
          <w:sz w:val="22"/>
          <w:szCs w:val="22"/>
        </w:rPr>
        <w:t>c</w:t>
      </w:r>
      <w:r w:rsidRPr="00B072AF">
        <w:rPr>
          <w:rFonts w:ascii="Palatino Linotype" w:hAnsi="Palatino Linotype" w:cs="Arial"/>
          <w:bCs/>
          <w:sz w:val="22"/>
          <w:szCs w:val="22"/>
        </w:rPr>
        <w:t>onsolidado, se aprueba</w:t>
      </w:r>
      <w:r w:rsidR="003D3461">
        <w:rPr>
          <w:rFonts w:ascii="Palatino Linotype" w:hAnsi="Palatino Linotype" w:cs="Arial"/>
          <w:bCs/>
          <w:sz w:val="22"/>
          <w:szCs w:val="22"/>
        </w:rPr>
        <w:t>n por excepción</w:t>
      </w:r>
      <w:r w:rsidRPr="00B072AF">
        <w:rPr>
          <w:rFonts w:ascii="Palatino Linotype" w:hAnsi="Palatino Linotype" w:cs="Arial"/>
          <w:bCs/>
          <w:sz w:val="22"/>
          <w:szCs w:val="22"/>
        </w:rPr>
        <w:t xml:space="preserve"> los siguientes lotes </w:t>
      </w:r>
      <w:r w:rsidR="003D3461">
        <w:rPr>
          <w:rFonts w:ascii="Palatino Linotype" w:hAnsi="Palatino Linotype" w:cs="Arial"/>
          <w:bCs/>
          <w:sz w:val="22"/>
          <w:szCs w:val="22"/>
        </w:rPr>
        <w:t>de menor superficie</w:t>
      </w:r>
      <w:r w:rsidRPr="00B072AF">
        <w:rPr>
          <w:rFonts w:ascii="Palatino Linotype" w:hAnsi="Palatino Linotype" w:cs="Arial"/>
          <w:bCs/>
          <w:sz w:val="22"/>
          <w:szCs w:val="22"/>
        </w:rPr>
        <w:t>: 2, 16, 17, 18, 19, 20, 21, 22, 23, 24, 25, 27, 28, 35, 36 y 37.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C"/>
        </w:rPr>
      </w:pPr>
      <w:r w:rsidRPr="00FB0264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5.- Excedentes o </w:t>
      </w:r>
      <w:r w:rsidR="003D3461" w:rsidRPr="00FB0264">
        <w:rPr>
          <w:rFonts w:ascii="Palatino Linotype" w:hAnsi="Palatino Linotype"/>
          <w:b/>
          <w:bCs/>
          <w:sz w:val="22"/>
          <w:szCs w:val="22"/>
          <w:lang w:val="es-EC"/>
        </w:rPr>
        <w:t>d</w:t>
      </w:r>
      <w:r w:rsidRPr="00FB0264">
        <w:rPr>
          <w:rFonts w:ascii="Palatino Linotype" w:hAnsi="Palatino Linotype"/>
          <w:b/>
          <w:bCs/>
          <w:sz w:val="22"/>
          <w:szCs w:val="22"/>
          <w:lang w:val="es-EC"/>
        </w:rPr>
        <w:t xml:space="preserve">iferencias de áreas.- </w:t>
      </w:r>
      <w:r w:rsidRPr="00FB0264">
        <w:rPr>
          <w:rFonts w:ascii="Palatino Linotype" w:hAnsi="Palatino Linotype"/>
          <w:bCs/>
          <w:sz w:val="22"/>
          <w:szCs w:val="22"/>
          <w:lang w:val="es-EC"/>
        </w:rPr>
        <w:t xml:space="preserve">Por cuanto dentro del proceso de regularización se detectó la existencia de una variación de área, previo a la protocolización e inscripción de la presente ordenanza se deberá regularizar el área, de conformidad con lo </w:t>
      </w:r>
      <w:r w:rsidR="003D3461" w:rsidRPr="00FB0264">
        <w:rPr>
          <w:rFonts w:ascii="Palatino Linotype" w:hAnsi="Palatino Linotype" w:cs="Arial"/>
          <w:bCs/>
          <w:sz w:val="22"/>
          <w:szCs w:val="22"/>
        </w:rPr>
        <w:t>establecido en la d</w:t>
      </w:r>
      <w:bookmarkStart w:id="0" w:name="_GoBack"/>
      <w:bookmarkEnd w:id="0"/>
      <w:r w:rsidR="003D3461" w:rsidRPr="00FB0264">
        <w:rPr>
          <w:rFonts w:ascii="Palatino Linotype" w:hAnsi="Palatino Linotype" w:cs="Arial"/>
          <w:bCs/>
          <w:sz w:val="22"/>
          <w:szCs w:val="22"/>
        </w:rPr>
        <w:t>isposición general segunda de la Ordenanza Metropolitana No. 269, sancionada el 30 de julio de 2012.</w:t>
      </w:r>
    </w:p>
    <w:p w:rsidR="00B072AF" w:rsidRPr="00B072AF" w:rsidRDefault="003D3461" w:rsidP="00B072AF">
      <w:pPr>
        <w:spacing w:before="240" w:line="276" w:lineRule="auto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  <w:lang w:val="es-EC"/>
        </w:rPr>
        <w:t>Artículo 6.- Del á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rea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v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erde y </w:t>
      </w:r>
      <w:r>
        <w:rPr>
          <w:rFonts w:ascii="Palatino Linotype" w:hAnsi="Palatino Linotype"/>
          <w:b/>
          <w:bCs/>
          <w:sz w:val="22"/>
          <w:szCs w:val="22"/>
          <w:lang w:val="es-EC"/>
        </w:rPr>
        <w:t>c</w:t>
      </w:r>
      <w:r w:rsidR="00B072AF"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omunal.- </w:t>
      </w:r>
      <w:r w:rsidR="00B072AF"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Los copropietarios del inmueble donde se encuentra el  </w:t>
      </w:r>
      <w:r w:rsidR="00B072AF" w:rsidRPr="00B072AF">
        <w:rPr>
          <w:rFonts w:ascii="Palatino Linotype" w:hAnsi="Palatino Linotype" w:cs="Arial"/>
          <w:sz w:val="22"/>
          <w:szCs w:val="22"/>
        </w:rPr>
        <w:t>Asentamiento Humano de Hecho y Consolidado denominado</w:t>
      </w:r>
      <w:r w:rsidR="00B072AF"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“Calicanto”, 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transfieren al Municipio del Distrito Metropolitano de Quito, como contribución de área verde, un área total de </w:t>
      </w:r>
      <w:r w:rsidR="00B072AF" w:rsidRPr="00B072AF">
        <w:rPr>
          <w:rFonts w:ascii="Palatino Linotype" w:hAnsi="Palatino Linotype" w:cs="Calibri"/>
          <w:sz w:val="22"/>
          <w:szCs w:val="22"/>
        </w:rPr>
        <w:t>56,89 m</w:t>
      </w:r>
      <w:r w:rsidR="00B072AF" w:rsidRPr="00B072AF">
        <w:rPr>
          <w:rFonts w:ascii="Palatino Linotype" w:hAnsi="Palatino Linotype" w:cs="Calibri"/>
          <w:sz w:val="22"/>
          <w:szCs w:val="22"/>
          <w:vertAlign w:val="superscript"/>
        </w:rPr>
        <w:t>2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, que corresponde al </w:t>
      </w:r>
      <w:r w:rsidR="00B072AF" w:rsidRPr="00A71526">
        <w:rPr>
          <w:rFonts w:ascii="Palatino Linotype" w:hAnsi="Palatino Linotype" w:cs="Arial"/>
          <w:sz w:val="22"/>
          <w:szCs w:val="22"/>
        </w:rPr>
        <w:t>0,57%</w:t>
      </w:r>
      <w:r w:rsidR="00B072AF" w:rsidRPr="00B072AF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del área útil de los lotes, </w:t>
      </w:r>
      <w:r w:rsidR="00A71526">
        <w:rPr>
          <w:rFonts w:ascii="Palatino Linotype" w:hAnsi="Palatino Linotype" w:cs="Arial"/>
          <w:sz w:val="22"/>
          <w:szCs w:val="22"/>
        </w:rPr>
        <w:t>de conformidad al siguiente detalle</w:t>
      </w:r>
      <w:r w:rsidR="00B072AF" w:rsidRPr="00B072AF">
        <w:rPr>
          <w:rFonts w:ascii="Palatino Linotype" w:hAnsi="Palatino Linotype" w:cs="Arial"/>
          <w:sz w:val="22"/>
          <w:szCs w:val="22"/>
        </w:rPr>
        <w:t xml:space="preserve">: 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992"/>
        <w:gridCol w:w="2835"/>
        <w:gridCol w:w="1134"/>
        <w:gridCol w:w="1134"/>
        <w:gridCol w:w="1560"/>
      </w:tblGrid>
      <w:tr w:rsidR="00B072AF" w:rsidRPr="00B072AF" w:rsidTr="00B072AF">
        <w:tc>
          <w:tcPr>
            <w:tcW w:w="9073" w:type="dxa"/>
            <w:gridSpan w:val="6"/>
            <w:shd w:val="clear" w:color="auto" w:fill="FFFFFF"/>
            <w:vAlign w:val="center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Áreas verdes</w:t>
            </w:r>
          </w:p>
        </w:tc>
      </w:tr>
      <w:tr w:rsidR="00B072AF" w:rsidRPr="00B072AF" w:rsidTr="00B072AF">
        <w:tc>
          <w:tcPr>
            <w:tcW w:w="1418" w:type="dxa"/>
            <w:vMerge w:val="restart"/>
            <w:shd w:val="clear" w:color="auto" w:fill="auto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color w:val="000000"/>
                <w:sz w:val="22"/>
                <w:szCs w:val="22"/>
              </w:rPr>
              <w:t>Área</w:t>
            </w:r>
            <w:r w:rsidR="00A71526"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verde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A71526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B072AF">
        <w:trPr>
          <w:trHeight w:val="293"/>
        </w:trPr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A71526" w:rsidP="00FB0264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 Área v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dicional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10,71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56,89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Área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dicional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10,91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“B”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19,38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auto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Área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v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erde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a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dicional 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hd w:val="clear" w:color="auto" w:fill="FFFFFF"/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0,89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hd w:val="clear" w:color="auto" w:fill="FFFFFF"/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B072AF" w:rsidRPr="00B072AF" w:rsidRDefault="00B072AF" w:rsidP="00B072AF">
      <w:pPr>
        <w:spacing w:before="240" w:line="276" w:lineRule="auto"/>
        <w:contextualSpacing/>
        <w:rPr>
          <w:rFonts w:ascii="Palatino Linotype" w:hAnsi="Palatino Linotype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92"/>
        <w:gridCol w:w="2835"/>
        <w:gridCol w:w="1134"/>
        <w:gridCol w:w="1134"/>
        <w:gridCol w:w="1560"/>
      </w:tblGrid>
      <w:tr w:rsidR="00B072AF" w:rsidRPr="00B072AF" w:rsidTr="00B072AF">
        <w:tc>
          <w:tcPr>
            <w:tcW w:w="9073" w:type="dxa"/>
            <w:gridSpan w:val="6"/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 xml:space="preserve"> Áreas verdes adicionales</w:t>
            </w:r>
          </w:p>
        </w:tc>
      </w:tr>
      <w:tr w:rsidR="00B072AF" w:rsidRPr="00B072AF" w:rsidTr="00B072AF">
        <w:tc>
          <w:tcPr>
            <w:tcW w:w="1418" w:type="dxa"/>
            <w:vMerge w:val="restart"/>
            <w:shd w:val="clear" w:color="auto" w:fill="FFFFFF"/>
            <w:vAlign w:val="center"/>
          </w:tcPr>
          <w:p w:rsidR="00FB0264" w:rsidRDefault="00FB0264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FB0264" w:rsidRDefault="00FB0264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FB0264" w:rsidRDefault="00FB0264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B072AF">
        <w:trPr>
          <w:trHeight w:val="293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A71526" w:rsidP="00A71526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uperior 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q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uebrada (en su trayectoria)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41,75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B0264" w:rsidRDefault="00FB0264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FB0264" w:rsidRDefault="00FB0264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306,70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A71526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Lote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 xml:space="preserve"> No. 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21,59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Curva de Retorno</w:t>
            </w:r>
          </w:p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Calle “A”</w:t>
            </w:r>
          </w:p>
          <w:p w:rsidR="00B072AF" w:rsidRPr="00B072AF" w:rsidRDefault="00A71526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Lote No. 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lastRenderedPageBreak/>
              <w:t xml:space="preserve"> 14,16 m.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lastRenderedPageBreak/>
              <w:t xml:space="preserve">   8,23 m.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11,07 m.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B0264" w:rsidRDefault="00FB0264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lastRenderedPageBreak/>
              <w:t>22,39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FB0264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Intersección entr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>e borde de q</w:t>
            </w:r>
            <w:r w:rsidR="00FB0264">
              <w:rPr>
                <w:rFonts w:ascii="Palatino Linotype" w:hAnsi="Palatino Linotype" w:cs="Calibri"/>
                <w:sz w:val="22"/>
                <w:szCs w:val="22"/>
              </w:rPr>
              <w:t>uebrada y l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ote </w:t>
            </w:r>
            <w:r w:rsidR="00A71526">
              <w:rPr>
                <w:rFonts w:ascii="Palatino Linotype" w:hAnsi="Palatino Linotype" w:cs="Calibri"/>
                <w:sz w:val="22"/>
                <w:szCs w:val="22"/>
              </w:rPr>
              <w:t xml:space="preserve">No. 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0,00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 w:val="restart"/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A71526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B072AF">
        <w:trPr>
          <w:trHeight w:val="293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7743D8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Borde superior de </w:t>
            </w:r>
            <w:r w:rsidR="007743D8">
              <w:rPr>
                <w:rFonts w:ascii="Palatino Linotype" w:hAnsi="Palatino Linotype" w:cs="Calibri"/>
                <w:sz w:val="22"/>
                <w:szCs w:val="22"/>
              </w:rPr>
              <w:t>q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uebrada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16,67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1.296,98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“B”</w:t>
            </w:r>
          </w:p>
          <w:p w:rsidR="00B072AF" w:rsidRPr="007743D8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32</w:t>
            </w:r>
          </w:p>
          <w:p w:rsidR="00B072AF" w:rsidRPr="007743D8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31</w:t>
            </w:r>
          </w:p>
          <w:p w:rsidR="00B072AF" w:rsidRPr="007743D8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31</w:t>
            </w:r>
          </w:p>
          <w:p w:rsidR="00B072AF" w:rsidRPr="007743D8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30</w:t>
            </w:r>
          </w:p>
          <w:p w:rsidR="00B072AF" w:rsidRPr="007743D8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30</w:t>
            </w:r>
          </w:p>
          <w:p w:rsidR="00B072AF" w:rsidRPr="007743D8" w:rsidRDefault="00B072AF" w:rsidP="007743D8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  <w:lang w:val="es-EC"/>
              </w:rPr>
            </w:pP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0,81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12,12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12,24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1,02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10,13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1,16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5,86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43,34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49</w:t>
            </w:r>
          </w:p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“B”</w:t>
            </w:r>
          </w:p>
          <w:p w:rsidR="00B072AF" w:rsidRPr="00B072AF" w:rsidRDefault="007743D8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Radio de c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urvatura</w:t>
            </w:r>
          </w:p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“B”</w:t>
            </w:r>
          </w:p>
          <w:p w:rsidR="00B072AF" w:rsidRPr="00B072AF" w:rsidRDefault="007743D8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Área v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>erde</w:t>
            </w:r>
          </w:p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“B”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18,82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  7,46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16,30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22,13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22,51</w:t>
            </w:r>
          </w:p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28,63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115,85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7743D8" w:rsidP="007743D8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uebrada en su trayectoria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137,66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 w:val="restart"/>
            <w:shd w:val="clear" w:color="auto" w:fill="FFFFFF"/>
            <w:vAlign w:val="center"/>
          </w:tcPr>
          <w:p w:rsidR="007743D8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7743D8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7743D8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B072AF">
        <w:trPr>
          <w:trHeight w:val="293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7743D8" w:rsidP="007743D8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Intersección entre b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orde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uperior 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q</w:t>
            </w:r>
            <w:r w:rsidR="00FB0264">
              <w:rPr>
                <w:rFonts w:ascii="Palatino Linotype" w:hAnsi="Palatino Linotype" w:cs="Calibri"/>
                <w:sz w:val="22"/>
                <w:szCs w:val="22"/>
              </w:rPr>
              <w:t>uebrada y l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ote </w:t>
            </w:r>
            <w:r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29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0,00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298,18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“A”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24,77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Lote </w:t>
            </w:r>
            <w:r w:rsidR="007743D8" w:rsidRPr="007743D8">
              <w:rPr>
                <w:rFonts w:ascii="Palatino Linotype" w:hAnsi="Palatino Linotype" w:cs="Calibri"/>
                <w:sz w:val="22"/>
                <w:szCs w:val="22"/>
                <w:lang w:val="es-EC"/>
              </w:rPr>
              <w:t xml:space="preserve">No. </w:t>
            </w:r>
            <w:r w:rsidR="007743D8">
              <w:rPr>
                <w:rFonts w:ascii="Palatino Linotype" w:hAnsi="Palatino Linotype" w:cs="Calibr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23,32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7743D8" w:rsidP="007743D8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superior de q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uebrada en su trayectoria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34,08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 w:val="restart"/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Área verde adicional 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Lindero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En parte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72AF" w:rsidRPr="00B072AF" w:rsidRDefault="007743D8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Superficie</w:t>
            </w:r>
          </w:p>
        </w:tc>
      </w:tr>
      <w:tr w:rsidR="00B072AF" w:rsidRPr="00B072AF" w:rsidTr="00B072AF">
        <w:trPr>
          <w:trHeight w:val="293"/>
        </w:trPr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Norte: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7743D8" w:rsidP="00FB0264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Borde s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uperior de </w:t>
            </w:r>
            <w:r>
              <w:rPr>
                <w:rFonts w:ascii="Palatino Linotype" w:hAnsi="Palatino Linotype" w:cs="Calibri"/>
                <w:sz w:val="22"/>
                <w:szCs w:val="22"/>
              </w:rPr>
              <w:t>q</w:t>
            </w:r>
            <w:r w:rsidR="00B072AF"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uebrada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5,18 m.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9,44 m</w:t>
            </w:r>
            <w:r w:rsidRPr="00B072AF">
              <w:rPr>
                <w:rFonts w:ascii="Palatino Linotype" w:hAnsi="Palatino Linotype" w:cs="Calibri"/>
                <w:sz w:val="22"/>
                <w:szCs w:val="22"/>
                <w:vertAlign w:val="superscript"/>
              </w:rPr>
              <w:t>2</w:t>
            </w: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Sur: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FB0264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Calle “A”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5,03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Este: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Intersección entre </w:t>
            </w:r>
            <w:r w:rsidR="007743D8">
              <w:rPr>
                <w:rFonts w:ascii="Palatino Linotype" w:hAnsi="Palatino Linotype" w:cs="Calibri"/>
                <w:sz w:val="22"/>
                <w:szCs w:val="22"/>
              </w:rPr>
              <w:t>b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orde </w:t>
            </w:r>
            <w:r w:rsidR="007743D8">
              <w:rPr>
                <w:rFonts w:ascii="Palatino Linotype" w:hAnsi="Palatino Linotype" w:cs="Calibri"/>
                <w:sz w:val="22"/>
                <w:szCs w:val="22"/>
              </w:rPr>
              <w:t>s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 xml:space="preserve">uperior de </w:t>
            </w:r>
            <w:r w:rsidR="007743D8">
              <w:rPr>
                <w:rFonts w:ascii="Palatino Linotype" w:hAnsi="Palatino Linotype" w:cs="Calibri"/>
                <w:sz w:val="22"/>
                <w:szCs w:val="22"/>
              </w:rPr>
              <w:t>q</w:t>
            </w:r>
            <w:r w:rsidRPr="00B072AF">
              <w:rPr>
                <w:rFonts w:ascii="Palatino Linotype" w:hAnsi="Palatino Linotype" w:cs="Calibri"/>
                <w:sz w:val="22"/>
                <w:szCs w:val="22"/>
              </w:rPr>
              <w:t>uebrada y Calle “A”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0,00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="00B072AF" w:rsidRPr="00B072AF" w:rsidTr="00B072AF">
        <w:tc>
          <w:tcPr>
            <w:tcW w:w="1418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b/>
                <w:sz w:val="22"/>
                <w:szCs w:val="22"/>
              </w:rPr>
              <w:t>Oeste:</w:t>
            </w:r>
          </w:p>
        </w:tc>
        <w:tc>
          <w:tcPr>
            <w:tcW w:w="2835" w:type="dxa"/>
            <w:shd w:val="clear" w:color="auto" w:fill="FFFFFF"/>
          </w:tcPr>
          <w:p w:rsidR="00B072AF" w:rsidRPr="00B072AF" w:rsidRDefault="00B072AF" w:rsidP="00FB0264">
            <w:pPr>
              <w:spacing w:before="240" w:line="276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Avenida “Mariscal Sucre”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B072AF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2AF" w:rsidRPr="00B072AF" w:rsidRDefault="00B072AF" w:rsidP="00FB0264">
            <w:pPr>
              <w:spacing w:before="240" w:line="276" w:lineRule="auto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B072AF">
              <w:rPr>
                <w:rFonts w:ascii="Palatino Linotype" w:hAnsi="Palatino Linotype" w:cs="Calibri"/>
                <w:sz w:val="22"/>
                <w:szCs w:val="22"/>
              </w:rPr>
              <w:t>3,77 m.</w:t>
            </w:r>
          </w:p>
        </w:tc>
        <w:tc>
          <w:tcPr>
            <w:tcW w:w="1560" w:type="dxa"/>
            <w:vMerge/>
            <w:shd w:val="clear" w:color="auto" w:fill="FFFFFF"/>
          </w:tcPr>
          <w:p w:rsidR="00B072AF" w:rsidRPr="00B072AF" w:rsidRDefault="00B072AF" w:rsidP="00B072AF">
            <w:pPr>
              <w:spacing w:before="240" w:line="276" w:lineRule="auto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="007743D8" w:rsidRPr="007743D8" w:rsidRDefault="00B072AF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743D8">
        <w:rPr>
          <w:rFonts w:ascii="Palatino Linotype" w:hAnsi="Palatino Linotype"/>
          <w:b/>
          <w:bCs/>
          <w:sz w:val="22"/>
          <w:szCs w:val="22"/>
        </w:rPr>
        <w:t xml:space="preserve">Artículo 7.- De las vías.- 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El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a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sentamiento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h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umano de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h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echo y </w:t>
      </w:r>
      <w:r w:rsidR="007743D8" w:rsidRPr="007743D8">
        <w:rPr>
          <w:rFonts w:ascii="Palatino Linotype" w:hAnsi="Palatino Linotype"/>
          <w:bCs/>
          <w:iCs/>
          <w:sz w:val="22"/>
          <w:szCs w:val="22"/>
        </w:rPr>
        <w:t>c</w:t>
      </w:r>
      <w:r w:rsidRPr="007743D8">
        <w:rPr>
          <w:rFonts w:ascii="Palatino Linotype" w:hAnsi="Palatino Linotype"/>
          <w:bCs/>
          <w:iCs/>
          <w:sz w:val="22"/>
          <w:szCs w:val="22"/>
        </w:rPr>
        <w:t xml:space="preserve">onsolidado </w:t>
      </w:r>
      <w:r w:rsidRPr="007743D8">
        <w:rPr>
          <w:rFonts w:ascii="Palatino Linotype" w:hAnsi="Palatino Linotype"/>
          <w:iCs/>
          <w:sz w:val="22"/>
          <w:szCs w:val="22"/>
        </w:rPr>
        <w:t>contempla un sistema vial de uso público</w:t>
      </w:r>
      <w:r w:rsidR="007743D8" w:rsidRPr="007743D8">
        <w:rPr>
          <w:rFonts w:ascii="Palatino Linotype" w:hAnsi="Palatino Linotype"/>
          <w:iCs/>
          <w:sz w:val="22"/>
          <w:szCs w:val="22"/>
        </w:rPr>
        <w:t>; sin embargo,</w:t>
      </w:r>
      <w:r w:rsidRPr="007743D8">
        <w:rPr>
          <w:rFonts w:ascii="Palatino Linotype" w:hAnsi="Palatino Linotype"/>
          <w:iCs/>
          <w:sz w:val="22"/>
          <w:szCs w:val="22"/>
        </w:rPr>
        <w:t xml:space="preserve"> </w:t>
      </w:r>
      <w:r w:rsidR="007743D8" w:rsidRPr="007743D8">
        <w:rPr>
          <w:rFonts w:ascii="Palatino Linotype" w:hAnsi="Palatino Linotype"/>
          <w:iCs/>
          <w:sz w:val="22"/>
          <w:szCs w:val="22"/>
        </w:rPr>
        <w:t xml:space="preserve">cuenta con </w:t>
      </w:r>
      <w:r w:rsidRPr="007743D8">
        <w:rPr>
          <w:rFonts w:ascii="Palatino Linotype" w:hAnsi="Palatino Linotype"/>
          <w:iCs/>
          <w:sz w:val="22"/>
          <w:szCs w:val="22"/>
        </w:rPr>
        <w:t>19 años de existencia</w:t>
      </w:r>
      <w:r w:rsidR="007743D8" w:rsidRPr="007743D8">
        <w:rPr>
          <w:rFonts w:ascii="Palatino Linotype" w:hAnsi="Palatino Linotype"/>
          <w:iCs/>
          <w:sz w:val="22"/>
          <w:szCs w:val="22"/>
        </w:rPr>
        <w:t xml:space="preserve"> y</w:t>
      </w:r>
      <w:r w:rsidRPr="007743D8">
        <w:rPr>
          <w:rFonts w:ascii="Palatino Linotype" w:hAnsi="Palatino Linotype"/>
          <w:iCs/>
          <w:sz w:val="22"/>
          <w:szCs w:val="22"/>
        </w:rPr>
        <w:t xml:space="preserve"> con un 41,18% de consolidación de viviendas</w:t>
      </w:r>
      <w:r w:rsidR="007743D8" w:rsidRPr="007743D8">
        <w:rPr>
          <w:rFonts w:ascii="Palatino Linotype" w:hAnsi="Palatino Linotype"/>
          <w:i/>
          <w:iCs/>
          <w:sz w:val="22"/>
          <w:szCs w:val="22"/>
        </w:rPr>
        <w:t xml:space="preserve">, </w:t>
      </w:r>
      <w:r w:rsidR="007743D8" w:rsidRPr="007743D8">
        <w:rPr>
          <w:rFonts w:ascii="Palatino Linotype" w:hAnsi="Palatino Linotype" w:cs="Arial"/>
          <w:sz w:val="22"/>
          <w:szCs w:val="22"/>
        </w:rPr>
        <w:t xml:space="preserve">razón por la cual los anchos viales se sujetarán al plano adjunto a la presente Ordenanza. </w:t>
      </w:r>
    </w:p>
    <w:p w:rsidR="007743D8" w:rsidRDefault="007743D8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7743D8">
        <w:rPr>
          <w:rFonts w:ascii="Palatino Linotype" w:hAnsi="Palatino Linotype" w:cs="Arial"/>
          <w:sz w:val="22"/>
          <w:szCs w:val="22"/>
        </w:rPr>
        <w:t>Las vías y pasajes que se aprueban son las siguientes:</w:t>
      </w:r>
    </w:p>
    <w:p w:rsidR="00B072AF" w:rsidRPr="007743D8" w:rsidRDefault="00B072AF" w:rsidP="007743D8">
      <w:pPr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Calle “A”</w:t>
      </w:r>
      <w:r w:rsidR="007743D8">
        <w:rPr>
          <w:rFonts w:ascii="Palatino Linotype" w:hAnsi="Palatino Linotype"/>
          <w:sz w:val="22"/>
          <w:szCs w:val="22"/>
          <w:lang w:val="es-EC"/>
        </w:rPr>
        <w:t>:</w:t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Pr="00B072AF">
        <w:rPr>
          <w:rFonts w:ascii="Palatino Linotype" w:hAnsi="Palatino Linotype"/>
          <w:sz w:val="22"/>
          <w:szCs w:val="22"/>
          <w:lang w:val="es-EC"/>
        </w:rPr>
        <w:t>12,00</w:t>
      </w:r>
      <w:r w:rsidR="00FB0264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B072AF">
        <w:rPr>
          <w:rFonts w:ascii="Palatino Linotype" w:hAnsi="Palatino Linotype"/>
          <w:sz w:val="22"/>
          <w:szCs w:val="22"/>
          <w:lang w:val="es-EC"/>
        </w:rPr>
        <w:t>m.</w:t>
      </w:r>
      <w:r w:rsidR="007743D8">
        <w:rPr>
          <w:rFonts w:ascii="Palatino Linotype" w:hAnsi="Palatino Linotype" w:cs="Arial"/>
          <w:sz w:val="22"/>
          <w:szCs w:val="22"/>
        </w:rPr>
        <w:tab/>
      </w:r>
      <w:r w:rsidR="007743D8">
        <w:rPr>
          <w:rFonts w:ascii="Palatino Linotype" w:hAnsi="Palatino Linotype" w:cs="Arial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  <w:lang w:val="es-EC"/>
        </w:rPr>
        <w:t>Calle “B”</w:t>
      </w:r>
      <w:r w:rsidR="007743D8">
        <w:rPr>
          <w:rFonts w:ascii="Palatino Linotype" w:hAnsi="Palatino Linotype"/>
          <w:sz w:val="22"/>
          <w:szCs w:val="22"/>
          <w:lang w:val="es-EC"/>
        </w:rPr>
        <w:t>:</w:t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="007743D8">
        <w:rPr>
          <w:rFonts w:ascii="Palatino Linotype" w:hAnsi="Palatino Linotype"/>
          <w:sz w:val="22"/>
          <w:szCs w:val="22"/>
          <w:lang w:val="es-EC"/>
        </w:rPr>
        <w:tab/>
      </w:r>
      <w:r w:rsidRPr="00B072AF">
        <w:rPr>
          <w:rFonts w:ascii="Palatino Linotype" w:hAnsi="Palatino Linotype"/>
          <w:sz w:val="22"/>
          <w:szCs w:val="22"/>
          <w:lang w:val="es-EC"/>
        </w:rPr>
        <w:t>8,00</w:t>
      </w:r>
      <w:r w:rsidR="00FB0264">
        <w:rPr>
          <w:rFonts w:ascii="Palatino Linotype" w:hAnsi="Palatino Linotype"/>
          <w:sz w:val="22"/>
          <w:szCs w:val="22"/>
          <w:lang w:val="es-EC"/>
        </w:rPr>
        <w:t xml:space="preserve"> </w:t>
      </w:r>
      <w:r w:rsidRPr="00B072AF">
        <w:rPr>
          <w:rFonts w:ascii="Palatino Linotype" w:hAnsi="Palatino Linotype"/>
          <w:sz w:val="22"/>
          <w:szCs w:val="22"/>
          <w:lang w:val="es-EC"/>
        </w:rPr>
        <w:t>m.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 xml:space="preserve">Artículo 8.- De las obras a ejecutarse.- 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>Una vez emitido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del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i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nforme y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e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studio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a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probado por la </w:t>
      </w:r>
      <w:r w:rsidRPr="00B072AF">
        <w:rPr>
          <w:rFonts w:ascii="Palatino Linotype" w:hAnsi="Palatino Linotype"/>
          <w:sz w:val="22"/>
          <w:szCs w:val="22"/>
          <w:lang w:val="es-EC"/>
        </w:rPr>
        <w:t>Empresa Pública Metropolitana de Movilidad y Obras Públicas</w:t>
      </w:r>
      <w:r w:rsidR="007743D8">
        <w:rPr>
          <w:rFonts w:ascii="Palatino Linotype" w:hAnsi="Palatino Linotype"/>
          <w:sz w:val="22"/>
          <w:szCs w:val="22"/>
          <w:lang w:val="es-EC"/>
        </w:rPr>
        <w:t xml:space="preserve"> -EPMMOP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en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el que conste que no es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viable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>la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 ejecución del proyecto de p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rolongación de la Av. Mariscal Sucre, o que de realizarse la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p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>rolongación de la avenida, la misma no afecta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ría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totalmente al predio regularizado; el 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asentamiento </w:t>
      </w:r>
      <w:r w:rsidR="007743D8">
        <w:rPr>
          <w:rFonts w:ascii="Palatino Linotype" w:hAnsi="Palatino Linotype"/>
          <w:bCs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umano de </w:t>
      </w:r>
      <w:r w:rsidR="007743D8">
        <w:rPr>
          <w:rFonts w:ascii="Palatino Linotype" w:hAnsi="Palatino Linotype"/>
          <w:bCs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echo y </w:t>
      </w:r>
      <w:r w:rsidR="007743D8">
        <w:rPr>
          <w:rFonts w:ascii="Palatino Linotype" w:hAnsi="Palatino Linotype"/>
          <w:bCs/>
          <w:sz w:val="22"/>
          <w:szCs w:val="22"/>
          <w:lang w:val="es-EC"/>
        </w:rPr>
        <w:t>c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onsolidado </w:t>
      </w:r>
      <w:r w:rsidRPr="00B072AF">
        <w:rPr>
          <w:rFonts w:ascii="Palatino Linotype" w:hAnsi="Palatino Linotype" w:cs="Arial"/>
          <w:sz w:val="22"/>
          <w:szCs w:val="22"/>
        </w:rPr>
        <w:t>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“Calicanto”, 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 </w:t>
      </w:r>
      <w:r w:rsidR="007743D8">
        <w:rPr>
          <w:rFonts w:ascii="Palatino Linotype" w:hAnsi="Palatino Linotype"/>
          <w:bCs/>
          <w:sz w:val="22"/>
          <w:szCs w:val="22"/>
          <w:lang w:val="es-EC"/>
        </w:rPr>
        <w:t>debe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 xml:space="preserve">rá </w:t>
      </w:r>
      <w:r w:rsidRPr="00B072AF">
        <w:rPr>
          <w:rFonts w:ascii="Palatino Linotype" w:hAnsi="Palatino Linotype"/>
          <w:sz w:val="22"/>
          <w:szCs w:val="22"/>
          <w:lang w:val="es-EC"/>
        </w:rPr>
        <w:t>ejecutar en el asentamiento las siguientes obras:</w:t>
      </w:r>
    </w:p>
    <w:p w:rsidR="00B072AF" w:rsidRDefault="007743D8" w:rsidP="00B072AF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  <w:lang w:val="es-EC"/>
        </w:rPr>
      </w:pPr>
      <w:r w:rsidRPr="007743D8">
        <w:rPr>
          <w:rFonts w:ascii="Palatino Linotype" w:hAnsi="Palatino Linotype"/>
          <w:b/>
          <w:sz w:val="22"/>
          <w:szCs w:val="22"/>
          <w:lang w:val="es-EC"/>
        </w:rPr>
        <w:lastRenderedPageBreak/>
        <w:t>Obras civiles (vías):</w:t>
      </w:r>
    </w:p>
    <w:p w:rsidR="007743D8" w:rsidRDefault="007743D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>Calzadas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100%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Aceras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100%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</w:p>
    <w:p w:rsidR="007743D8" w:rsidRDefault="007743D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>Bordillos</w:t>
      </w:r>
      <w:r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100%</w:t>
      </w:r>
      <w:r>
        <w:rPr>
          <w:rFonts w:ascii="Palatino Linotype" w:hAnsi="Palatino Linotype"/>
          <w:sz w:val="22"/>
          <w:szCs w:val="22"/>
        </w:rPr>
        <w:tab/>
      </w:r>
    </w:p>
    <w:p w:rsidR="007743D8" w:rsidRDefault="007743D8" w:rsidP="00B072AF">
      <w:pPr>
        <w:spacing w:before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Obras de infraestructura:</w:t>
      </w:r>
    </w:p>
    <w:p w:rsidR="007743D8" w:rsidRDefault="007743D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</w:rPr>
      </w:pPr>
      <w:r w:rsidRPr="00B072AF">
        <w:rPr>
          <w:rFonts w:ascii="Palatino Linotype" w:hAnsi="Palatino Linotype"/>
          <w:sz w:val="22"/>
          <w:szCs w:val="22"/>
        </w:rPr>
        <w:t xml:space="preserve">Agua </w:t>
      </w:r>
      <w:r>
        <w:rPr>
          <w:rFonts w:ascii="Palatino Linotype" w:hAnsi="Palatino Linotype"/>
          <w:sz w:val="22"/>
          <w:szCs w:val="22"/>
        </w:rPr>
        <w:t>p</w:t>
      </w:r>
      <w:r w:rsidRPr="00B072AF">
        <w:rPr>
          <w:rFonts w:ascii="Palatino Linotype" w:hAnsi="Palatino Linotype"/>
          <w:sz w:val="22"/>
          <w:szCs w:val="22"/>
        </w:rPr>
        <w:t>otable</w:t>
      </w:r>
      <w:r>
        <w:rPr>
          <w:rFonts w:ascii="Palatino Linotype" w:hAnsi="Palatino Linotype"/>
          <w:sz w:val="22"/>
          <w:szCs w:val="22"/>
        </w:rPr>
        <w:t>: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50%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Alcantarillado</w:t>
      </w:r>
      <w:r>
        <w:rPr>
          <w:rFonts w:ascii="Palatino Linotype" w:hAnsi="Palatino Linotype"/>
          <w:sz w:val="22"/>
          <w:szCs w:val="22"/>
        </w:rPr>
        <w:t>:</w:t>
      </w:r>
      <w:r w:rsidRPr="007743D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ab/>
      </w:r>
      <w:r w:rsidRPr="00B072AF">
        <w:rPr>
          <w:rFonts w:ascii="Palatino Linotype" w:hAnsi="Palatino Linotype"/>
          <w:sz w:val="22"/>
          <w:szCs w:val="22"/>
        </w:rPr>
        <w:t>50%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 9.- Del plazo de ejecución de las obras.-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 El plazo de ejecución de la totalidad de las obras de urbanización, incluido el equipamiento del área comunal, es de seis (6) años,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>de conformidad al cronograma de obras presentado por 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“Calicanto”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, plazo que se contará a partir de la fecha de  emisión del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i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nforme y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e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studio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a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probado por la </w:t>
      </w:r>
      <w:r w:rsidRPr="00B072AF">
        <w:rPr>
          <w:rFonts w:ascii="Palatino Linotype" w:hAnsi="Palatino Linotype"/>
          <w:sz w:val="22"/>
          <w:szCs w:val="22"/>
          <w:lang w:val="es-EC"/>
        </w:rPr>
        <w:t>Empresa Pública Metropolitana de Movilidad y Obras Públicas</w:t>
      </w:r>
      <w:r w:rsidR="007743D8">
        <w:rPr>
          <w:rFonts w:ascii="Palatino Linotype" w:hAnsi="Palatino Linotype"/>
          <w:sz w:val="22"/>
          <w:szCs w:val="22"/>
          <w:lang w:val="es-EC"/>
        </w:rPr>
        <w:t xml:space="preserve"> -EPMMOP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en </w:t>
      </w:r>
      <w:r w:rsidR="007743D8"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el que conste que no es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viable </w:t>
      </w:r>
      <w:r w:rsidR="007743D8" w:rsidRPr="00B072AF">
        <w:rPr>
          <w:rFonts w:ascii="Palatino Linotype" w:hAnsi="Palatino Linotype"/>
          <w:iCs/>
          <w:sz w:val="22"/>
          <w:szCs w:val="22"/>
          <w:lang w:val="es-EC"/>
        </w:rPr>
        <w:t>la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 xml:space="preserve"> ejecución del proyecto de p</w:t>
      </w:r>
      <w:r w:rsidR="007743D8"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rolongación de la Av. Mariscal Sucre, o que de realizarse la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p</w:t>
      </w:r>
      <w:r w:rsidR="007743D8" w:rsidRPr="00B072AF">
        <w:rPr>
          <w:rFonts w:ascii="Palatino Linotype" w:hAnsi="Palatino Linotype"/>
          <w:iCs/>
          <w:sz w:val="22"/>
          <w:szCs w:val="22"/>
          <w:lang w:val="es-EC"/>
        </w:rPr>
        <w:t>rolongación de la avenida, la misma no afecta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ría</w:t>
      </w:r>
      <w:r w:rsidR="007743D8"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totalmente al predio regularizado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.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De estas obras </w:t>
      </w:r>
      <w:r w:rsidRPr="00B072AF">
        <w:rPr>
          <w:rFonts w:ascii="Palatino Linotype" w:hAnsi="Palatino Linotype"/>
          <w:sz w:val="22"/>
          <w:szCs w:val="22"/>
          <w:lang w:val="es-EC"/>
        </w:rPr>
        <w:t>los co</w:t>
      </w:r>
      <w:r w:rsidRPr="00B072AF">
        <w:rPr>
          <w:rFonts w:ascii="Palatino Linotype" w:hAnsi="Palatino Linotype"/>
          <w:bCs/>
          <w:sz w:val="22"/>
          <w:szCs w:val="22"/>
          <w:lang w:val="es-EC"/>
        </w:rPr>
        <w:t>propietarios del predio fraccionado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pagarán las contribuciones especiales y mejoras de ley.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</w:t>
      </w:r>
      <w:r w:rsidRPr="00B072AF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>10.- Del control de ejecución de las obras.-</w:t>
      </w:r>
      <w:r w:rsidR="00FB0264">
        <w:rPr>
          <w:rFonts w:ascii="Palatino Linotype" w:hAnsi="Palatino Linotype"/>
          <w:iCs/>
          <w:sz w:val="22"/>
          <w:szCs w:val="22"/>
          <w:lang w:val="es-EC"/>
        </w:rPr>
        <w:t xml:space="preserve"> L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os copropietarios del predio beneficiados con la presente Ordenanza no podrán ejecutar dentro del predio regularizado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mediante el presente acto</w:t>
      </w:r>
      <w:r w:rsidR="00FB0264">
        <w:rPr>
          <w:rFonts w:ascii="Palatino Linotype" w:hAnsi="Palatino Linotype"/>
          <w:iCs/>
          <w:sz w:val="22"/>
          <w:szCs w:val="22"/>
          <w:lang w:val="es-EC"/>
        </w:rPr>
        <w:t>,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 obras de Urbanización ni edificaciones particulares si el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i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nforme y </w:t>
      </w:r>
      <w:r w:rsidR="007743D8">
        <w:rPr>
          <w:rFonts w:ascii="Palatino Linotype" w:hAnsi="Palatino Linotype"/>
          <w:iCs/>
          <w:sz w:val="22"/>
          <w:szCs w:val="22"/>
          <w:lang w:val="es-EC"/>
        </w:rPr>
        <w:t>e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studio emitido por la </w:t>
      </w:r>
      <w:r w:rsidRPr="00B072AF">
        <w:rPr>
          <w:rFonts w:ascii="Palatino Linotype" w:hAnsi="Palatino Linotype"/>
          <w:sz w:val="22"/>
          <w:szCs w:val="22"/>
          <w:lang w:val="es-EC"/>
        </w:rPr>
        <w:t>Empresa Pública Metropolitana de Movilidad y Obras Públicas</w:t>
      </w:r>
      <w:r w:rsidR="007743D8">
        <w:rPr>
          <w:rFonts w:ascii="Palatino Linotype" w:hAnsi="Palatino Linotype"/>
          <w:sz w:val="22"/>
          <w:szCs w:val="22"/>
          <w:lang w:val="es-EC"/>
        </w:rPr>
        <w:t xml:space="preserve"> -EPMMOP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, </w:t>
      </w:r>
      <w:r w:rsidR="005D59E8">
        <w:rPr>
          <w:rFonts w:ascii="Palatino Linotype" w:hAnsi="Palatino Linotype"/>
          <w:iCs/>
          <w:sz w:val="22"/>
          <w:szCs w:val="22"/>
          <w:lang w:val="es-EC"/>
        </w:rPr>
        <w:t xml:space="preserve">considera viable la ejecución de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la </w:t>
      </w:r>
      <w:r w:rsidR="005D59E8">
        <w:rPr>
          <w:rFonts w:ascii="Palatino Linotype" w:hAnsi="Palatino Linotype"/>
          <w:iCs/>
          <w:sz w:val="22"/>
          <w:szCs w:val="22"/>
          <w:lang w:val="es-EC"/>
        </w:rPr>
        <w:t>p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rolongación de la Av. Mariscal Sucre y esta afecta </w:t>
      </w:r>
      <w:r w:rsidR="005D59E8">
        <w:rPr>
          <w:rFonts w:ascii="Palatino Linotype" w:hAnsi="Palatino Linotype"/>
          <w:iCs/>
          <w:sz w:val="22"/>
          <w:szCs w:val="22"/>
          <w:lang w:val="es-EC"/>
        </w:rPr>
        <w:t xml:space="preserve">en su totalidad 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>al predio regularizado.</w:t>
      </w:r>
    </w:p>
    <w:p w:rsidR="005D59E8" w:rsidRPr="005D59E8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iCs/>
          <w:sz w:val="22"/>
          <w:szCs w:val="22"/>
          <w:lang w:val="es-EC"/>
        </w:rPr>
        <w:t>La Administración Zonal Quitumbe r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ealizará el seguimiento  y control de la prohibición de ejecución de las obras de urbanización hasta </w:t>
      </w:r>
      <w:r w:rsidR="005D59E8">
        <w:rPr>
          <w:rFonts w:ascii="Palatino Linotype" w:hAnsi="Palatino Linotype"/>
          <w:sz w:val="22"/>
          <w:szCs w:val="22"/>
          <w:lang w:val="es-EC"/>
        </w:rPr>
        <w:t xml:space="preserve">la habilitación del plazo referido en el </w:t>
      </w:r>
      <w:r w:rsidR="00FB0264">
        <w:rPr>
          <w:rFonts w:ascii="Palatino Linotype" w:hAnsi="Palatino Linotype"/>
          <w:sz w:val="22"/>
          <w:szCs w:val="22"/>
          <w:lang w:val="es-EC"/>
        </w:rPr>
        <w:t>artículo</w:t>
      </w:r>
      <w:r w:rsidR="005D59E8">
        <w:rPr>
          <w:rFonts w:ascii="Palatino Linotype" w:hAnsi="Palatino Linotype"/>
          <w:sz w:val="22"/>
          <w:szCs w:val="22"/>
          <w:lang w:val="es-EC"/>
        </w:rPr>
        <w:t xml:space="preserve"> precedente</w:t>
      </w:r>
      <w:r w:rsidRPr="00B072AF">
        <w:rPr>
          <w:rFonts w:ascii="Palatino Linotype" w:hAnsi="Palatino Linotype"/>
          <w:sz w:val="22"/>
          <w:szCs w:val="22"/>
          <w:lang w:val="es-EC"/>
        </w:rPr>
        <w:t>. De habilitarse el plazo para la realización de obras de urbanización, l</w:t>
      </w:r>
      <w:r w:rsidRPr="00B072AF">
        <w:rPr>
          <w:rFonts w:ascii="Palatino Linotype" w:hAnsi="Palatino Linotype"/>
          <w:iCs/>
          <w:sz w:val="22"/>
          <w:szCs w:val="22"/>
          <w:lang w:val="es-EC"/>
        </w:rPr>
        <w:t xml:space="preserve">a Administración Zonal Quitumbe </w:t>
      </w:r>
      <w:r w:rsidR="005D59E8" w:rsidRPr="005D59E8">
        <w:rPr>
          <w:rFonts w:ascii="Palatino Linotype" w:hAnsi="Palatino Linotype"/>
          <w:iCs/>
          <w:sz w:val="22"/>
          <w:szCs w:val="22"/>
          <w:lang w:val="es-EC"/>
        </w:rPr>
        <w:t>r</w:t>
      </w:r>
      <w:r w:rsidR="005D59E8" w:rsidRPr="005D59E8">
        <w:rPr>
          <w:rFonts w:ascii="Palatino Linotype" w:hAnsi="Palatino Linotype"/>
          <w:sz w:val="22"/>
          <w:szCs w:val="22"/>
          <w:lang w:val="es-EC"/>
        </w:rPr>
        <w:t>ealizará el seguimiento en la ejecución y avance de las obras de urbanización hasta la terminación de las mismas, para lo cual el departamento de fiscalización y el departamento de obras públicas emitirán un informe técnico de manera semestral. Su informe favorable final será indispensable para cancelar la hipoteca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bCs/>
          <w:iCs/>
          <w:sz w:val="22"/>
          <w:szCs w:val="22"/>
          <w:lang w:val="es-ES_tradnl"/>
        </w:rPr>
        <w:t xml:space="preserve"> 11.- De la multa por retraso en la ejecución de obras.- </w:t>
      </w:r>
      <w:r w:rsidR="005D59E8">
        <w:rPr>
          <w:rFonts w:ascii="Palatino Linotype" w:hAnsi="Palatino Linotype"/>
          <w:sz w:val="22"/>
          <w:szCs w:val="22"/>
          <w:lang w:val="es-ES_tradnl"/>
        </w:rPr>
        <w:t xml:space="preserve">En caso de habilitarse </w:t>
      </w:r>
      <w:r w:rsidRPr="00B072AF">
        <w:rPr>
          <w:rFonts w:ascii="Palatino Linotype" w:hAnsi="Palatino Linotype"/>
          <w:sz w:val="22"/>
          <w:szCs w:val="22"/>
          <w:lang w:val="es-ES_tradnl"/>
        </w:rPr>
        <w:t>el plazo para la ejecución de obras</w:t>
      </w:r>
      <w:r w:rsidR="005D59E8">
        <w:rPr>
          <w:rFonts w:ascii="Palatino Linotype" w:hAnsi="Palatino Linotype"/>
          <w:sz w:val="22"/>
          <w:szCs w:val="22"/>
          <w:lang w:val="es-ES_tradnl"/>
        </w:rPr>
        <w:t xml:space="preserve"> de urbanización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</w:t>
      </w:r>
      <w:r w:rsidR="005D59E8">
        <w:rPr>
          <w:rFonts w:ascii="Palatino Linotype" w:hAnsi="Palatino Linotype"/>
          <w:sz w:val="22"/>
          <w:szCs w:val="22"/>
          <w:lang w:val="es-ES_tradnl"/>
        </w:rPr>
        <w:t xml:space="preserve">y constatarse 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retraso en la ejecución de las </w:t>
      </w:r>
      <w:r w:rsidR="005D59E8">
        <w:rPr>
          <w:rFonts w:ascii="Palatino Linotype" w:hAnsi="Palatino Linotype"/>
          <w:sz w:val="22"/>
          <w:szCs w:val="22"/>
          <w:lang w:val="es-ES_tradnl"/>
        </w:rPr>
        <w:lastRenderedPageBreak/>
        <w:t>mismas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, </w:t>
      </w:r>
      <w:r w:rsidRPr="00B072AF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“Calicanto”,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pagarán a la Municipalidad en calidad de multa, el uno por mil por cada día de retraso, calculado del costo de las obras no ejecutadas.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De persistir el incumplimiento, el Municipio podrá ejecutar las obras, cuyo costo estará a cargo </w:t>
      </w:r>
      <w:r w:rsidRPr="00B072AF">
        <w:rPr>
          <w:rFonts w:ascii="Palatino Linotype" w:hAnsi="Palatino Linotype"/>
          <w:sz w:val="22"/>
          <w:szCs w:val="22"/>
          <w:lang w:val="es-EC"/>
        </w:rPr>
        <w:t>de todos los propietarios de los lotes</w:t>
      </w:r>
      <w:r w:rsidRPr="00B072AF">
        <w:rPr>
          <w:rFonts w:ascii="Palatino Linotype" w:hAnsi="Palatino Linotype"/>
          <w:sz w:val="22"/>
          <w:szCs w:val="22"/>
          <w:lang w:val="es-ES_tradnl"/>
        </w:rPr>
        <w:t>, además de un recargo del 30%.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iCs/>
          <w:sz w:val="22"/>
          <w:szCs w:val="22"/>
          <w:lang w:val="es-ES_tradnl"/>
        </w:rPr>
      </w:pPr>
      <w:r w:rsidRPr="00B072AF">
        <w:rPr>
          <w:rFonts w:ascii="Palatino Linotype" w:hAnsi="Palatino Linotype"/>
          <w:sz w:val="22"/>
          <w:szCs w:val="22"/>
          <w:lang w:val="es-ES_tradnl"/>
        </w:rPr>
        <w:t>Emitidos los informes correspondientes que establezcan la multa por incumplimiento de las obras de urbanización, se notificará a la Dirección Metropolitana Financiera para que se emita el título de crédito respectivo y se proceda a su cobro, incluso por la vía coactiva.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iCs/>
          <w:sz w:val="22"/>
          <w:szCs w:val="22"/>
          <w:lang w:val="es-EC"/>
        </w:rPr>
        <w:t xml:space="preserve">Artículo 12.- De la garantía de ejecución de las obras.-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Los lotes producto del presente reconocimiento de </w:t>
      </w:r>
      <w:r w:rsidR="005D59E8">
        <w:rPr>
          <w:rFonts w:ascii="Palatino Linotype" w:hAnsi="Palatino Linotype"/>
          <w:sz w:val="22"/>
          <w:szCs w:val="22"/>
          <w:lang w:val="es-EC"/>
        </w:rPr>
        <w:t>a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sentamiento </w:t>
      </w:r>
      <w:r w:rsidR="005D59E8">
        <w:rPr>
          <w:rFonts w:ascii="Palatino Linotype" w:hAnsi="Palatino Linotype"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umano de </w:t>
      </w:r>
      <w:r w:rsidR="005D59E8">
        <w:rPr>
          <w:rFonts w:ascii="Palatino Linotype" w:hAnsi="Palatino Linotype"/>
          <w:sz w:val="22"/>
          <w:szCs w:val="22"/>
          <w:lang w:val="es-EC"/>
        </w:rPr>
        <w:t>h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echo y </w:t>
      </w:r>
      <w:r w:rsidR="005D59E8">
        <w:rPr>
          <w:rFonts w:ascii="Palatino Linotype" w:hAnsi="Palatino Linotype"/>
          <w:sz w:val="22"/>
          <w:szCs w:val="22"/>
          <w:lang w:val="es-EC"/>
        </w:rPr>
        <w:t>c</w:t>
      </w:r>
      <w:r w:rsidRPr="00B072AF">
        <w:rPr>
          <w:rFonts w:ascii="Palatino Linotype" w:hAnsi="Palatino Linotype"/>
          <w:sz w:val="22"/>
          <w:szCs w:val="22"/>
          <w:lang w:val="es-EC"/>
        </w:rPr>
        <w:t>onsolidado, quedan gravados con primera, especial y preferente hipoteca a favor del Municipio del Distrito Metropolitano de Quito, que subsistirá hasta la terminación de la ejecución de las obras de urbanización.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sz w:val="22"/>
          <w:szCs w:val="22"/>
          <w:lang w:val="es-EC"/>
        </w:rPr>
        <w:t>En caso de existir algún gravamen que pese sobre el inmueble, este se individualizará al momento de ejecutarse el fraccionamiento.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 13.- De la protocolización e inscripción de la ordenanza.- </w:t>
      </w:r>
      <w:r w:rsidRPr="00B072AF">
        <w:rPr>
          <w:rFonts w:ascii="Palatino Linotype" w:hAnsi="Palatino Linotype"/>
          <w:sz w:val="22"/>
          <w:szCs w:val="22"/>
          <w:lang w:val="es-EC"/>
        </w:rPr>
        <w:t>Los copropietarios del predio donde se encuentra el Asentamiento Humano de Hecho y Consolidado denominado</w:t>
      </w:r>
      <w:r w:rsidRPr="00B072AF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Comité Pro-Mejoras del Barrio “Calicanto”</w:t>
      </w:r>
      <w:r w:rsidRPr="00B072AF">
        <w:rPr>
          <w:rFonts w:ascii="Palatino Linotype" w:hAnsi="Palatino Linotype"/>
          <w:sz w:val="22"/>
          <w:szCs w:val="22"/>
          <w:lang w:val="es-EC"/>
        </w:rPr>
        <w:t>,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se comprometen en el término de ciento ochenta (180) días, contados a partir de la fecha de emisión de la resolución de regularización de excedentes y/o diferencias de áreas por parte de la Autoridad Administrativa Competente, a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protocolizar  la presente Ordenanza ante Notario Público e inscribirla en el Registro de la Propiedad del Distrito Metropolitano de Quito, </w:t>
      </w:r>
      <w:r w:rsidRPr="00B072AF">
        <w:rPr>
          <w:rFonts w:ascii="Palatino Linotype" w:hAnsi="Palatino Linotype"/>
          <w:sz w:val="22"/>
          <w:szCs w:val="22"/>
          <w:lang w:val="es-ES_tradnl"/>
        </w:rPr>
        <w:t>con todos sus documentos habilitantes</w:t>
      </w:r>
      <w:r w:rsidRPr="00B072AF">
        <w:rPr>
          <w:rFonts w:ascii="Palatino Linotype" w:hAnsi="Palatino Linotype"/>
          <w:sz w:val="22"/>
          <w:szCs w:val="22"/>
          <w:lang w:val="es-EC"/>
        </w:rPr>
        <w:t>;</w:t>
      </w:r>
      <w:r w:rsidRPr="00B072AF">
        <w:rPr>
          <w:rFonts w:ascii="Palatino Linotype" w:hAnsi="Palatino Linotype"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</w:p>
    <w:p w:rsidR="00B072AF" w:rsidRPr="00B072AF" w:rsidRDefault="005D59E8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  <w:r>
        <w:rPr>
          <w:rFonts w:ascii="Palatino Linotype" w:hAnsi="Palatino Linotype"/>
          <w:sz w:val="22"/>
          <w:szCs w:val="22"/>
          <w:lang w:val="es-ES_tradnl"/>
        </w:rPr>
        <w:t>La inscripción de la presente O</w:t>
      </w:r>
      <w:r w:rsidR="00B072AF" w:rsidRPr="00B072AF">
        <w:rPr>
          <w:rFonts w:ascii="Palatino Linotype" w:hAnsi="Palatino Linotype"/>
          <w:sz w:val="22"/>
          <w:szCs w:val="22"/>
          <w:lang w:val="es-ES_tradnl"/>
        </w:rPr>
        <w:t>rdenanza servirá como título de dominio de los beneficiarios para efectos del perfeccionamiento de la transferencia de áreas verdes, en caso de que existan.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Artículo 14.- De la partición y adjudicación.- </w:t>
      </w:r>
      <w:r w:rsidRPr="00B072AF">
        <w:rPr>
          <w:rFonts w:ascii="Palatino Linotype" w:hAnsi="Palatino Linotype" w:cs="Arial"/>
          <w:sz w:val="22"/>
          <w:szCs w:val="22"/>
          <w:lang w:val="es-ES_tradnl"/>
        </w:rPr>
        <w:t xml:space="preserve">Se faculta al señor Alcalde para que mediante resolución administrativa, proceda con la partición administrativa correspondiente. Dicha resolución de partición y adjudicación se protocolizará ante Notario Público y se inscribirá en el Registro de la Propiedad del Distrito Metropolitano de Quito, la misma que sin otra </w:t>
      </w:r>
      <w:r w:rsidRPr="00B072AF">
        <w:rPr>
          <w:rFonts w:ascii="Palatino Linotype" w:hAnsi="Palatino Linotype" w:cs="Arial"/>
          <w:sz w:val="22"/>
          <w:szCs w:val="22"/>
          <w:lang w:val="es-ES_tradnl"/>
        </w:rPr>
        <w:lastRenderedPageBreak/>
        <w:t xml:space="preserve">solemnidad constituirá título de dominio del beneficiario.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fraccionado, estas serán conocidas  y resueltas por  el juez competente en juicio ordinario. </w:t>
      </w: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 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C"/>
        </w:rPr>
        <w:t>Artículo</w:t>
      </w:r>
      <w:r w:rsidRPr="00B072AF">
        <w:rPr>
          <w:rFonts w:ascii="Palatino Linotype" w:hAnsi="Palatino Linotype"/>
          <w:b/>
          <w:sz w:val="22"/>
          <w:szCs w:val="22"/>
          <w:lang w:val="es-EC"/>
        </w:rPr>
        <w:t xml:space="preserve"> 15.- Potestad de ejecución.- </w:t>
      </w:r>
      <w:r w:rsidRPr="00B072AF">
        <w:rPr>
          <w:rFonts w:ascii="Palatino Linotype" w:hAnsi="Palatino Linotype"/>
          <w:sz w:val="22"/>
          <w:szCs w:val="22"/>
          <w:lang w:val="es-EC"/>
        </w:rPr>
        <w:t xml:space="preserve">Para el fiel cumplimiento de las disposiciones de esta </w:t>
      </w:r>
      <w:r w:rsidR="005D59E8">
        <w:rPr>
          <w:rFonts w:ascii="Palatino Linotype" w:hAnsi="Palatino Linotype"/>
          <w:sz w:val="22"/>
          <w:szCs w:val="22"/>
          <w:lang w:val="es-EC"/>
        </w:rPr>
        <w:t>O</w:t>
      </w:r>
      <w:r w:rsidRPr="00B072AF">
        <w:rPr>
          <w:rFonts w:ascii="Palatino Linotype" w:hAnsi="Palatino Linotype"/>
          <w:sz w:val="22"/>
          <w:szCs w:val="22"/>
          <w:lang w:val="es-EC"/>
        </w:rPr>
        <w:t>rdenanza, y en caso de que no se hayan cumplido los plazos establecidos, se podrá solicitar el auxilio de la Policía Nacional o ejecutar en forma subsidiaria los actos que el obligado no hubiere cumplido, a costa de estos. En este evento, se podrá recuperar los valores invertidos, por la vía coactiva, con un recargo del veinte por ciento (20%) más los intereses correspondientes.</w:t>
      </w:r>
    </w:p>
    <w:p w:rsidR="00B072AF" w:rsidRPr="00B072AF" w:rsidRDefault="00B072AF" w:rsidP="00B072AF">
      <w:pPr>
        <w:spacing w:before="24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/>
          <w:b/>
          <w:bCs/>
          <w:sz w:val="22"/>
          <w:szCs w:val="22"/>
          <w:lang w:val="es-ES_tradnl"/>
        </w:rPr>
        <w:t xml:space="preserve">Artículo 16.- Solicitudes de ampliación de plazo.- </w:t>
      </w:r>
      <w:r w:rsidRPr="00B072AF">
        <w:rPr>
          <w:rFonts w:ascii="Palatino Linotype" w:hAnsi="Palatino Linotype"/>
          <w:bCs/>
          <w:sz w:val="22"/>
          <w:szCs w:val="22"/>
          <w:lang w:val="es-ES_tradnl"/>
        </w:rPr>
        <w:t xml:space="preserve">Las solicitudes de ampliación de plazo para la protocolización e inscripción de la presente </w:t>
      </w:r>
      <w:r w:rsidR="001A7980">
        <w:rPr>
          <w:rFonts w:ascii="Palatino Linotype" w:hAnsi="Palatino Linotype"/>
          <w:bCs/>
          <w:sz w:val="22"/>
          <w:szCs w:val="22"/>
          <w:lang w:val="es-ES_tradnl"/>
        </w:rPr>
        <w:t>O</w:t>
      </w:r>
      <w:r w:rsidRPr="00B072AF">
        <w:rPr>
          <w:rFonts w:ascii="Palatino Linotype" w:hAnsi="Palatino Linotype"/>
          <w:bCs/>
          <w:sz w:val="22"/>
          <w:szCs w:val="22"/>
          <w:lang w:val="es-ES_tradnl"/>
        </w:rPr>
        <w:t>rdenanza serán resueltas por la Directora o Director Ejecutivo de la Unidad Especial Regula Tu Barrio. Las solicitudes de ampliación de plazo para ejecución de obras de urbanización serán resueltas por la Administración Zonal correspondiente.</w:t>
      </w:r>
    </w:p>
    <w:p w:rsidR="00BA5D17" w:rsidRPr="00B072AF" w:rsidRDefault="00BA5D17" w:rsidP="00B072AF">
      <w:pPr>
        <w:spacing w:before="240" w:line="276" w:lineRule="auto"/>
        <w:jc w:val="both"/>
        <w:rPr>
          <w:rFonts w:ascii="Palatino Linotype" w:hAnsi="Palatino Linotype" w:cs="Arial"/>
          <w:bCs/>
          <w:sz w:val="22"/>
          <w:szCs w:val="22"/>
          <w:lang w:val="es-ES_tradnl"/>
        </w:rPr>
      </w:pPr>
      <w:r w:rsidRPr="00B072AF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Final.- </w:t>
      </w:r>
      <w:r w:rsidRPr="00B072AF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Gaceta Oficial y página web institucional de la Municipalidad.</w:t>
      </w:r>
    </w:p>
    <w:p w:rsidR="00302F52" w:rsidRPr="00B072AF" w:rsidRDefault="00302F52" w:rsidP="00B072AF">
      <w:pPr>
        <w:spacing w:before="240" w:line="276" w:lineRule="auto"/>
        <w:jc w:val="both"/>
        <w:rPr>
          <w:rFonts w:ascii="Palatino Linotype" w:hAnsi="Palatino Linotype" w:cs="Arial"/>
          <w:sz w:val="22"/>
          <w:szCs w:val="22"/>
        </w:rPr>
      </w:pPr>
      <w:r w:rsidRPr="00B072AF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1A7980">
        <w:rPr>
          <w:rFonts w:ascii="Palatino Linotype" w:hAnsi="Palatino Linotype" w:cs="Arial"/>
          <w:sz w:val="22"/>
          <w:szCs w:val="22"/>
        </w:rPr>
        <w:t>19</w:t>
      </w:r>
      <w:r w:rsidRPr="00B072AF">
        <w:rPr>
          <w:rFonts w:ascii="Palatino Linotype" w:hAnsi="Palatino Linotype" w:cs="Arial"/>
          <w:sz w:val="22"/>
          <w:szCs w:val="22"/>
        </w:rPr>
        <w:t xml:space="preserve"> de </w:t>
      </w:r>
      <w:r w:rsidR="001A7980">
        <w:rPr>
          <w:rFonts w:ascii="Palatino Linotype" w:hAnsi="Palatino Linotype" w:cs="Arial"/>
          <w:sz w:val="22"/>
          <w:szCs w:val="22"/>
        </w:rPr>
        <w:t xml:space="preserve">febrero </w:t>
      </w:r>
      <w:r w:rsidRPr="00B072AF">
        <w:rPr>
          <w:rFonts w:ascii="Palatino Linotype" w:hAnsi="Palatino Linotype" w:cs="Arial"/>
          <w:sz w:val="22"/>
          <w:szCs w:val="22"/>
        </w:rPr>
        <w:t>de 201</w:t>
      </w:r>
      <w:r w:rsidR="00BA5D17" w:rsidRPr="00B072AF">
        <w:rPr>
          <w:rFonts w:ascii="Palatino Linotype" w:hAnsi="Palatino Linotype" w:cs="Arial"/>
          <w:sz w:val="22"/>
          <w:szCs w:val="22"/>
        </w:rPr>
        <w:t>5</w:t>
      </w:r>
      <w:r w:rsidRPr="00B072AF">
        <w:rPr>
          <w:rFonts w:ascii="Palatino Linotype" w:hAnsi="Palatino Linotype" w:cs="Arial"/>
          <w:sz w:val="22"/>
          <w:szCs w:val="22"/>
        </w:rPr>
        <w:t>.</w:t>
      </w:r>
    </w:p>
    <w:p w:rsidR="00302F52" w:rsidRPr="00B072AF" w:rsidRDefault="00302F52" w:rsidP="00B072AF">
      <w:pPr>
        <w:pStyle w:val="Textopredeterminado"/>
        <w:shd w:val="clear" w:color="auto" w:fill="FFFFFF"/>
        <w:spacing w:before="240" w:line="276" w:lineRule="auto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p w:rsidR="00A44DC3" w:rsidRDefault="00A44DC3" w:rsidP="00302F52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302F52" w:rsidRPr="00680EAC" w:rsidTr="00A571E2">
        <w:trPr>
          <w:jc w:val="center"/>
        </w:trPr>
        <w:tc>
          <w:tcPr>
            <w:tcW w:w="5575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Abg. Daniela Chacón Arias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Primer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Vicepresident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302F52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Secretari</w:t>
            </w:r>
            <w:r>
              <w:rPr>
                <w:rFonts w:ascii="Palatino Linotype" w:hAnsi="Palatino Linotype" w:cs="Arial"/>
                <w:b/>
                <w:sz w:val="19"/>
                <w:szCs w:val="19"/>
              </w:rPr>
              <w:t>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302F52" w:rsidRPr="00680EAC" w:rsidRDefault="00302F52" w:rsidP="00A571E2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</w:tbl>
    <w:p w:rsidR="00302F52" w:rsidRPr="003843CA" w:rsidRDefault="00302F52" w:rsidP="00302F52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1A7980">
        <w:rPr>
          <w:rFonts w:ascii="Palatino Linotype" w:eastAsia="MS Mincho" w:hAnsi="Palatino Linotype" w:cs="Arial"/>
          <w:sz w:val="22"/>
          <w:szCs w:val="22"/>
        </w:rPr>
        <w:t>5</w:t>
      </w:r>
      <w:r>
        <w:rPr>
          <w:rFonts w:ascii="Palatino Linotype" w:eastAsia="MS Mincho" w:hAnsi="Palatino Linotype" w:cs="Arial"/>
          <w:sz w:val="22"/>
          <w:szCs w:val="22"/>
        </w:rPr>
        <w:t xml:space="preserve"> y </w:t>
      </w:r>
      <w:r w:rsidR="001A7980">
        <w:rPr>
          <w:rFonts w:ascii="Palatino Linotype" w:eastAsia="MS Mincho" w:hAnsi="Palatino Linotype" w:cs="Arial"/>
          <w:sz w:val="22"/>
          <w:szCs w:val="22"/>
        </w:rPr>
        <w:t>19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1A7980">
        <w:rPr>
          <w:rFonts w:ascii="Palatino Linotype" w:eastAsia="MS Mincho" w:hAnsi="Palatino Linotype" w:cs="Arial"/>
          <w:sz w:val="22"/>
          <w:szCs w:val="22"/>
        </w:rPr>
        <w:t xml:space="preserve">febrero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 w:rsidR="00BA5D17"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302F52" w:rsidRPr="003843CA" w:rsidRDefault="00302F52" w:rsidP="00302F52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1A7980" w:rsidRDefault="001A7980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2D3569" w:rsidRPr="003843CA" w:rsidRDefault="002D3569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302F52" w:rsidRPr="003843CA" w:rsidRDefault="00302F52" w:rsidP="00302F52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A44DC3" w:rsidRPr="003843CA" w:rsidRDefault="00A44DC3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302F52" w:rsidRPr="003843CA" w:rsidRDefault="00302F52" w:rsidP="00302F52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CA554A" w:rsidRPr="001A7980" w:rsidRDefault="001A7980" w:rsidP="00302F52">
      <w:pPr>
        <w:spacing w:before="240" w:line="276" w:lineRule="auto"/>
        <w:jc w:val="both"/>
        <w:rPr>
          <w:rFonts w:ascii="Palatino Linotype" w:eastAsia="MS Mincho" w:hAnsi="Palatino Linotype" w:cs="Arial"/>
          <w:b/>
          <w:bCs/>
          <w:sz w:val="14"/>
          <w:szCs w:val="14"/>
        </w:rPr>
      </w:pPr>
      <w:r w:rsidRPr="001A7980">
        <w:rPr>
          <w:rFonts w:ascii="Palatino Linotype" w:eastAsia="MS Mincho" w:hAnsi="Palatino Linotype" w:cs="Arial"/>
          <w:b/>
          <w:bCs/>
          <w:sz w:val="14"/>
          <w:szCs w:val="14"/>
        </w:rPr>
        <w:t>DSCS</w:t>
      </w:r>
    </w:p>
    <w:sectPr w:rsidR="00CA554A" w:rsidRPr="001A7980" w:rsidSect="00A44DC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274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264" w:rsidRDefault="00FB0264" w:rsidP="00B14643">
      <w:r>
        <w:separator/>
      </w:r>
    </w:p>
  </w:endnote>
  <w:endnote w:type="continuationSeparator" w:id="1">
    <w:p w:rsidR="00FB0264" w:rsidRDefault="00FB0264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Pr="00723B61" w:rsidRDefault="00FB0264">
    <w:pPr>
      <w:pStyle w:val="Piedepgina"/>
      <w:jc w:val="right"/>
      <w:rPr>
        <w:rFonts w:ascii="Palatino Linotype" w:hAnsi="Palatino Linotype"/>
      </w:rPr>
    </w:pPr>
  </w:p>
  <w:p w:rsidR="00FB0264" w:rsidRDefault="00FB02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Pr="00723B61" w:rsidRDefault="00FB0264" w:rsidP="003078EC">
    <w:pPr>
      <w:pStyle w:val="Piedepgina"/>
      <w:jc w:val="right"/>
      <w:rPr>
        <w:rFonts w:ascii="Palatino Linotype" w:hAnsi="Palatino Linotype"/>
      </w:rPr>
    </w:pPr>
    <w:r w:rsidRPr="00723B61">
      <w:rPr>
        <w:rFonts w:ascii="Palatino Linotype" w:hAnsi="Palatino Linotype"/>
      </w:rPr>
      <w:t xml:space="preserve">Página </w:t>
    </w:r>
    <w:r w:rsidRPr="00723B61">
      <w:rPr>
        <w:rFonts w:ascii="Palatino Linotype" w:hAnsi="Palatino Linotype"/>
        <w:b/>
        <w:sz w:val="24"/>
        <w:szCs w:val="24"/>
      </w:rPr>
      <w:fldChar w:fldCharType="begin"/>
    </w:r>
    <w:r w:rsidRPr="00723B61">
      <w:rPr>
        <w:rFonts w:ascii="Palatino Linotype" w:hAnsi="Palatino Linotype"/>
        <w:b/>
      </w:rPr>
      <w:instrText>PAGE</w:instrText>
    </w:r>
    <w:r w:rsidRPr="00723B61">
      <w:rPr>
        <w:rFonts w:ascii="Palatino Linotype" w:hAnsi="Palatino Linotype"/>
        <w:b/>
        <w:sz w:val="24"/>
        <w:szCs w:val="24"/>
      </w:rPr>
      <w:fldChar w:fldCharType="separate"/>
    </w:r>
    <w:r w:rsidR="00EB6056">
      <w:rPr>
        <w:rFonts w:ascii="Palatino Linotype" w:hAnsi="Palatino Linotype"/>
        <w:b/>
        <w:noProof/>
      </w:rPr>
      <w:t>10</w:t>
    </w:r>
    <w:r w:rsidRPr="00723B61">
      <w:rPr>
        <w:rFonts w:ascii="Palatino Linotype" w:hAnsi="Palatino Linotype"/>
        <w:b/>
        <w:sz w:val="24"/>
        <w:szCs w:val="24"/>
      </w:rPr>
      <w:fldChar w:fldCharType="end"/>
    </w:r>
    <w:r w:rsidRPr="00723B61">
      <w:rPr>
        <w:rFonts w:ascii="Palatino Linotype" w:hAnsi="Palatino Linotype"/>
      </w:rPr>
      <w:t xml:space="preserve"> de </w:t>
    </w:r>
    <w:r>
      <w:rPr>
        <w:rFonts w:ascii="Palatino Linotype" w:hAnsi="Palatino Linotype"/>
        <w:b/>
      </w:rPr>
      <w:t>11</w:t>
    </w:r>
  </w:p>
  <w:p w:rsidR="00FB0264" w:rsidRDefault="00FB02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264" w:rsidRDefault="00FB0264" w:rsidP="00B14643">
      <w:r>
        <w:separator/>
      </w:r>
    </w:p>
  </w:footnote>
  <w:footnote w:type="continuationSeparator" w:id="1">
    <w:p w:rsidR="00FB0264" w:rsidRDefault="00FB0264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Default="00FB0264">
    <w:pPr>
      <w:pStyle w:val="Encabezado"/>
      <w:rPr>
        <w:lang w:val="es-EC"/>
      </w:rPr>
    </w:pPr>
  </w:p>
  <w:p w:rsidR="00FB0264" w:rsidRDefault="00FB0264">
    <w:pPr>
      <w:pStyle w:val="Encabezado"/>
      <w:rPr>
        <w:lang w:val="es-EC"/>
      </w:rPr>
    </w:pPr>
  </w:p>
  <w:p w:rsidR="00FB0264" w:rsidRDefault="00FB0264">
    <w:pPr>
      <w:pStyle w:val="Encabezado"/>
      <w:rPr>
        <w:lang w:val="es-EC"/>
      </w:rPr>
    </w:pPr>
  </w:p>
  <w:p w:rsidR="00FB0264" w:rsidRDefault="00FB0264">
    <w:pPr>
      <w:pStyle w:val="Encabezado"/>
      <w:rPr>
        <w:lang w:val="es-EC"/>
      </w:rPr>
    </w:pPr>
  </w:p>
  <w:p w:rsidR="00FB0264" w:rsidRDefault="00FB0264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FB0264" w:rsidRPr="00476B21" w:rsidRDefault="00FB0264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FB0264" w:rsidRPr="00150606" w:rsidRDefault="00FB0264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Default="00FB026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FB0264" w:rsidRPr="00476B21" w:rsidRDefault="00FB0264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FB0264" w:rsidRDefault="00FB026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64" w:rsidRDefault="00FB02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1566D"/>
    <w:multiLevelType w:val="hybridMultilevel"/>
    <w:tmpl w:val="93ACA47C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832DB"/>
    <w:multiLevelType w:val="hybridMultilevel"/>
    <w:tmpl w:val="07AE1DE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A29B5"/>
    <w:multiLevelType w:val="hybridMultilevel"/>
    <w:tmpl w:val="C9D0DD06"/>
    <w:lvl w:ilvl="0" w:tplc="EE3E7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03ED5"/>
    <w:multiLevelType w:val="hybridMultilevel"/>
    <w:tmpl w:val="65F28D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4104"/>
    <w:multiLevelType w:val="hybridMultilevel"/>
    <w:tmpl w:val="F050AD44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D4689"/>
    <w:multiLevelType w:val="hybridMultilevel"/>
    <w:tmpl w:val="84263838"/>
    <w:lvl w:ilvl="0" w:tplc="A87A023C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26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22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9"/>
  </w:num>
  <w:num w:numId="27">
    <w:abstractNumId w:val="18"/>
  </w:num>
  <w:num w:numId="28">
    <w:abstractNumId w:val="15"/>
  </w:num>
  <w:num w:numId="29">
    <w:abstractNumId w:val="25"/>
  </w:num>
  <w:num w:numId="30">
    <w:abstractNumId w:val="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1073E"/>
    <w:rsid w:val="00012F1B"/>
    <w:rsid w:val="000136D6"/>
    <w:rsid w:val="00013A2A"/>
    <w:rsid w:val="0001402B"/>
    <w:rsid w:val="00017279"/>
    <w:rsid w:val="00021C1B"/>
    <w:rsid w:val="000268A4"/>
    <w:rsid w:val="00031646"/>
    <w:rsid w:val="00035326"/>
    <w:rsid w:val="00035CA2"/>
    <w:rsid w:val="000401C2"/>
    <w:rsid w:val="000401D6"/>
    <w:rsid w:val="000526F7"/>
    <w:rsid w:val="00052BA7"/>
    <w:rsid w:val="000535A7"/>
    <w:rsid w:val="00057D41"/>
    <w:rsid w:val="00064C9D"/>
    <w:rsid w:val="00070E32"/>
    <w:rsid w:val="00074B5F"/>
    <w:rsid w:val="0008239D"/>
    <w:rsid w:val="00084201"/>
    <w:rsid w:val="00090566"/>
    <w:rsid w:val="000926DD"/>
    <w:rsid w:val="000950B5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2281"/>
    <w:rsid w:val="000E2E99"/>
    <w:rsid w:val="000E54E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520"/>
    <w:rsid w:val="00142B47"/>
    <w:rsid w:val="001439B8"/>
    <w:rsid w:val="00145416"/>
    <w:rsid w:val="00150606"/>
    <w:rsid w:val="00151EA5"/>
    <w:rsid w:val="001532F0"/>
    <w:rsid w:val="00156D5D"/>
    <w:rsid w:val="00164973"/>
    <w:rsid w:val="001673CA"/>
    <w:rsid w:val="001708B8"/>
    <w:rsid w:val="00175CD2"/>
    <w:rsid w:val="00175DFA"/>
    <w:rsid w:val="00187214"/>
    <w:rsid w:val="0018731A"/>
    <w:rsid w:val="0019102C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A7980"/>
    <w:rsid w:val="001B14D2"/>
    <w:rsid w:val="001B26BE"/>
    <w:rsid w:val="001B3133"/>
    <w:rsid w:val="001B69C8"/>
    <w:rsid w:val="001B6BF2"/>
    <w:rsid w:val="001C2BF8"/>
    <w:rsid w:val="001C370A"/>
    <w:rsid w:val="001C4043"/>
    <w:rsid w:val="001C5676"/>
    <w:rsid w:val="001C5B7C"/>
    <w:rsid w:val="001D2138"/>
    <w:rsid w:val="001D2853"/>
    <w:rsid w:val="001D55AF"/>
    <w:rsid w:val="001E0584"/>
    <w:rsid w:val="001E1441"/>
    <w:rsid w:val="001E156B"/>
    <w:rsid w:val="001E3A15"/>
    <w:rsid w:val="001F49BC"/>
    <w:rsid w:val="00200A5C"/>
    <w:rsid w:val="00201A13"/>
    <w:rsid w:val="0020264C"/>
    <w:rsid w:val="00203A7C"/>
    <w:rsid w:val="00203D43"/>
    <w:rsid w:val="002076F1"/>
    <w:rsid w:val="00210EC5"/>
    <w:rsid w:val="002149A1"/>
    <w:rsid w:val="002151EE"/>
    <w:rsid w:val="00220E90"/>
    <w:rsid w:val="002224A1"/>
    <w:rsid w:val="0022742E"/>
    <w:rsid w:val="00230B0D"/>
    <w:rsid w:val="00231E7F"/>
    <w:rsid w:val="002342B1"/>
    <w:rsid w:val="00235290"/>
    <w:rsid w:val="00235A34"/>
    <w:rsid w:val="00235D33"/>
    <w:rsid w:val="002400BF"/>
    <w:rsid w:val="00241BC9"/>
    <w:rsid w:val="002507D3"/>
    <w:rsid w:val="0025315F"/>
    <w:rsid w:val="00254C55"/>
    <w:rsid w:val="002554A1"/>
    <w:rsid w:val="00256CC0"/>
    <w:rsid w:val="00260246"/>
    <w:rsid w:val="002603C6"/>
    <w:rsid w:val="0026615B"/>
    <w:rsid w:val="00280339"/>
    <w:rsid w:val="00280717"/>
    <w:rsid w:val="00285D7F"/>
    <w:rsid w:val="00287155"/>
    <w:rsid w:val="00291C0F"/>
    <w:rsid w:val="00292811"/>
    <w:rsid w:val="002938EA"/>
    <w:rsid w:val="00293F7D"/>
    <w:rsid w:val="00294CC3"/>
    <w:rsid w:val="002953DF"/>
    <w:rsid w:val="00295609"/>
    <w:rsid w:val="002A0FD3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53D2"/>
    <w:rsid w:val="003176EC"/>
    <w:rsid w:val="0032128B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54E4"/>
    <w:rsid w:val="003B1021"/>
    <w:rsid w:val="003B2354"/>
    <w:rsid w:val="003B2C55"/>
    <w:rsid w:val="003B75C9"/>
    <w:rsid w:val="003C43F4"/>
    <w:rsid w:val="003C77BE"/>
    <w:rsid w:val="003C7B78"/>
    <w:rsid w:val="003D3461"/>
    <w:rsid w:val="003D3737"/>
    <w:rsid w:val="003D5BEF"/>
    <w:rsid w:val="003D6DAD"/>
    <w:rsid w:val="003D73D9"/>
    <w:rsid w:val="003E6DFE"/>
    <w:rsid w:val="003F0E2B"/>
    <w:rsid w:val="003F177C"/>
    <w:rsid w:val="003F2208"/>
    <w:rsid w:val="003F6C73"/>
    <w:rsid w:val="003F74D6"/>
    <w:rsid w:val="004024F7"/>
    <w:rsid w:val="00403CA1"/>
    <w:rsid w:val="004047DA"/>
    <w:rsid w:val="00410359"/>
    <w:rsid w:val="004108C2"/>
    <w:rsid w:val="00415843"/>
    <w:rsid w:val="00417DFE"/>
    <w:rsid w:val="0042289A"/>
    <w:rsid w:val="0042664C"/>
    <w:rsid w:val="00426E5A"/>
    <w:rsid w:val="004334C1"/>
    <w:rsid w:val="00446D8B"/>
    <w:rsid w:val="00453BC2"/>
    <w:rsid w:val="00460147"/>
    <w:rsid w:val="00461AE0"/>
    <w:rsid w:val="00462E51"/>
    <w:rsid w:val="0046790E"/>
    <w:rsid w:val="004750CA"/>
    <w:rsid w:val="00475588"/>
    <w:rsid w:val="00476B21"/>
    <w:rsid w:val="004809D5"/>
    <w:rsid w:val="004824E7"/>
    <w:rsid w:val="0048545E"/>
    <w:rsid w:val="004868B3"/>
    <w:rsid w:val="00487ABE"/>
    <w:rsid w:val="00492BEE"/>
    <w:rsid w:val="004A00A6"/>
    <w:rsid w:val="004A4B92"/>
    <w:rsid w:val="004A4C76"/>
    <w:rsid w:val="004C15AD"/>
    <w:rsid w:val="004C24A3"/>
    <w:rsid w:val="004C2E58"/>
    <w:rsid w:val="004C3380"/>
    <w:rsid w:val="004C5073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3123C"/>
    <w:rsid w:val="00533481"/>
    <w:rsid w:val="00535B31"/>
    <w:rsid w:val="0053751B"/>
    <w:rsid w:val="005402D2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510A"/>
    <w:rsid w:val="00567405"/>
    <w:rsid w:val="00573F9B"/>
    <w:rsid w:val="0057409F"/>
    <w:rsid w:val="00574311"/>
    <w:rsid w:val="00580137"/>
    <w:rsid w:val="00581B8B"/>
    <w:rsid w:val="005831C5"/>
    <w:rsid w:val="00587621"/>
    <w:rsid w:val="005878A2"/>
    <w:rsid w:val="0058791B"/>
    <w:rsid w:val="00590CEC"/>
    <w:rsid w:val="005925D4"/>
    <w:rsid w:val="00594578"/>
    <w:rsid w:val="005A5EB9"/>
    <w:rsid w:val="005B126F"/>
    <w:rsid w:val="005B2C64"/>
    <w:rsid w:val="005B34EF"/>
    <w:rsid w:val="005B40BD"/>
    <w:rsid w:val="005C01D0"/>
    <w:rsid w:val="005C0836"/>
    <w:rsid w:val="005C15D2"/>
    <w:rsid w:val="005C68FC"/>
    <w:rsid w:val="005D2616"/>
    <w:rsid w:val="005D3175"/>
    <w:rsid w:val="005D43CA"/>
    <w:rsid w:val="005D59E8"/>
    <w:rsid w:val="005E0184"/>
    <w:rsid w:val="005E4085"/>
    <w:rsid w:val="005E7CBA"/>
    <w:rsid w:val="005F1A76"/>
    <w:rsid w:val="005F2841"/>
    <w:rsid w:val="005F7161"/>
    <w:rsid w:val="00602EA3"/>
    <w:rsid w:val="006043DB"/>
    <w:rsid w:val="00611984"/>
    <w:rsid w:val="00611CE1"/>
    <w:rsid w:val="0061664E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1D37"/>
    <w:rsid w:val="00642909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74FF"/>
    <w:rsid w:val="006A186D"/>
    <w:rsid w:val="006A2248"/>
    <w:rsid w:val="006A4FA6"/>
    <w:rsid w:val="006A596D"/>
    <w:rsid w:val="006B357E"/>
    <w:rsid w:val="006C23B8"/>
    <w:rsid w:val="006D3DD7"/>
    <w:rsid w:val="006D6757"/>
    <w:rsid w:val="006D7BAE"/>
    <w:rsid w:val="006E111C"/>
    <w:rsid w:val="006E2129"/>
    <w:rsid w:val="006E2294"/>
    <w:rsid w:val="006E24E6"/>
    <w:rsid w:val="006E3A16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400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743D8"/>
    <w:rsid w:val="00781256"/>
    <w:rsid w:val="00785173"/>
    <w:rsid w:val="007863C1"/>
    <w:rsid w:val="00796803"/>
    <w:rsid w:val="0079736E"/>
    <w:rsid w:val="007A0447"/>
    <w:rsid w:val="007A0765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2C68"/>
    <w:rsid w:val="007F3A59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33268"/>
    <w:rsid w:val="0083612B"/>
    <w:rsid w:val="00840609"/>
    <w:rsid w:val="00841633"/>
    <w:rsid w:val="0084430E"/>
    <w:rsid w:val="00844B9B"/>
    <w:rsid w:val="0084725F"/>
    <w:rsid w:val="008507F5"/>
    <w:rsid w:val="00852F0D"/>
    <w:rsid w:val="00861871"/>
    <w:rsid w:val="0086470F"/>
    <w:rsid w:val="0086515C"/>
    <w:rsid w:val="00866F6E"/>
    <w:rsid w:val="00870361"/>
    <w:rsid w:val="00870A07"/>
    <w:rsid w:val="008738A7"/>
    <w:rsid w:val="00873FEF"/>
    <w:rsid w:val="0087454E"/>
    <w:rsid w:val="008764DE"/>
    <w:rsid w:val="0087723A"/>
    <w:rsid w:val="00880553"/>
    <w:rsid w:val="008805E9"/>
    <w:rsid w:val="00880C43"/>
    <w:rsid w:val="008859D2"/>
    <w:rsid w:val="0088712B"/>
    <w:rsid w:val="00890B09"/>
    <w:rsid w:val="00890FE6"/>
    <w:rsid w:val="008923F5"/>
    <w:rsid w:val="00893F6A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6E3B"/>
    <w:rsid w:val="008D7529"/>
    <w:rsid w:val="008E0885"/>
    <w:rsid w:val="008E3010"/>
    <w:rsid w:val="008E4C5D"/>
    <w:rsid w:val="008E4FDC"/>
    <w:rsid w:val="008E6C7E"/>
    <w:rsid w:val="008F0BD5"/>
    <w:rsid w:val="008F1FFF"/>
    <w:rsid w:val="008F27D0"/>
    <w:rsid w:val="00900480"/>
    <w:rsid w:val="0090288A"/>
    <w:rsid w:val="00902D76"/>
    <w:rsid w:val="00903379"/>
    <w:rsid w:val="00905E7E"/>
    <w:rsid w:val="00907FE8"/>
    <w:rsid w:val="00910052"/>
    <w:rsid w:val="00922D45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61C5"/>
    <w:rsid w:val="00956A82"/>
    <w:rsid w:val="0095730A"/>
    <w:rsid w:val="0096281D"/>
    <w:rsid w:val="00966F7B"/>
    <w:rsid w:val="00967720"/>
    <w:rsid w:val="009733D3"/>
    <w:rsid w:val="00974163"/>
    <w:rsid w:val="00980DCE"/>
    <w:rsid w:val="00981FAF"/>
    <w:rsid w:val="009908B4"/>
    <w:rsid w:val="00993328"/>
    <w:rsid w:val="009A5C59"/>
    <w:rsid w:val="009A7C1B"/>
    <w:rsid w:val="009B0837"/>
    <w:rsid w:val="009B4666"/>
    <w:rsid w:val="009C2D28"/>
    <w:rsid w:val="009C3ECA"/>
    <w:rsid w:val="009C416E"/>
    <w:rsid w:val="009C43D6"/>
    <w:rsid w:val="009C59DF"/>
    <w:rsid w:val="009C6964"/>
    <w:rsid w:val="009D0B94"/>
    <w:rsid w:val="009D1285"/>
    <w:rsid w:val="009D1ED8"/>
    <w:rsid w:val="009D6D62"/>
    <w:rsid w:val="009D6F28"/>
    <w:rsid w:val="009E2A10"/>
    <w:rsid w:val="009E451D"/>
    <w:rsid w:val="009E6DC7"/>
    <w:rsid w:val="009F0091"/>
    <w:rsid w:val="009F1B3D"/>
    <w:rsid w:val="009F315F"/>
    <w:rsid w:val="009F3E71"/>
    <w:rsid w:val="009F504C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4DC3"/>
    <w:rsid w:val="00A452E0"/>
    <w:rsid w:val="00A453EC"/>
    <w:rsid w:val="00A462FC"/>
    <w:rsid w:val="00A51A1E"/>
    <w:rsid w:val="00A5219A"/>
    <w:rsid w:val="00A52DF1"/>
    <w:rsid w:val="00A5608D"/>
    <w:rsid w:val="00A571E2"/>
    <w:rsid w:val="00A619C0"/>
    <w:rsid w:val="00A63552"/>
    <w:rsid w:val="00A64003"/>
    <w:rsid w:val="00A70ABB"/>
    <w:rsid w:val="00A71526"/>
    <w:rsid w:val="00A71C61"/>
    <w:rsid w:val="00A731E8"/>
    <w:rsid w:val="00A80160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C61"/>
    <w:rsid w:val="00AB4A45"/>
    <w:rsid w:val="00AB52A1"/>
    <w:rsid w:val="00AC041C"/>
    <w:rsid w:val="00AC18D2"/>
    <w:rsid w:val="00AC643B"/>
    <w:rsid w:val="00AC7244"/>
    <w:rsid w:val="00AD3B79"/>
    <w:rsid w:val="00AD6C36"/>
    <w:rsid w:val="00AD7E9B"/>
    <w:rsid w:val="00AF1475"/>
    <w:rsid w:val="00AF3FA6"/>
    <w:rsid w:val="00AF7530"/>
    <w:rsid w:val="00B00707"/>
    <w:rsid w:val="00B030DB"/>
    <w:rsid w:val="00B03F29"/>
    <w:rsid w:val="00B064EA"/>
    <w:rsid w:val="00B072AF"/>
    <w:rsid w:val="00B125FD"/>
    <w:rsid w:val="00B12E92"/>
    <w:rsid w:val="00B13ABD"/>
    <w:rsid w:val="00B14643"/>
    <w:rsid w:val="00B20086"/>
    <w:rsid w:val="00B207A5"/>
    <w:rsid w:val="00B21789"/>
    <w:rsid w:val="00B2220D"/>
    <w:rsid w:val="00B26E55"/>
    <w:rsid w:val="00B317F8"/>
    <w:rsid w:val="00B322AC"/>
    <w:rsid w:val="00B35D54"/>
    <w:rsid w:val="00B42B46"/>
    <w:rsid w:val="00B43CA6"/>
    <w:rsid w:val="00B4440F"/>
    <w:rsid w:val="00B452F1"/>
    <w:rsid w:val="00B45D5B"/>
    <w:rsid w:val="00B45D88"/>
    <w:rsid w:val="00B474A0"/>
    <w:rsid w:val="00B50EEB"/>
    <w:rsid w:val="00B5212F"/>
    <w:rsid w:val="00B5659B"/>
    <w:rsid w:val="00B575DB"/>
    <w:rsid w:val="00B60FAC"/>
    <w:rsid w:val="00B65443"/>
    <w:rsid w:val="00B65EBD"/>
    <w:rsid w:val="00B6630F"/>
    <w:rsid w:val="00B742EF"/>
    <w:rsid w:val="00B74318"/>
    <w:rsid w:val="00B7468B"/>
    <w:rsid w:val="00B747F5"/>
    <w:rsid w:val="00B81472"/>
    <w:rsid w:val="00B84D5C"/>
    <w:rsid w:val="00B92361"/>
    <w:rsid w:val="00BA0C00"/>
    <w:rsid w:val="00BA1C4F"/>
    <w:rsid w:val="00BA5D17"/>
    <w:rsid w:val="00BA74F6"/>
    <w:rsid w:val="00BA7F93"/>
    <w:rsid w:val="00BB0974"/>
    <w:rsid w:val="00BB0DB6"/>
    <w:rsid w:val="00BB1211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911"/>
    <w:rsid w:val="00C06591"/>
    <w:rsid w:val="00C1176C"/>
    <w:rsid w:val="00C14F59"/>
    <w:rsid w:val="00C16B2C"/>
    <w:rsid w:val="00C173C6"/>
    <w:rsid w:val="00C17CCD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F4B"/>
    <w:rsid w:val="00C63342"/>
    <w:rsid w:val="00C66F0D"/>
    <w:rsid w:val="00C7033E"/>
    <w:rsid w:val="00C71717"/>
    <w:rsid w:val="00C760E1"/>
    <w:rsid w:val="00C8321D"/>
    <w:rsid w:val="00C85FED"/>
    <w:rsid w:val="00C87902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199B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377C3"/>
    <w:rsid w:val="00D407F2"/>
    <w:rsid w:val="00D40B49"/>
    <w:rsid w:val="00D40E2B"/>
    <w:rsid w:val="00D44738"/>
    <w:rsid w:val="00D458F1"/>
    <w:rsid w:val="00D503B8"/>
    <w:rsid w:val="00D50C10"/>
    <w:rsid w:val="00D50EE9"/>
    <w:rsid w:val="00D6298B"/>
    <w:rsid w:val="00D65291"/>
    <w:rsid w:val="00D66D9A"/>
    <w:rsid w:val="00D7039D"/>
    <w:rsid w:val="00D73F39"/>
    <w:rsid w:val="00D761D6"/>
    <w:rsid w:val="00D76A72"/>
    <w:rsid w:val="00D8101D"/>
    <w:rsid w:val="00D82CFE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3BB6"/>
    <w:rsid w:val="00DD74FA"/>
    <w:rsid w:val="00DE1786"/>
    <w:rsid w:val="00DE2952"/>
    <w:rsid w:val="00DE2E81"/>
    <w:rsid w:val="00DE35B0"/>
    <w:rsid w:val="00DF0B3D"/>
    <w:rsid w:val="00DF1C55"/>
    <w:rsid w:val="00DF3409"/>
    <w:rsid w:val="00DF696C"/>
    <w:rsid w:val="00E02445"/>
    <w:rsid w:val="00E02B5F"/>
    <w:rsid w:val="00E06ACC"/>
    <w:rsid w:val="00E07811"/>
    <w:rsid w:val="00E123FB"/>
    <w:rsid w:val="00E130CF"/>
    <w:rsid w:val="00E16E4D"/>
    <w:rsid w:val="00E23B34"/>
    <w:rsid w:val="00E2474D"/>
    <w:rsid w:val="00E3169E"/>
    <w:rsid w:val="00E31C4C"/>
    <w:rsid w:val="00E32D82"/>
    <w:rsid w:val="00E35FC9"/>
    <w:rsid w:val="00E40127"/>
    <w:rsid w:val="00E42468"/>
    <w:rsid w:val="00E43914"/>
    <w:rsid w:val="00E45E97"/>
    <w:rsid w:val="00E46257"/>
    <w:rsid w:val="00E515DC"/>
    <w:rsid w:val="00E51A77"/>
    <w:rsid w:val="00E552C1"/>
    <w:rsid w:val="00E60674"/>
    <w:rsid w:val="00E64F9D"/>
    <w:rsid w:val="00E66F13"/>
    <w:rsid w:val="00E73CAC"/>
    <w:rsid w:val="00E7413C"/>
    <w:rsid w:val="00E74CFF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5D11"/>
    <w:rsid w:val="00EA682F"/>
    <w:rsid w:val="00EA7DD9"/>
    <w:rsid w:val="00EB2F5E"/>
    <w:rsid w:val="00EB32DC"/>
    <w:rsid w:val="00EB6056"/>
    <w:rsid w:val="00EC03E6"/>
    <w:rsid w:val="00EC0C55"/>
    <w:rsid w:val="00EC2102"/>
    <w:rsid w:val="00EC24CA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692A"/>
    <w:rsid w:val="00EE7381"/>
    <w:rsid w:val="00EF6824"/>
    <w:rsid w:val="00F0019F"/>
    <w:rsid w:val="00F0318F"/>
    <w:rsid w:val="00F109BB"/>
    <w:rsid w:val="00F11B08"/>
    <w:rsid w:val="00F13F38"/>
    <w:rsid w:val="00F20B50"/>
    <w:rsid w:val="00F21931"/>
    <w:rsid w:val="00F23026"/>
    <w:rsid w:val="00F26E8C"/>
    <w:rsid w:val="00F32707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71F55"/>
    <w:rsid w:val="00F7338E"/>
    <w:rsid w:val="00F73C8E"/>
    <w:rsid w:val="00F73F52"/>
    <w:rsid w:val="00F761CF"/>
    <w:rsid w:val="00F82258"/>
    <w:rsid w:val="00F82FA9"/>
    <w:rsid w:val="00F83D99"/>
    <w:rsid w:val="00F87577"/>
    <w:rsid w:val="00F93948"/>
    <w:rsid w:val="00F93F5B"/>
    <w:rsid w:val="00F965A2"/>
    <w:rsid w:val="00FA47C5"/>
    <w:rsid w:val="00FA5013"/>
    <w:rsid w:val="00FA63B3"/>
    <w:rsid w:val="00FA69E4"/>
    <w:rsid w:val="00FB0264"/>
    <w:rsid w:val="00FB06E8"/>
    <w:rsid w:val="00FB1976"/>
    <w:rsid w:val="00FB3159"/>
    <w:rsid w:val="00FB3C9D"/>
    <w:rsid w:val="00FB4475"/>
    <w:rsid w:val="00FB4E3B"/>
    <w:rsid w:val="00FB588A"/>
    <w:rsid w:val="00FB6BF3"/>
    <w:rsid w:val="00FC0B57"/>
    <w:rsid w:val="00FC113F"/>
    <w:rsid w:val="00FD3D61"/>
    <w:rsid w:val="00FD472B"/>
    <w:rsid w:val="00FD4C73"/>
    <w:rsid w:val="00FD4FD7"/>
    <w:rsid w:val="00FD6040"/>
    <w:rsid w:val="00FE057C"/>
    <w:rsid w:val="00FE501C"/>
    <w:rsid w:val="00FF1F5D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EF5F-EFB7-48D3-A619-BAF58F3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3354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2</cp:revision>
  <cp:lastPrinted>2015-01-21T17:05:00Z</cp:lastPrinted>
  <dcterms:created xsi:type="dcterms:W3CDTF">2015-02-19T17:01:00Z</dcterms:created>
  <dcterms:modified xsi:type="dcterms:W3CDTF">2015-02-19T17:01:00Z</dcterms:modified>
</cp:coreProperties>
</file>