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31E43" w:rsidRDefault="0096645E" w:rsidP="00831E43">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4F3B7E" w:rsidRPr="00CA22F6" w:rsidRDefault="004F3B7E" w:rsidP="004F3B7E">
      <w:pPr>
        <w:spacing w:after="120" w:line="276" w:lineRule="auto"/>
        <w:ind w:firstLine="708"/>
        <w:jc w:val="both"/>
        <w:rPr>
          <w:rFonts w:ascii="Palatino Linotype" w:hAnsi="Palatino Linotype"/>
          <w:sz w:val="22"/>
          <w:szCs w:val="22"/>
        </w:rPr>
      </w:pPr>
      <w:r w:rsidRPr="00CA22F6">
        <w:rPr>
          <w:rFonts w:ascii="Palatino Linotype" w:hAnsi="Palatino Linotype"/>
          <w:sz w:val="22"/>
          <w:szCs w:val="22"/>
        </w:rPr>
        <w:t xml:space="preserve">El Asentamiento Humano de Hecho y Consolidado de Interés Social denominado Barrio “Brisas de San Carlos” 1 Etapa, tiene una consolidación del 58,33%, al inicio del proceso de regularización contaba con 13 años de existencia; sin embargo, al momento de la sanción de la presente </w:t>
      </w:r>
      <w:r>
        <w:rPr>
          <w:rFonts w:ascii="Palatino Linotype" w:hAnsi="Palatino Linotype"/>
          <w:sz w:val="22"/>
          <w:szCs w:val="22"/>
        </w:rPr>
        <w:t>o</w:t>
      </w:r>
      <w:r w:rsidRPr="00CA22F6">
        <w:rPr>
          <w:rFonts w:ascii="Palatino Linotype" w:hAnsi="Palatino Linotype"/>
          <w:sz w:val="22"/>
          <w:szCs w:val="22"/>
        </w:rPr>
        <w:t>rdenanza, cuenta con 14 años de asentamiento y 48 beneficiarios.</w:t>
      </w:r>
    </w:p>
    <w:p w:rsidR="004F3B7E" w:rsidRPr="00CA22F6" w:rsidRDefault="004F3B7E" w:rsidP="004F3B7E">
      <w:pPr>
        <w:spacing w:after="120" w:line="276" w:lineRule="auto"/>
        <w:ind w:firstLine="708"/>
        <w:jc w:val="both"/>
        <w:rPr>
          <w:rFonts w:ascii="Palatino Linotype" w:hAnsi="Palatino Linotype"/>
          <w:b/>
          <w:sz w:val="22"/>
          <w:szCs w:val="22"/>
        </w:rPr>
      </w:pPr>
      <w:r w:rsidRPr="00CA22F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7750DE" w:rsidRPr="00875EF6" w:rsidRDefault="004F3B7E" w:rsidP="004F3B7E">
      <w:pPr>
        <w:spacing w:after="120" w:line="276" w:lineRule="auto"/>
        <w:ind w:firstLine="708"/>
        <w:jc w:val="both"/>
        <w:rPr>
          <w:rFonts w:ascii="Palatino Linotype" w:hAnsi="Palatino Linotype"/>
          <w:sz w:val="22"/>
          <w:szCs w:val="22"/>
        </w:rPr>
      </w:pPr>
      <w:r w:rsidRPr="00CA22F6">
        <w:rPr>
          <w:rFonts w:ascii="Palatino Linotype" w:hAnsi="Palatino Linotype"/>
          <w:sz w:val="22"/>
          <w:szCs w:val="22"/>
        </w:rPr>
        <w:t xml:space="preserve">En este sentido, la presente </w:t>
      </w:r>
      <w:r>
        <w:rPr>
          <w:rFonts w:ascii="Palatino Linotype" w:hAnsi="Palatino Linotype"/>
          <w:sz w:val="22"/>
          <w:szCs w:val="22"/>
        </w:rPr>
        <w:t>o</w:t>
      </w:r>
      <w:r w:rsidRPr="00CA22F6">
        <w:rPr>
          <w:rFonts w:ascii="Palatino Linotype" w:hAnsi="Palatino Linotype"/>
          <w:sz w:val="22"/>
          <w:szCs w:val="22"/>
        </w:rPr>
        <w:t>rdenanza contiene la normativa tendiente a reconocer el fraccionamiento del predio donde se encuentra el Asentamiento Humano de Hecho y Consolidado de Interés Social denominado Barrio “Brisas de San Carlos” 1 Etapa,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 xml:space="preserve">Visto </w:t>
      </w:r>
      <w:r w:rsidR="004F3B7E">
        <w:rPr>
          <w:rFonts w:ascii="Palatino Linotype" w:hAnsi="Palatino Linotype"/>
          <w:sz w:val="22"/>
          <w:szCs w:val="22"/>
        </w:rPr>
        <w:t>e</w:t>
      </w:r>
      <w:r w:rsidR="0099160A" w:rsidRPr="00D621C0">
        <w:rPr>
          <w:rFonts w:ascii="Palatino Linotype" w:hAnsi="Palatino Linotype"/>
          <w:sz w:val="22"/>
          <w:szCs w:val="22"/>
        </w:rPr>
        <w:t>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987FC8">
        <w:rPr>
          <w:rFonts w:ascii="Palatino Linotype" w:hAnsi="Palatino Linotype"/>
          <w:sz w:val="22"/>
          <w:szCs w:val="22"/>
        </w:rPr>
        <w:t>3</w:t>
      </w:r>
      <w:r w:rsidR="004F3B7E">
        <w:rPr>
          <w:rFonts w:ascii="Palatino Linotype" w:hAnsi="Palatino Linotype"/>
          <w:sz w:val="22"/>
          <w:szCs w:val="22"/>
        </w:rPr>
        <w:t>53</w:t>
      </w:r>
      <w:r w:rsidR="007359A3" w:rsidRPr="00D621C0">
        <w:rPr>
          <w:rFonts w:ascii="Palatino Linotype" w:hAnsi="Palatino Linotype"/>
          <w:sz w:val="22"/>
          <w:szCs w:val="22"/>
        </w:rPr>
        <w:t xml:space="preserve">, de </w:t>
      </w:r>
      <w:r w:rsidR="00987FC8">
        <w:rPr>
          <w:rFonts w:ascii="Palatino Linotype" w:hAnsi="Palatino Linotype"/>
          <w:sz w:val="22"/>
          <w:szCs w:val="22"/>
        </w:rPr>
        <w:t>9</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w:t>
      </w:r>
      <w:bookmarkStart w:id="0" w:name="_GoBack"/>
      <w:bookmarkEnd w:id="0"/>
      <w:r w:rsidRPr="00D621C0">
        <w:rPr>
          <w:rFonts w:ascii="Palatino Linotype" w:hAnsi="Palatino Linotype"/>
          <w:i/>
          <w:iCs/>
        </w:rPr>
        <w:t xml:space="preserve">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4F3B7E" w:rsidRPr="00CA22F6" w:rsidRDefault="004F3B7E" w:rsidP="004F3B7E">
      <w:pPr>
        <w:pStyle w:val="Sinespaciado"/>
        <w:spacing w:after="120" w:line="276" w:lineRule="auto"/>
        <w:ind w:left="709" w:hanging="709"/>
        <w:jc w:val="both"/>
        <w:rPr>
          <w:rFonts w:ascii="Palatino Linotype" w:hAnsi="Palatino Linotype"/>
          <w:bCs/>
        </w:rPr>
      </w:pPr>
      <w:r w:rsidRPr="00CA22F6">
        <w:rPr>
          <w:rFonts w:ascii="Palatino Linotype" w:hAnsi="Palatino Linotype"/>
          <w:b/>
          <w:bCs/>
        </w:rPr>
        <w:t>Que,</w:t>
      </w:r>
      <w:r w:rsidRPr="00CA22F6">
        <w:rPr>
          <w:rFonts w:ascii="Palatino Linotype" w:hAnsi="Palatino Linotype"/>
          <w:b/>
          <w:bCs/>
        </w:rPr>
        <w:tab/>
      </w:r>
      <w:r w:rsidRPr="00CA22F6">
        <w:rPr>
          <w:rFonts w:ascii="Palatino Linotype" w:hAnsi="Palatino Linotype"/>
          <w:bCs/>
        </w:rPr>
        <w:t>el artículo 486 del COOTAD reformado establece que: “</w:t>
      </w:r>
      <w:r w:rsidRPr="00CA22F6">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22F6">
        <w:rPr>
          <w:rFonts w:ascii="Palatino Linotype" w:hAnsi="Palatino Linotype"/>
          <w:bCs/>
          <w:lang w:val="es-ES_tradnl"/>
        </w:rPr>
        <w:t>”</w:t>
      </w:r>
      <w:r w:rsidRPr="00CA22F6">
        <w:rPr>
          <w:rFonts w:ascii="Palatino Linotype" w:hAnsi="Palatino Linotype"/>
          <w:bCs/>
        </w:rPr>
        <w:t>;</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4F3B7E" w:rsidRPr="00CA22F6">
        <w:rPr>
          <w:rFonts w:ascii="Palatino Linotype" w:hAnsi="Palatino Linotype"/>
          <w:sz w:val="22"/>
          <w:szCs w:val="22"/>
        </w:rPr>
        <w:t>la Mesa Institucional, reunida el 21 de diciembre de 2017</w:t>
      </w:r>
      <w:r w:rsidR="004F3B7E">
        <w:rPr>
          <w:rFonts w:ascii="Palatino Linotype" w:hAnsi="Palatino Linotype"/>
          <w:sz w:val="22"/>
          <w:szCs w:val="22"/>
        </w:rPr>
        <w:t>,</w:t>
      </w:r>
      <w:r w:rsidR="004F3B7E" w:rsidRPr="00CA22F6">
        <w:rPr>
          <w:rFonts w:ascii="Palatino Linotype" w:hAnsi="Palatino Linotype"/>
          <w:sz w:val="22"/>
          <w:szCs w:val="22"/>
        </w:rPr>
        <w:t xml:space="preserve"> en la Administración Zonal Calderón, integrada por: el Ab. Henry Valencia, Administrador Zonal Calderón; Dr. Jaime Altamirano, Dirección Jurídica Zonal Calderón; Arq. María Belén Cueva, Delegada de la Dirección Metropolitana de Catastro; Ing. Elizabeth </w:t>
      </w:r>
      <w:r w:rsidR="004F3B7E" w:rsidRPr="00CA22F6">
        <w:rPr>
          <w:rFonts w:ascii="Palatino Linotype" w:hAnsi="Palatino Linotype"/>
          <w:sz w:val="22"/>
          <w:szCs w:val="22"/>
        </w:rPr>
        <w:t>Carrión</w:t>
      </w:r>
      <w:r w:rsidR="004F3B7E" w:rsidRPr="00CA22F6">
        <w:rPr>
          <w:rFonts w:ascii="Palatino Linotype" w:hAnsi="Palatino Linotype"/>
          <w:sz w:val="22"/>
          <w:szCs w:val="22"/>
        </w:rPr>
        <w:t>,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w:t>
      </w:r>
      <w:r w:rsidR="004F3B7E">
        <w:rPr>
          <w:rFonts w:ascii="Palatino Linotype" w:hAnsi="Palatino Linotype"/>
          <w:sz w:val="22"/>
          <w:szCs w:val="22"/>
        </w:rPr>
        <w:t xml:space="preserve"> Organizativo Legal y Técnico No</w:t>
      </w:r>
      <w:r w:rsidR="004F3B7E" w:rsidRPr="00CA22F6">
        <w:rPr>
          <w:rFonts w:ascii="Palatino Linotype" w:hAnsi="Palatino Linotype"/>
          <w:sz w:val="22"/>
          <w:szCs w:val="22"/>
        </w:rPr>
        <w:t>. 018-UERB-AZCA-SOLT-2017, de fecha 21 de diciembre de 2017, habilitante de la Ordenanza de reconocimiento del</w:t>
      </w:r>
      <w:r w:rsidR="004F3B7E" w:rsidRPr="00CA22F6">
        <w:rPr>
          <w:rFonts w:ascii="Palatino Linotype" w:hAnsi="Palatino Linotype"/>
          <w:bCs/>
          <w:sz w:val="22"/>
          <w:szCs w:val="22"/>
        </w:rPr>
        <w:t xml:space="preserve"> Asentamiento Humano de Hecho y Consolidado de Interés Social, denominado </w:t>
      </w:r>
      <w:r w:rsidR="004F3B7E" w:rsidRPr="00CA22F6">
        <w:rPr>
          <w:rFonts w:ascii="Palatino Linotype" w:hAnsi="Palatino Linotype"/>
          <w:sz w:val="22"/>
          <w:szCs w:val="22"/>
        </w:rPr>
        <w:t>Barrio “Brisas de San Carlos” 1 Etapa, ubicado en</w:t>
      </w:r>
      <w:r w:rsidR="00DE4023">
        <w:rPr>
          <w:rFonts w:ascii="Palatino Linotype" w:hAnsi="Palatino Linotype"/>
          <w:sz w:val="22"/>
          <w:szCs w:val="22"/>
        </w:rPr>
        <w:t xml:space="preserve"> la p</w:t>
      </w:r>
      <w:r w:rsidR="004F3B7E" w:rsidRPr="00CA22F6">
        <w:rPr>
          <w:rFonts w:ascii="Palatino Linotype" w:hAnsi="Palatino Linotype"/>
          <w:sz w:val="22"/>
          <w:szCs w:val="22"/>
        </w:rPr>
        <w:t xml:space="preserve">arroquia Calderón, </w:t>
      </w:r>
      <w:r w:rsidR="004F3B7E" w:rsidRPr="00CA22F6">
        <w:rPr>
          <w:rFonts w:ascii="Palatino Linotype" w:hAnsi="Palatino Linotype"/>
          <w:bCs/>
          <w:sz w:val="22"/>
          <w:szCs w:val="22"/>
        </w:rPr>
        <w:t>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lastRenderedPageBreak/>
        <w:t xml:space="preserve">ORDENANZA </w:t>
      </w:r>
      <w:r w:rsidR="00DE4023" w:rsidRPr="00CA22F6">
        <w:rPr>
          <w:rFonts w:ascii="Palatino Linotype" w:hAnsi="Palatino Linotype"/>
          <w:b/>
          <w:bCs/>
          <w:sz w:val="22"/>
          <w:szCs w:val="22"/>
        </w:rPr>
        <w:t xml:space="preserve">QUE RECONOCE Y APRUEBA EL </w:t>
      </w:r>
      <w:r w:rsidR="00DE4023" w:rsidRPr="00CA22F6">
        <w:rPr>
          <w:rFonts w:ascii="Palatino Linotype" w:hAnsi="Palatino Linotype"/>
          <w:b/>
          <w:color w:val="000000"/>
          <w:sz w:val="22"/>
          <w:szCs w:val="22"/>
          <w:shd w:val="clear" w:color="auto" w:fill="FFFFFF"/>
        </w:rPr>
        <w:t xml:space="preserve">FRACCIONAMIENTO DE LOS PREDIOS </w:t>
      </w:r>
      <w:r w:rsidR="00DE4023">
        <w:rPr>
          <w:rFonts w:ascii="Palatino Linotype" w:hAnsi="Palatino Linotype"/>
          <w:b/>
          <w:color w:val="000000"/>
          <w:sz w:val="22"/>
          <w:szCs w:val="22"/>
          <w:shd w:val="clear" w:color="auto" w:fill="FFFFFF"/>
        </w:rPr>
        <w:t>Nos. 1360492, 1360498, 1360497, Y</w:t>
      </w:r>
      <w:r w:rsidR="00DE4023" w:rsidRPr="00CA22F6">
        <w:rPr>
          <w:rFonts w:ascii="Palatino Linotype" w:hAnsi="Palatino Linotype"/>
          <w:b/>
          <w:color w:val="000000"/>
          <w:sz w:val="22"/>
          <w:szCs w:val="22"/>
          <w:shd w:val="clear" w:color="auto" w:fill="FFFFFF"/>
        </w:rPr>
        <w:t xml:space="preserve"> 1360490</w:t>
      </w:r>
      <w:r w:rsidR="00DE4023">
        <w:rPr>
          <w:rFonts w:ascii="Palatino Linotype" w:hAnsi="Palatino Linotype"/>
          <w:b/>
          <w:color w:val="000000"/>
          <w:sz w:val="22"/>
          <w:szCs w:val="22"/>
          <w:shd w:val="clear" w:color="auto" w:fill="FFFFFF"/>
        </w:rPr>
        <w:t>,</w:t>
      </w:r>
      <w:r w:rsidR="00DE4023" w:rsidRPr="00CA22F6">
        <w:rPr>
          <w:rFonts w:ascii="Palatino Linotype" w:hAnsi="Palatino Linotype"/>
          <w:b/>
          <w:sz w:val="22"/>
          <w:szCs w:val="22"/>
        </w:rPr>
        <w:t xml:space="preserve"> </w:t>
      </w:r>
      <w:r w:rsidR="00DE4023" w:rsidRPr="00CA22F6">
        <w:rPr>
          <w:rFonts w:ascii="Palatino Linotype" w:hAnsi="Palatino Linotype"/>
          <w:b/>
          <w:color w:val="000000"/>
          <w:sz w:val="22"/>
          <w:szCs w:val="22"/>
          <w:shd w:val="clear" w:color="auto" w:fill="FFFFFF"/>
        </w:rPr>
        <w:t>SOBRE LOS QUE SE ENCUENTRA</w:t>
      </w:r>
      <w:r w:rsidR="00DE4023" w:rsidRPr="00CA22F6">
        <w:rPr>
          <w:rFonts w:ascii="Palatino Linotype" w:hAnsi="Palatino Linotype"/>
          <w:b/>
          <w:bCs/>
          <w:sz w:val="22"/>
          <w:szCs w:val="22"/>
        </w:rPr>
        <w:t xml:space="preserve"> EL ASENTAMIENTO HUMANO DE HECHO Y CONSOLIDADO DE INTERÉS SOCIAL DENOMINADO BARRIO “BRISAS DE SAN CARLOS” 1 ETAPA, A FAVOR DE SUS COPROPIETARIOS</w:t>
      </w:r>
      <w:r w:rsidR="00907ED5" w:rsidRPr="00577EF7">
        <w:rPr>
          <w:rFonts w:ascii="Palatino Linotype" w:hAnsi="Palatino Linotype"/>
          <w:b/>
          <w:bCs/>
          <w:sz w:val="22"/>
          <w:szCs w:val="22"/>
        </w:rPr>
        <w:t xml:space="preserve"> </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b/>
          <w:bCs/>
          <w:sz w:val="22"/>
          <w:szCs w:val="22"/>
        </w:rPr>
        <w:t xml:space="preserve">Artículo 1.- De los planos y documentos </w:t>
      </w:r>
      <w:proofErr w:type="gramStart"/>
      <w:r w:rsidRPr="00CA22F6">
        <w:rPr>
          <w:rFonts w:ascii="Palatino Linotype" w:hAnsi="Palatino Linotype"/>
          <w:b/>
          <w:bCs/>
          <w:sz w:val="22"/>
          <w:szCs w:val="22"/>
        </w:rPr>
        <w:t>presentados.-</w:t>
      </w:r>
      <w:proofErr w:type="gramEnd"/>
      <w:r w:rsidRPr="00CA22F6">
        <w:rPr>
          <w:rFonts w:ascii="Palatino Linotype" w:hAnsi="Palatino Linotype"/>
          <w:b/>
          <w:bCs/>
          <w:sz w:val="22"/>
          <w:szCs w:val="22"/>
        </w:rPr>
        <w:t xml:space="preserve"> </w:t>
      </w:r>
      <w:r w:rsidRPr="00CA22F6">
        <w:rPr>
          <w:rFonts w:ascii="Palatino Linotype" w:hAnsi="Palatino Linotype"/>
          <w:sz w:val="22"/>
          <w:szCs w:val="22"/>
        </w:rPr>
        <w:t>Los planos y documentos presentados son de exclusiva responsabilidad del proyectista y de los copropietarios del Asentamiento Humano de Hecho y Consolidado de Interés Social denominado Barrio “Brisas de San Carlos” 1 Etapa, ubicado en</w:t>
      </w:r>
      <w:r>
        <w:rPr>
          <w:rFonts w:ascii="Palatino Linotype" w:hAnsi="Palatino Linotype"/>
          <w:sz w:val="22"/>
          <w:szCs w:val="22"/>
        </w:rPr>
        <w:t xml:space="preserve"> la p</w:t>
      </w:r>
      <w:r w:rsidRPr="00CA22F6">
        <w:rPr>
          <w:rFonts w:ascii="Palatino Linotype" w:hAnsi="Palatino Linotype"/>
          <w:sz w:val="22"/>
          <w:szCs w:val="22"/>
        </w:rPr>
        <w:t xml:space="preserve">arroquia Calderón, </w:t>
      </w:r>
      <w:r w:rsidRPr="00CA22F6">
        <w:rPr>
          <w:rFonts w:ascii="Palatino Linotype" w:hAnsi="Palatino Linotype"/>
          <w:bCs/>
          <w:sz w:val="22"/>
          <w:szCs w:val="22"/>
        </w:rPr>
        <w:t xml:space="preserve">sin </w:t>
      </w:r>
      <w:r w:rsidRPr="00CA22F6">
        <w:rPr>
          <w:rFonts w:ascii="Palatino Linotype" w:hAnsi="Palatino Linotype"/>
          <w:sz w:val="22"/>
          <w:szCs w:val="22"/>
        </w:rPr>
        <w:t>perjuicio de la responsabilidad de quienes revisaron los planos y los documentos legales, excepto que hayan sido inducidos a engaño.</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 xml:space="preserve">Las dimensiones y superficies de los lotes, son las determinadas en el plano aprobatorio, que forma parte integrante de esta Ordenanza. </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 xml:space="preserve">Los copropietarios del Asentamiento Humano de Hecho y Consolidado de Interés Social denominado Barrio “Brisas de San Carlos” 1 Etapa, ubicado en la </w:t>
      </w:r>
      <w:r>
        <w:rPr>
          <w:rFonts w:ascii="Palatino Linotype" w:hAnsi="Palatino Linotype"/>
          <w:sz w:val="22"/>
          <w:szCs w:val="22"/>
        </w:rPr>
        <w:t>p</w:t>
      </w:r>
      <w:r w:rsidRPr="00CA22F6">
        <w:rPr>
          <w:rFonts w:ascii="Palatino Linotype" w:hAnsi="Palatino Linotype"/>
          <w:sz w:val="22"/>
          <w:szCs w:val="22"/>
        </w:rPr>
        <w:t>arroquia Calderón, se comprometen a respetar las características de los lotes establecidas en el plano y en este instrumento; por tanto, no podrán fraccionarlos o dividirlos.</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CA22F6">
        <w:rPr>
          <w:rFonts w:ascii="Palatino Linotype" w:hAnsi="Palatino Linotype"/>
          <w:sz w:val="22"/>
          <w:szCs w:val="22"/>
        </w:rPr>
        <w:t>rdenanza y en la normativa metropolitana y nacional vigente al respecto, dará lugar a la imposición de las sanciones correspondientes.</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Por las condiciones de asentamiento humano de hecho y consolidado, se lo aprueba considerándolo de Interés Social.</w:t>
      </w:r>
    </w:p>
    <w:p w:rsidR="009E5817" w:rsidRPr="00CA22F6" w:rsidRDefault="009E5817" w:rsidP="009E5817">
      <w:pPr>
        <w:spacing w:after="120" w:line="276" w:lineRule="auto"/>
        <w:jc w:val="both"/>
        <w:rPr>
          <w:rFonts w:ascii="Palatino Linotype" w:hAnsi="Palatino Linotype"/>
          <w:b/>
          <w:sz w:val="22"/>
          <w:szCs w:val="22"/>
        </w:rPr>
      </w:pPr>
      <w:r w:rsidRPr="00CA22F6">
        <w:rPr>
          <w:rFonts w:ascii="Palatino Linotype" w:hAnsi="Palatino Linotype"/>
          <w:b/>
          <w:sz w:val="22"/>
          <w:szCs w:val="22"/>
        </w:rPr>
        <w:t xml:space="preserve">Artículo 2.- Especificaciones </w:t>
      </w:r>
      <w:proofErr w:type="gramStart"/>
      <w:r w:rsidRPr="00CA22F6">
        <w:rPr>
          <w:rFonts w:ascii="Palatino Linotype" w:hAnsi="Palatino Linotype"/>
          <w:b/>
          <w:sz w:val="22"/>
          <w:szCs w:val="22"/>
        </w:rPr>
        <w:t>técnicas.-</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3334"/>
        <w:gridCol w:w="3850"/>
      </w:tblGrid>
      <w:tr w:rsidR="009E5817" w:rsidRPr="00CA22F6" w:rsidTr="009E5817">
        <w:trPr>
          <w:trHeight w:val="275"/>
          <w:jc w:val="center"/>
        </w:trPr>
        <w:tc>
          <w:tcPr>
            <w:tcW w:w="908" w:type="pct"/>
            <w:tcBorders>
              <w:top w:val="single" w:sz="4" w:space="0" w:color="000000"/>
              <w:left w:val="single" w:sz="4" w:space="0" w:color="000000"/>
              <w:bottom w:val="single" w:sz="4" w:space="0" w:color="000000"/>
              <w:right w:val="single" w:sz="4" w:space="0" w:color="000000"/>
            </w:tcBorders>
            <w:hideMark/>
          </w:tcPr>
          <w:p w:rsidR="009E5817" w:rsidRPr="00CA22F6" w:rsidRDefault="009E5817" w:rsidP="008735C1">
            <w:pPr>
              <w:spacing w:after="120" w:line="276" w:lineRule="auto"/>
              <w:contextualSpacing/>
              <w:rPr>
                <w:rFonts w:ascii="Palatino Linotype" w:hAnsi="Palatino Linotype"/>
                <w:b/>
                <w:sz w:val="22"/>
                <w:szCs w:val="22"/>
              </w:rPr>
            </w:pPr>
            <w:r>
              <w:rPr>
                <w:rFonts w:ascii="Palatino Linotype" w:hAnsi="Palatino Linotype"/>
                <w:b/>
                <w:sz w:val="22"/>
                <w:szCs w:val="22"/>
              </w:rPr>
              <w:t>Nos.</w:t>
            </w:r>
            <w:r w:rsidRPr="00CA22F6">
              <w:rPr>
                <w:rFonts w:ascii="Palatino Linotype" w:hAnsi="Palatino Linotype"/>
                <w:b/>
                <w:sz w:val="22"/>
                <w:szCs w:val="22"/>
              </w:rPr>
              <w:t xml:space="preserve"> de predio</w:t>
            </w:r>
            <w:r>
              <w:rPr>
                <w:rFonts w:ascii="Palatino Linotype" w:hAnsi="Palatino Linotype"/>
                <w:b/>
                <w:sz w:val="22"/>
                <w:szCs w:val="22"/>
              </w:rPr>
              <w:t>s</w:t>
            </w:r>
            <w:r w:rsidRPr="00CA22F6">
              <w:rPr>
                <w:rFonts w:ascii="Palatino Linotype" w:hAnsi="Palatino Linotype"/>
                <w:b/>
                <w:sz w:val="22"/>
                <w:szCs w:val="22"/>
              </w:rPr>
              <w:t xml:space="preserve">: </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 xml:space="preserve">1360492 – 1360498 – 1360497  </w:t>
            </w:r>
          </w:p>
        </w:tc>
        <w:tc>
          <w:tcPr>
            <w:tcW w:w="2193" w:type="pct"/>
            <w:tcBorders>
              <w:top w:val="single" w:sz="4" w:space="0" w:color="000000"/>
              <w:left w:val="single" w:sz="4" w:space="0" w:color="auto"/>
              <w:bottom w:val="single" w:sz="4" w:space="0" w:color="000000"/>
              <w:right w:val="single" w:sz="4" w:space="0" w:color="000000"/>
            </w:tcBorders>
            <w:vAlign w:val="center"/>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1360490</w:t>
            </w:r>
          </w:p>
        </w:tc>
      </w:tr>
      <w:tr w:rsidR="009E5817" w:rsidRPr="00CA22F6" w:rsidTr="009E5817">
        <w:trPr>
          <w:trHeight w:val="275"/>
          <w:jc w:val="center"/>
        </w:trPr>
        <w:tc>
          <w:tcPr>
            <w:tcW w:w="908" w:type="pct"/>
            <w:tcBorders>
              <w:top w:val="single" w:sz="4" w:space="0" w:color="000000"/>
              <w:left w:val="single" w:sz="4" w:space="0" w:color="000000"/>
              <w:bottom w:val="single" w:sz="4" w:space="0" w:color="000000"/>
              <w:right w:val="single" w:sz="4" w:space="0" w:color="000000"/>
            </w:tcBorders>
            <w:hideMark/>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t>Clave catastral:</w:t>
            </w:r>
          </w:p>
        </w:tc>
        <w:tc>
          <w:tcPr>
            <w:tcW w:w="1899" w:type="pct"/>
            <w:tcBorders>
              <w:top w:val="single" w:sz="4" w:space="0" w:color="000000"/>
              <w:left w:val="single" w:sz="4" w:space="0" w:color="000000"/>
              <w:bottom w:val="single" w:sz="4" w:space="0" w:color="000000"/>
              <w:right w:val="single" w:sz="4" w:space="0" w:color="auto"/>
            </w:tcBorders>
            <w:vAlign w:val="center"/>
            <w:hideMark/>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 xml:space="preserve">14014 06 036 – 14014 06 043 – 14014 06 041 </w:t>
            </w:r>
          </w:p>
        </w:tc>
        <w:tc>
          <w:tcPr>
            <w:tcW w:w="2193" w:type="pct"/>
            <w:tcBorders>
              <w:top w:val="single" w:sz="4" w:space="0" w:color="000000"/>
              <w:left w:val="single" w:sz="4" w:space="0" w:color="auto"/>
              <w:bottom w:val="single" w:sz="4" w:space="0" w:color="000000"/>
              <w:right w:val="single" w:sz="4" w:space="0" w:color="000000"/>
            </w:tcBorders>
            <w:vAlign w:val="center"/>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14014 06 025</w:t>
            </w:r>
          </w:p>
        </w:tc>
      </w:tr>
      <w:tr w:rsidR="009E5817" w:rsidRPr="00CA22F6" w:rsidTr="009E5817">
        <w:trPr>
          <w:trHeight w:val="87"/>
          <w:jc w:val="center"/>
        </w:trPr>
        <w:tc>
          <w:tcPr>
            <w:tcW w:w="908" w:type="pct"/>
            <w:tcBorders>
              <w:top w:val="single" w:sz="4" w:space="0" w:color="000000"/>
              <w:left w:val="single" w:sz="4" w:space="0" w:color="000000"/>
              <w:bottom w:val="single" w:sz="4" w:space="0" w:color="000000"/>
              <w:right w:val="single" w:sz="4" w:space="0" w:color="000000"/>
            </w:tcBorders>
            <w:hideMark/>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t>Zonificación:</w:t>
            </w:r>
          </w:p>
        </w:tc>
        <w:tc>
          <w:tcPr>
            <w:tcW w:w="1899" w:type="pct"/>
            <w:tcBorders>
              <w:top w:val="single" w:sz="4" w:space="0" w:color="000000"/>
              <w:left w:val="single" w:sz="4" w:space="0" w:color="000000"/>
              <w:bottom w:val="single" w:sz="4" w:space="0" w:color="000000"/>
              <w:right w:val="single" w:sz="4" w:space="0" w:color="auto"/>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D3(D203-80)</w:t>
            </w:r>
          </w:p>
        </w:tc>
        <w:tc>
          <w:tcPr>
            <w:tcW w:w="2193" w:type="pct"/>
            <w:tcBorders>
              <w:top w:val="single" w:sz="4" w:space="0" w:color="000000"/>
              <w:left w:val="single" w:sz="4" w:space="0" w:color="auto"/>
              <w:bottom w:val="single" w:sz="4" w:space="0" w:color="000000"/>
              <w:right w:val="single" w:sz="4" w:space="0" w:color="000000"/>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D3(D203-80)</w:t>
            </w:r>
          </w:p>
        </w:tc>
      </w:tr>
      <w:tr w:rsidR="009E5817" w:rsidRPr="00CA22F6" w:rsidTr="009E5817">
        <w:trPr>
          <w:trHeight w:val="87"/>
          <w:jc w:val="center"/>
        </w:trPr>
        <w:tc>
          <w:tcPr>
            <w:tcW w:w="908" w:type="pct"/>
            <w:tcBorders>
              <w:top w:val="single" w:sz="4" w:space="0" w:color="000000"/>
              <w:left w:val="single" w:sz="4" w:space="0" w:color="000000"/>
              <w:bottom w:val="single" w:sz="4" w:space="0" w:color="000000"/>
              <w:right w:val="single" w:sz="4" w:space="0" w:color="000000"/>
            </w:tcBorders>
            <w:hideMark/>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t>Lote mínimo:</w:t>
            </w:r>
          </w:p>
        </w:tc>
        <w:tc>
          <w:tcPr>
            <w:tcW w:w="1899" w:type="pct"/>
            <w:tcBorders>
              <w:top w:val="single" w:sz="4" w:space="0" w:color="000000"/>
              <w:left w:val="single" w:sz="4" w:space="0" w:color="000000"/>
              <w:bottom w:val="single" w:sz="4" w:space="0" w:color="000000"/>
              <w:right w:val="single" w:sz="4" w:space="0" w:color="auto"/>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200 m</w:t>
            </w:r>
            <w:r w:rsidRPr="00B73A98">
              <w:rPr>
                <w:rFonts w:ascii="Palatino Linotype" w:eastAsia="Calibri" w:hAnsi="Palatino Linotype"/>
                <w:sz w:val="22"/>
                <w:szCs w:val="22"/>
                <w:vertAlign w:val="superscript"/>
              </w:rPr>
              <w:t>2</w:t>
            </w:r>
          </w:p>
        </w:tc>
        <w:tc>
          <w:tcPr>
            <w:tcW w:w="2193" w:type="pct"/>
            <w:tcBorders>
              <w:top w:val="single" w:sz="4" w:space="0" w:color="000000"/>
              <w:left w:val="single" w:sz="4" w:space="0" w:color="auto"/>
              <w:bottom w:val="single" w:sz="4" w:space="0" w:color="000000"/>
              <w:right w:val="single" w:sz="4" w:space="0" w:color="000000"/>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200 m</w:t>
            </w:r>
            <w:r w:rsidRPr="00B73A98">
              <w:rPr>
                <w:rFonts w:ascii="Palatino Linotype" w:eastAsia="Calibri" w:hAnsi="Palatino Linotype"/>
                <w:sz w:val="22"/>
                <w:szCs w:val="22"/>
                <w:vertAlign w:val="superscript"/>
              </w:rPr>
              <w:t>2</w:t>
            </w:r>
          </w:p>
        </w:tc>
      </w:tr>
      <w:tr w:rsidR="009E5817" w:rsidRPr="00CA22F6" w:rsidTr="009E5817">
        <w:trPr>
          <w:trHeight w:val="87"/>
          <w:jc w:val="center"/>
        </w:trPr>
        <w:tc>
          <w:tcPr>
            <w:tcW w:w="908" w:type="pct"/>
            <w:tcBorders>
              <w:top w:val="single" w:sz="4" w:space="0" w:color="000000"/>
              <w:left w:val="single" w:sz="4" w:space="0" w:color="000000"/>
              <w:bottom w:val="single" w:sz="4" w:space="0" w:color="000000"/>
              <w:right w:val="single" w:sz="4" w:space="0" w:color="000000"/>
            </w:tcBorders>
            <w:vAlign w:val="center"/>
            <w:hideMark/>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lastRenderedPageBreak/>
              <w:t>Forma de ocupación del suelo:</w:t>
            </w:r>
          </w:p>
        </w:tc>
        <w:tc>
          <w:tcPr>
            <w:tcW w:w="1899" w:type="pct"/>
            <w:tcBorders>
              <w:top w:val="single" w:sz="4" w:space="0" w:color="000000"/>
              <w:left w:val="single" w:sz="4" w:space="0" w:color="000000"/>
              <w:bottom w:val="single" w:sz="4" w:space="0" w:color="000000"/>
              <w:right w:val="single" w:sz="4" w:space="0" w:color="auto"/>
            </w:tcBorders>
            <w:vAlign w:val="center"/>
          </w:tcPr>
          <w:p w:rsidR="009E5817" w:rsidRPr="00CA22F6" w:rsidRDefault="009E5817" w:rsidP="008735C1">
            <w:pPr>
              <w:spacing w:after="120" w:line="276" w:lineRule="auto"/>
              <w:jc w:val="both"/>
              <w:rPr>
                <w:rFonts w:ascii="Palatino Linotype" w:eastAsia="Calibri" w:hAnsi="Palatino Linotype"/>
                <w:sz w:val="22"/>
                <w:szCs w:val="22"/>
              </w:rPr>
            </w:pPr>
            <w:r w:rsidRPr="00CA22F6">
              <w:rPr>
                <w:rFonts w:ascii="Palatino Linotype" w:eastAsia="Calibri" w:hAnsi="Palatino Linotype"/>
                <w:sz w:val="22"/>
                <w:szCs w:val="22"/>
              </w:rPr>
              <w:t>(D) Sobre línea de fábrica</w:t>
            </w:r>
          </w:p>
        </w:tc>
        <w:tc>
          <w:tcPr>
            <w:tcW w:w="2193" w:type="pct"/>
            <w:tcBorders>
              <w:top w:val="single" w:sz="4" w:space="0" w:color="000000"/>
              <w:left w:val="single" w:sz="4" w:space="0" w:color="auto"/>
              <w:bottom w:val="single" w:sz="4" w:space="0" w:color="000000"/>
              <w:right w:val="single" w:sz="4" w:space="0" w:color="000000"/>
            </w:tcBorders>
            <w:vAlign w:val="center"/>
          </w:tcPr>
          <w:p w:rsidR="009E5817" w:rsidRPr="00CA22F6" w:rsidRDefault="009E5817" w:rsidP="008735C1">
            <w:pPr>
              <w:spacing w:after="120" w:line="276" w:lineRule="auto"/>
              <w:jc w:val="both"/>
              <w:rPr>
                <w:rFonts w:ascii="Palatino Linotype" w:eastAsia="Calibri" w:hAnsi="Palatino Linotype"/>
                <w:sz w:val="22"/>
                <w:szCs w:val="22"/>
              </w:rPr>
            </w:pPr>
            <w:r w:rsidRPr="00CA22F6">
              <w:rPr>
                <w:rFonts w:ascii="Palatino Linotype" w:eastAsia="Calibri" w:hAnsi="Palatino Linotype"/>
                <w:sz w:val="22"/>
                <w:szCs w:val="22"/>
              </w:rPr>
              <w:t>(D) Sobre línea de fábrica</w:t>
            </w:r>
          </w:p>
        </w:tc>
      </w:tr>
      <w:tr w:rsidR="009E5817" w:rsidRPr="00CA22F6" w:rsidTr="009E5817">
        <w:trPr>
          <w:trHeight w:val="87"/>
          <w:jc w:val="center"/>
        </w:trPr>
        <w:tc>
          <w:tcPr>
            <w:tcW w:w="908" w:type="pct"/>
            <w:tcBorders>
              <w:top w:val="single" w:sz="4" w:space="0" w:color="000000"/>
              <w:left w:val="single" w:sz="4" w:space="0" w:color="000000"/>
              <w:bottom w:val="single" w:sz="4" w:space="0" w:color="000000"/>
              <w:right w:val="single" w:sz="4" w:space="0" w:color="000000"/>
            </w:tcBorders>
            <w:hideMark/>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t>Uso de suelo:</w:t>
            </w:r>
          </w:p>
        </w:tc>
        <w:tc>
          <w:tcPr>
            <w:tcW w:w="1899" w:type="pct"/>
            <w:tcBorders>
              <w:top w:val="single" w:sz="4" w:space="0" w:color="000000"/>
              <w:left w:val="single" w:sz="4" w:space="0" w:color="000000"/>
              <w:bottom w:val="single" w:sz="4" w:space="0" w:color="000000"/>
              <w:right w:val="single" w:sz="4" w:space="0" w:color="auto"/>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 xml:space="preserve">(RU2) Residencial urbano 2 </w:t>
            </w:r>
          </w:p>
        </w:tc>
        <w:tc>
          <w:tcPr>
            <w:tcW w:w="2193" w:type="pct"/>
            <w:tcBorders>
              <w:top w:val="single" w:sz="4" w:space="0" w:color="000000"/>
              <w:left w:val="single" w:sz="4" w:space="0" w:color="auto"/>
              <w:bottom w:val="single" w:sz="4" w:space="0" w:color="000000"/>
              <w:right w:val="single" w:sz="4" w:space="0" w:color="000000"/>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(RU3) Residencial urbano 3</w:t>
            </w:r>
          </w:p>
        </w:tc>
      </w:tr>
      <w:tr w:rsidR="009E5817" w:rsidRPr="00CA22F6" w:rsidTr="009E5817">
        <w:trPr>
          <w:trHeight w:val="87"/>
          <w:jc w:val="center"/>
        </w:trPr>
        <w:tc>
          <w:tcPr>
            <w:tcW w:w="908" w:type="pct"/>
            <w:tcBorders>
              <w:top w:val="single" w:sz="4" w:space="0" w:color="000000"/>
              <w:left w:val="single" w:sz="4" w:space="0" w:color="000000"/>
              <w:bottom w:val="single" w:sz="4" w:space="0" w:color="000000"/>
              <w:right w:val="single" w:sz="4" w:space="0" w:color="000000"/>
            </w:tcBorders>
          </w:tcPr>
          <w:p w:rsidR="009E5817" w:rsidRPr="00CA22F6" w:rsidRDefault="009E5817" w:rsidP="008735C1">
            <w:pPr>
              <w:spacing w:after="120" w:line="276" w:lineRule="auto"/>
              <w:contextualSpacing/>
              <w:rPr>
                <w:rFonts w:ascii="Palatino Linotype" w:hAnsi="Palatino Linotype"/>
                <w:b/>
                <w:sz w:val="22"/>
                <w:szCs w:val="22"/>
              </w:rPr>
            </w:pPr>
            <w:r w:rsidRPr="00CA22F6">
              <w:rPr>
                <w:rFonts w:ascii="Palatino Linotype" w:hAnsi="Palatino Linotype"/>
                <w:b/>
                <w:sz w:val="22"/>
                <w:szCs w:val="22"/>
              </w:rPr>
              <w:t>Clasificación del suelo:</w:t>
            </w:r>
          </w:p>
        </w:tc>
        <w:tc>
          <w:tcPr>
            <w:tcW w:w="1899" w:type="pct"/>
            <w:tcBorders>
              <w:top w:val="single" w:sz="4" w:space="0" w:color="000000"/>
              <w:left w:val="single" w:sz="4" w:space="0" w:color="000000"/>
              <w:bottom w:val="single" w:sz="4" w:space="0" w:color="000000"/>
              <w:right w:val="single" w:sz="4" w:space="0" w:color="auto"/>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 xml:space="preserve">(SU) Suelo Urbano  </w:t>
            </w:r>
          </w:p>
        </w:tc>
        <w:tc>
          <w:tcPr>
            <w:tcW w:w="2193" w:type="pct"/>
            <w:tcBorders>
              <w:top w:val="single" w:sz="4" w:space="0" w:color="000000"/>
              <w:left w:val="single" w:sz="4" w:space="0" w:color="auto"/>
              <w:bottom w:val="single" w:sz="4" w:space="0" w:color="000000"/>
              <w:right w:val="single" w:sz="4" w:space="0" w:color="000000"/>
            </w:tcBorders>
          </w:tcPr>
          <w:p w:rsidR="009E5817" w:rsidRPr="00CA22F6" w:rsidRDefault="009E5817" w:rsidP="008735C1">
            <w:pPr>
              <w:spacing w:after="120" w:line="276" w:lineRule="auto"/>
              <w:contextualSpacing/>
              <w:jc w:val="both"/>
              <w:rPr>
                <w:rFonts w:ascii="Palatino Linotype" w:eastAsia="Calibri" w:hAnsi="Palatino Linotype"/>
                <w:sz w:val="22"/>
                <w:szCs w:val="22"/>
              </w:rPr>
            </w:pPr>
            <w:r w:rsidRPr="00CA22F6">
              <w:rPr>
                <w:rFonts w:ascii="Palatino Linotype" w:eastAsia="Calibri" w:hAnsi="Palatino Linotype"/>
                <w:sz w:val="22"/>
                <w:szCs w:val="22"/>
              </w:rPr>
              <w:t xml:space="preserve">(SU) Suelo Urbano  </w:t>
            </w:r>
          </w:p>
        </w:tc>
      </w:tr>
    </w:tbl>
    <w:p w:rsidR="009E5817" w:rsidRPr="00CA22F6" w:rsidRDefault="009E5817" w:rsidP="009E5817">
      <w:pPr>
        <w:pStyle w:val="Sinespaciado"/>
        <w:spacing w:after="120" w:line="276" w:lineRule="auto"/>
        <w:rPr>
          <w:rFonts w:ascii="Palatino Linotype" w:hAnsi="Palatino Linotype"/>
        </w:rPr>
      </w:pPr>
      <w:r w:rsidRPr="00CA22F6">
        <w:rPr>
          <w:rFonts w:ascii="Palatino Linotype" w:hAnsi="Palatino Linotype"/>
          <w:b/>
        </w:rPr>
        <w:t>Número de lotes:</w:t>
      </w:r>
      <w:r w:rsidRPr="00CA22F6">
        <w:rPr>
          <w:rFonts w:ascii="Palatino Linotype" w:hAnsi="Palatino Linotype"/>
        </w:rPr>
        <w:tab/>
      </w:r>
      <w:r w:rsidRPr="00CA22F6">
        <w:rPr>
          <w:rFonts w:ascii="Palatino Linotype" w:hAnsi="Palatino Linotype"/>
        </w:rPr>
        <w:tab/>
      </w:r>
      <w:r w:rsidRPr="00CA22F6">
        <w:rPr>
          <w:rFonts w:ascii="Palatino Linotype" w:hAnsi="Palatino Linotype"/>
        </w:rPr>
        <w:tab/>
        <w:t>12</w:t>
      </w:r>
    </w:p>
    <w:p w:rsidR="009E5817" w:rsidRPr="00CA22F6" w:rsidRDefault="009E5817" w:rsidP="009E5817">
      <w:pPr>
        <w:pStyle w:val="Sinespaciado"/>
        <w:spacing w:after="120" w:line="276" w:lineRule="auto"/>
        <w:rPr>
          <w:rFonts w:ascii="Palatino Linotype" w:hAnsi="Palatino Linotype"/>
        </w:rPr>
      </w:pPr>
      <w:r w:rsidRPr="00CA22F6">
        <w:rPr>
          <w:rFonts w:ascii="Palatino Linotype" w:hAnsi="Palatino Linotype"/>
          <w:b/>
        </w:rPr>
        <w:t>Área útil de lotes:</w:t>
      </w:r>
      <w:r w:rsidRPr="00CA22F6">
        <w:rPr>
          <w:rFonts w:ascii="Palatino Linotype" w:hAnsi="Palatino Linotype"/>
        </w:rPr>
        <w:tab/>
      </w:r>
      <w:r w:rsidRPr="00CA22F6">
        <w:rPr>
          <w:rFonts w:ascii="Palatino Linotype" w:hAnsi="Palatino Linotype"/>
        </w:rPr>
        <w:tab/>
      </w:r>
      <w:r w:rsidRPr="00CA22F6">
        <w:rPr>
          <w:rFonts w:ascii="Palatino Linotype" w:hAnsi="Palatino Linotype"/>
        </w:rPr>
        <w:tab/>
        <w:t>2.394,47</w:t>
      </w:r>
      <w:r>
        <w:rPr>
          <w:rFonts w:ascii="Palatino Linotype" w:hAnsi="Palatino Linotype"/>
        </w:rPr>
        <w:t xml:space="preserve"> </w:t>
      </w:r>
      <w:r w:rsidRPr="00CA22F6">
        <w:rPr>
          <w:rFonts w:ascii="Palatino Linotype" w:hAnsi="Palatino Linotype"/>
        </w:rPr>
        <w:t>m</w:t>
      </w:r>
      <w:r w:rsidRPr="00B73A98">
        <w:rPr>
          <w:rFonts w:ascii="Palatino Linotype" w:hAnsi="Palatino Linotype"/>
          <w:vertAlign w:val="superscript"/>
        </w:rPr>
        <w:t>2</w:t>
      </w:r>
    </w:p>
    <w:p w:rsidR="009E5817" w:rsidRPr="00CA22F6" w:rsidRDefault="009E5817" w:rsidP="009E5817">
      <w:pPr>
        <w:pStyle w:val="Sinespaciado"/>
        <w:spacing w:after="120" w:line="276" w:lineRule="auto"/>
        <w:rPr>
          <w:rFonts w:ascii="Palatino Linotype" w:hAnsi="Palatino Linotype"/>
        </w:rPr>
      </w:pPr>
      <w:r w:rsidRPr="00CA22F6">
        <w:rPr>
          <w:rFonts w:ascii="Palatino Linotype" w:hAnsi="Palatino Linotype"/>
          <w:b/>
        </w:rPr>
        <w:t>Área total de lote:</w:t>
      </w:r>
      <w:r w:rsidRPr="00CA22F6">
        <w:rPr>
          <w:rFonts w:ascii="Palatino Linotype" w:hAnsi="Palatino Linotype"/>
        </w:rPr>
        <w:tab/>
      </w:r>
      <w:r w:rsidRPr="00CA22F6">
        <w:rPr>
          <w:rFonts w:ascii="Palatino Linotype" w:hAnsi="Palatino Linotype"/>
        </w:rPr>
        <w:tab/>
      </w:r>
      <w:r w:rsidRPr="00CA22F6">
        <w:rPr>
          <w:rFonts w:ascii="Palatino Linotype" w:hAnsi="Palatino Linotype"/>
        </w:rPr>
        <w:tab/>
        <w:t>2.394,47</w:t>
      </w:r>
      <w:r>
        <w:rPr>
          <w:rFonts w:ascii="Palatino Linotype" w:hAnsi="Palatino Linotype"/>
        </w:rPr>
        <w:t xml:space="preserve"> </w:t>
      </w:r>
      <w:r w:rsidRPr="00CA22F6">
        <w:rPr>
          <w:rFonts w:ascii="Palatino Linotype" w:hAnsi="Palatino Linotype"/>
        </w:rPr>
        <w:t>m</w:t>
      </w:r>
      <w:r w:rsidRPr="00B73A98">
        <w:rPr>
          <w:rFonts w:ascii="Palatino Linotype" w:hAnsi="Palatino Linotype"/>
          <w:vertAlign w:val="superscript"/>
        </w:rPr>
        <w:t>2</w:t>
      </w:r>
    </w:p>
    <w:p w:rsidR="009E5817"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El número total de lotes es de 12 signados del uno (1) al doce (12), cuyo detalle es el que consta en los planos aprobatorios que forman parte de la presente Ordenanza.</w:t>
      </w:r>
    </w:p>
    <w:p w:rsidR="009E5817" w:rsidRDefault="009E5817" w:rsidP="009E5817">
      <w:pPr>
        <w:spacing w:after="120" w:line="276" w:lineRule="auto"/>
        <w:jc w:val="both"/>
        <w:rPr>
          <w:rFonts w:ascii="Palatino Linotype" w:hAnsi="Palatino Linotype"/>
          <w:sz w:val="22"/>
          <w:szCs w:val="22"/>
        </w:rPr>
      </w:pPr>
      <w:r w:rsidRPr="00CA22F6">
        <w:rPr>
          <w:rFonts w:ascii="Palatino Linotype" w:hAnsi="Palatino Linotype"/>
          <w:b/>
          <w:bCs/>
          <w:sz w:val="22"/>
          <w:szCs w:val="22"/>
        </w:rPr>
        <w:t xml:space="preserve">Artículo 3.- Zonificación de los </w:t>
      </w:r>
      <w:proofErr w:type="gramStart"/>
      <w:r w:rsidRPr="00CA22F6">
        <w:rPr>
          <w:rFonts w:ascii="Palatino Linotype" w:hAnsi="Palatino Linotype"/>
          <w:b/>
          <w:bCs/>
          <w:sz w:val="22"/>
          <w:szCs w:val="22"/>
        </w:rPr>
        <w:t>lotes</w:t>
      </w:r>
      <w:r>
        <w:rPr>
          <w:rFonts w:ascii="Palatino Linotype" w:hAnsi="Palatino Linotype"/>
          <w:b/>
          <w:bCs/>
          <w:sz w:val="22"/>
          <w:szCs w:val="22"/>
        </w:rPr>
        <w:t>.-</w:t>
      </w:r>
      <w:proofErr w:type="gramEnd"/>
      <w:r>
        <w:rPr>
          <w:rFonts w:ascii="Palatino Linotype" w:hAnsi="Palatino Linotype"/>
          <w:b/>
          <w:bCs/>
          <w:sz w:val="22"/>
          <w:szCs w:val="22"/>
        </w:rPr>
        <w:t xml:space="preserve"> </w:t>
      </w:r>
      <w:r w:rsidRPr="00B73A98">
        <w:rPr>
          <w:rFonts w:ascii="Palatino Linotype" w:hAnsi="Palatino Linotype"/>
          <w:sz w:val="22"/>
          <w:szCs w:val="22"/>
        </w:rPr>
        <w:t xml:space="preserve">La zonificación para los lotes 1, 2, 3, 4, 5, 9, 10, 11 y 12, se mantiene en D3 (D203-80); forma de ocupación: (D) sobre línea de fábrica; lote mínimo 200,00 </w:t>
      </w:r>
      <w:r w:rsidRPr="00B73A98">
        <w:rPr>
          <w:rFonts w:ascii="Palatino Linotype" w:eastAsia="Calibri" w:hAnsi="Palatino Linotype"/>
          <w:sz w:val="22"/>
          <w:szCs w:val="22"/>
        </w:rPr>
        <w:t>m</w:t>
      </w:r>
      <w:r w:rsidRPr="00B73A98">
        <w:rPr>
          <w:rFonts w:ascii="Palatino Linotype" w:eastAsia="Calibri" w:hAnsi="Palatino Linotype"/>
          <w:sz w:val="22"/>
          <w:szCs w:val="22"/>
          <w:vertAlign w:val="superscript"/>
        </w:rPr>
        <w:t>2</w:t>
      </w:r>
      <w:r w:rsidRPr="00B73A98">
        <w:rPr>
          <w:rFonts w:ascii="Palatino Linotype" w:hAnsi="Palatino Linotype"/>
          <w:sz w:val="22"/>
          <w:szCs w:val="22"/>
        </w:rPr>
        <w:t>; número de pisos: 3 pisos; COS planta baja 80%, COS total 240%; Uso principal: (RU2) Residencial urbano 2</w:t>
      </w:r>
      <w:r>
        <w:rPr>
          <w:rFonts w:ascii="Palatino Linotype" w:hAnsi="Palatino Linotype"/>
          <w:sz w:val="22"/>
          <w:szCs w:val="22"/>
        </w:rPr>
        <w:t xml:space="preserve">. </w:t>
      </w:r>
    </w:p>
    <w:p w:rsidR="009E5817" w:rsidRPr="00B73A98" w:rsidRDefault="009E5817" w:rsidP="009E5817">
      <w:pPr>
        <w:spacing w:after="120" w:line="276" w:lineRule="auto"/>
        <w:jc w:val="both"/>
        <w:rPr>
          <w:rFonts w:ascii="Palatino Linotype" w:hAnsi="Palatino Linotype"/>
          <w:sz w:val="22"/>
          <w:szCs w:val="22"/>
        </w:rPr>
      </w:pPr>
      <w:r w:rsidRPr="00B73A98">
        <w:rPr>
          <w:rFonts w:ascii="Palatino Linotype" w:hAnsi="Palatino Linotype"/>
          <w:sz w:val="22"/>
          <w:szCs w:val="22"/>
        </w:rPr>
        <w:t xml:space="preserve">La zonificación para los lotes 6, 7 y 8 se mantiene en D3 (D203-80); forma de ocupación: (D) sobre línea de fábrica; lote mínimo 200,00 </w:t>
      </w:r>
      <w:r w:rsidRPr="00CA22F6">
        <w:rPr>
          <w:rFonts w:ascii="Palatino Linotype" w:eastAsia="Calibri" w:hAnsi="Palatino Linotype"/>
          <w:sz w:val="22"/>
          <w:szCs w:val="22"/>
        </w:rPr>
        <w:t>m</w:t>
      </w:r>
      <w:r w:rsidRPr="00B73A98">
        <w:rPr>
          <w:rFonts w:ascii="Palatino Linotype" w:eastAsia="Calibri" w:hAnsi="Palatino Linotype"/>
          <w:sz w:val="22"/>
          <w:szCs w:val="22"/>
          <w:vertAlign w:val="superscript"/>
        </w:rPr>
        <w:t>2</w:t>
      </w:r>
      <w:r w:rsidRPr="00B73A98">
        <w:rPr>
          <w:rFonts w:ascii="Palatino Linotype" w:hAnsi="Palatino Linotype"/>
          <w:sz w:val="22"/>
          <w:szCs w:val="22"/>
        </w:rPr>
        <w:t xml:space="preserve">; número de pisos: 3 pisos; COS planta baja 80%, COS total 240%; Uso principal: (RU3) Residencial urbano 3. </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CA22F6">
        <w:rPr>
          <w:rFonts w:ascii="Palatino Linotype" w:hAnsi="Palatino Linotype"/>
          <w:b/>
          <w:sz w:val="22"/>
          <w:szCs w:val="22"/>
        </w:rPr>
        <w:t>uelo.-</w:t>
      </w:r>
      <w:proofErr w:type="gramEnd"/>
      <w:r w:rsidRPr="00CA22F6">
        <w:rPr>
          <w:rFonts w:ascii="Palatino Linotype" w:hAnsi="Palatino Linotype"/>
          <w:b/>
          <w:sz w:val="22"/>
          <w:szCs w:val="22"/>
        </w:rPr>
        <w:t xml:space="preserve"> </w:t>
      </w:r>
      <w:r w:rsidRPr="00CA22F6">
        <w:rPr>
          <w:rFonts w:ascii="Palatino Linotype" w:hAnsi="Palatino Linotype"/>
          <w:sz w:val="22"/>
          <w:szCs w:val="22"/>
        </w:rPr>
        <w:t>Los lotes fraccionados mantendrán la clasificación vigente esto es (SU) Suelo Urbano.</w:t>
      </w:r>
    </w:p>
    <w:p w:rsidR="009E5817" w:rsidRPr="00CA22F6" w:rsidRDefault="009E5817" w:rsidP="009E5817">
      <w:pPr>
        <w:spacing w:after="120" w:line="276" w:lineRule="auto"/>
        <w:jc w:val="both"/>
        <w:rPr>
          <w:rFonts w:ascii="Palatino Linotype" w:hAnsi="Palatino Linotype"/>
          <w:bCs/>
          <w:color w:val="000000"/>
          <w:sz w:val="22"/>
          <w:szCs w:val="22"/>
        </w:rPr>
      </w:pPr>
      <w:r w:rsidRPr="00CA22F6">
        <w:rPr>
          <w:rFonts w:ascii="Palatino Linotype" w:hAnsi="Palatino Linotype"/>
          <w:b/>
          <w:sz w:val="22"/>
          <w:szCs w:val="22"/>
        </w:rPr>
        <w:t xml:space="preserve">Artículo 5.- Lotes por </w:t>
      </w:r>
      <w:proofErr w:type="gramStart"/>
      <w:r w:rsidRPr="00CA22F6">
        <w:rPr>
          <w:rFonts w:ascii="Palatino Linotype" w:hAnsi="Palatino Linotype"/>
          <w:b/>
          <w:sz w:val="22"/>
          <w:szCs w:val="22"/>
        </w:rPr>
        <w:t>excepción.-</w:t>
      </w:r>
      <w:proofErr w:type="gramEnd"/>
      <w:r w:rsidRPr="00CA22F6">
        <w:rPr>
          <w:rFonts w:ascii="Palatino Linotype" w:hAnsi="Palatino Linotype"/>
          <w:b/>
          <w:sz w:val="22"/>
          <w:szCs w:val="22"/>
        </w:rPr>
        <w:t xml:space="preserve"> </w:t>
      </w:r>
      <w:r w:rsidRPr="00CA22F6">
        <w:rPr>
          <w:rFonts w:ascii="Palatino Linotype" w:hAnsi="Palatino Linotype"/>
          <w:bCs/>
          <w:color w:val="000000"/>
          <w:sz w:val="22"/>
          <w:szCs w:val="22"/>
        </w:rPr>
        <w:t>Por tratarse de un asentamiento de hecho y consolidado de interés social, se aprueban por excepción los siguientes lotes de menor superficie conforme el plano: 4, 5, y 10.</w:t>
      </w:r>
    </w:p>
    <w:p w:rsidR="009E5817" w:rsidRPr="00CA22F6" w:rsidRDefault="009E5817" w:rsidP="009E5817">
      <w:pPr>
        <w:spacing w:after="120" w:line="276" w:lineRule="auto"/>
        <w:jc w:val="both"/>
        <w:rPr>
          <w:rFonts w:ascii="Palatino Linotype" w:hAnsi="Palatino Linotype"/>
          <w:sz w:val="22"/>
          <w:szCs w:val="22"/>
        </w:rPr>
      </w:pPr>
      <w:r w:rsidRPr="00CA22F6">
        <w:rPr>
          <w:rFonts w:ascii="Palatino Linotype" w:hAnsi="Palatino Linotype"/>
          <w:b/>
          <w:sz w:val="22"/>
          <w:szCs w:val="22"/>
        </w:rPr>
        <w:t>Artículo 6</w:t>
      </w:r>
      <w:r>
        <w:rPr>
          <w:rFonts w:ascii="Palatino Linotype" w:hAnsi="Palatino Linotype"/>
          <w:b/>
          <w:sz w:val="22"/>
          <w:szCs w:val="22"/>
        </w:rPr>
        <w:t xml:space="preserve">.- </w:t>
      </w:r>
      <w:r w:rsidRPr="00CA22F6">
        <w:rPr>
          <w:rFonts w:ascii="Palatino Linotype" w:hAnsi="Palatino Linotype"/>
          <w:b/>
          <w:bCs/>
          <w:sz w:val="22"/>
          <w:szCs w:val="22"/>
        </w:rPr>
        <w:t xml:space="preserve">Informe Técnico de Evaluación de Riesgos de la Secretaría General de Seguridad y Gobernabilidad.- </w:t>
      </w:r>
      <w:r w:rsidRPr="00CA22F6">
        <w:rPr>
          <w:rFonts w:ascii="Palatino Linotype" w:hAnsi="Palatino Linotype"/>
          <w:bCs/>
          <w:sz w:val="22"/>
          <w:szCs w:val="22"/>
        </w:rPr>
        <w:t xml:space="preserve"> Los copropietarios del predio, en un plazo no mayor a un año a partir de la inscripción de la presente </w:t>
      </w:r>
      <w:r>
        <w:rPr>
          <w:rFonts w:ascii="Palatino Linotype" w:hAnsi="Palatino Linotype"/>
          <w:bCs/>
          <w:sz w:val="22"/>
          <w:szCs w:val="22"/>
        </w:rPr>
        <w:t>o</w:t>
      </w:r>
      <w:r w:rsidRPr="00CA22F6">
        <w:rPr>
          <w:rFonts w:ascii="Palatino Linotype" w:hAnsi="Palatino Linotype"/>
          <w:bCs/>
          <w:sz w:val="22"/>
          <w:szCs w:val="22"/>
        </w:rPr>
        <w:t>rdenanza en el Registro de la Propiedad, deberán presentar el cronograma de obras y/o medidas  de mitigación de riesgos elaborado por un especialista técnico, ante la Dirección Metropolitana de Gestión de Riesgos y la Unidad Desconcentrada de Control de la Administración Zonal Calderón</w:t>
      </w:r>
      <w:r w:rsidRPr="00CA22F6">
        <w:rPr>
          <w:rFonts w:ascii="Palatino Linotype" w:hAnsi="Palatino Linotype"/>
          <w:color w:val="2A2A2A"/>
          <w:sz w:val="22"/>
          <w:szCs w:val="22"/>
        </w:rPr>
        <w:t xml:space="preserve">, </w:t>
      </w:r>
      <w:r w:rsidRPr="00CA22F6">
        <w:rPr>
          <w:rFonts w:ascii="Palatino Linotype" w:hAnsi="Palatino Linotype"/>
          <w:sz w:val="22"/>
          <w:szCs w:val="22"/>
        </w:rPr>
        <w:t>caso contrario el Concejo Metropoli</w:t>
      </w:r>
      <w:r>
        <w:rPr>
          <w:rFonts w:ascii="Palatino Linotype" w:hAnsi="Palatino Linotype"/>
          <w:sz w:val="22"/>
          <w:szCs w:val="22"/>
        </w:rPr>
        <w:t>tano podrá revocar la presente o</w:t>
      </w:r>
      <w:r w:rsidRPr="00CA22F6">
        <w:rPr>
          <w:rFonts w:ascii="Palatino Linotype" w:hAnsi="Palatino Linotype"/>
          <w:sz w:val="22"/>
          <w:szCs w:val="22"/>
        </w:rPr>
        <w:t>rdenanza, notificándose del particular a la Agencia Metropolitana de Control, para que se inicie las acciones pertinentes.</w:t>
      </w:r>
    </w:p>
    <w:p w:rsidR="009E5817" w:rsidRDefault="009E5817" w:rsidP="009E5817">
      <w:pPr>
        <w:spacing w:after="120" w:line="276" w:lineRule="auto"/>
        <w:jc w:val="both"/>
        <w:rPr>
          <w:rFonts w:ascii="Palatino Linotype" w:hAnsi="Palatino Linotype"/>
          <w:sz w:val="22"/>
          <w:szCs w:val="22"/>
        </w:rPr>
      </w:pPr>
      <w:r w:rsidRPr="00CA22F6">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9E5817" w:rsidRDefault="009E5817" w:rsidP="009E5817">
      <w:pPr>
        <w:spacing w:after="120" w:line="276" w:lineRule="auto"/>
        <w:jc w:val="both"/>
        <w:rPr>
          <w:rFonts w:ascii="Palatino Linotype" w:hAnsi="Palatino Linotype"/>
          <w:sz w:val="22"/>
          <w:szCs w:val="22"/>
        </w:rPr>
      </w:pPr>
      <w:r w:rsidRPr="00CA22F6">
        <w:rPr>
          <w:rFonts w:ascii="Palatino Linotype" w:hAnsi="Palatino Linotype"/>
          <w:bCs/>
          <w:sz w:val="22"/>
          <w:szCs w:val="22"/>
        </w:rPr>
        <w:lastRenderedPageBreak/>
        <w:t xml:space="preserve">El Asentamiento Humano de Hecho y Consolidado de Interés Social denominado </w:t>
      </w:r>
      <w:r w:rsidRPr="00CA22F6">
        <w:rPr>
          <w:rFonts w:ascii="Palatino Linotype" w:hAnsi="Palatino Linotype"/>
          <w:sz w:val="22"/>
          <w:szCs w:val="22"/>
        </w:rPr>
        <w:t>Barrio “Brisas de San Carlos” 1 Etapa, ubicado en</w:t>
      </w:r>
      <w:r>
        <w:rPr>
          <w:rFonts w:ascii="Palatino Linotype" w:hAnsi="Palatino Linotype"/>
          <w:sz w:val="22"/>
          <w:szCs w:val="22"/>
        </w:rPr>
        <w:t xml:space="preserve"> la p</w:t>
      </w:r>
      <w:r w:rsidRPr="00CA22F6">
        <w:rPr>
          <w:rFonts w:ascii="Palatino Linotype" w:hAnsi="Palatino Linotype"/>
          <w:sz w:val="22"/>
          <w:szCs w:val="22"/>
        </w:rPr>
        <w:t xml:space="preserve">arroquia Calderón, </w:t>
      </w:r>
      <w:r w:rsidRPr="00CA22F6">
        <w:rPr>
          <w:rFonts w:ascii="Palatino Linotype" w:hAnsi="Palatino Linotype"/>
          <w:bCs/>
          <w:sz w:val="22"/>
          <w:szCs w:val="22"/>
          <w:lang w:val="es-EC"/>
        </w:rPr>
        <w:t xml:space="preserve">deberán cumplir con lo </w:t>
      </w:r>
      <w:r>
        <w:rPr>
          <w:rFonts w:ascii="Palatino Linotype" w:hAnsi="Palatino Linotype"/>
          <w:bCs/>
          <w:sz w:val="22"/>
          <w:szCs w:val="22"/>
          <w:lang w:val="es-EC"/>
        </w:rPr>
        <w:t xml:space="preserve">establecido </w:t>
      </w:r>
      <w:r w:rsidRPr="00CA22F6">
        <w:rPr>
          <w:rFonts w:ascii="Palatino Linotype" w:hAnsi="Palatino Linotype"/>
          <w:bCs/>
          <w:sz w:val="22"/>
          <w:szCs w:val="22"/>
          <w:lang w:val="es-EC"/>
        </w:rPr>
        <w:t xml:space="preserve">dentro de la calificación del riesgo y acatar las recomendaciones que se encuentran determinadas </w:t>
      </w:r>
      <w:r w:rsidRPr="00CA22F6">
        <w:rPr>
          <w:rFonts w:ascii="Palatino Linotype" w:hAnsi="Palatino Linotype"/>
          <w:color w:val="000000"/>
          <w:sz w:val="22"/>
          <w:szCs w:val="22"/>
          <w:shd w:val="clear" w:color="auto" w:fill="FFFFFF"/>
        </w:rPr>
        <w:t>en el informe de la Dirección Metropolitana de Gestión de Riesgos No. 302</w:t>
      </w:r>
      <w:r w:rsidRPr="00CA22F6">
        <w:rPr>
          <w:rFonts w:ascii="Palatino Linotype" w:hAnsi="Palatino Linotype"/>
          <w:sz w:val="22"/>
          <w:szCs w:val="22"/>
        </w:rPr>
        <w:t>- AT-DMGR-2017, de fecha 18 de diciembre de 2017 el mismo que establece:</w:t>
      </w:r>
    </w:p>
    <w:p w:rsidR="009E5817" w:rsidRPr="0094187B" w:rsidRDefault="009E5817" w:rsidP="009E5817">
      <w:pPr>
        <w:spacing w:after="120" w:line="276" w:lineRule="auto"/>
        <w:jc w:val="both"/>
        <w:rPr>
          <w:rFonts w:ascii="Palatino Linotype" w:hAnsi="Palatino Linotype"/>
          <w:sz w:val="22"/>
          <w:szCs w:val="22"/>
        </w:rPr>
      </w:pPr>
      <w:r w:rsidRPr="00CA22F6">
        <w:rPr>
          <w:rFonts w:ascii="Palatino Linotype" w:hAnsi="Palatino Linotype"/>
          <w:b/>
          <w:i/>
          <w:sz w:val="22"/>
          <w:szCs w:val="22"/>
        </w:rPr>
        <w:t>“6 CALIFICACIÓN DEL RIESGO</w:t>
      </w:r>
    </w:p>
    <w:p w:rsidR="009E5817" w:rsidRPr="00CA22F6" w:rsidRDefault="009E5817" w:rsidP="009E5817">
      <w:pPr>
        <w:spacing w:after="120" w:line="276" w:lineRule="auto"/>
        <w:jc w:val="both"/>
        <w:rPr>
          <w:rFonts w:ascii="Palatino Linotype" w:hAnsi="Palatino Linotype"/>
          <w:i/>
          <w:sz w:val="22"/>
          <w:szCs w:val="22"/>
        </w:rPr>
      </w:pPr>
      <w:r w:rsidRPr="00CA22F6">
        <w:rPr>
          <w:rFonts w:ascii="Palatino Linotype" w:hAnsi="Palatino Linotype"/>
          <w:i/>
          <w:sz w:val="22"/>
          <w:szCs w:val="22"/>
        </w:rPr>
        <w:t>La zona en estudio, una vez realizada la inspección técnica al AHHYC “Brisas de San Carlos Primera Etapa” de la Parroquia Calderón, considerando las amenazas, exposición y vulnerabilidades identificadas se determina que:</w:t>
      </w:r>
    </w:p>
    <w:p w:rsidR="009E5817" w:rsidRPr="00CA22F6" w:rsidRDefault="009E5817" w:rsidP="009E5817">
      <w:pPr>
        <w:pStyle w:val="Prrafodelista"/>
        <w:numPr>
          <w:ilvl w:val="0"/>
          <w:numId w:val="10"/>
        </w:numPr>
        <w:spacing w:after="120" w:line="276" w:lineRule="auto"/>
        <w:ind w:left="709" w:hanging="284"/>
        <w:jc w:val="both"/>
        <w:rPr>
          <w:rFonts w:ascii="Palatino Linotype" w:hAnsi="Palatino Linotype"/>
          <w:i/>
          <w:sz w:val="22"/>
          <w:szCs w:val="22"/>
        </w:rPr>
      </w:pPr>
      <w:r w:rsidRPr="00CA22F6">
        <w:rPr>
          <w:rFonts w:ascii="Palatino Linotype" w:hAnsi="Palatino Linotype"/>
          <w:b/>
          <w:i/>
          <w:sz w:val="22"/>
          <w:szCs w:val="22"/>
        </w:rPr>
        <w:t xml:space="preserve">Riesgo por movimientos en masa: </w:t>
      </w:r>
      <w:proofErr w:type="gramStart"/>
      <w:r w:rsidRPr="00CA22F6">
        <w:rPr>
          <w:rFonts w:ascii="Palatino Linotype" w:hAnsi="Palatino Linotype"/>
          <w:i/>
          <w:sz w:val="22"/>
          <w:szCs w:val="22"/>
        </w:rPr>
        <w:t>el  asentamiento</w:t>
      </w:r>
      <w:proofErr w:type="gramEnd"/>
      <w:r w:rsidRPr="00CA22F6">
        <w:rPr>
          <w:rFonts w:ascii="Palatino Linotype" w:hAnsi="Palatino Linotype"/>
          <w:i/>
          <w:sz w:val="22"/>
          <w:szCs w:val="22"/>
        </w:rPr>
        <w:t xml:space="preserve"> humano evaluado presenta condiciones de </w:t>
      </w:r>
      <w:r w:rsidRPr="00CA22F6">
        <w:rPr>
          <w:rFonts w:ascii="Palatino Linotype" w:hAnsi="Palatino Linotype"/>
          <w:i/>
          <w:sz w:val="22"/>
          <w:szCs w:val="22"/>
          <w:u w:val="single"/>
        </w:rPr>
        <w:t>Riesgo Bajo Mitigable</w:t>
      </w:r>
      <w:r w:rsidRPr="00CA22F6">
        <w:rPr>
          <w:rFonts w:ascii="Palatino Linotype" w:hAnsi="Palatino Linotype"/>
          <w:i/>
          <w:sz w:val="22"/>
          <w:szCs w:val="22"/>
        </w:rPr>
        <w:t>, esto debido a que no se observaron condiciones físicas en el terreno que representen amenaza, ni tampoco condiciones de exposición, para que ocurran movimientos en masa que puedan ocasionar daños o pérdidas.</w:t>
      </w:r>
    </w:p>
    <w:p w:rsidR="009E5817" w:rsidRPr="00CA22F6" w:rsidRDefault="009E5817" w:rsidP="009E5817">
      <w:pPr>
        <w:pStyle w:val="Prrafodelista"/>
        <w:numPr>
          <w:ilvl w:val="0"/>
          <w:numId w:val="10"/>
        </w:numPr>
        <w:spacing w:after="120" w:line="276" w:lineRule="auto"/>
        <w:ind w:left="709" w:hanging="284"/>
        <w:jc w:val="both"/>
        <w:rPr>
          <w:rFonts w:ascii="Palatino Linotype" w:hAnsi="Palatino Linotype"/>
          <w:i/>
          <w:sz w:val="22"/>
          <w:szCs w:val="22"/>
        </w:rPr>
      </w:pPr>
      <w:r w:rsidRPr="00CA22F6">
        <w:rPr>
          <w:rFonts w:ascii="Palatino Linotype" w:hAnsi="Palatino Linotype"/>
          <w:b/>
          <w:i/>
          <w:sz w:val="22"/>
          <w:szCs w:val="22"/>
        </w:rPr>
        <w:t>Riesgo por eventos sísmicos:</w:t>
      </w:r>
      <w:r w:rsidRPr="00CA22F6">
        <w:rPr>
          <w:rFonts w:ascii="Palatino Linotype" w:hAnsi="Palatino Linotype"/>
          <w:i/>
          <w:sz w:val="22"/>
          <w:szCs w:val="22"/>
        </w:rPr>
        <w:t xml:space="preserve"> de manera general, todo el AHHYC “Brisas de San Carlos Primera </w:t>
      </w:r>
      <w:proofErr w:type="gramStart"/>
      <w:r w:rsidRPr="00CA22F6">
        <w:rPr>
          <w:rFonts w:ascii="Palatino Linotype" w:hAnsi="Palatino Linotype"/>
          <w:i/>
          <w:sz w:val="22"/>
          <w:szCs w:val="22"/>
        </w:rPr>
        <w:t>Etapa”  de</w:t>
      </w:r>
      <w:proofErr w:type="gramEnd"/>
      <w:r w:rsidRPr="00CA22F6">
        <w:rPr>
          <w:rFonts w:ascii="Palatino Linotype" w:hAnsi="Palatino Linotype"/>
          <w:i/>
          <w:sz w:val="22"/>
          <w:szCs w:val="22"/>
        </w:rPr>
        <w:t xml:space="preserve"> la Parroquia Calderón presenta condiciones de </w:t>
      </w:r>
      <w:r w:rsidRPr="00CA22F6">
        <w:rPr>
          <w:rFonts w:ascii="Palatino Linotype" w:hAnsi="Palatino Linotype"/>
          <w:i/>
          <w:sz w:val="22"/>
          <w:szCs w:val="22"/>
          <w:u w:val="single"/>
        </w:rPr>
        <w:t>Riesgo Alto Mitigable</w:t>
      </w:r>
      <w:r w:rsidRPr="00CA22F6">
        <w:rPr>
          <w:rFonts w:ascii="Palatino Linotype" w:hAnsi="Palatino Linotype"/>
          <w:i/>
          <w:sz w:val="22"/>
          <w:szCs w:val="22"/>
        </w:rPr>
        <w:t>, debido a la vulnerabilidad de sus construcciones, el tipo de suelo y la cercanía a una fuente sísmica (falla geológica).</w:t>
      </w:r>
    </w:p>
    <w:p w:rsidR="009E5817" w:rsidRPr="00CA22F6" w:rsidRDefault="009E5817" w:rsidP="009E5817">
      <w:pPr>
        <w:pStyle w:val="Prrafodelista"/>
        <w:numPr>
          <w:ilvl w:val="0"/>
          <w:numId w:val="10"/>
        </w:numPr>
        <w:spacing w:after="120" w:line="276" w:lineRule="auto"/>
        <w:ind w:left="709" w:hanging="283"/>
        <w:contextualSpacing/>
        <w:jc w:val="both"/>
        <w:rPr>
          <w:rFonts w:ascii="Palatino Linotype" w:hAnsi="Palatino Linotype"/>
          <w:i/>
          <w:sz w:val="22"/>
          <w:szCs w:val="22"/>
        </w:rPr>
      </w:pPr>
      <w:r w:rsidRPr="00CA22F6">
        <w:rPr>
          <w:rFonts w:ascii="Palatino Linotype" w:hAnsi="Palatino Linotype"/>
          <w:b/>
          <w:i/>
          <w:sz w:val="22"/>
          <w:szCs w:val="22"/>
        </w:rPr>
        <w:t>Riesgo por fenómenos volcánicos:</w:t>
      </w:r>
      <w:r w:rsidRPr="00CA22F6">
        <w:rPr>
          <w:rFonts w:ascii="Palatino Linotype" w:hAnsi="Palatino Linotype"/>
          <w:i/>
          <w:sz w:val="22"/>
          <w:szCs w:val="22"/>
        </w:rPr>
        <w:t xml:space="preserve"> el principal fenómeno volcánico al que está expuesto el AHHYC “Brisas de San Carlos Primera Etapa” de la Parroquia Calderón, así como la región norte del DMQ, es la potencial caída </w:t>
      </w:r>
      <w:proofErr w:type="spellStart"/>
      <w:r w:rsidRPr="00CA22F6">
        <w:rPr>
          <w:rFonts w:ascii="Palatino Linotype" w:hAnsi="Palatino Linotype"/>
          <w:i/>
          <w:sz w:val="22"/>
          <w:szCs w:val="22"/>
        </w:rPr>
        <w:t>piroclastos</w:t>
      </w:r>
      <w:proofErr w:type="spellEnd"/>
      <w:r w:rsidRPr="00CA22F6">
        <w:rPr>
          <w:rFonts w:ascii="Palatino Linotype" w:hAnsi="Palatino Linotype"/>
          <w:i/>
          <w:sz w:val="22"/>
          <w:szCs w:val="22"/>
        </w:rPr>
        <w:t xml:space="preserve"> (material sólido de tamaño ceniza y/o lapilli) de los volcanes Guagua Pichincha, </w:t>
      </w:r>
      <w:proofErr w:type="spellStart"/>
      <w:r w:rsidRPr="00CA22F6">
        <w:rPr>
          <w:rFonts w:ascii="Palatino Linotype" w:hAnsi="Palatino Linotype"/>
          <w:i/>
          <w:sz w:val="22"/>
          <w:szCs w:val="22"/>
        </w:rPr>
        <w:t>Pululahua</w:t>
      </w:r>
      <w:proofErr w:type="spellEnd"/>
      <w:r w:rsidRPr="00CA22F6">
        <w:rPr>
          <w:rFonts w:ascii="Palatino Linotype" w:hAnsi="Palatino Linotype"/>
          <w:i/>
          <w:sz w:val="22"/>
          <w:szCs w:val="22"/>
        </w:rPr>
        <w:t xml:space="preserve"> y Reventador; ante esta amenaza se presenta un </w:t>
      </w:r>
      <w:r w:rsidRPr="00CA22F6">
        <w:rPr>
          <w:rFonts w:ascii="Palatino Linotype" w:hAnsi="Palatino Linotype"/>
          <w:i/>
          <w:sz w:val="22"/>
          <w:szCs w:val="22"/>
          <w:u w:val="single"/>
        </w:rPr>
        <w:t>Riesgo Bajo Mitigable</w:t>
      </w:r>
      <w:r w:rsidRPr="00CA22F6">
        <w:rPr>
          <w:rFonts w:ascii="Palatino Linotype" w:hAnsi="Palatino Linotype"/>
          <w:i/>
          <w:sz w:val="22"/>
          <w:szCs w:val="22"/>
        </w:rPr>
        <w:t>.</w:t>
      </w:r>
    </w:p>
    <w:p w:rsidR="009E5817" w:rsidRPr="00CA22F6" w:rsidRDefault="009E5817" w:rsidP="009E5817">
      <w:pPr>
        <w:spacing w:after="120" w:line="276" w:lineRule="auto"/>
        <w:jc w:val="both"/>
        <w:rPr>
          <w:rFonts w:ascii="Palatino Linotype" w:hAnsi="Palatino Linotype"/>
          <w:i/>
          <w:sz w:val="22"/>
          <w:szCs w:val="22"/>
        </w:rPr>
      </w:pPr>
      <w:r w:rsidRPr="00CA22F6">
        <w:rPr>
          <w:rFonts w:ascii="Palatino Linotype" w:hAnsi="Palatino Linotype"/>
          <w:i/>
          <w:sz w:val="22"/>
          <w:szCs w:val="22"/>
        </w:rPr>
        <w:t xml:space="preserve">Por lo tanto, la DMGR sugiere que es </w:t>
      </w:r>
      <w:r w:rsidRPr="00CA22F6">
        <w:rPr>
          <w:rFonts w:ascii="Palatino Linotype" w:hAnsi="Palatino Linotype"/>
          <w:b/>
          <w:i/>
          <w:sz w:val="22"/>
          <w:szCs w:val="22"/>
        </w:rPr>
        <w:t>Factible</w:t>
      </w:r>
      <w:r w:rsidRPr="00CA22F6">
        <w:rPr>
          <w:rFonts w:ascii="Palatino Linotype" w:hAnsi="Palatino Linotype"/>
          <w:i/>
          <w:sz w:val="22"/>
          <w:szCs w:val="22"/>
        </w:rPr>
        <w:t xml:space="preserve"> continuar con el proceso de regularización del AHHYC “Brisas de San Carlos Primera Etapa”, ya que siguiendo </w:t>
      </w:r>
      <w:r w:rsidRPr="00CA22F6">
        <w:rPr>
          <w:rFonts w:ascii="Palatino Linotype" w:hAnsi="Palatino Linotype"/>
          <w:bCs/>
          <w:i/>
          <w:sz w:val="22"/>
          <w:szCs w:val="22"/>
        </w:rPr>
        <w:t xml:space="preserve">las recomendaciones que se describen en este informe, contribuirá a garantizar la reducción del riesgo en la zona en análisis.  </w:t>
      </w:r>
      <w:r w:rsidRPr="00CA22F6">
        <w:rPr>
          <w:rFonts w:ascii="Palatino Linotype" w:hAnsi="Palatino Linotype"/>
          <w:i/>
          <w:sz w:val="22"/>
          <w:szCs w:val="22"/>
        </w:rPr>
        <w:softHyphen/>
      </w:r>
    </w:p>
    <w:p w:rsidR="009E5817" w:rsidRPr="00CA22F6" w:rsidRDefault="009E5817" w:rsidP="009E5817">
      <w:pPr>
        <w:spacing w:after="120" w:line="276" w:lineRule="auto"/>
        <w:jc w:val="both"/>
        <w:rPr>
          <w:rFonts w:ascii="Palatino Linotype" w:hAnsi="Palatino Linotype"/>
          <w:bCs/>
          <w:i/>
          <w:sz w:val="22"/>
          <w:szCs w:val="22"/>
        </w:rPr>
      </w:pPr>
      <w:r w:rsidRPr="00CA22F6">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9E5817" w:rsidRPr="00CA22F6" w:rsidRDefault="009E5817" w:rsidP="009E5817">
      <w:pPr>
        <w:spacing w:after="120" w:line="276" w:lineRule="auto"/>
        <w:ind w:left="426"/>
        <w:jc w:val="both"/>
        <w:rPr>
          <w:rFonts w:ascii="Palatino Linotype" w:hAnsi="Palatino Linotype"/>
          <w:bCs/>
          <w:i/>
          <w:sz w:val="22"/>
          <w:szCs w:val="22"/>
        </w:rPr>
      </w:pPr>
      <w:r w:rsidRPr="00CA22F6">
        <w:rPr>
          <w:rFonts w:ascii="Palatino Linotype" w:hAnsi="Palatino Linotype"/>
          <w:b/>
          <w:bCs/>
          <w:i/>
          <w:sz w:val="22"/>
          <w:szCs w:val="22"/>
        </w:rPr>
        <w:t>Medidas Estructurales:</w:t>
      </w:r>
      <w:r w:rsidRPr="00CA22F6">
        <w:rPr>
          <w:rFonts w:ascii="Palatino Linotype" w:hAnsi="Palatino Linotype"/>
          <w:bCs/>
          <w:i/>
          <w:sz w:val="22"/>
          <w:szCs w:val="22"/>
        </w:rPr>
        <w:t xml:space="preserve"> Acciones de ingeniería para reducir impactos de las amenazas como:</w:t>
      </w:r>
    </w:p>
    <w:p w:rsidR="009E5817" w:rsidRPr="00CA22F6" w:rsidRDefault="009E5817" w:rsidP="009E5817">
      <w:pPr>
        <w:pStyle w:val="Prrafodelista"/>
        <w:numPr>
          <w:ilvl w:val="0"/>
          <w:numId w:val="9"/>
        </w:numPr>
        <w:spacing w:after="120" w:line="276" w:lineRule="auto"/>
        <w:jc w:val="both"/>
        <w:rPr>
          <w:rFonts w:ascii="Palatino Linotype" w:hAnsi="Palatino Linotype"/>
          <w:bCs/>
          <w:i/>
          <w:sz w:val="22"/>
          <w:szCs w:val="22"/>
        </w:rPr>
      </w:pPr>
      <w:r w:rsidRPr="00CA22F6">
        <w:rPr>
          <w:rFonts w:ascii="Palatino Linotype" w:hAnsi="Palatino Linotype"/>
          <w:bCs/>
          <w:i/>
          <w:sz w:val="22"/>
          <w:szCs w:val="22"/>
        </w:rPr>
        <w:t>Protección y control: Intervención directa de la amenaza (Diques, muros de contención, canalización de aguas.)</w:t>
      </w:r>
    </w:p>
    <w:p w:rsidR="009E5817" w:rsidRPr="00CA22F6" w:rsidRDefault="009E5817" w:rsidP="009E5817">
      <w:pPr>
        <w:pStyle w:val="Prrafodelista"/>
        <w:numPr>
          <w:ilvl w:val="0"/>
          <w:numId w:val="9"/>
        </w:numPr>
        <w:spacing w:after="120" w:line="276" w:lineRule="auto"/>
        <w:jc w:val="both"/>
        <w:rPr>
          <w:rFonts w:ascii="Palatino Linotype" w:hAnsi="Palatino Linotype"/>
          <w:bCs/>
          <w:i/>
          <w:sz w:val="22"/>
          <w:szCs w:val="22"/>
        </w:rPr>
      </w:pPr>
      <w:r w:rsidRPr="00CA22F6">
        <w:rPr>
          <w:rFonts w:ascii="Palatino Linotype" w:hAnsi="Palatino Linotype"/>
          <w:bCs/>
          <w:i/>
          <w:sz w:val="22"/>
          <w:szCs w:val="22"/>
        </w:rPr>
        <w:lastRenderedPageBreak/>
        <w:t>Modificar las condiciones de vulnerabilidad física de los elementos expuestos (refuerzo de infraestructura de líneas vitales, códigos de construcción, reubicación de viviendas.)</w:t>
      </w:r>
    </w:p>
    <w:p w:rsidR="009E5817" w:rsidRPr="00CA22F6" w:rsidRDefault="009E5817" w:rsidP="009E5817">
      <w:pPr>
        <w:spacing w:after="120" w:line="276" w:lineRule="auto"/>
        <w:jc w:val="both"/>
        <w:rPr>
          <w:rFonts w:ascii="Palatino Linotype" w:hAnsi="Palatino Linotype"/>
          <w:bCs/>
          <w:i/>
          <w:sz w:val="22"/>
          <w:szCs w:val="22"/>
        </w:rPr>
      </w:pPr>
      <w:r w:rsidRPr="00CA22F6">
        <w:rPr>
          <w:rFonts w:ascii="Palatino Linotype" w:hAnsi="Palatino Linotype"/>
          <w:b/>
          <w:bCs/>
          <w:i/>
          <w:sz w:val="22"/>
          <w:szCs w:val="22"/>
        </w:rPr>
        <w:t>Medidas No estructurales:</w:t>
      </w:r>
      <w:r w:rsidRPr="00CA22F6">
        <w:rPr>
          <w:rFonts w:ascii="Palatino Linotype" w:hAnsi="Palatino Linotype"/>
          <w:bCs/>
          <w:i/>
          <w:sz w:val="22"/>
          <w:szCs w:val="22"/>
        </w:rPr>
        <w:t xml:space="preserve"> Desarrollo del conocimiento, políticas, </w:t>
      </w:r>
      <w:proofErr w:type="gramStart"/>
      <w:r w:rsidRPr="00CA22F6">
        <w:rPr>
          <w:rFonts w:ascii="Palatino Linotype" w:hAnsi="Palatino Linotype"/>
          <w:bCs/>
          <w:i/>
          <w:sz w:val="22"/>
          <w:szCs w:val="22"/>
        </w:rPr>
        <w:t>leyes  y</w:t>
      </w:r>
      <w:proofErr w:type="gramEnd"/>
      <w:r w:rsidRPr="00CA22F6">
        <w:rPr>
          <w:rFonts w:ascii="Palatino Linotype" w:hAnsi="Palatino Linotype"/>
          <w:bCs/>
          <w:i/>
          <w:sz w:val="22"/>
          <w:szCs w:val="22"/>
        </w:rPr>
        <w:t xml:space="preserve"> mecanismos participativos.</w:t>
      </w:r>
    </w:p>
    <w:p w:rsidR="009E5817" w:rsidRPr="00CA22F6" w:rsidRDefault="009E5817" w:rsidP="009E5817">
      <w:pPr>
        <w:pStyle w:val="Prrafodelista"/>
        <w:numPr>
          <w:ilvl w:val="0"/>
          <w:numId w:val="9"/>
        </w:numPr>
        <w:spacing w:after="120" w:line="276" w:lineRule="auto"/>
        <w:jc w:val="both"/>
        <w:rPr>
          <w:rFonts w:ascii="Palatino Linotype" w:hAnsi="Palatino Linotype"/>
          <w:bCs/>
          <w:i/>
          <w:sz w:val="22"/>
          <w:szCs w:val="22"/>
        </w:rPr>
      </w:pPr>
      <w:r w:rsidRPr="00CA22F6">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9E5817" w:rsidRPr="00CA22F6" w:rsidRDefault="009E5817" w:rsidP="009E5817">
      <w:pPr>
        <w:pStyle w:val="Prrafodelista"/>
        <w:numPr>
          <w:ilvl w:val="0"/>
          <w:numId w:val="9"/>
        </w:numPr>
        <w:spacing w:after="120" w:line="276" w:lineRule="auto"/>
        <w:ind w:left="1281" w:hanging="357"/>
        <w:jc w:val="both"/>
        <w:rPr>
          <w:rFonts w:ascii="Palatino Linotype" w:hAnsi="Palatino Linotype"/>
          <w:bCs/>
          <w:i/>
          <w:sz w:val="22"/>
          <w:szCs w:val="22"/>
        </w:rPr>
      </w:pPr>
      <w:r w:rsidRPr="00CA22F6">
        <w:rPr>
          <w:rFonts w:ascii="Palatino Linotype" w:hAnsi="Palatino Linotype"/>
          <w:bCs/>
          <w:i/>
          <w:sz w:val="22"/>
          <w:szCs w:val="22"/>
        </w:rPr>
        <w:t>Acciones Pasivas: Relacionadas con legislación y planificación (normas de construcción, uso del suelo y ordenamiento territorial, etc.)</w:t>
      </w:r>
    </w:p>
    <w:p w:rsidR="009E5817" w:rsidRPr="00CA22F6" w:rsidRDefault="009E5817" w:rsidP="009E5817">
      <w:pPr>
        <w:pStyle w:val="Prrafodelista"/>
        <w:spacing w:after="120" w:line="276" w:lineRule="auto"/>
        <w:ind w:left="0"/>
        <w:jc w:val="both"/>
        <w:rPr>
          <w:rFonts w:ascii="Palatino Linotype" w:hAnsi="Palatino Linotype"/>
          <w:b/>
          <w:bCs/>
          <w:i/>
          <w:sz w:val="22"/>
          <w:szCs w:val="22"/>
        </w:rPr>
      </w:pPr>
      <w:r w:rsidRPr="00CA22F6">
        <w:rPr>
          <w:rFonts w:ascii="Palatino Linotype" w:hAnsi="Palatino Linotype"/>
          <w:b/>
          <w:bCs/>
          <w:i/>
          <w:sz w:val="22"/>
          <w:szCs w:val="22"/>
        </w:rPr>
        <w:t xml:space="preserve">7 RECOMENDACIONES </w:t>
      </w:r>
    </w:p>
    <w:p w:rsidR="009E5817" w:rsidRPr="00CA22F6" w:rsidRDefault="009E5817" w:rsidP="009E5817">
      <w:pPr>
        <w:spacing w:after="120" w:line="276" w:lineRule="auto"/>
        <w:jc w:val="both"/>
        <w:rPr>
          <w:rFonts w:ascii="Palatino Linotype" w:hAnsi="Palatino Linotype"/>
          <w:b/>
          <w:bCs/>
          <w:i/>
          <w:sz w:val="22"/>
          <w:szCs w:val="22"/>
        </w:rPr>
      </w:pPr>
      <w:r w:rsidRPr="00CA22F6">
        <w:rPr>
          <w:rFonts w:ascii="Palatino Linotype" w:hAnsi="Palatino Linotype"/>
          <w:b/>
          <w:bCs/>
          <w:i/>
          <w:sz w:val="22"/>
          <w:szCs w:val="22"/>
        </w:rPr>
        <w:t>Para el riesgo por movimientos en masa:</w:t>
      </w:r>
    </w:p>
    <w:p w:rsidR="009E5817" w:rsidRPr="00CA22F6" w:rsidRDefault="009E5817" w:rsidP="009E5817">
      <w:pPr>
        <w:pStyle w:val="Prrafodelista"/>
        <w:numPr>
          <w:ilvl w:val="0"/>
          <w:numId w:val="8"/>
        </w:numPr>
        <w:spacing w:after="120" w:line="276" w:lineRule="auto"/>
        <w:ind w:left="709" w:hanging="283"/>
        <w:jc w:val="both"/>
        <w:rPr>
          <w:rFonts w:ascii="Palatino Linotype" w:hAnsi="Palatino Linotype"/>
          <w:i/>
          <w:color w:val="000000"/>
          <w:sz w:val="22"/>
          <w:szCs w:val="22"/>
        </w:rPr>
      </w:pPr>
      <w:r w:rsidRPr="00CA22F6">
        <w:rPr>
          <w:rFonts w:ascii="Palatino Linotype" w:hAnsi="Palatino Linotype"/>
          <w:bCs/>
          <w:i/>
          <w:sz w:val="22"/>
          <w:szCs w:val="22"/>
        </w:rPr>
        <w:t>Se recomienda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w:t>
      </w:r>
    </w:p>
    <w:p w:rsidR="009E5817" w:rsidRPr="00CA22F6" w:rsidRDefault="009E5817" w:rsidP="009E5817">
      <w:pPr>
        <w:spacing w:after="120" w:line="276" w:lineRule="auto"/>
        <w:jc w:val="both"/>
        <w:rPr>
          <w:rFonts w:ascii="Palatino Linotype" w:hAnsi="Palatino Linotype"/>
          <w:b/>
          <w:bCs/>
          <w:i/>
          <w:sz w:val="22"/>
          <w:szCs w:val="22"/>
        </w:rPr>
      </w:pPr>
      <w:r w:rsidRPr="00CA22F6">
        <w:rPr>
          <w:rFonts w:ascii="Palatino Linotype" w:hAnsi="Palatino Linotype"/>
          <w:b/>
          <w:bCs/>
          <w:i/>
          <w:sz w:val="22"/>
          <w:szCs w:val="22"/>
        </w:rPr>
        <w:t>Para el riesgo sísmico:</w:t>
      </w:r>
    </w:p>
    <w:p w:rsidR="009E5817" w:rsidRPr="00CA22F6" w:rsidRDefault="009E5817" w:rsidP="009E5817">
      <w:pPr>
        <w:pStyle w:val="Prrafodelista"/>
        <w:numPr>
          <w:ilvl w:val="0"/>
          <w:numId w:val="8"/>
        </w:numPr>
        <w:spacing w:after="120" w:line="276" w:lineRule="auto"/>
        <w:ind w:left="709" w:hanging="283"/>
        <w:jc w:val="both"/>
        <w:rPr>
          <w:rFonts w:ascii="Palatino Linotype" w:hAnsi="Palatino Linotype"/>
          <w:bCs/>
          <w:i/>
          <w:sz w:val="22"/>
          <w:szCs w:val="22"/>
        </w:rPr>
      </w:pPr>
      <w:r w:rsidRPr="00CA22F6">
        <w:rPr>
          <w:rFonts w:ascii="Palatino Linotype" w:hAnsi="Palatino Linotype"/>
          <w:bCs/>
          <w:i/>
          <w:sz w:val="22"/>
          <w:szCs w:val="22"/>
        </w:rPr>
        <w:t xml:space="preserve">Se recomienda que los propietarios y/o posesionarios actuales no construyan viviendas adicionales en el </w:t>
      </w:r>
      <w:proofErr w:type="spellStart"/>
      <w:r w:rsidRPr="00CA22F6">
        <w:rPr>
          <w:rFonts w:ascii="Palatino Linotype" w:hAnsi="Palatino Linotype"/>
          <w:bCs/>
          <w:i/>
          <w:sz w:val="22"/>
          <w:szCs w:val="22"/>
        </w:rPr>
        <w:t>macrolote</w:t>
      </w:r>
      <w:proofErr w:type="spellEnd"/>
      <w:r w:rsidRPr="00CA22F6">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CA22F6">
        <w:rPr>
          <w:rFonts w:ascii="Palatino Linotype" w:hAnsi="Palatino Linotype"/>
          <w:i/>
          <w:sz w:val="22"/>
          <w:szCs w:val="22"/>
        </w:rPr>
        <w:t xml:space="preserve">“Brisas de San </w:t>
      </w:r>
      <w:proofErr w:type="gramStart"/>
      <w:r w:rsidRPr="00CA22F6">
        <w:rPr>
          <w:rFonts w:ascii="Palatino Linotype" w:hAnsi="Palatino Linotype"/>
          <w:i/>
          <w:sz w:val="22"/>
          <w:szCs w:val="22"/>
        </w:rPr>
        <w:t>Carlos  Primera</w:t>
      </w:r>
      <w:proofErr w:type="gramEnd"/>
      <w:r w:rsidRPr="00CA22F6">
        <w:rPr>
          <w:rFonts w:ascii="Palatino Linotype" w:hAnsi="Palatino Linotype"/>
          <w:i/>
          <w:sz w:val="22"/>
          <w:szCs w:val="22"/>
        </w:rPr>
        <w:t xml:space="preserve"> Etapa”</w:t>
      </w:r>
      <w:r w:rsidRPr="00CA22F6">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9E5817" w:rsidRPr="00CA22F6" w:rsidRDefault="009E5817" w:rsidP="009E5817">
      <w:pPr>
        <w:pStyle w:val="Prrafodelista"/>
        <w:numPr>
          <w:ilvl w:val="0"/>
          <w:numId w:val="8"/>
        </w:numPr>
        <w:spacing w:after="120" w:line="276" w:lineRule="auto"/>
        <w:ind w:left="709" w:hanging="283"/>
        <w:jc w:val="both"/>
        <w:rPr>
          <w:rFonts w:ascii="Palatino Linotype" w:hAnsi="Palatino Linotype"/>
          <w:i/>
          <w:color w:val="000000"/>
          <w:sz w:val="22"/>
          <w:szCs w:val="22"/>
        </w:rPr>
      </w:pPr>
      <w:r w:rsidRPr="00CA22F6">
        <w:rPr>
          <w:rFonts w:ascii="Palatino Linotype" w:hAnsi="Palatino Linotype"/>
          <w:bCs/>
          <w:i/>
          <w:sz w:val="22"/>
          <w:szCs w:val="22"/>
        </w:rPr>
        <w:t xml:space="preserve">Posterior a la regularización del AHHYC </w:t>
      </w:r>
      <w:r w:rsidRPr="00CA22F6">
        <w:rPr>
          <w:rFonts w:ascii="Palatino Linotype" w:hAnsi="Palatino Linotype"/>
          <w:i/>
          <w:sz w:val="22"/>
          <w:szCs w:val="22"/>
        </w:rPr>
        <w:t>“Brisas de San Carlos  Primera Etapa”</w:t>
      </w:r>
      <w:r w:rsidRPr="00CA22F6">
        <w:rPr>
          <w:rFonts w:ascii="Palatino Linotype" w:hAnsi="Palatino Linotype"/>
          <w:bCs/>
          <w:i/>
          <w:sz w:val="22"/>
          <w:szCs w:val="22"/>
        </w:rPr>
        <w:t xml:space="preserve">, las </w:t>
      </w:r>
      <w:r w:rsidRPr="00CA22F6">
        <w:rPr>
          <w:rFonts w:ascii="Palatino Linotype" w:hAnsi="Palatino Linotype"/>
          <w:i/>
          <w:sz w:val="22"/>
          <w:szCs w:val="22"/>
        </w:rPr>
        <w:t xml:space="preserve">edificaciones en proceso de construcción, aumento en planta o elevación y demás edificaciones dentro del área en análisis, que no </w:t>
      </w:r>
      <w:r w:rsidRPr="00CA22F6">
        <w:rPr>
          <w:rFonts w:ascii="Palatino Linotype" w:hAnsi="Palatino Linotype"/>
          <w:bCs/>
          <w:i/>
          <w:sz w:val="22"/>
          <w:szCs w:val="22"/>
        </w:rPr>
        <w:t>dispongan</w:t>
      </w:r>
      <w:r w:rsidRPr="00CA22F6">
        <w:rPr>
          <w:rFonts w:ascii="Palatino Linotype" w:hAnsi="Palatino Linotype"/>
          <w:i/>
          <w:sz w:val="22"/>
          <w:szCs w:val="22"/>
        </w:rPr>
        <w:t xml:space="preserve"> de un diseño estructural o algún tipo de asesoría técnica, los propietarios deberán </w:t>
      </w:r>
      <w:r w:rsidRPr="00CA22F6">
        <w:rPr>
          <w:rFonts w:ascii="Palatino Linotype" w:hAnsi="Palatino Linotype"/>
          <w:bCs/>
          <w:i/>
          <w:sz w:val="22"/>
          <w:szCs w:val="22"/>
        </w:rPr>
        <w:t>contratar a un especialista (</w:t>
      </w:r>
      <w:r w:rsidRPr="00CA22F6">
        <w:rPr>
          <w:rFonts w:ascii="Palatino Linotype" w:hAnsi="Palatino Linotype"/>
          <w:i/>
          <w:sz w:val="22"/>
          <w:szCs w:val="22"/>
        </w:rPr>
        <w:t xml:space="preserve">Ingeniero/a Civil), para que realice evaluaciones estructurales de las viviendas y </w:t>
      </w:r>
      <w:r w:rsidRPr="00CA22F6">
        <w:rPr>
          <w:rFonts w:ascii="Palatino Linotype" w:hAnsi="Palatino Linotype"/>
          <w:bCs/>
          <w:i/>
          <w:sz w:val="22"/>
          <w:szCs w:val="22"/>
        </w:rPr>
        <w:t xml:space="preserve">proponga alternativas de reparación y/o reforzamiento estructural en caso de ameritarlo. </w:t>
      </w:r>
    </w:p>
    <w:p w:rsidR="009E5817" w:rsidRPr="00CA22F6" w:rsidRDefault="009E5817" w:rsidP="009E5817">
      <w:pPr>
        <w:pStyle w:val="Prrafodelista"/>
        <w:numPr>
          <w:ilvl w:val="0"/>
          <w:numId w:val="8"/>
        </w:numPr>
        <w:spacing w:after="120" w:line="276" w:lineRule="auto"/>
        <w:ind w:left="709" w:hanging="283"/>
        <w:jc w:val="both"/>
        <w:rPr>
          <w:rFonts w:ascii="Palatino Linotype" w:hAnsi="Palatino Linotype"/>
          <w:i/>
          <w:color w:val="000000"/>
          <w:sz w:val="22"/>
          <w:szCs w:val="22"/>
        </w:rPr>
      </w:pPr>
      <w:r w:rsidRPr="00CA22F6">
        <w:rPr>
          <w:rFonts w:ascii="Palatino Linotype" w:hAnsi="Palatino Linotype"/>
          <w:i/>
          <w:color w:val="000000"/>
          <w:sz w:val="22"/>
          <w:szCs w:val="22"/>
        </w:rPr>
        <w:lastRenderedPageBreak/>
        <w:t>La municipalidad, a través de sus organismos de control, deberá dar el seguimiento a los procesos de construcción tanto de la infraestructura de servicios como de las edificaciones nuevas o ampliaciones de las existentes.</w:t>
      </w:r>
    </w:p>
    <w:p w:rsidR="009E5817" w:rsidRPr="00CA22F6" w:rsidRDefault="009E5817" w:rsidP="009E5817">
      <w:pPr>
        <w:spacing w:after="120" w:line="276" w:lineRule="auto"/>
        <w:jc w:val="both"/>
        <w:rPr>
          <w:rFonts w:ascii="Palatino Linotype" w:hAnsi="Palatino Linotype"/>
          <w:b/>
          <w:bCs/>
          <w:i/>
          <w:sz w:val="22"/>
          <w:szCs w:val="22"/>
        </w:rPr>
      </w:pPr>
      <w:r w:rsidRPr="00CA22F6">
        <w:rPr>
          <w:rFonts w:ascii="Palatino Linotype" w:hAnsi="Palatino Linotype"/>
          <w:b/>
          <w:bCs/>
          <w:i/>
          <w:sz w:val="22"/>
          <w:szCs w:val="22"/>
        </w:rPr>
        <w:t>Para el riesgo Volcánico (caída de ceniza):</w:t>
      </w:r>
    </w:p>
    <w:p w:rsidR="009E5817" w:rsidRPr="00CA22F6" w:rsidRDefault="009E5817" w:rsidP="009E5817">
      <w:pPr>
        <w:pStyle w:val="Prrafodelista"/>
        <w:numPr>
          <w:ilvl w:val="0"/>
          <w:numId w:val="8"/>
        </w:numPr>
        <w:spacing w:after="120" w:line="276" w:lineRule="auto"/>
        <w:ind w:left="709" w:hanging="283"/>
        <w:jc w:val="both"/>
        <w:rPr>
          <w:rFonts w:ascii="Palatino Linotype" w:hAnsi="Palatino Linotype"/>
          <w:b/>
          <w:bCs/>
          <w:i/>
          <w:sz w:val="22"/>
          <w:szCs w:val="22"/>
        </w:rPr>
      </w:pPr>
      <w:r w:rsidRPr="00CA22F6">
        <w:rPr>
          <w:rFonts w:ascii="Palatino Linotype" w:hAnsi="Palatino Linotype"/>
          <w:bCs/>
          <w:i/>
          <w:sz w:val="22"/>
          <w:szCs w:val="22"/>
        </w:rPr>
        <w:t xml:space="preserve">Las afectaciones que podría ocasionar la caída de </w:t>
      </w:r>
      <w:proofErr w:type="spellStart"/>
      <w:r w:rsidRPr="00CA22F6">
        <w:rPr>
          <w:rFonts w:ascii="Palatino Linotype" w:hAnsi="Palatino Linotype"/>
          <w:bCs/>
          <w:i/>
          <w:sz w:val="22"/>
          <w:szCs w:val="22"/>
        </w:rPr>
        <w:t>piroclastos</w:t>
      </w:r>
      <w:proofErr w:type="spellEnd"/>
      <w:r w:rsidRPr="00CA22F6">
        <w:rPr>
          <w:rFonts w:ascii="Palatino Linotype" w:hAnsi="Palatino Linotype"/>
          <w:bCs/>
          <w:i/>
          <w:sz w:val="22"/>
          <w:szCs w:val="22"/>
        </w:rPr>
        <w:t xml:space="preserve"> (ceniza y lapilli) se </w:t>
      </w:r>
      <w:r w:rsidRPr="00CA22F6">
        <w:rPr>
          <w:rFonts w:ascii="Palatino Linotype" w:hAnsi="Palatino Linotype"/>
          <w:i/>
          <w:color w:val="000000"/>
          <w:sz w:val="22"/>
          <w:szCs w:val="22"/>
        </w:rPr>
        <w:t>mitiga</w:t>
      </w:r>
      <w:r w:rsidRPr="00CA22F6">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9E5817" w:rsidRPr="00CA22F6" w:rsidRDefault="009E5817" w:rsidP="009E5817">
      <w:pPr>
        <w:spacing w:after="120" w:line="276" w:lineRule="auto"/>
        <w:jc w:val="both"/>
        <w:rPr>
          <w:rFonts w:ascii="Palatino Linotype" w:hAnsi="Palatino Linotype"/>
          <w:b/>
          <w:bCs/>
          <w:i/>
          <w:sz w:val="22"/>
          <w:szCs w:val="22"/>
        </w:rPr>
      </w:pPr>
      <w:r w:rsidRPr="00CA22F6">
        <w:rPr>
          <w:rFonts w:ascii="Palatino Linotype" w:hAnsi="Palatino Linotype"/>
          <w:b/>
          <w:bCs/>
          <w:i/>
          <w:sz w:val="22"/>
          <w:szCs w:val="22"/>
        </w:rPr>
        <w:t>Cumplimiento de la normativa vigente:</w:t>
      </w:r>
    </w:p>
    <w:p w:rsidR="009E5817" w:rsidRPr="00CA22F6" w:rsidRDefault="009E5817" w:rsidP="009E5817">
      <w:pPr>
        <w:pStyle w:val="Prrafodelista"/>
        <w:numPr>
          <w:ilvl w:val="0"/>
          <w:numId w:val="8"/>
        </w:numPr>
        <w:spacing w:after="120" w:line="276" w:lineRule="auto"/>
        <w:ind w:left="709" w:hanging="357"/>
        <w:jc w:val="both"/>
        <w:rPr>
          <w:rFonts w:ascii="Palatino Linotype" w:hAnsi="Palatino Linotype"/>
          <w:bCs/>
          <w:i/>
          <w:sz w:val="22"/>
          <w:szCs w:val="22"/>
        </w:rPr>
      </w:pPr>
      <w:r w:rsidRPr="00CA22F6">
        <w:rPr>
          <w:rFonts w:ascii="Palatino Linotype" w:hAnsi="Palatino Linotype"/>
          <w:bCs/>
          <w:i/>
          <w:sz w:val="22"/>
          <w:szCs w:val="22"/>
        </w:rPr>
        <w:t xml:space="preserve">De acuerdo a la Constitución de la República del Ecuador donde establecen las </w:t>
      </w:r>
      <w:r w:rsidRPr="00CA22F6">
        <w:rPr>
          <w:rFonts w:ascii="Palatino Linotype" w:hAnsi="Palatino Linotype"/>
          <w:i/>
          <w:sz w:val="22"/>
          <w:szCs w:val="22"/>
        </w:rPr>
        <w:t xml:space="preserve">competencias exclusivas a </w:t>
      </w:r>
      <w:r w:rsidRPr="00CA22F6">
        <w:rPr>
          <w:rFonts w:ascii="Palatino Linotype" w:hAnsi="Palatino Linotype"/>
          <w:bCs/>
          <w:i/>
          <w:sz w:val="22"/>
          <w:szCs w:val="22"/>
        </w:rPr>
        <w:t>los</w:t>
      </w:r>
      <w:r w:rsidRPr="00CA22F6">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CA22F6">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9E5817" w:rsidRPr="00CA22F6" w:rsidRDefault="009E5817" w:rsidP="009E5817">
      <w:pPr>
        <w:pStyle w:val="Prrafodelista"/>
        <w:numPr>
          <w:ilvl w:val="0"/>
          <w:numId w:val="8"/>
        </w:numPr>
        <w:spacing w:after="120" w:line="276" w:lineRule="auto"/>
        <w:ind w:left="709" w:hanging="357"/>
        <w:jc w:val="both"/>
        <w:rPr>
          <w:rFonts w:ascii="Palatino Linotype" w:hAnsi="Palatino Linotype"/>
          <w:bCs/>
          <w:i/>
          <w:sz w:val="22"/>
          <w:szCs w:val="22"/>
        </w:rPr>
      </w:pPr>
      <w:r w:rsidRPr="00CA22F6">
        <w:rPr>
          <w:rFonts w:ascii="Palatino Linotype" w:hAnsi="Palatino Linotype"/>
          <w:bCs/>
          <w:i/>
          <w:sz w:val="22"/>
          <w:szCs w:val="22"/>
        </w:rPr>
        <w:t>En el proyecto de regularización se debe respetar la normativa vigente de las Ordenanzas Metropolitanas de: aprobación del Plan Metropolitano de Desarrollo y Ordenamiento Territorial, (PMDOT</w:t>
      </w:r>
      <w:proofErr w:type="gramStart"/>
      <w:r w:rsidRPr="00CA22F6">
        <w:rPr>
          <w:rFonts w:ascii="Palatino Linotype" w:hAnsi="Palatino Linotype"/>
          <w:bCs/>
          <w:i/>
          <w:sz w:val="22"/>
          <w:szCs w:val="22"/>
        </w:rPr>
        <w:t>),  Uso</w:t>
      </w:r>
      <w:proofErr w:type="gramEnd"/>
      <w:r w:rsidRPr="00CA22F6">
        <w:rPr>
          <w:rFonts w:ascii="Palatino Linotype" w:hAnsi="Palatino Linotype"/>
          <w:bCs/>
          <w:i/>
          <w:sz w:val="22"/>
          <w:szCs w:val="22"/>
        </w:rPr>
        <w:t xml:space="preserve"> y Ocupación del Suelo, (PUOS) y Régimen Administrativo del Suelo en el D.M.Q. </w:t>
      </w:r>
    </w:p>
    <w:p w:rsidR="009E5817" w:rsidRPr="00CA22F6" w:rsidRDefault="009E5817" w:rsidP="009E5817">
      <w:pPr>
        <w:pStyle w:val="Prrafodelista"/>
        <w:numPr>
          <w:ilvl w:val="0"/>
          <w:numId w:val="8"/>
        </w:numPr>
        <w:spacing w:after="120" w:line="276" w:lineRule="auto"/>
        <w:ind w:left="709" w:hanging="425"/>
        <w:jc w:val="both"/>
        <w:rPr>
          <w:rFonts w:ascii="Palatino Linotype" w:hAnsi="Palatino Linotype"/>
          <w:bCs/>
          <w:i/>
          <w:sz w:val="22"/>
          <w:szCs w:val="22"/>
        </w:rPr>
      </w:pPr>
      <w:r w:rsidRPr="00CA22F6">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E5817" w:rsidRPr="00CA22F6" w:rsidRDefault="009E5817" w:rsidP="009E5817">
      <w:pPr>
        <w:pStyle w:val="Prrafodelista"/>
        <w:numPr>
          <w:ilvl w:val="0"/>
          <w:numId w:val="11"/>
        </w:numPr>
        <w:spacing w:after="120" w:line="276" w:lineRule="auto"/>
        <w:ind w:left="709"/>
        <w:contextualSpacing/>
        <w:jc w:val="both"/>
        <w:rPr>
          <w:rFonts w:ascii="Palatino Linotype" w:hAnsi="Palatino Linotype"/>
          <w:sz w:val="22"/>
          <w:szCs w:val="22"/>
        </w:rPr>
      </w:pPr>
      <w:r w:rsidRPr="00CA22F6">
        <w:rPr>
          <w:rFonts w:ascii="Palatino Linotype" w:hAnsi="Palatino Linotype"/>
          <w:bCs/>
          <w:i/>
          <w:sz w:val="22"/>
          <w:szCs w:val="22"/>
        </w:rPr>
        <w:t>La Unidad Especial Regula Tu Barrio deberá comunicar a la comunidad del AHHYC “</w:t>
      </w:r>
      <w:r>
        <w:rPr>
          <w:rFonts w:ascii="Palatino Linotype" w:hAnsi="Palatino Linotype"/>
          <w:i/>
          <w:sz w:val="22"/>
          <w:szCs w:val="22"/>
        </w:rPr>
        <w:t xml:space="preserve">Brisas de San Carlos </w:t>
      </w:r>
      <w:r w:rsidRPr="00CA22F6">
        <w:rPr>
          <w:rFonts w:ascii="Palatino Linotype" w:hAnsi="Palatino Linotype"/>
          <w:i/>
          <w:sz w:val="22"/>
          <w:szCs w:val="22"/>
        </w:rPr>
        <w:t>Primera Etapa</w:t>
      </w:r>
      <w:r w:rsidRPr="00CA22F6">
        <w:rPr>
          <w:rFonts w:ascii="Palatino Linotype" w:hAnsi="Palatino Linotype"/>
          <w:bCs/>
          <w:i/>
          <w:sz w:val="22"/>
          <w:szCs w:val="22"/>
        </w:rPr>
        <w:t>” lo descrito en el presente informe, especialmente la calificación del riesgo ante las diferentes amenazas analizadas y las respectivas recomendaciones técnicas</w:t>
      </w:r>
      <w:r w:rsidRPr="00CA22F6">
        <w:rPr>
          <w:rFonts w:ascii="Palatino Linotype" w:hAnsi="Palatino Linotype"/>
          <w:i/>
          <w:sz w:val="22"/>
          <w:szCs w:val="22"/>
        </w:rPr>
        <w:t>.</w:t>
      </w:r>
      <w:r w:rsidRPr="00CA22F6">
        <w:rPr>
          <w:rFonts w:ascii="Palatino Linotype" w:hAnsi="Palatino Linotype"/>
          <w:b/>
          <w:i/>
          <w:sz w:val="22"/>
          <w:szCs w:val="22"/>
        </w:rPr>
        <w:t>”</w:t>
      </w:r>
    </w:p>
    <w:p w:rsidR="009E5817" w:rsidRPr="00CA22F6" w:rsidRDefault="009E5817" w:rsidP="009E5817">
      <w:pPr>
        <w:spacing w:after="120" w:line="276" w:lineRule="auto"/>
        <w:jc w:val="both"/>
        <w:rPr>
          <w:rFonts w:ascii="Palatino Linotype" w:hAnsi="Palatino Linotype"/>
          <w:bCs/>
          <w:sz w:val="22"/>
          <w:szCs w:val="22"/>
        </w:rPr>
      </w:pPr>
      <w:r w:rsidRPr="00CA22F6">
        <w:rPr>
          <w:rFonts w:ascii="Palatino Linotype" w:hAnsi="Palatino Linotype"/>
          <w:bCs/>
          <w:sz w:val="22"/>
          <w:szCs w:val="22"/>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3C2719">
        <w:rPr>
          <w:rFonts w:ascii="Palatino Linotype" w:hAnsi="Palatino Linotype"/>
          <w:sz w:val="22"/>
          <w:szCs w:val="22"/>
        </w:rPr>
        <w:t xml:space="preserve">que señalan las amenazas de origen natural o antrópico que pueden </w:t>
      </w:r>
      <w:r w:rsidRPr="003C2719">
        <w:rPr>
          <w:rFonts w:ascii="Palatino Linotype" w:hAnsi="Palatino Linotype"/>
          <w:sz w:val="22"/>
          <w:szCs w:val="22"/>
        </w:rPr>
        <w:lastRenderedPageBreak/>
        <w:t>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CA22F6">
        <w:rPr>
          <w:rFonts w:ascii="Palatino Linotype" w:hAnsi="Palatino Linotype"/>
          <w:bCs/>
          <w:sz w:val="22"/>
          <w:szCs w:val="22"/>
        </w:rPr>
        <w:t xml:space="preserve">.  </w:t>
      </w:r>
    </w:p>
    <w:p w:rsidR="009E5817" w:rsidRPr="00CA22F6" w:rsidRDefault="009E5817" w:rsidP="009E5817">
      <w:pPr>
        <w:pStyle w:val="Textoindependiente"/>
        <w:tabs>
          <w:tab w:val="left" w:pos="1306"/>
        </w:tabs>
        <w:spacing w:line="276" w:lineRule="auto"/>
        <w:jc w:val="both"/>
        <w:rPr>
          <w:rFonts w:ascii="Palatino Linotype" w:hAnsi="Palatino Linotype"/>
          <w:sz w:val="22"/>
          <w:szCs w:val="22"/>
          <w:lang w:val="es-EC"/>
        </w:rPr>
      </w:pPr>
      <w:r w:rsidRPr="00CA22F6">
        <w:rPr>
          <w:rFonts w:ascii="Palatino Linotype" w:hAnsi="Palatino Linotype"/>
          <w:b/>
          <w:bCs/>
          <w:sz w:val="22"/>
          <w:szCs w:val="22"/>
        </w:rPr>
        <w:t>Artículo</w:t>
      </w:r>
      <w:r w:rsidRPr="00CA22F6">
        <w:rPr>
          <w:rFonts w:ascii="Palatino Linotype" w:hAnsi="Palatino Linotype"/>
          <w:b/>
          <w:bCs/>
          <w:sz w:val="22"/>
          <w:szCs w:val="22"/>
          <w:lang w:val="es-ES_tradnl"/>
        </w:rPr>
        <w:t xml:space="preserve"> 7.- De la protocolización e inscripción de la </w:t>
      </w:r>
      <w:proofErr w:type="gramStart"/>
      <w:r w:rsidRPr="00CA22F6">
        <w:rPr>
          <w:rFonts w:ascii="Palatino Linotype" w:hAnsi="Palatino Linotype"/>
          <w:b/>
          <w:bCs/>
          <w:sz w:val="22"/>
          <w:szCs w:val="22"/>
          <w:lang w:val="es-ES_tradnl"/>
        </w:rPr>
        <w:t>ordenanza.-</w:t>
      </w:r>
      <w:proofErr w:type="gramEnd"/>
      <w:r w:rsidRPr="00CA22F6">
        <w:rPr>
          <w:rFonts w:ascii="Palatino Linotype" w:hAnsi="Palatino Linotype"/>
          <w:b/>
          <w:bCs/>
          <w:sz w:val="22"/>
          <w:szCs w:val="22"/>
          <w:lang w:val="es-ES_tradnl"/>
        </w:rPr>
        <w:t xml:space="preserve">  </w:t>
      </w:r>
      <w:r w:rsidRPr="00CA22F6">
        <w:rPr>
          <w:rFonts w:ascii="Palatino Linotype" w:hAnsi="Palatino Linotype"/>
          <w:sz w:val="22"/>
          <w:szCs w:val="22"/>
          <w:lang w:val="es-EC"/>
        </w:rPr>
        <w:t xml:space="preserve">Los copropietarios del predio del Asentamiento Humano de Hecho y Consolidado de Interés Social </w:t>
      </w:r>
      <w:r w:rsidRPr="00CA22F6">
        <w:rPr>
          <w:rFonts w:ascii="Palatino Linotype" w:hAnsi="Palatino Linotype"/>
          <w:bCs/>
          <w:sz w:val="22"/>
          <w:szCs w:val="22"/>
        </w:rPr>
        <w:t xml:space="preserve">denominado </w:t>
      </w:r>
      <w:r w:rsidRPr="00CA22F6">
        <w:rPr>
          <w:rFonts w:ascii="Palatino Linotype" w:hAnsi="Palatino Linotype"/>
          <w:sz w:val="22"/>
          <w:szCs w:val="22"/>
        </w:rPr>
        <w:t>Barrio “Brisas de San Carlos” 1 Etapa, ubicado en</w:t>
      </w:r>
      <w:r>
        <w:rPr>
          <w:rFonts w:ascii="Palatino Linotype" w:hAnsi="Palatino Linotype"/>
          <w:sz w:val="22"/>
          <w:szCs w:val="22"/>
        </w:rPr>
        <w:t xml:space="preserve"> la p</w:t>
      </w:r>
      <w:r w:rsidRPr="00CA22F6">
        <w:rPr>
          <w:rFonts w:ascii="Palatino Linotype" w:hAnsi="Palatino Linotype"/>
          <w:sz w:val="22"/>
          <w:szCs w:val="22"/>
        </w:rPr>
        <w:t>arroquia Calderón</w:t>
      </w:r>
      <w:r w:rsidRPr="00CA22F6">
        <w:rPr>
          <w:rFonts w:ascii="Palatino Linotype" w:hAnsi="Palatino Linotype"/>
          <w:sz w:val="22"/>
          <w:szCs w:val="22"/>
          <w:lang w:val="es-EC"/>
        </w:rPr>
        <w:t>,</w:t>
      </w:r>
      <w:r w:rsidRPr="00CA22F6">
        <w:rPr>
          <w:rFonts w:ascii="Palatino Linotype" w:hAnsi="Palatino Linotype"/>
          <w:sz w:val="22"/>
          <w:szCs w:val="22"/>
          <w:lang w:val="es-ES_tradnl"/>
        </w:rPr>
        <w:t xml:space="preserve"> deberán </w:t>
      </w:r>
      <w:r w:rsidRPr="00CA22F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CA22F6">
        <w:rPr>
          <w:rFonts w:ascii="Palatino Linotype" w:hAnsi="Palatino Linotype"/>
          <w:sz w:val="22"/>
          <w:szCs w:val="22"/>
          <w:lang w:val="es-ES_tradnl"/>
        </w:rPr>
        <w:t>con todos sus documentos habilitantes</w:t>
      </w:r>
      <w:r w:rsidRPr="00CA22F6">
        <w:rPr>
          <w:rFonts w:ascii="Palatino Linotype" w:hAnsi="Palatino Linotype"/>
          <w:sz w:val="22"/>
          <w:szCs w:val="22"/>
          <w:lang w:val="es-EC"/>
        </w:rPr>
        <w:t>.</w:t>
      </w:r>
    </w:p>
    <w:p w:rsidR="009E5817" w:rsidRPr="00CA22F6" w:rsidRDefault="009E5817" w:rsidP="009E5817">
      <w:pPr>
        <w:pStyle w:val="Textoindependiente"/>
        <w:tabs>
          <w:tab w:val="left" w:pos="1306"/>
        </w:tabs>
        <w:spacing w:line="276" w:lineRule="auto"/>
        <w:jc w:val="both"/>
        <w:rPr>
          <w:rFonts w:ascii="Palatino Linotype" w:hAnsi="Palatino Linotype"/>
          <w:bCs/>
          <w:sz w:val="22"/>
          <w:szCs w:val="22"/>
          <w:lang w:val="es-ES_tradnl"/>
        </w:rPr>
      </w:pPr>
      <w:r w:rsidRPr="00CA22F6">
        <w:rPr>
          <w:rFonts w:ascii="Palatino Linotype" w:hAnsi="Palatino Linotype"/>
          <w:bCs/>
          <w:sz w:val="22"/>
          <w:szCs w:val="22"/>
          <w:lang w:val="es-ES_tradnl"/>
        </w:rPr>
        <w:t xml:space="preserve">En caso de </w:t>
      </w:r>
      <w:r>
        <w:rPr>
          <w:rFonts w:ascii="Palatino Linotype" w:hAnsi="Palatino Linotype"/>
          <w:bCs/>
          <w:sz w:val="22"/>
          <w:szCs w:val="22"/>
          <w:lang w:val="es-ES_tradnl"/>
        </w:rPr>
        <w:t>no legalizar la presente o</w:t>
      </w:r>
      <w:r w:rsidRPr="00CA22F6">
        <w:rPr>
          <w:rFonts w:ascii="Palatino Linotype" w:hAnsi="Palatino Linotype"/>
          <w:bCs/>
          <w:sz w:val="22"/>
          <w:szCs w:val="22"/>
          <w:lang w:val="es-ES_tradnl"/>
        </w:rPr>
        <w:t>rdenanza, ésta caducará conforme lo determinado en la normativa nacional vigente.</w:t>
      </w:r>
    </w:p>
    <w:p w:rsidR="009E5817" w:rsidRPr="00CA22F6" w:rsidRDefault="009E5817" w:rsidP="009E5817">
      <w:pPr>
        <w:pStyle w:val="Textoindependiente"/>
        <w:tabs>
          <w:tab w:val="left" w:pos="1306"/>
        </w:tabs>
        <w:spacing w:line="276" w:lineRule="auto"/>
        <w:jc w:val="both"/>
        <w:rPr>
          <w:rFonts w:ascii="Palatino Linotype" w:hAnsi="Palatino Linotype"/>
          <w:sz w:val="22"/>
          <w:szCs w:val="22"/>
          <w:lang w:val="es-ES_tradnl"/>
        </w:rPr>
      </w:pPr>
      <w:r w:rsidRPr="00CA22F6">
        <w:rPr>
          <w:rFonts w:ascii="Palatino Linotype" w:hAnsi="Palatino Linotype"/>
          <w:sz w:val="22"/>
          <w:szCs w:val="22"/>
          <w:lang w:val="es-ES_tradnl"/>
        </w:rPr>
        <w:t xml:space="preserve">La inscripción de la presente </w:t>
      </w:r>
      <w:r>
        <w:rPr>
          <w:rFonts w:ascii="Palatino Linotype" w:hAnsi="Palatino Linotype"/>
          <w:sz w:val="22"/>
          <w:szCs w:val="22"/>
          <w:lang w:val="es-ES_tradnl"/>
        </w:rPr>
        <w:t>o</w:t>
      </w:r>
      <w:r w:rsidRPr="00CA22F6">
        <w:rPr>
          <w:rFonts w:ascii="Palatino Linotype" w:hAnsi="Palatino Linotype"/>
          <w:sz w:val="22"/>
          <w:szCs w:val="22"/>
          <w:lang w:val="es-ES_tradnl"/>
        </w:rPr>
        <w:t>rdenanza servirá como título de dominio para efectos de la transferencia de áreas verdes, en caso de que existan.</w:t>
      </w:r>
    </w:p>
    <w:p w:rsidR="009E5817" w:rsidRPr="00CA22F6" w:rsidRDefault="009E5817" w:rsidP="009E5817">
      <w:pPr>
        <w:spacing w:after="120" w:line="276" w:lineRule="auto"/>
        <w:jc w:val="both"/>
        <w:rPr>
          <w:rFonts w:ascii="Palatino Linotype" w:hAnsi="Palatino Linotype"/>
          <w:sz w:val="22"/>
          <w:szCs w:val="22"/>
          <w:lang w:val="es-ES_tradnl"/>
        </w:rPr>
      </w:pPr>
      <w:r w:rsidRPr="00CA22F6">
        <w:rPr>
          <w:rFonts w:ascii="Palatino Linotype" w:hAnsi="Palatino Linotype"/>
          <w:b/>
          <w:sz w:val="22"/>
          <w:szCs w:val="22"/>
          <w:lang w:val="es-ES_tradnl"/>
        </w:rPr>
        <w:t xml:space="preserve">Artículo 8.- De la partición y </w:t>
      </w:r>
      <w:proofErr w:type="gramStart"/>
      <w:r w:rsidRPr="00CA22F6">
        <w:rPr>
          <w:rFonts w:ascii="Palatino Linotype" w:hAnsi="Palatino Linotype"/>
          <w:b/>
          <w:sz w:val="22"/>
          <w:szCs w:val="22"/>
          <w:lang w:val="es-ES_tradnl"/>
        </w:rPr>
        <w:t>adjudicación.-</w:t>
      </w:r>
      <w:proofErr w:type="gramEnd"/>
      <w:r w:rsidRPr="00CA22F6">
        <w:rPr>
          <w:rFonts w:ascii="Palatino Linotype" w:hAnsi="Palatino Linotype"/>
          <w:sz w:val="22"/>
          <w:szCs w:val="22"/>
          <w:lang w:val="es-ES_tradnl"/>
        </w:rPr>
        <w:t xml:space="preserve"> 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9E5817" w:rsidRPr="00CA22F6" w:rsidRDefault="009E5817" w:rsidP="009E5817">
      <w:pPr>
        <w:spacing w:after="120" w:line="276" w:lineRule="auto"/>
        <w:jc w:val="both"/>
        <w:rPr>
          <w:rFonts w:ascii="Palatino Linotype" w:hAnsi="Palatino Linotype"/>
          <w:sz w:val="22"/>
          <w:szCs w:val="22"/>
          <w:lang w:val="es-ES_tradnl"/>
        </w:rPr>
      </w:pPr>
      <w:r w:rsidRPr="00CA22F6">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9E5817" w:rsidRPr="00CA22F6" w:rsidRDefault="009E5817" w:rsidP="009E5817">
      <w:pPr>
        <w:spacing w:after="120" w:line="276" w:lineRule="auto"/>
        <w:jc w:val="both"/>
        <w:rPr>
          <w:rFonts w:ascii="Palatino Linotype" w:hAnsi="Palatino Linotype"/>
          <w:bCs/>
          <w:sz w:val="22"/>
          <w:szCs w:val="22"/>
          <w:lang w:val="es-ES_tradnl"/>
        </w:rPr>
      </w:pPr>
      <w:r w:rsidRPr="00CA22F6">
        <w:rPr>
          <w:rFonts w:ascii="Palatino Linotype" w:hAnsi="Palatino Linotype"/>
          <w:b/>
          <w:bCs/>
          <w:sz w:val="22"/>
          <w:szCs w:val="22"/>
          <w:lang w:val="es-ES_tradnl"/>
        </w:rPr>
        <w:t xml:space="preserve">Artículo 9.- Solicitudes de ampliación de </w:t>
      </w:r>
      <w:proofErr w:type="gramStart"/>
      <w:r w:rsidRPr="00CA22F6">
        <w:rPr>
          <w:rFonts w:ascii="Palatino Linotype" w:hAnsi="Palatino Linotype"/>
          <w:b/>
          <w:bCs/>
          <w:sz w:val="22"/>
          <w:szCs w:val="22"/>
          <w:lang w:val="es-ES_tradnl"/>
        </w:rPr>
        <w:t>plazo.-</w:t>
      </w:r>
      <w:proofErr w:type="gramEnd"/>
      <w:r w:rsidRPr="00CA22F6">
        <w:rPr>
          <w:rFonts w:ascii="Palatino Linotype" w:hAnsi="Palatino Linotype"/>
          <w:b/>
          <w:bCs/>
          <w:sz w:val="22"/>
          <w:szCs w:val="22"/>
          <w:lang w:val="es-ES_tradnl"/>
        </w:rPr>
        <w:t xml:space="preserve"> </w:t>
      </w:r>
      <w:r w:rsidRPr="00CA22F6">
        <w:rPr>
          <w:rFonts w:ascii="Palatino Linotype" w:hAnsi="Palatino Linotype"/>
          <w:bCs/>
          <w:sz w:val="22"/>
          <w:szCs w:val="22"/>
          <w:lang w:val="es-ES_tradnl"/>
        </w:rPr>
        <w:t>Las solicitudes de ampliación de plazo para presentación del cronograma de mitigación de riesgos; y, la ejecución de obras de mitigación de riesgos serán resueltas por la Administración Zonal correspondiente.</w:t>
      </w:r>
    </w:p>
    <w:p w:rsidR="009E5817" w:rsidRPr="00CA22F6" w:rsidRDefault="009E5817" w:rsidP="009E5817">
      <w:pPr>
        <w:spacing w:after="120" w:line="276" w:lineRule="auto"/>
        <w:jc w:val="both"/>
        <w:rPr>
          <w:rFonts w:ascii="Palatino Linotype" w:hAnsi="Palatino Linotype"/>
          <w:bCs/>
          <w:sz w:val="22"/>
          <w:szCs w:val="22"/>
          <w:lang w:val="es-ES_tradnl"/>
        </w:rPr>
      </w:pPr>
      <w:r w:rsidRPr="00CA22F6">
        <w:rPr>
          <w:rFonts w:ascii="Palatino Linotype" w:hAnsi="Palatino Linotype"/>
          <w:b/>
          <w:bCs/>
          <w:sz w:val="22"/>
          <w:szCs w:val="22"/>
          <w:lang w:val="es-ES_tradnl"/>
        </w:rPr>
        <w:t xml:space="preserve">Artículo 10.- Potestad de </w:t>
      </w:r>
      <w:proofErr w:type="gramStart"/>
      <w:r w:rsidRPr="00CA22F6">
        <w:rPr>
          <w:rFonts w:ascii="Palatino Linotype" w:hAnsi="Palatino Linotype"/>
          <w:b/>
          <w:bCs/>
          <w:sz w:val="22"/>
          <w:szCs w:val="22"/>
          <w:lang w:val="es-ES_tradnl"/>
        </w:rPr>
        <w:t>ejecución.-</w:t>
      </w:r>
      <w:proofErr w:type="gramEnd"/>
      <w:r w:rsidRPr="00CA22F6">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lastRenderedPageBreak/>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9E5817">
        <w:rPr>
          <w:rFonts w:ascii="Palatino Linotype" w:eastAsia="MS Mincho" w:hAnsi="Palatino Linotype"/>
          <w:sz w:val="22"/>
          <w:szCs w:val="22"/>
          <w:lang w:val="es-EC"/>
        </w:rPr>
        <w:t>31</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BD521D">
        <w:rPr>
          <w:rFonts w:ascii="Palatino Linotype" w:eastAsia="MS Mincho" w:hAnsi="Palatino Linotype"/>
          <w:sz w:val="22"/>
          <w:szCs w:val="22"/>
          <w:lang w:val="es-EC"/>
        </w:rPr>
        <w:t>mayo de 201</w:t>
      </w:r>
      <w:r w:rsidR="009E5817">
        <w:rPr>
          <w:rFonts w:ascii="Palatino Linotype" w:eastAsia="MS Mincho" w:hAnsi="Palatino Linotype"/>
          <w:sz w:val="22"/>
          <w:szCs w:val="22"/>
          <w:lang w:val="es-EC"/>
        </w:rPr>
        <w:t>8</w:t>
      </w:r>
      <w:r w:rsidR="00BD521D">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F112F0" w:rsidRDefault="00F112F0" w:rsidP="00F112F0">
      <w:pPr>
        <w:pStyle w:val="Textosinformato"/>
        <w:jc w:val="both"/>
        <w:rPr>
          <w:rFonts w:ascii="Palatino Linotype" w:eastAsia="MS Mincho" w:hAnsi="Palatino Linotype"/>
          <w:sz w:val="22"/>
          <w:szCs w:val="22"/>
          <w:lang w:val="es-EC"/>
        </w:rPr>
      </w:pPr>
    </w:p>
    <w:p w:rsidR="00894263" w:rsidRPr="00D621C0" w:rsidRDefault="00894263"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4804CE" w:rsidRDefault="00FC3E54" w:rsidP="001305C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5E" w:rsidRDefault="00BC255E">
      <w:r>
        <w:separator/>
      </w:r>
    </w:p>
  </w:endnote>
  <w:endnote w:type="continuationSeparator" w:id="0">
    <w:p w:rsidR="00BC255E" w:rsidRDefault="00B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9E5817">
              <w:rPr>
                <w:rFonts w:ascii="Palatino Linotype" w:hAnsi="Palatino Linotype"/>
                <w:b/>
                <w:bCs/>
                <w:noProof/>
                <w:sz w:val="22"/>
                <w:szCs w:val="22"/>
              </w:rPr>
              <w:t>10</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9E5817">
              <w:rPr>
                <w:rFonts w:ascii="Palatino Linotype" w:hAnsi="Palatino Linotype"/>
                <w:b/>
                <w:bCs/>
                <w:sz w:val="22"/>
                <w:szCs w:val="22"/>
              </w:rPr>
              <w:t>0</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9E581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9E5817">
              <w:rPr>
                <w:rFonts w:ascii="Palatino Linotype" w:hAnsi="Palatino Linotype"/>
                <w:b/>
                <w:bCs/>
                <w:sz w:val="22"/>
                <w:szCs w:val="22"/>
              </w:rPr>
              <w:t>0</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5E" w:rsidRDefault="00BC255E">
      <w:r>
        <w:separator/>
      </w:r>
    </w:p>
  </w:footnote>
  <w:footnote w:type="continuationSeparator" w:id="0">
    <w:p w:rsidR="00BC255E" w:rsidRDefault="00BC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2"/>
  </w:num>
  <w:num w:numId="5">
    <w:abstractNumId w:val="18"/>
  </w:num>
  <w:num w:numId="6">
    <w:abstractNumId w:val="13"/>
  </w:num>
  <w:num w:numId="7">
    <w:abstractNumId w:val="19"/>
  </w:num>
  <w:num w:numId="8">
    <w:abstractNumId w:val="14"/>
  </w:num>
  <w:num w:numId="9">
    <w:abstractNumId w:val="9"/>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
  </w:num>
  <w:num w:numId="15">
    <w:abstractNumId w:val="6"/>
  </w:num>
  <w:num w:numId="16">
    <w:abstractNumId w:val="1"/>
  </w:num>
  <w:num w:numId="17">
    <w:abstractNumId w:val="17"/>
  </w:num>
  <w:num w:numId="18">
    <w:abstractNumId w:val="15"/>
  </w:num>
  <w:num w:numId="19">
    <w:abstractNumId w:val="7"/>
  </w:num>
  <w:num w:numId="20">
    <w:abstractNumId w:val="11"/>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6A59"/>
    <w:rsid w:val="000872C5"/>
    <w:rsid w:val="00090EED"/>
    <w:rsid w:val="00097BBA"/>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A6E16"/>
    <w:rsid w:val="003B1A56"/>
    <w:rsid w:val="003B5554"/>
    <w:rsid w:val="003B6496"/>
    <w:rsid w:val="003C251F"/>
    <w:rsid w:val="003C2719"/>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5A7E"/>
    <w:rsid w:val="00856DB0"/>
    <w:rsid w:val="00857903"/>
    <w:rsid w:val="00860836"/>
    <w:rsid w:val="00865BDD"/>
    <w:rsid w:val="00874F69"/>
    <w:rsid w:val="00875EF6"/>
    <w:rsid w:val="008865E1"/>
    <w:rsid w:val="00894263"/>
    <w:rsid w:val="008A00A5"/>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9E5817"/>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612C"/>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55E"/>
    <w:rsid w:val="00BC26DE"/>
    <w:rsid w:val="00BC2C8D"/>
    <w:rsid w:val="00BC444B"/>
    <w:rsid w:val="00BD3F26"/>
    <w:rsid w:val="00BD521D"/>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A7725"/>
    <w:rsid w:val="00DB21C4"/>
    <w:rsid w:val="00DB3496"/>
    <w:rsid w:val="00DB4771"/>
    <w:rsid w:val="00DB74F0"/>
    <w:rsid w:val="00DC31FD"/>
    <w:rsid w:val="00DC379E"/>
    <w:rsid w:val="00DD0144"/>
    <w:rsid w:val="00DD1186"/>
    <w:rsid w:val="00DD1A49"/>
    <w:rsid w:val="00DD3393"/>
    <w:rsid w:val="00DE3C84"/>
    <w:rsid w:val="00DE4023"/>
    <w:rsid w:val="00DE5D70"/>
    <w:rsid w:val="00DF360F"/>
    <w:rsid w:val="00DF3612"/>
    <w:rsid w:val="00DF6ACB"/>
    <w:rsid w:val="00E0560E"/>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899"/>
    <w:rsid w:val="00E949C4"/>
    <w:rsid w:val="00E978A9"/>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5CBD"/>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2CF4A-E1AC-4DCC-9331-30DF3049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3830</Words>
  <Characters>21067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2019-02-27T15:11:00Z</cp:lastPrinted>
  <dcterms:created xsi:type="dcterms:W3CDTF">2019-02-27T15:28:00Z</dcterms:created>
  <dcterms:modified xsi:type="dcterms:W3CDTF">2019-02-27T16:27:00Z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