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B0" w:rsidRPr="00F112F0" w:rsidRDefault="007730B0" w:rsidP="00BA3016">
      <w:pPr>
        <w:pStyle w:val="a"/>
        <w:spacing w:after="120" w:line="276" w:lineRule="auto"/>
        <w:rPr>
          <w:rFonts w:ascii="Palatino Linotype" w:hAnsi="Palatino Linotype" w:cs="Times New Roman"/>
          <w:sz w:val="22"/>
          <w:szCs w:val="22"/>
        </w:rPr>
      </w:pPr>
      <w:r w:rsidRPr="00F112F0">
        <w:rPr>
          <w:rFonts w:ascii="Palatino Linotype" w:hAnsi="Palatino Linotype" w:cs="Times New Roman"/>
          <w:sz w:val="22"/>
          <w:szCs w:val="22"/>
        </w:rPr>
        <w:t>EXPOSICIÓN DE MOTIVOS</w:t>
      </w:r>
    </w:p>
    <w:p w:rsidR="00C4560E" w:rsidRDefault="00C4560E" w:rsidP="00C456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La Constitución de la República del Ecuador, en su artículo 30, garantiza a las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personas el "</w:t>
      </w:r>
      <w:r w:rsidRPr="00C4560E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derecho a un hábitat seguro y saludable, y a una vivienda adecuada y digna,</w:t>
      </w:r>
      <w:r w:rsidRPr="00C4560E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con</w:t>
      </w:r>
      <w:r w:rsidRPr="00C4560E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independencia de su situación social y económica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";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y, a su vez, establece que los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gobiernos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autónomos descentralizados municipales tienen la competencia exclusiva para planificar el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desarrollo cantonal, así como para ejercer el control sobre el uso y ocupación del suelo en el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cantón (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artículo 264, numerales 1 y 2).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</w:p>
    <w:p w:rsidR="00C4560E" w:rsidRDefault="00C4560E" w:rsidP="00C456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La Administración Municipal, a través de la Unidad Especial Regula Tu Barrio,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gestiona procesos tendientes a regularizar la ocupación informal del suelo aquellos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asentamientos humanos de hecho y consolidados que se encuentran en el Distrito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Quito, siguiendo para el efecto un proceso socio organizativo, legal y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técnico, que permita determinar el fraccionamiento de los lotes en cada asentamiento; y, por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tanto, los beneficiarios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del proceso de regularización.</w:t>
      </w:r>
    </w:p>
    <w:p w:rsidR="00C4560E" w:rsidRDefault="00C4560E" w:rsidP="00C456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El Asentamiento Humano de Hecho y Consolidado de Interés Social denominado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Comité Pro-mejoras del Barrio "San Miguel de </w:t>
      </w:r>
      <w:proofErr w:type="spellStart"/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Amagasi</w:t>
      </w:r>
      <w:proofErr w:type="spellEnd"/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", tiene una consolidación de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91,67% al inicio del proceso de regularización contaba con 40 años de existencia sin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embargo al momento de la sanción de la presente ordenan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za el asentamiento cuenta con 41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años de a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sentamiento y 48 beneficiarios.</w:t>
      </w:r>
    </w:p>
    <w:p w:rsidR="00C4560E" w:rsidRDefault="00C4560E" w:rsidP="00C456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Dicho Asentamiento Humano de Hecho y Consolidado de Interés Social denominado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Comité Pro-mejoras del Barrio "San Miguel de </w:t>
      </w:r>
      <w:proofErr w:type="spellStart"/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Amagasi</w:t>
      </w:r>
      <w:proofErr w:type="spellEnd"/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", fue reconocido mediante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Ordenanza No. 0117, sancionada el 31 de marzo de 2016, sin embargo, debido a que existen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errores de áreas de los lotes, la Unidad Especial Regula Tu Barrio realizó el proceso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tendiente a reformar dicha Ordenanza, a fin de permitir que los legítimos copropietarios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cuenten con escrituras que garanticen el ejercicio del derecho a la vivienda, adecuada y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digna, conforme lo pre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vé la Constitución del Ecuador.</w:t>
      </w:r>
    </w:p>
    <w:p w:rsidR="00C4560E" w:rsidRDefault="00C4560E" w:rsidP="00C456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En este sentido, la presente Ordenanza Reformatoria contiene la normativa tendiente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 la regularización del Asentamiento Humano de Hecho y Consolidado de Interés Social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denominado Comité Pro-mejoras del Barrio "San Miguel de </w:t>
      </w:r>
      <w:proofErr w:type="spellStart"/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Amagasi</w:t>
      </w:r>
      <w:proofErr w:type="spellEnd"/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", a fin de garantizar a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los beneficiarios el ejercicio de su derecho a la vivienda y el acceso a servicios básicos de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calidad.</w:t>
      </w:r>
    </w:p>
    <w:p w:rsidR="00BA3016" w:rsidRPr="00F112F0" w:rsidRDefault="00BA3016" w:rsidP="00BA3016">
      <w:pPr>
        <w:spacing w:after="120"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  <w:sectPr w:rsidR="00BA3016" w:rsidRPr="00F112F0" w:rsidSect="00A11D79">
          <w:headerReference w:type="default" r:id="rId8"/>
          <w:footerReference w:type="default" r:id="rId9"/>
          <w:headerReference w:type="first" r:id="rId10"/>
          <w:pgSz w:w="11906" w:h="16838"/>
          <w:pgMar w:top="3402" w:right="1416" w:bottom="567" w:left="1701" w:header="709" w:footer="294" w:gutter="0"/>
          <w:cols w:space="708"/>
          <w:titlePg/>
          <w:docGrid w:linePitch="360"/>
        </w:sectPr>
      </w:pPr>
    </w:p>
    <w:p w:rsidR="007730B0" w:rsidRPr="00F112F0" w:rsidRDefault="00CD4FDB" w:rsidP="00BA3016">
      <w:pPr>
        <w:pStyle w:val="a"/>
        <w:spacing w:after="120" w:line="276" w:lineRule="auto"/>
        <w:rPr>
          <w:rFonts w:ascii="Palatino Linotype" w:hAnsi="Palatino Linotype" w:cs="Times New Roman"/>
          <w:sz w:val="22"/>
          <w:szCs w:val="22"/>
        </w:rPr>
      </w:pPr>
      <w:r w:rsidRPr="00F112F0">
        <w:rPr>
          <w:rFonts w:ascii="Palatino Linotype" w:hAnsi="Palatino Linotype" w:cs="Times New Roman"/>
          <w:sz w:val="22"/>
          <w:szCs w:val="22"/>
        </w:rPr>
        <w:lastRenderedPageBreak/>
        <w:t>E</w:t>
      </w:r>
      <w:r w:rsidR="007730B0" w:rsidRPr="00F112F0">
        <w:rPr>
          <w:rFonts w:ascii="Palatino Linotype" w:hAnsi="Palatino Linotype" w:cs="Times New Roman"/>
          <w:sz w:val="22"/>
          <w:szCs w:val="22"/>
        </w:rPr>
        <w:t>L CONCEJO METROPOLITANO DE QUITO</w:t>
      </w:r>
    </w:p>
    <w:p w:rsidR="005B51E8" w:rsidRPr="00F112F0" w:rsidRDefault="005B51E8" w:rsidP="00BA3016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112F0">
        <w:rPr>
          <w:rFonts w:ascii="Palatino Linotype" w:hAnsi="Palatino Linotype"/>
          <w:sz w:val="22"/>
          <w:szCs w:val="22"/>
        </w:rPr>
        <w:t xml:space="preserve">Visto el Informe No. </w:t>
      </w:r>
      <w:r w:rsidR="00AF343E" w:rsidRPr="00F112F0">
        <w:rPr>
          <w:rFonts w:ascii="Palatino Linotype" w:hAnsi="Palatino Linotype"/>
          <w:sz w:val="22"/>
          <w:szCs w:val="22"/>
        </w:rPr>
        <w:t>IC-O-2018-10</w:t>
      </w:r>
      <w:r w:rsidR="00C4560E">
        <w:rPr>
          <w:rFonts w:ascii="Palatino Linotype" w:hAnsi="Palatino Linotype"/>
          <w:sz w:val="22"/>
          <w:szCs w:val="22"/>
        </w:rPr>
        <w:t>3</w:t>
      </w:r>
      <w:r w:rsidR="00FA7B32" w:rsidRPr="00F112F0">
        <w:rPr>
          <w:rFonts w:ascii="Palatino Linotype" w:hAnsi="Palatino Linotype"/>
          <w:sz w:val="22"/>
          <w:szCs w:val="22"/>
        </w:rPr>
        <w:t>, de 12 de abril de 2018,</w:t>
      </w:r>
      <w:r w:rsidR="00AF343E" w:rsidRPr="00F112F0">
        <w:rPr>
          <w:rFonts w:ascii="Palatino Linotype" w:hAnsi="Palatino Linotype"/>
          <w:sz w:val="22"/>
          <w:szCs w:val="22"/>
        </w:rPr>
        <w:t xml:space="preserve"> emitido </w:t>
      </w:r>
      <w:r w:rsidRPr="00F112F0">
        <w:rPr>
          <w:rFonts w:ascii="Palatino Linotype" w:hAnsi="Palatino Linotype"/>
          <w:sz w:val="22"/>
          <w:szCs w:val="22"/>
        </w:rPr>
        <w:t>por la Comisión de Ordenamiento Territorial.</w:t>
      </w:r>
    </w:p>
    <w:p w:rsidR="005B51E8" w:rsidRPr="00F112F0" w:rsidRDefault="005B51E8" w:rsidP="00BA3016">
      <w:pPr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F112F0">
        <w:rPr>
          <w:rFonts w:ascii="Palatino Linotype" w:hAnsi="Palatino Linotype"/>
          <w:b/>
          <w:sz w:val="22"/>
          <w:szCs w:val="22"/>
        </w:rPr>
        <w:t>CONSIDERANDO: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F112F0">
        <w:rPr>
          <w:rFonts w:ascii="Palatino Linotype" w:hAnsi="Palatino Linotype"/>
          <w:b/>
        </w:rPr>
        <w:t xml:space="preserve">Que, </w:t>
      </w:r>
      <w:r w:rsidRPr="00F112F0">
        <w:rPr>
          <w:rFonts w:ascii="Palatino Linotype" w:hAnsi="Palatino Linotype"/>
          <w:b/>
        </w:rPr>
        <w:tab/>
      </w:r>
      <w:r w:rsidRPr="00F112F0">
        <w:rPr>
          <w:rFonts w:ascii="Palatino Linotype" w:hAnsi="Palatino Linotype"/>
        </w:rPr>
        <w:t>el artículo 30 de la Constitución de la República del Ecuador (en adelante “Constitución”) establece que: “</w:t>
      </w:r>
      <w:r w:rsidRPr="00F112F0">
        <w:rPr>
          <w:rFonts w:ascii="Palatino Linotype" w:hAnsi="Palatino Linotype"/>
          <w:i/>
        </w:rPr>
        <w:t>Las personas tienen derecho a un hábitat seguro y saludable, y a una vivienda adecuada y digna, con independencia de su situación social y económica.</w:t>
      </w:r>
      <w:r w:rsidRPr="00F112F0">
        <w:rPr>
          <w:rFonts w:ascii="Palatino Linotype" w:hAnsi="Palatino Linotype"/>
        </w:rPr>
        <w:t>”;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  <w:bCs/>
        </w:rPr>
        <w:t>el artículo 31 de la Constitución expresa que: “</w:t>
      </w:r>
      <w:r w:rsidRPr="00F112F0">
        <w:rPr>
          <w:rFonts w:ascii="Palatino Linotype" w:hAnsi="Palatino Linotype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F112F0">
        <w:rPr>
          <w:rFonts w:ascii="Palatino Linotype" w:hAnsi="Palatino Linotype"/>
          <w:bCs/>
        </w:rPr>
        <w:t xml:space="preserve">”; 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</w:rPr>
        <w:t>el artículo 240 de la Constitución establece que: “</w:t>
      </w:r>
      <w:r w:rsidRPr="00F112F0">
        <w:rPr>
          <w:rFonts w:ascii="Palatino Linotype" w:hAnsi="Palatino Linotype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F112F0">
        <w:rPr>
          <w:rFonts w:ascii="Palatino Linotype" w:hAnsi="Palatino Linotype"/>
        </w:rPr>
        <w:t>”;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i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</w:rPr>
        <w:tab/>
        <w:t xml:space="preserve">el numeral 1 y </w:t>
      </w:r>
      <w:proofErr w:type="gramStart"/>
      <w:r w:rsidRPr="00F112F0">
        <w:rPr>
          <w:rFonts w:ascii="Palatino Linotype" w:hAnsi="Palatino Linotype"/>
        </w:rPr>
        <w:t>2  del</w:t>
      </w:r>
      <w:proofErr w:type="gramEnd"/>
      <w:r w:rsidRPr="00F112F0">
        <w:rPr>
          <w:rFonts w:ascii="Palatino Linotype" w:hAnsi="Palatino Linotype"/>
        </w:rPr>
        <w:t xml:space="preserve"> artículo 264 de la Constitución manifiesta que: “</w:t>
      </w:r>
      <w:r w:rsidRPr="00F112F0">
        <w:rPr>
          <w:rFonts w:ascii="Palatino Linotype" w:hAnsi="Palatino Linotype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F112F0">
        <w:rPr>
          <w:rFonts w:ascii="Palatino Linotype" w:hAnsi="Palatino Linotype"/>
        </w:rPr>
        <w:t xml:space="preserve">”; </w:t>
      </w:r>
      <w:r w:rsidRPr="00F112F0">
        <w:rPr>
          <w:rFonts w:ascii="Palatino Linotype" w:hAnsi="Palatino Linotype"/>
          <w:i/>
        </w:rPr>
        <w:t>(…)2.- “Ejercer el control sobre el uso y ocupación del</w:t>
      </w:r>
      <w:r w:rsidR="00FC7853" w:rsidRPr="00F112F0">
        <w:rPr>
          <w:rFonts w:ascii="Palatino Linotype" w:hAnsi="Palatino Linotype"/>
          <w:i/>
        </w:rPr>
        <w:t xml:space="preserve"> suelo en el cantón (…)”;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F112F0">
        <w:rPr>
          <w:rFonts w:ascii="Palatino Linotype" w:hAnsi="Palatino Linotype"/>
          <w:b/>
          <w:bCs/>
        </w:rPr>
        <w:t xml:space="preserve"> </w:t>
      </w:r>
      <w:r w:rsidRPr="00F112F0">
        <w:rPr>
          <w:rFonts w:ascii="Palatino Linotype" w:hAnsi="Palatino Linotype"/>
          <w:bCs/>
        </w:rPr>
        <w:t>señala</w:t>
      </w:r>
      <w:r w:rsidRPr="00F112F0">
        <w:rPr>
          <w:rFonts w:ascii="Palatino Linotype" w:hAnsi="Palatino Linotype"/>
          <w:b/>
          <w:bCs/>
        </w:rPr>
        <w:t xml:space="preserve"> </w:t>
      </w:r>
      <w:r w:rsidRPr="00F112F0">
        <w:rPr>
          <w:rFonts w:ascii="Palatino Linotype" w:hAnsi="Palatino Linotype"/>
          <w:bCs/>
        </w:rPr>
        <w:t>como una función del gobierno autónomo descentralizado municipal</w:t>
      </w:r>
      <w:r w:rsidRPr="00F112F0">
        <w:rPr>
          <w:rFonts w:ascii="Palatino Linotype" w:hAnsi="Palatino Linotype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</w:rPr>
        <w:t xml:space="preserve">el artículo 57, en concordancia con el artículo 87 del COOTAD, establece que las funciones del Concejo Municipal, entre otras, son: </w:t>
      </w:r>
      <w:r w:rsidRPr="00F112F0">
        <w:rPr>
          <w:rFonts w:ascii="Palatino Linotype" w:hAnsi="Palatino Linotype"/>
          <w:iCs/>
        </w:rPr>
        <w:t>“</w:t>
      </w:r>
      <w:r w:rsidRPr="00F112F0">
        <w:rPr>
          <w:rFonts w:ascii="Palatino Linotype" w:hAnsi="Palatino Linotype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F112F0">
        <w:rPr>
          <w:rFonts w:ascii="Palatino Linotype" w:hAnsi="Palatino Linotype"/>
          <w:i/>
        </w:rPr>
        <w:t xml:space="preserve"> </w:t>
      </w:r>
      <w:r w:rsidRPr="00F112F0">
        <w:rPr>
          <w:rFonts w:ascii="Palatino Linotype" w:hAnsi="Palatino Linotype"/>
          <w:i/>
          <w:iCs/>
        </w:rPr>
        <w:t xml:space="preserve">x) Regular y controlar, mediante la normativa cantonal correspondiente, el uso del suelo en el territorio </w:t>
      </w:r>
      <w:r w:rsidRPr="00F112F0">
        <w:rPr>
          <w:rFonts w:ascii="Palatino Linotype" w:hAnsi="Palatino Linotype"/>
          <w:i/>
          <w:iCs/>
        </w:rPr>
        <w:lastRenderedPageBreak/>
        <w:t>del cantón, de conformidad con las leyes sobre la materia, y establecer el régimen urbanístico de la tierra;</w:t>
      </w:r>
      <w:r w:rsidRPr="00F112F0">
        <w:rPr>
          <w:rFonts w:ascii="Palatino Linotype" w:hAnsi="Palatino Linotype"/>
          <w:i/>
        </w:rPr>
        <w:t xml:space="preserve"> y, (…) </w:t>
      </w:r>
      <w:r w:rsidRPr="00F112F0">
        <w:rPr>
          <w:rFonts w:ascii="Palatino Linotype" w:hAnsi="Palatino Linotype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F112F0">
        <w:rPr>
          <w:rFonts w:ascii="Palatino Linotype" w:hAnsi="Palatino Linotype"/>
          <w:i/>
          <w:iCs/>
        </w:rPr>
        <w:t>interbarrial</w:t>
      </w:r>
      <w:proofErr w:type="spellEnd"/>
      <w:r w:rsidRPr="00F112F0">
        <w:rPr>
          <w:rFonts w:ascii="Palatino Linotype" w:hAnsi="Palatino Linotype"/>
          <w:i/>
          <w:iCs/>
        </w:rPr>
        <w:t>.</w:t>
      </w:r>
      <w:r w:rsidRPr="00F112F0">
        <w:rPr>
          <w:rFonts w:ascii="Palatino Linotype" w:hAnsi="Palatino Linotype"/>
          <w:iCs/>
        </w:rPr>
        <w:t xml:space="preserve">”; </w:t>
      </w:r>
    </w:p>
    <w:p w:rsidR="00DD1A49" w:rsidRPr="00F112F0" w:rsidRDefault="00F112F0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Que, </w:t>
      </w:r>
      <w:r>
        <w:rPr>
          <w:rFonts w:ascii="Palatino Linotype" w:hAnsi="Palatino Linotype"/>
          <w:b/>
          <w:bCs/>
        </w:rPr>
        <w:tab/>
      </w:r>
      <w:r w:rsidR="00DD1A49" w:rsidRPr="00F112F0">
        <w:rPr>
          <w:rFonts w:ascii="Palatino Linotype" w:hAnsi="Palatino Linotype"/>
        </w:rPr>
        <w:t>el artículo 322 del COOTAD establece el procedimiento para la aprobación de las ordenanzas municipales;</w:t>
      </w:r>
    </w:p>
    <w:p w:rsidR="00DD1A49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  <w:bCs/>
        </w:rPr>
        <w:t>la Disposición Transitoria Décima Cuarta del COOTAD, señala: “</w:t>
      </w:r>
      <w:r w:rsidRPr="00F112F0">
        <w:rPr>
          <w:rFonts w:ascii="Palatino Linotype" w:hAnsi="Palatino Linotype"/>
          <w:bCs/>
          <w:i/>
        </w:rPr>
        <w:t xml:space="preserve">(…) </w:t>
      </w:r>
      <w:r w:rsidRPr="00F112F0">
        <w:rPr>
          <w:rFonts w:ascii="Palatino Linotype" w:hAnsi="Palatino Linotype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F112F0">
        <w:rPr>
          <w:rFonts w:ascii="Palatino Linotype" w:hAnsi="Palatino Linotype"/>
        </w:rPr>
        <w:t>.”;</w:t>
      </w:r>
    </w:p>
    <w:p w:rsidR="00C4560E" w:rsidRPr="00177A96" w:rsidRDefault="00C4560E" w:rsidP="00C4560E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/>
          <w:bCs/>
        </w:rPr>
      </w:pPr>
      <w:r w:rsidRPr="00177A96">
        <w:rPr>
          <w:rFonts w:ascii="Palatino Linotype" w:hAnsi="Palatino Linotype"/>
          <w:b/>
          <w:bCs/>
        </w:rPr>
        <w:t xml:space="preserve">Que, </w:t>
      </w:r>
      <w:r>
        <w:rPr>
          <w:rFonts w:ascii="Palatino Linotype" w:hAnsi="Palatino Linotype"/>
          <w:b/>
          <w:bCs/>
        </w:rPr>
        <w:tab/>
      </w:r>
      <w:r w:rsidRPr="00177A96">
        <w:rPr>
          <w:rFonts w:ascii="Palatino Linotype" w:hAnsi="Palatino Linotype"/>
          <w:bCs/>
        </w:rPr>
        <w:t>el artículo 486 del COOTAD reformado establece que: “</w:t>
      </w:r>
      <w:r w:rsidRPr="00177A96">
        <w:rPr>
          <w:rFonts w:ascii="Palatino Linotype" w:hAnsi="Palatino Linotype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177A96">
        <w:rPr>
          <w:rFonts w:ascii="Palatino Linotype" w:hAnsi="Palatino Linotype"/>
          <w:bCs/>
          <w:lang w:val="es-ES_tradnl"/>
        </w:rPr>
        <w:t>”</w:t>
      </w:r>
      <w:r w:rsidRPr="00177A96">
        <w:rPr>
          <w:rFonts w:ascii="Palatino Linotype" w:hAnsi="Palatino Linotype"/>
          <w:b/>
          <w:bCs/>
        </w:rPr>
        <w:t>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C4560E" w:rsidRDefault="00DD1A49" w:rsidP="00C4560E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C4560E" w:rsidRPr="00C4560E" w:rsidRDefault="00C4560E" w:rsidP="00C4560E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C4560E">
        <w:rPr>
          <w:rFonts w:ascii="Palatino Linotype" w:eastAsiaTheme="minorHAnsi" w:hAnsi="Palatino Linotype"/>
          <w:b/>
        </w:rPr>
        <w:t xml:space="preserve">Que, </w:t>
      </w:r>
      <w:r>
        <w:rPr>
          <w:rFonts w:ascii="Palatino Linotype" w:eastAsiaTheme="minorHAnsi" w:hAnsi="Palatino Linotype"/>
        </w:rPr>
        <w:tab/>
      </w:r>
      <w:r w:rsidRPr="00C4560E">
        <w:rPr>
          <w:rFonts w:ascii="Palatino Linotype" w:eastAsiaTheme="minorHAnsi" w:hAnsi="Palatino Linotype"/>
        </w:rPr>
        <w:t>mediante Ordenanza Municipal No. 0117, sancionada el 31 de marzo de 2016, se</w:t>
      </w:r>
      <w:r>
        <w:rPr>
          <w:rFonts w:ascii="Palatino Linotype" w:eastAsiaTheme="minorHAnsi" w:hAnsi="Palatino Linotype"/>
        </w:rPr>
        <w:t xml:space="preserve"> </w:t>
      </w:r>
      <w:r w:rsidRPr="00C4560E">
        <w:rPr>
          <w:rFonts w:ascii="Palatino Linotype" w:eastAsiaTheme="minorHAnsi" w:hAnsi="Palatino Linotype"/>
        </w:rPr>
        <w:t>reconoce y aprueba el Asentamiento Humano de Hecho y Consolidado de Interés</w:t>
      </w:r>
      <w:r>
        <w:rPr>
          <w:rFonts w:ascii="Palatino Linotype" w:eastAsiaTheme="minorHAnsi" w:hAnsi="Palatino Linotype"/>
        </w:rPr>
        <w:t xml:space="preserve"> </w:t>
      </w:r>
      <w:r w:rsidRPr="00C4560E">
        <w:rPr>
          <w:rFonts w:ascii="Palatino Linotype" w:eastAsiaTheme="minorHAnsi" w:hAnsi="Palatino Linotype"/>
        </w:rPr>
        <w:t xml:space="preserve">Social denominado Comité Pro-mejoras del Barrio "San Miguel de </w:t>
      </w:r>
      <w:proofErr w:type="spellStart"/>
      <w:r w:rsidRPr="00C4560E">
        <w:rPr>
          <w:rFonts w:ascii="Palatino Linotype" w:eastAsiaTheme="minorHAnsi" w:hAnsi="Palatino Linotype"/>
        </w:rPr>
        <w:t>Amagasi</w:t>
      </w:r>
      <w:proofErr w:type="spellEnd"/>
      <w:r w:rsidRPr="00C4560E">
        <w:rPr>
          <w:rFonts w:ascii="Palatino Linotype" w:eastAsiaTheme="minorHAnsi" w:hAnsi="Palatino Linotype"/>
        </w:rPr>
        <w:t>", a</w:t>
      </w:r>
      <w:r>
        <w:rPr>
          <w:rFonts w:ascii="Palatino Linotype" w:eastAsiaTheme="minorHAnsi" w:hAnsi="Palatino Linotype"/>
        </w:rPr>
        <w:t xml:space="preserve"> </w:t>
      </w:r>
      <w:r w:rsidRPr="00C4560E">
        <w:rPr>
          <w:rFonts w:ascii="Palatino Linotype" w:eastAsiaTheme="minorHAnsi" w:hAnsi="Palatino Linotype"/>
        </w:rPr>
        <w:t>favor de sus copropietarios;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F112F0">
        <w:rPr>
          <w:rFonts w:ascii="Palatino Linotype" w:hAnsi="Palatino Linotype"/>
          <w:b/>
          <w:bCs/>
        </w:rPr>
        <w:t>Que,</w:t>
      </w:r>
      <w:r w:rsidRPr="00F112F0">
        <w:rPr>
          <w:rFonts w:ascii="Palatino Linotype" w:hAnsi="Palatino Linotype"/>
          <w:b/>
          <w:bCs/>
        </w:rPr>
        <w:tab/>
      </w:r>
      <w:r w:rsidRPr="00F112F0">
        <w:rPr>
          <w:rFonts w:ascii="Palatino Linotype" w:hAnsi="Palatino Linotype"/>
        </w:rPr>
        <w:t xml:space="preserve">la Unidad Especial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</w:t>
      </w:r>
      <w:r w:rsidRPr="00F112F0">
        <w:rPr>
          <w:rFonts w:ascii="Palatino Linotype" w:hAnsi="Palatino Linotype"/>
        </w:rPr>
        <w:lastRenderedPageBreak/>
        <w:t xml:space="preserve">ordenamiento de la ciudad, conforme lo establecido en el artículo 2 de la Resolución Administrativa No. A0010 de 19 de marzo de 2010; </w:t>
      </w:r>
    </w:p>
    <w:p w:rsidR="00DD1A49" w:rsidRPr="00F112F0" w:rsidRDefault="00DD1A49" w:rsidP="00BA3016">
      <w:pPr>
        <w:spacing w:after="120" w:line="276" w:lineRule="auto"/>
        <w:ind w:left="705" w:hanging="705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gramStart"/>
      <w:r w:rsidRPr="00F112F0">
        <w:rPr>
          <w:rFonts w:ascii="Palatino Linotype" w:hAnsi="Palatino Linotype"/>
          <w:b/>
          <w:bCs/>
          <w:sz w:val="22"/>
          <w:szCs w:val="22"/>
        </w:rPr>
        <w:t xml:space="preserve">Que,   </w:t>
      </w:r>
      <w:proofErr w:type="gramEnd"/>
      <w:r w:rsidRPr="00F112F0">
        <w:rPr>
          <w:rFonts w:ascii="Palatino Linotype" w:hAnsi="Palatino Linotype"/>
          <w:bCs/>
          <w:sz w:val="22"/>
          <w:szCs w:val="22"/>
        </w:rPr>
        <w:t>la Ordenanza No. 147 de 9 de diciembre de 2016; en sus considerandos reconoce la creación de la Unidad Especial Regula Tu Barrio como el ente encargado de procesar, canalizar y resolver los procedimientos para la regularización de la ocupación informal del suelo;</w:t>
      </w:r>
    </w:p>
    <w:p w:rsidR="00DD1A49" w:rsidRPr="00F112F0" w:rsidRDefault="00DD1A49" w:rsidP="00BA3016">
      <w:pPr>
        <w:spacing w:after="120" w:line="276" w:lineRule="auto"/>
        <w:ind w:left="705" w:hanging="705"/>
        <w:jc w:val="both"/>
        <w:rPr>
          <w:rFonts w:ascii="Palatino Linotype" w:hAnsi="Palatino Linotype"/>
          <w:bCs/>
          <w:sz w:val="22"/>
          <w:szCs w:val="22"/>
        </w:rPr>
      </w:pPr>
      <w:proofErr w:type="gramStart"/>
      <w:r w:rsidRPr="00F112F0">
        <w:rPr>
          <w:rFonts w:ascii="Palatino Linotype" w:hAnsi="Palatino Linotype"/>
          <w:b/>
          <w:bCs/>
          <w:sz w:val="22"/>
          <w:szCs w:val="22"/>
        </w:rPr>
        <w:t xml:space="preserve">Que,   </w:t>
      </w:r>
      <w:proofErr w:type="gramEnd"/>
      <w:r w:rsidRPr="00F112F0">
        <w:rPr>
          <w:rFonts w:ascii="Palatino Linotype" w:hAnsi="Palatino Linotype"/>
          <w:bCs/>
          <w:sz w:val="22"/>
          <w:szCs w:val="22"/>
        </w:rPr>
        <w:t>mediante Ordenanza No. 147 de 9 de diciembre de 2016, se establecieron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DD1A49" w:rsidRPr="00F112F0" w:rsidRDefault="00DD1A49" w:rsidP="00BA301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proofErr w:type="gramStart"/>
      <w:r w:rsidRPr="00F112F0">
        <w:rPr>
          <w:rFonts w:ascii="Palatino Linotype" w:hAnsi="Palatino Linotype"/>
          <w:b/>
          <w:bCs/>
        </w:rPr>
        <w:t xml:space="preserve">Que,   </w:t>
      </w:r>
      <w:proofErr w:type="gramEnd"/>
      <w:r w:rsidRPr="00F112F0">
        <w:rPr>
          <w:rFonts w:ascii="Palatino Linotype" w:hAnsi="Palatino Linotype"/>
          <w:bCs/>
        </w:rPr>
        <w:t>de conformidad a la disposición transitoria segunda de la Ordenanza No. 147 de 9 de diciembre de 2016 se considerará en los procesos de regularización de asentamientos humanos de hecho y consolidados que se encuentren en trámite, se aplicará la norma más beneficiosa para la regularización del asentamiento; y,</w:t>
      </w:r>
    </w:p>
    <w:p w:rsidR="00C4560E" w:rsidRPr="00C4560E" w:rsidRDefault="005B51E8" w:rsidP="00C4560E">
      <w:pPr>
        <w:spacing w:after="120" w:line="276" w:lineRule="auto"/>
        <w:ind w:left="705" w:hanging="705"/>
        <w:jc w:val="both"/>
        <w:rPr>
          <w:rFonts w:ascii="Palatino Linotype" w:hAnsi="Palatino Linotype"/>
          <w:sz w:val="22"/>
          <w:szCs w:val="22"/>
        </w:rPr>
      </w:pPr>
      <w:r w:rsidRPr="00F112F0">
        <w:rPr>
          <w:rFonts w:ascii="Palatino Linotype" w:hAnsi="Palatino Linotype"/>
          <w:b/>
          <w:bCs/>
          <w:sz w:val="22"/>
          <w:szCs w:val="22"/>
        </w:rPr>
        <w:t>Que,</w:t>
      </w:r>
      <w:r w:rsidR="00FC7853" w:rsidRPr="00F112F0">
        <w:rPr>
          <w:rFonts w:ascii="Palatino Linotype" w:hAnsi="Palatino Linotype"/>
          <w:sz w:val="22"/>
          <w:szCs w:val="22"/>
        </w:rPr>
        <w:tab/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Mesa Institucional, reunida el 07 de diciembre de 2017 en la Administración Zonal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Eugenio Espejo, integrada por: Arq. Juan Carlos Echeverría, Coordinador UERB-AZLD;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Ab. Lucia Jurado Orna, Responsable Legal UERB-AZLD; Gabriel </w:t>
      </w:r>
      <w:proofErr w:type="spellStart"/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Bedón</w:t>
      </w:r>
      <w:proofErr w:type="spellEnd"/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Álvarez,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Responsable Socio Organizativo UERB-AZLD; Arq. Gabriela Nina, Delegada de la AZEE;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Ab. Rolando Ruíz, Director Jurídico AZEE; Ing. Elizabeth Carrión, Delegada de la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Dirección Metropolitana de Gestión de Riesgos; Arq. María Belén Cueva, Delegada de la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Dirección Metropolitana de Catastro; Arq. Elizabeth Ortiz, Delegada de la Secretaría de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Territorio Hábitat y Vivienda, aprobaron el Informe Socio Organizativo Legal y Técnico N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o. </w:t>
      </w:r>
      <w:r w:rsidR="00C4560E"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001-UERB-AZEE-SOLT-2017,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de fecha 01 de diciembre de 2017, habilitante de la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Ordenanza de reconocimiento del Asentamiento Humano </w:t>
      </w:r>
      <w:r w:rsidR="00C4560E"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de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Hecho y Consolidado de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Interés Social denominado Comité Pro-mejoras del Barrio "San Miguel de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proofErr w:type="spellStart"/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Amagasi</w:t>
      </w:r>
      <w:proofErr w:type="spellEnd"/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", a favor de sus copropietarios, ubicado en la Parroquia San Isidro del Inca, a</w:t>
      </w:r>
      <w:r w:rsidR="00C4560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4560E"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favor de sus copropietarios.</w:t>
      </w:r>
    </w:p>
    <w:p w:rsidR="005B51E8" w:rsidRPr="00F112F0" w:rsidRDefault="005B51E8" w:rsidP="00BA3016">
      <w:pPr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F112F0">
        <w:rPr>
          <w:rFonts w:ascii="Palatino Linotype" w:hAnsi="Palatino Linotype"/>
          <w:b/>
          <w:bCs/>
          <w:sz w:val="22"/>
          <w:szCs w:val="22"/>
        </w:rPr>
        <w:t xml:space="preserve">En </w:t>
      </w:r>
      <w:r w:rsidR="00F112F0">
        <w:rPr>
          <w:rFonts w:ascii="Palatino Linotype" w:hAnsi="Palatino Linotype"/>
          <w:b/>
          <w:sz w:val="22"/>
          <w:szCs w:val="22"/>
        </w:rPr>
        <w:t>ejercicio</w:t>
      </w:r>
      <w:r w:rsidRPr="00F112F0">
        <w:rPr>
          <w:rFonts w:ascii="Palatino Linotype" w:hAnsi="Palatino Linotype"/>
          <w:b/>
          <w:sz w:val="22"/>
          <w:szCs w:val="22"/>
        </w:rPr>
        <w:t xml:space="preserve"> de </w:t>
      </w:r>
      <w:r w:rsidR="00F112F0">
        <w:rPr>
          <w:rFonts w:ascii="Palatino Linotype" w:hAnsi="Palatino Linotype"/>
          <w:b/>
          <w:sz w:val="22"/>
          <w:szCs w:val="22"/>
        </w:rPr>
        <w:t xml:space="preserve">sus </w:t>
      </w:r>
      <w:r w:rsidRPr="00F112F0">
        <w:rPr>
          <w:rFonts w:ascii="Palatino Linotype" w:hAnsi="Palatino Linotype"/>
          <w:b/>
          <w:sz w:val="22"/>
          <w:szCs w:val="22"/>
        </w:rPr>
        <w:t>atribuciones legales constantes en los artículos 30, 31, 240 y 264 n</w:t>
      </w:r>
      <w:r w:rsidR="009868C3">
        <w:rPr>
          <w:rFonts w:ascii="Palatino Linotype" w:hAnsi="Palatino Linotype"/>
          <w:b/>
          <w:sz w:val="22"/>
          <w:szCs w:val="22"/>
        </w:rPr>
        <w:t>umeral 1 y 2 de la Constitución</w:t>
      </w:r>
      <w:r w:rsidRPr="00F112F0">
        <w:rPr>
          <w:rFonts w:ascii="Palatino Linotype" w:hAnsi="Palatino Linotype"/>
          <w:b/>
          <w:sz w:val="22"/>
          <w:szCs w:val="22"/>
        </w:rPr>
        <w:t xml:space="preserve"> de la República del Ecuador; 84, literal c), 87, literales a), v) y x), y 322 del Código Orgánico de Organización Territorial Autonomía y Descentralización; 2, numeral 1, 8, numeral 1 de la Ley de Régimen para </w:t>
      </w:r>
      <w:proofErr w:type="gramStart"/>
      <w:r w:rsidRPr="00F112F0">
        <w:rPr>
          <w:rFonts w:ascii="Palatino Linotype" w:hAnsi="Palatino Linotype"/>
          <w:b/>
          <w:sz w:val="22"/>
          <w:szCs w:val="22"/>
        </w:rPr>
        <w:t>el  D</w:t>
      </w:r>
      <w:r w:rsidR="00FC7853" w:rsidRPr="00F112F0">
        <w:rPr>
          <w:rFonts w:ascii="Palatino Linotype" w:hAnsi="Palatino Linotype"/>
          <w:b/>
          <w:sz w:val="22"/>
          <w:szCs w:val="22"/>
        </w:rPr>
        <w:t>istrito</w:t>
      </w:r>
      <w:proofErr w:type="gramEnd"/>
      <w:r w:rsidR="00FC7853" w:rsidRPr="00F112F0">
        <w:rPr>
          <w:rFonts w:ascii="Palatino Linotype" w:hAnsi="Palatino Linotype"/>
          <w:b/>
          <w:sz w:val="22"/>
          <w:szCs w:val="22"/>
        </w:rPr>
        <w:t xml:space="preserve"> Metropolitano</w:t>
      </w:r>
      <w:r w:rsidR="007A714D" w:rsidRPr="00F112F0">
        <w:rPr>
          <w:rFonts w:ascii="Palatino Linotype" w:hAnsi="Palatino Linotype"/>
          <w:b/>
          <w:sz w:val="22"/>
          <w:szCs w:val="22"/>
        </w:rPr>
        <w:t xml:space="preserve"> de Quito,</w:t>
      </w:r>
    </w:p>
    <w:p w:rsidR="005B51E8" w:rsidRPr="00F112F0" w:rsidRDefault="005B51E8" w:rsidP="00BA3016">
      <w:pPr>
        <w:spacing w:after="12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F112F0">
        <w:rPr>
          <w:rFonts w:ascii="Palatino Linotype" w:hAnsi="Palatino Linotype"/>
          <w:b/>
          <w:sz w:val="22"/>
          <w:szCs w:val="22"/>
        </w:rPr>
        <w:lastRenderedPageBreak/>
        <w:t>EXPIDE LA SIGUIENTE:</w:t>
      </w:r>
    </w:p>
    <w:p w:rsidR="00C4560E" w:rsidRPr="00C4560E" w:rsidRDefault="00C4560E" w:rsidP="00C4560E">
      <w:pPr>
        <w:pStyle w:val="Ttulo7"/>
        <w:spacing w:before="0" w:after="120" w:line="276" w:lineRule="auto"/>
        <w:jc w:val="center"/>
        <w:rPr>
          <w:rFonts w:ascii="Palatino Linotype" w:hAnsi="Palatino Linotype"/>
          <w:sz w:val="22"/>
          <w:szCs w:val="22"/>
        </w:rPr>
      </w:pP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ORDENANZA REFORMATORIA DE LA ORDENANZA No. 0117, SANCIONADA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EL 31 DE MARZO DE 2016, QUE RECONOCE Y APRUEBA EL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FRACCIONAMIENTO DE LOS PREDIOS 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Nos. 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243160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,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243159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Y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243094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,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SOBRE 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LOS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QUE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SE ENCUENTRA EL ASENTAMIENTO HUMANO DE HECHO Y CONSOLIDADO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DE INTERÉS SOCIAL DENOMINADO COMITÉ PRO- MEJORAS DEL BARRIO</w:t>
      </w:r>
      <w:r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"SAN MIGUEL DE AMAGASI"</w:t>
      </w: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, A FAVOR DE SUS COPROPIETARIOS</w:t>
      </w:r>
    </w:p>
    <w:p w:rsidR="00C4560E" w:rsidRPr="00C4560E" w:rsidRDefault="00C4560E" w:rsidP="00C4560E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C4560E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 xml:space="preserve">Artículo 1.-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Sustitúyase el artículo 2 de la Ordenanza No. 0117, sancionada el 31 de marzo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C4560E">
        <w:rPr>
          <w:rFonts w:ascii="Palatino Linotype" w:eastAsiaTheme="minorHAnsi" w:hAnsi="Palatino Linotype"/>
          <w:sz w:val="22"/>
          <w:szCs w:val="22"/>
          <w:lang w:val="es-EC" w:eastAsia="en-US"/>
        </w:rPr>
        <w:t>de 2016, por el siguiente:</w:t>
      </w:r>
    </w:p>
    <w:p w:rsidR="00C4560E" w:rsidRPr="00C4560E" w:rsidRDefault="00C4560E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</w:pPr>
      <w:r w:rsidRPr="00C4560E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</w:t>
      </w:r>
      <w:r w:rsidRPr="00C4560E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Artículo 2.- Especificaciones </w:t>
      </w:r>
      <w:proofErr w:type="gramStart"/>
      <w:r w:rsidRPr="00C4560E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técnicas.-</w:t>
      </w:r>
      <w:proofErr w:type="gramEnd"/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64"/>
        <w:gridCol w:w="2184"/>
        <w:gridCol w:w="1071"/>
        <w:gridCol w:w="1400"/>
        <w:gridCol w:w="1744"/>
        <w:gridCol w:w="1663"/>
      </w:tblGrid>
      <w:tr w:rsidR="00C4560E" w:rsidRPr="00C4560E" w:rsidTr="009868C3">
        <w:trPr>
          <w:jc w:val="center"/>
        </w:trPr>
        <w:tc>
          <w:tcPr>
            <w:tcW w:w="86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  <w:t>Predio</w:t>
            </w:r>
          </w:p>
        </w:tc>
        <w:tc>
          <w:tcPr>
            <w:tcW w:w="218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  <w:t>Zonificación actual</w:t>
            </w:r>
          </w:p>
        </w:tc>
        <w:tc>
          <w:tcPr>
            <w:tcW w:w="1071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  <w:t>Lote mínimo</w:t>
            </w:r>
          </w:p>
        </w:tc>
        <w:tc>
          <w:tcPr>
            <w:tcW w:w="1400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  <w:t>Forma ocupación del suelo</w:t>
            </w:r>
          </w:p>
        </w:tc>
        <w:tc>
          <w:tcPr>
            <w:tcW w:w="174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  <w:t>Uso principal</w:t>
            </w:r>
          </w:p>
        </w:tc>
        <w:tc>
          <w:tcPr>
            <w:tcW w:w="1663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ascii="Palatino Linotype" w:eastAsiaTheme="minorHAnsi" w:hAnsi="Palatino Linotype"/>
                <w:b/>
                <w:i/>
                <w:iCs/>
                <w:sz w:val="22"/>
                <w:szCs w:val="22"/>
                <w:lang w:val="es-EC" w:eastAsia="en-US"/>
              </w:rPr>
              <w:t>Clasificación del suelo</w:t>
            </w:r>
          </w:p>
        </w:tc>
      </w:tr>
      <w:tr w:rsidR="00C4560E" w:rsidRPr="00C4560E" w:rsidTr="009868C3">
        <w:trPr>
          <w:jc w:val="center"/>
        </w:trPr>
        <w:tc>
          <w:tcPr>
            <w:tcW w:w="864" w:type="dxa"/>
          </w:tcPr>
          <w:p w:rsidR="00C4560E" w:rsidRPr="00C4560E" w:rsidRDefault="00C4560E" w:rsidP="00C4560E">
            <w:pPr>
              <w:spacing w:after="120" w:line="276" w:lineRule="auto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eastAsiaTheme="minorHAnsi"/>
                <w:bCs/>
                <w:sz w:val="21"/>
                <w:szCs w:val="21"/>
                <w:lang w:val="es-EC" w:eastAsia="en-US"/>
              </w:rPr>
              <w:t>243160</w:t>
            </w:r>
          </w:p>
        </w:tc>
        <w:tc>
          <w:tcPr>
            <w:tcW w:w="218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A10(A604-50)</w:t>
            </w:r>
          </w:p>
        </w:tc>
        <w:tc>
          <w:tcPr>
            <w:tcW w:w="1071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vertAlign w:val="superscript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600 m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vertAlign w:val="superscript"/>
                <w:lang w:val="es-EC" w:eastAsia="en-US"/>
              </w:rPr>
              <w:t>2</w:t>
            </w:r>
          </w:p>
        </w:tc>
        <w:tc>
          <w:tcPr>
            <w:tcW w:w="1400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</w:t>
            </w:r>
            <w:r w:rsidRPr="00C4560E"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A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) Aislada</w:t>
            </w:r>
          </w:p>
        </w:tc>
        <w:tc>
          <w:tcPr>
            <w:tcW w:w="174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(RU2) Residencial Urbano 2</w:t>
            </w:r>
          </w:p>
        </w:tc>
        <w:tc>
          <w:tcPr>
            <w:tcW w:w="1663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(SU) Suelo Urbano</w:t>
            </w:r>
          </w:p>
        </w:tc>
      </w:tr>
      <w:tr w:rsidR="00C4560E" w:rsidRPr="00C4560E" w:rsidTr="009868C3">
        <w:trPr>
          <w:jc w:val="center"/>
        </w:trPr>
        <w:tc>
          <w:tcPr>
            <w:tcW w:w="86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eastAsiaTheme="minorHAnsi"/>
                <w:bCs/>
                <w:sz w:val="21"/>
                <w:szCs w:val="21"/>
                <w:lang w:val="es-EC" w:eastAsia="en-US"/>
              </w:rPr>
              <w:t>2431</w:t>
            </w:r>
            <w:r w:rsidRPr="00C4560E">
              <w:rPr>
                <w:rFonts w:eastAsiaTheme="minorHAnsi"/>
                <w:bCs/>
                <w:sz w:val="21"/>
                <w:szCs w:val="21"/>
                <w:lang w:val="es-EC" w:eastAsia="en-US"/>
              </w:rPr>
              <w:t>59</w:t>
            </w:r>
          </w:p>
        </w:tc>
        <w:tc>
          <w:tcPr>
            <w:tcW w:w="218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A10(A604-50)</w:t>
            </w:r>
          </w:p>
        </w:tc>
        <w:tc>
          <w:tcPr>
            <w:tcW w:w="1071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vertAlign w:val="superscript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600 m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vertAlign w:val="superscript"/>
                <w:lang w:val="es-EC" w:eastAsia="en-US"/>
              </w:rPr>
              <w:t>2</w:t>
            </w:r>
          </w:p>
        </w:tc>
        <w:tc>
          <w:tcPr>
            <w:tcW w:w="1400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</w:t>
            </w:r>
            <w:r w:rsidRPr="00C4560E"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A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) Aislada</w:t>
            </w:r>
          </w:p>
        </w:tc>
        <w:tc>
          <w:tcPr>
            <w:tcW w:w="174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(RU2) Residencial Urbano 2</w:t>
            </w:r>
          </w:p>
        </w:tc>
        <w:tc>
          <w:tcPr>
            <w:tcW w:w="1663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(SU) Suelo Urbano</w:t>
            </w:r>
          </w:p>
        </w:tc>
      </w:tr>
      <w:tr w:rsidR="00C4560E" w:rsidRPr="00C4560E" w:rsidTr="009868C3">
        <w:trPr>
          <w:jc w:val="center"/>
        </w:trPr>
        <w:tc>
          <w:tcPr>
            <w:tcW w:w="86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 w:rsidRPr="00C4560E">
              <w:rPr>
                <w:rFonts w:eastAsiaTheme="minorHAnsi"/>
                <w:bCs/>
                <w:sz w:val="21"/>
                <w:szCs w:val="21"/>
                <w:lang w:val="es-EC" w:eastAsia="en-US"/>
              </w:rPr>
              <w:t>243</w:t>
            </w:r>
            <w:r w:rsidRPr="00C4560E">
              <w:rPr>
                <w:rFonts w:eastAsiaTheme="minorHAnsi"/>
                <w:bCs/>
                <w:sz w:val="21"/>
                <w:szCs w:val="21"/>
                <w:lang w:val="es-EC" w:eastAsia="en-US"/>
              </w:rPr>
              <w:t>094</w:t>
            </w:r>
          </w:p>
        </w:tc>
        <w:tc>
          <w:tcPr>
            <w:tcW w:w="2184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A10(A604-50)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 xml:space="preserve"> / A31 (PQ)</w:t>
            </w:r>
          </w:p>
        </w:tc>
        <w:tc>
          <w:tcPr>
            <w:tcW w:w="1071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vertAlign w:val="superscript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600 m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vertAlign w:val="superscript"/>
                <w:lang w:val="es-EC" w:eastAsia="en-US"/>
              </w:rPr>
              <w:t>2</w:t>
            </w:r>
          </w:p>
        </w:tc>
        <w:tc>
          <w:tcPr>
            <w:tcW w:w="1400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</w:t>
            </w:r>
            <w:r w:rsidRPr="00C4560E"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A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) Aislada</w:t>
            </w:r>
          </w:p>
        </w:tc>
        <w:tc>
          <w:tcPr>
            <w:tcW w:w="1744" w:type="dxa"/>
          </w:tcPr>
          <w:p w:rsidR="00C4560E" w:rsidRPr="00C4560E" w:rsidRDefault="00C4560E" w:rsidP="008E280D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(RU2) Residencial Urbano 2</w:t>
            </w: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 xml:space="preserve"> / (PE/CPN) </w:t>
            </w:r>
            <w:r w:rsidR="008E280D"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Protección Ecológica / Conservación del Patrimonio Natural</w:t>
            </w:r>
          </w:p>
        </w:tc>
        <w:tc>
          <w:tcPr>
            <w:tcW w:w="1663" w:type="dxa"/>
          </w:tcPr>
          <w:p w:rsidR="00C4560E" w:rsidRPr="00C4560E" w:rsidRDefault="00C4560E" w:rsidP="00C4560E">
            <w:pPr>
              <w:spacing w:after="120" w:line="276" w:lineRule="auto"/>
              <w:jc w:val="both"/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</w:pPr>
            <w:r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>(SU) Suelo Urbano</w:t>
            </w:r>
            <w:r w:rsidR="008E280D">
              <w:rPr>
                <w:rFonts w:ascii="Palatino Linotype" w:eastAsiaTheme="minorHAnsi" w:hAnsi="Palatino Linotype"/>
                <w:i/>
                <w:iCs/>
                <w:sz w:val="22"/>
                <w:szCs w:val="22"/>
                <w:lang w:val="es-EC" w:eastAsia="en-US"/>
              </w:rPr>
              <w:t xml:space="preserve"> / (SRU) Suelo Rural</w:t>
            </w:r>
          </w:p>
        </w:tc>
      </w:tr>
    </w:tbl>
    <w:p w:rsid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</w:pPr>
    </w:p>
    <w:p w:rsid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Número de 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l</w:t>
      </w: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otes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: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12</w:t>
      </w:r>
    </w:p>
    <w:p w:rsid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</w:pP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Área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 útil de lotes: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11.896,23 m</w:t>
      </w:r>
      <w:r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  <w:t>2</w:t>
      </w:r>
    </w:p>
    <w:p w:rsidR="00C4560E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</w:pP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Área franja de protección BSQ rellena en lotes: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168,15 m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  <w:t>2</w:t>
      </w:r>
    </w:p>
    <w:p w:rsidR="008E280D" w:rsidRP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</w:pP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lastRenderedPageBreak/>
        <w:t>Área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 municipal: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ab/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23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12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m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  <w:t>2</w:t>
      </w:r>
    </w:p>
    <w:p w:rsid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</w:pPr>
      <w:r>
        <w:rPr>
          <w:rFonts w:ascii="Palatino Linotype" w:hAnsi="Palatino Linotype"/>
          <w:b/>
          <w:i/>
          <w:sz w:val="22"/>
          <w:szCs w:val="22"/>
          <w:lang w:val="es-ES_tradnl"/>
        </w:rPr>
        <w:t>Área de afectación vial en lotes:</w:t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ab/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ab/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ab/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186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50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m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  <w:t>2</w:t>
      </w:r>
    </w:p>
    <w:p w:rsid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</w:pPr>
      <w:r>
        <w:rPr>
          <w:rFonts w:ascii="Palatino Linotype" w:hAnsi="Palatino Linotype"/>
          <w:b/>
          <w:i/>
          <w:sz w:val="22"/>
          <w:szCs w:val="22"/>
          <w:lang w:val="es-ES_tradnl"/>
        </w:rPr>
        <w:t xml:space="preserve">Área </w:t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>bruta del terreno (área total)</w:t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>:</w:t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ab/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ab/>
      </w:r>
      <w:r>
        <w:rPr>
          <w:rFonts w:ascii="Palatino Linotype" w:hAnsi="Palatino Linotype"/>
          <w:b/>
          <w:i/>
          <w:sz w:val="22"/>
          <w:szCs w:val="22"/>
          <w:lang w:val="es-ES_tradnl"/>
        </w:rPr>
        <w:tab/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12.274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00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m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  <w:t>2</w:t>
      </w:r>
    </w:p>
    <w:p w:rsidR="008E280D" w:rsidRDefault="008E280D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El número total de lotes es de 12, signados del uno (1) al doce (12), cuyo detalle es el que consta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en los planos aprobatorios que forman parte de la presente Ordenanza."</w:t>
      </w:r>
    </w:p>
    <w:p w:rsidR="008E280D" w:rsidRPr="009868C3" w:rsidRDefault="008E280D" w:rsidP="008E280D">
      <w:pPr>
        <w:spacing w:after="120" w:line="276" w:lineRule="auto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 w:cs="Arial"/>
          <w:b/>
          <w:bCs/>
          <w:sz w:val="22"/>
          <w:szCs w:val="22"/>
          <w:lang w:val="es-EC" w:eastAsia="en-US"/>
        </w:rPr>
        <w:t xml:space="preserve">Artículo 2.- 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Inclúyase tres artículos </w:t>
      </w:r>
      <w:proofErr w:type="spellStart"/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>innumerados</w:t>
      </w:r>
      <w:proofErr w:type="spellEnd"/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después </w:t>
      </w:r>
      <w:r w:rsidRPr="009868C3">
        <w:rPr>
          <w:rFonts w:ascii="Palatino Linotype" w:eastAsiaTheme="minorHAnsi" w:hAnsi="Palatino Linotype" w:cs="Arial"/>
          <w:sz w:val="22"/>
          <w:szCs w:val="22"/>
          <w:lang w:val="es-EC" w:eastAsia="en-US"/>
        </w:rPr>
        <w:t>del artículo 2 de la Ordenanza No.</w:t>
      </w:r>
      <w:r w:rsidRPr="009868C3">
        <w:rPr>
          <w:rFonts w:ascii="Palatino Linotype" w:eastAsiaTheme="minorHAnsi" w:hAnsi="Palatino Linotype" w:cs="Arial"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>0117, sancionada el 31 de marzo de 2016, con los siguientes textos:</w:t>
      </w:r>
    </w:p>
    <w:p w:rsidR="008E280D" w:rsidRPr="008E280D" w:rsidRDefault="008E280D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</w:t>
      </w: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Artículo...- </w:t>
      </w:r>
      <w:r w:rsidRPr="008E280D">
        <w:rPr>
          <w:rFonts w:ascii="Palatino Linotype" w:eastAsiaTheme="minorHAnsi" w:hAnsi="Palatino Linotype"/>
          <w:b/>
          <w:bCs/>
          <w:i/>
          <w:sz w:val="22"/>
          <w:szCs w:val="22"/>
          <w:lang w:val="es-EC" w:eastAsia="en-US"/>
        </w:rPr>
        <w:t xml:space="preserve">Zonificación de los </w:t>
      </w:r>
      <w:proofErr w:type="gramStart"/>
      <w:r w:rsidRPr="008E280D">
        <w:rPr>
          <w:rFonts w:ascii="Palatino Linotype" w:eastAsiaTheme="minorHAnsi" w:hAnsi="Palatino Linotype"/>
          <w:b/>
          <w:i/>
          <w:sz w:val="22"/>
          <w:szCs w:val="22"/>
          <w:lang w:val="es-EC" w:eastAsia="en-US"/>
        </w:rPr>
        <w:t>lotes.-</w:t>
      </w:r>
      <w:proofErr w:type="gramEnd"/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La zoni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ficación se mantiene en: A10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(A604-50) / A31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(PQ), forma de ocupación: (A) Aislada, Lote mínimo: 600 m</w:t>
      </w:r>
      <w:r w:rsidRPr="008E280D">
        <w:rPr>
          <w:rFonts w:ascii="Palatino Linotype" w:eastAsiaTheme="minorHAnsi" w:hAnsi="Palatino Linotype"/>
          <w:i/>
          <w:sz w:val="22"/>
          <w:szCs w:val="22"/>
          <w:vertAlign w:val="superscript"/>
          <w:lang w:val="es-EC" w:eastAsia="en-US"/>
        </w:rPr>
        <w:t>2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, Número de pisos 4, COS planta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baja: 50%, COS total: 200%, Uso principal: (R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U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2) Residencial Urbano 2 / (PE/CPN) Protección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Ecológica / Conservación del Patrimonio Natural.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</w:p>
    <w:p w:rsidR="008E280D" w:rsidRDefault="008E280D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</w:t>
      </w: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Artículo...-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b/>
          <w:bCs/>
          <w:i/>
          <w:sz w:val="22"/>
          <w:szCs w:val="22"/>
          <w:lang w:val="es-EC" w:eastAsia="en-US"/>
        </w:rPr>
        <w:t xml:space="preserve">Clasificación del </w:t>
      </w:r>
      <w:proofErr w:type="gramStart"/>
      <w:r>
        <w:rPr>
          <w:rFonts w:ascii="Palatino Linotype" w:eastAsiaTheme="minorHAnsi" w:hAnsi="Palatino Linotype"/>
          <w:b/>
          <w:bCs/>
          <w:i/>
          <w:sz w:val="22"/>
          <w:szCs w:val="22"/>
          <w:lang w:val="es-EC" w:eastAsia="en-US"/>
        </w:rPr>
        <w:t>s</w:t>
      </w:r>
      <w:r w:rsidRPr="008E280D">
        <w:rPr>
          <w:rFonts w:ascii="Palatino Linotype" w:eastAsiaTheme="minorHAnsi" w:hAnsi="Palatino Linotype"/>
          <w:b/>
          <w:bCs/>
          <w:i/>
          <w:sz w:val="22"/>
          <w:szCs w:val="22"/>
          <w:lang w:val="es-EC" w:eastAsia="en-US"/>
        </w:rPr>
        <w:t>uelo.-</w:t>
      </w:r>
      <w:proofErr w:type="gramEnd"/>
      <w:r w:rsidRPr="008E280D">
        <w:rPr>
          <w:rFonts w:ascii="Palatino Linotype" w:eastAsiaTheme="minorHAnsi" w:hAnsi="Palatino Linotype"/>
          <w:b/>
          <w:bCs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La Clasificación del Suelo se mantiene en: (SU) Suelo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Urbano / (SRU) Suelo Rural.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</w:p>
    <w:p w:rsidR="008E280D" w:rsidRPr="008E280D" w:rsidRDefault="008E280D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</w:t>
      </w: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Artículo...- Del </w:t>
      </w: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área </w:t>
      </w:r>
      <w:proofErr w:type="gramStart"/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municipal</w:t>
      </w:r>
      <w:r w:rsidRPr="008E280D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>.-</w:t>
      </w:r>
      <w:proofErr w:type="gramEnd"/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El Asentamiento Humano de Hecho y Consolidado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Interés Social denominado Comité Pro-Mejoras del Barrio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"San Miguel de </w:t>
      </w:r>
      <w:proofErr w:type="spellStart"/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Amagasi</w:t>
      </w:r>
      <w:proofErr w:type="spellEnd"/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transfiere al Municipio del Distrito Metropolitano de Quito como contribución de área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Municipal, un área total de 23.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1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2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vertAlign w:val="superscript"/>
          <w:lang w:val="es-EC" w:eastAsia="en-US"/>
        </w:rPr>
        <w:t>2</w:t>
      </w:r>
      <w:r w:rsidRPr="008E280D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, de conformidad al siguiente detalle:</w:t>
      </w:r>
    </w:p>
    <w:tbl>
      <w:tblPr>
        <w:tblW w:w="7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1"/>
        <w:gridCol w:w="3011"/>
        <w:gridCol w:w="730"/>
        <w:gridCol w:w="1035"/>
        <w:gridCol w:w="1505"/>
      </w:tblGrid>
      <w:tr w:rsidR="009868C3" w:rsidRPr="008E280D" w:rsidTr="009868C3">
        <w:trPr>
          <w:trHeight w:val="70"/>
          <w:jc w:val="center"/>
        </w:trPr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Área municipal 1</w:t>
            </w:r>
          </w:p>
        </w:tc>
      </w:tr>
      <w:tr w:rsidR="009868C3" w:rsidRPr="008E280D" w:rsidTr="009868C3">
        <w:trPr>
          <w:trHeight w:val="70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Lindero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En parte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Superficie</w:t>
            </w:r>
          </w:p>
        </w:tc>
      </w:tr>
      <w:tr w:rsidR="009868C3" w:rsidRPr="008E280D" w:rsidTr="009868C3">
        <w:trPr>
          <w:trHeight w:val="311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Norte: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8C3" w:rsidRPr="008E280D" w:rsidRDefault="009868C3" w:rsidP="00C967E2">
            <w:pPr>
              <w:spacing w:after="120" w:line="276" w:lineRule="auto"/>
              <w:jc w:val="both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Propiedad municipal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9868C3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proofErr w:type="spellStart"/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Ld</w:t>
            </w:r>
            <w:proofErr w:type="spellEnd"/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= 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47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,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48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9868C3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23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,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12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m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vertAlign w:val="superscript"/>
                <w:lang w:val="es-EC"/>
              </w:rPr>
              <w:t>2</w:t>
            </w:r>
          </w:p>
        </w:tc>
      </w:tr>
      <w:tr w:rsidR="009868C3" w:rsidRPr="008E280D" w:rsidTr="009868C3">
        <w:trPr>
          <w:trHeight w:val="134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Sur: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8C3" w:rsidRPr="008E280D" w:rsidRDefault="009868C3" w:rsidP="00C967E2">
            <w:pPr>
              <w:spacing w:after="120" w:line="276" w:lineRule="auto"/>
              <w:jc w:val="both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Borde superior de quebrada rellena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9868C3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proofErr w:type="spellStart"/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Ld</w:t>
            </w:r>
            <w:proofErr w:type="spellEnd"/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= 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56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,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40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</w:p>
        </w:tc>
      </w:tr>
      <w:tr w:rsidR="009868C3" w:rsidRPr="008E280D" w:rsidTr="009868C3">
        <w:trPr>
          <w:trHeight w:val="1026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Este: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8C3" w:rsidRPr="008E280D" w:rsidRDefault="009868C3" w:rsidP="00C967E2">
            <w:pPr>
              <w:spacing w:after="120" w:line="276" w:lineRule="auto"/>
              <w:jc w:val="both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Calle E17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9868C3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0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,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65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</w:p>
        </w:tc>
      </w:tr>
      <w:tr w:rsidR="009868C3" w:rsidRPr="008E280D" w:rsidTr="009868C3">
        <w:trPr>
          <w:trHeight w:val="7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b/>
                <w:i/>
                <w:color w:val="000000" w:themeColor="text1"/>
                <w:sz w:val="22"/>
                <w:szCs w:val="22"/>
                <w:lang w:val="es-EC"/>
              </w:rPr>
              <w:t>Oeste: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8C3" w:rsidRPr="008E280D" w:rsidRDefault="009868C3" w:rsidP="00C967E2">
            <w:pPr>
              <w:spacing w:after="120" w:line="276" w:lineRule="auto"/>
              <w:jc w:val="both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Punto de intersección entre propiedad municipal y borde superior de quebrada rellana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/>
              </w:rPr>
            </w:pPr>
          </w:p>
          <w:p w:rsidR="009868C3" w:rsidRPr="008E280D" w:rsidRDefault="009868C3" w:rsidP="00C967E2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9868C3">
            <w:pPr>
              <w:spacing w:after="120" w:line="276" w:lineRule="auto"/>
              <w:jc w:val="center"/>
              <w:rPr>
                <w:rFonts w:ascii="Palatino Linotype" w:eastAsia="Calibri" w:hAnsi="Palatino Linotype"/>
                <w:i/>
                <w:color w:val="000000" w:themeColor="text1"/>
                <w:sz w:val="22"/>
                <w:szCs w:val="22"/>
                <w:lang w:val="es-EC" w:eastAsia="en-US"/>
              </w:rPr>
            </w:pP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0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,0</w:t>
            </w:r>
            <w: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>0</w:t>
            </w:r>
            <w:r w:rsidRPr="008E280D"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s-EC"/>
              </w:rPr>
              <w:t xml:space="preserve">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8C3" w:rsidRPr="008E280D" w:rsidRDefault="009868C3" w:rsidP="00C967E2">
            <w:pPr>
              <w:spacing w:after="120" w:line="276" w:lineRule="auto"/>
              <w:rPr>
                <w:rFonts w:ascii="Palatino Linotype" w:eastAsia="Calibri" w:hAnsi="Palatino Linotype"/>
                <w:b/>
                <w:i/>
                <w:color w:val="000000" w:themeColor="text1"/>
                <w:sz w:val="22"/>
                <w:szCs w:val="22"/>
                <w:lang w:val="es-EC" w:eastAsia="en-US"/>
              </w:rPr>
            </w:pPr>
          </w:p>
        </w:tc>
      </w:tr>
    </w:tbl>
    <w:p w:rsidR="009868C3" w:rsidRDefault="009868C3" w:rsidP="009868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EC" w:eastAsia="en-US"/>
        </w:rPr>
      </w:pPr>
    </w:p>
    <w:p w:rsidR="008E280D" w:rsidRPr="009868C3" w:rsidRDefault="009868C3" w:rsidP="009868C3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 w:cs="Arial"/>
          <w:b/>
          <w:bCs/>
          <w:sz w:val="22"/>
          <w:szCs w:val="22"/>
          <w:lang w:val="es-EC" w:eastAsia="en-US"/>
        </w:rPr>
        <w:lastRenderedPageBreak/>
        <w:t xml:space="preserve">Artículo 3.- 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>Sustitúyase el artículo 3 de la Ordenanza No. 0117, sancionada el 31 de marzo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>de 2016, por el siguiente: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"Articulo 3.- Informe Técnico de Evaluación de Riesgos de la Secretaría General de</w:t>
      </w: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Seguridad y Gobernabilidad.-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Los copropietarios del predio, en un plazo no mayor a un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año a partir de la inscripción de la presente ordenanza en el Registro de la Propiedad,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deberán presentar el cronograma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de obras y/o medidas de mitigación de riesgos elaborado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por un especialista técnico, ante la Dirección Metropolitana de Gestión de Riesgos y la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Unidad Desconcentrada de Control de la Administración Zonal Eugenio Espejo, caso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contrario el Concejo Metropolitano podrá revocar la presente ordenanza, notificándose del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particular a la Agencia Metropolitana de Control, para que se inicie las acciones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pertinentes.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La Agencia Metropolitana de Control realizará el seguimiento en la ejecución y avance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las obras de mitigación hasta la terminación de las mismas.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El Comité Pro-Mejoras del Barrio "San Miguel de </w:t>
      </w:r>
      <w:proofErr w:type="spellStart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í</w:t>
      </w:r>
      <w:proofErr w:type="spellEnd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", deberá cumplir con lo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establecido dentro de la calificación del riesgo y acatar las recomendaciones que se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encuentran determinadas en el informe de la Dirección Metropolitana de Gestión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Riesgos No. 136 AT-DMGR-2017, de fecha 25 de julio de 2017, el mismo establece que: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"6. CALIFICACION DEL RIESGO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La zona en estudio, una vez realizada la inspección técnica al AHHYC" San Miguel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proofErr w:type="spellStart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Amagasí</w:t>
      </w:r>
      <w:proofErr w:type="spellEnd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 de la Parroquia San Isidro del Inca, considerando las amenazas, elementos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expuestos y vulnerabilidades se determina que: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De acuerdo a las condiciones morfológicas, litológicas y elementos expuestos se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manifiesta que presenta un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Riesgo Moderado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mitigable frente a movimientos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remoción en masa.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Con respecto a la amenaza sísmica el AHHYC "San Miguel de </w:t>
      </w:r>
      <w:proofErr w:type="spellStart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Amagasí</w:t>
      </w:r>
      <w:proofErr w:type="spellEnd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 de la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Parroquia San Isidro del Inca, presenta un nivel de riesgo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Moderado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por cuanto al ser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construcciones informales, y presumiblemente no cumple con la NEC y se consideran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viviendas con alta vulnerabilidad.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Adicionalmente, con respecto a la amenaza volcánica el AHHYC "San Miguel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proofErr w:type="spellStart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Amagasí</w:t>
      </w:r>
      <w:proofErr w:type="spellEnd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" de la Parroquia de San Isidro del Inca, presenta un nivel de riesgo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Moderado</w:t>
      </w: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por la probable caída de ceniza y lapilli de los volcanes descritos, dependiendo de la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dirección del viento.</w:t>
      </w:r>
    </w:p>
    <w:p w:rsidR="008E280D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La calificación de la evaluación de la condición del riesgo está dada en base a la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probabilidad de ocurrencia de eventos adversos y a las perdidas con su consecuente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afectación. Por lo tanto, desde el análisis de la DMGR se expresa que es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Factible</w:t>
      </w: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continuar con el proceso de regularización del AHHYC. Ya que siguiendo las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recomendaciones que se describen en este informe contribuirá a garantizar la reducción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del riesgo en la zona en análisis.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lastRenderedPageBreak/>
        <w:t>Ante la calificación del riesgo anteriormente detallado para el sector denominado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AHHYC "San Miguel de </w:t>
      </w:r>
      <w:proofErr w:type="spellStart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Amagasí</w:t>
      </w:r>
      <w:proofErr w:type="spellEnd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 de la Parroquia San Isidro del Inca, La DMGR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manifiesta que los propietarios después de la regularización de los terrenos deberán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realizar un análisis estructural de las edificaciones existentes y para sus proyectos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constructivos. Respecto a los gastos que representen los análisis serán solventados en su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totalidad por la comunidad solicitante.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El Riesgo es Mitigable cuando se pueden implementar medidas estructurales y no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estructurales para reducir el riesgo actual, y consecuente impacto adverso de amenazas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naturales, antrópicas, tecnológicas y de degradación ambiental.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Medidas Estructurales: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Acciones de ingeniería para reducir impactos de las amenazas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como: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-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Protección y control: Intervención directa de la amenaza (Diques, muros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contención, canalización de aguas.)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 w:cs="AdobePiStd"/>
          <w:sz w:val="22"/>
          <w:szCs w:val="22"/>
          <w:lang w:val="es-EC" w:eastAsia="en-US"/>
        </w:rPr>
        <w:t xml:space="preserve">-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Modificar las condiciones de vulnerabilidad física de los elementos expuestos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(refuerzo de infraestructura de líneas vitales, códigos de construcción,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reubicación de viviendas.)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Medidas No estructurales: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Desarrollo del conocimiento, políticas, leyes y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mecanismos participativos.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-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Acciones Activas: Promueve interacción activa de las personas (organización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para la respuesta, educación y capacitación, información pública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, participación comunitaria)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-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Acciones Pasivas: Relacionadas con legislación y planificación (normas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construcción, uso del suelo y ordenamiento territorial, etc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.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)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i/>
          <w:iCs/>
          <w:sz w:val="22"/>
          <w:szCs w:val="22"/>
          <w:lang w:val="es-EC" w:eastAsia="en-US"/>
        </w:rPr>
        <w:t xml:space="preserve">7.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RECOMENDACIONES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NORMATIVA VIGENTE: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La Dirección Metropolitana de Gestión de Riesgos manifiesta que la calificación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realizada en el trascurso de este informe, desprende una serie de recomendaciones que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podrán ser confirmadas, modificadas o ampliadas como consecuencia de información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adicional producida como la realización de las obras de infraestructura, la zonificación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respectiva y consolidación futura.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• Tomar en cuenta el a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rtículo 264 de la Constitución de la República del Ecuador dispone: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Los gobiernos municipales tendrán las siguientes competencias exclusivas sin perjuicio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de otras que determine la ley: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lastRenderedPageBreak/>
        <w:t>1. Planificar el desarrollo cantonal y formular los correspondientes planes de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ordenamiento territorial, de manera articulada con la planificación nacional, regional,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provincial y parroquial, con el fin de regular el uso y la ocupación del suelo urbano y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rural.</w:t>
      </w:r>
    </w:p>
    <w:p w:rsidR="009868C3" w:rsidRPr="009868C3" w:rsidRDefault="009868C3" w:rsidP="009868C3">
      <w:pPr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2. Ejercer el control sobre el uso y ocupación del suelo en el cantón.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”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4.-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Elimínese el artículo 4 de la Ordenanza No. 0117, sancionada el 31 de marzo de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>2016.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5.-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Sustitúyase el artículo 5 de la Ordenanza No. 0117, sancionada el 31 de marzo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sz w:val="22"/>
          <w:szCs w:val="22"/>
          <w:lang w:val="es-EC" w:eastAsia="en-US"/>
        </w:rPr>
        <w:t>de 2016, por el siguiente texto: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"Artículo 5.- De 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la protocolización e inscripción de la </w:t>
      </w:r>
      <w:proofErr w:type="gramStart"/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ordenanza</w:t>
      </w:r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>.-</w:t>
      </w:r>
      <w:proofErr w:type="gramEnd"/>
      <w:r w:rsidRPr="009868C3">
        <w:rPr>
          <w:rFonts w:ascii="Palatino Linotype" w:eastAsiaTheme="minorHAnsi" w:hAnsi="Palatino Linotype"/>
          <w:b/>
          <w:bCs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Los copropietarios del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predio del Asentamiento Humano de Hecho y Consolidado de Interés Social denominado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Comité Pro-mejoras del Barrio "San Miguel de </w:t>
      </w:r>
      <w:proofErr w:type="spellStart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Amagasi</w:t>
      </w:r>
      <w:proofErr w:type="spellEnd"/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", deberán protocolizar la presente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Ordenanza ante Notario Público e inscribirla en el Registro de la Propiedad del Distrito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Metropolitano de Quito, con todos sus documentos habilitantes.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En caso no legalizar la presente ordenanza, ésta caducará conforme lo determinado en la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normativa nacional vigente.</w:t>
      </w:r>
    </w:p>
    <w:p w:rsidR="009868C3" w:rsidRPr="009868C3" w:rsidRDefault="009868C3" w:rsidP="009868C3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La inscripción de la presente ordenanza servirá como título de dominio para efectos de la</w:t>
      </w:r>
      <w:r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Pr="009868C3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transferencia de áreas verdes, en caso de que existan."</w:t>
      </w:r>
    </w:p>
    <w:p w:rsidR="00280C8E" w:rsidRPr="008E280D" w:rsidRDefault="00280C8E" w:rsidP="00BA3016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  <w:lang w:val="es-ES_tradnl"/>
        </w:rPr>
      </w:pPr>
      <w:r w:rsidRPr="008E280D">
        <w:rPr>
          <w:rFonts w:ascii="Palatino Linotype" w:hAnsi="Palatino Linotype"/>
          <w:b/>
          <w:sz w:val="22"/>
          <w:szCs w:val="22"/>
          <w:lang w:val="es-ES_tradnl"/>
        </w:rPr>
        <w:t xml:space="preserve">Disposición </w:t>
      </w:r>
      <w:proofErr w:type="gramStart"/>
      <w:r w:rsidRPr="008E280D">
        <w:rPr>
          <w:rFonts w:ascii="Palatino Linotype" w:hAnsi="Palatino Linotype"/>
          <w:b/>
          <w:sz w:val="22"/>
          <w:szCs w:val="22"/>
          <w:lang w:val="es-ES_tradnl"/>
        </w:rPr>
        <w:t>Final.-</w:t>
      </w:r>
      <w:proofErr w:type="gramEnd"/>
      <w:r w:rsidRPr="008E280D"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  <w:r w:rsidRPr="008E280D">
        <w:rPr>
          <w:rFonts w:ascii="Palatino Linotype" w:hAnsi="Palatino Linotype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AF343E" w:rsidRPr="008E280D" w:rsidRDefault="00AF343E" w:rsidP="00BA3016">
      <w:pPr>
        <w:spacing w:after="12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8E280D">
        <w:rPr>
          <w:rFonts w:ascii="Palatino Linotype" w:hAnsi="Palatino Linotype"/>
          <w:sz w:val="22"/>
          <w:szCs w:val="22"/>
        </w:rPr>
        <w:t>Dada, en la Sala de Sesiones del Concejo Metropolitano de Quito, el 6 de septiembre de 2018.</w:t>
      </w:r>
    </w:p>
    <w:p w:rsidR="00AF343E" w:rsidRDefault="00AF343E" w:rsidP="00AF343E">
      <w:pPr>
        <w:spacing w:after="24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9868C3" w:rsidRPr="008E280D" w:rsidRDefault="009868C3" w:rsidP="00AF343E">
      <w:pPr>
        <w:spacing w:after="24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AF343E" w:rsidRPr="008E280D" w:rsidRDefault="00AF343E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sz w:val="22"/>
          <w:szCs w:val="22"/>
          <w:lang w:val="es-EC"/>
        </w:rPr>
        <w:t>Abg. Renato Delgado Merchán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 (S)</w:t>
      </w:r>
    </w:p>
    <w:p w:rsidR="00F112F0" w:rsidRDefault="00F112F0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9868C3" w:rsidRDefault="009868C3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AF343E" w:rsidRPr="008E280D" w:rsidRDefault="00AF343E" w:rsidP="00AF343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</w:rPr>
        <w:lastRenderedPageBreak/>
        <w:t>CERTIFICADO DE DISCUSIÓN</w:t>
      </w:r>
    </w:p>
    <w:p w:rsidR="00AF343E" w:rsidRPr="008E280D" w:rsidRDefault="00AF343E" w:rsidP="00AF343E">
      <w:pPr>
        <w:pStyle w:val="Textosinformato"/>
        <w:spacing w:line="276" w:lineRule="auto"/>
        <w:jc w:val="both"/>
        <w:rPr>
          <w:rFonts w:ascii="Palatino Linotype" w:eastAsia="MS Mincho" w:hAnsi="Palatino Linotype"/>
          <w:sz w:val="22"/>
          <w:szCs w:val="22"/>
        </w:rPr>
      </w:pPr>
    </w:p>
    <w:p w:rsidR="00AF343E" w:rsidRPr="008E280D" w:rsidRDefault="00AF343E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sz w:val="22"/>
          <w:szCs w:val="22"/>
          <w:lang w:val="es-EC"/>
        </w:rPr>
        <w:t>El inf</w:t>
      </w:r>
      <w:r w:rsidR="00F112F0" w:rsidRPr="008E280D">
        <w:rPr>
          <w:rFonts w:ascii="Palatino Linotype" w:eastAsia="MS Mincho" w:hAnsi="Palatino Linotype"/>
          <w:sz w:val="22"/>
          <w:szCs w:val="22"/>
          <w:lang w:val="es-EC"/>
        </w:rPr>
        <w:t xml:space="preserve">rascrito Secretario General </w:t>
      </w:r>
      <w:r w:rsidRPr="008E280D">
        <w:rPr>
          <w:rFonts w:ascii="Palatino Linotype" w:eastAsia="MS Mincho" w:hAnsi="Palatino Linotype"/>
          <w:sz w:val="22"/>
          <w:szCs w:val="22"/>
          <w:lang w:val="es-EC"/>
        </w:rPr>
        <w:t>del Concejo Metropolitano de Quito, certifica que la presente ordenanza fue discutida y aprobada en dos debates, en sesiones de 23 de agosto y 6 de septiembre de 2018.- Quito,</w:t>
      </w:r>
    </w:p>
    <w:p w:rsidR="00AF343E" w:rsidRPr="008E280D" w:rsidRDefault="00AF343E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AF343E" w:rsidRPr="008E280D" w:rsidRDefault="00AF343E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AF343E" w:rsidRPr="008E280D" w:rsidRDefault="00AF343E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 xml:space="preserve">ALCALDÍA DEL DISTRITO METROPOLITANO DE </w:t>
      </w:r>
      <w:proofErr w:type="gramStart"/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QUITO.-</w:t>
      </w:r>
      <w:proofErr w:type="gramEnd"/>
      <w:r w:rsidRPr="008E280D">
        <w:rPr>
          <w:rFonts w:ascii="Palatino Linotype" w:eastAsia="MS Mincho" w:hAnsi="Palatino Linotype"/>
          <w:sz w:val="22"/>
          <w:szCs w:val="22"/>
          <w:lang w:val="es-EC"/>
        </w:rPr>
        <w:t xml:space="preserve"> Distrito Metropolitano de Quito,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sz w:val="22"/>
          <w:szCs w:val="22"/>
          <w:lang w:val="es-EC"/>
        </w:rPr>
        <w:t>EJECÚTESE:</w:t>
      </w:r>
    </w:p>
    <w:p w:rsidR="00F112F0" w:rsidRPr="008E280D" w:rsidRDefault="00F112F0" w:rsidP="00F112F0">
      <w:pPr>
        <w:pStyle w:val="Textosinformato"/>
        <w:tabs>
          <w:tab w:val="left" w:pos="2655"/>
        </w:tabs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sz w:val="22"/>
          <w:szCs w:val="22"/>
          <w:lang w:val="es-EC"/>
        </w:rPr>
        <w:t>Dr. Mauricio Rodas Espinel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ALCALDE DEL DISTRITO METROPOLITANO DE QUITO</w:t>
      </w:r>
    </w:p>
    <w:p w:rsidR="00F112F0" w:rsidRPr="008E280D" w:rsidRDefault="00F112F0" w:rsidP="00F112F0">
      <w:pPr>
        <w:pStyle w:val="Textosinformato"/>
        <w:jc w:val="both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CERTIFICO,</w:t>
      </w:r>
      <w:r w:rsidRPr="008E280D">
        <w:rPr>
          <w:rFonts w:ascii="Palatino Linotype" w:eastAsia="MS Mincho" w:hAnsi="Palatino Linotype"/>
          <w:sz w:val="22"/>
          <w:szCs w:val="22"/>
          <w:lang w:val="es-EC"/>
        </w:rPr>
        <w:t xml:space="preserve"> que la presente ordenanza fue sancionada por el Dr. Mauricio Rodas Espinel, Alcalde del Distrito Metropolitano de Quito, el</w:t>
      </w:r>
    </w:p>
    <w:p w:rsidR="00F112F0" w:rsidRPr="008E280D" w:rsidRDefault="00F112F0" w:rsidP="00F112F0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proofErr w:type="gramStart"/>
      <w:r w:rsidRPr="008E280D">
        <w:rPr>
          <w:rFonts w:ascii="Palatino Linotype" w:eastAsia="MS Mincho" w:hAnsi="Palatino Linotype"/>
          <w:sz w:val="22"/>
          <w:szCs w:val="22"/>
          <w:lang w:val="es-EC"/>
        </w:rPr>
        <w:t>.-</w:t>
      </w:r>
      <w:proofErr w:type="gramEnd"/>
      <w:r w:rsidRPr="008E280D">
        <w:rPr>
          <w:rFonts w:ascii="Palatino Linotype" w:eastAsia="MS Mincho" w:hAnsi="Palatino Linotype"/>
          <w:sz w:val="22"/>
          <w:szCs w:val="22"/>
          <w:lang w:val="es-EC"/>
        </w:rPr>
        <w:t xml:space="preserve"> Distrito Metropolitano de Quito,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8E280D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bookmarkStart w:id="0" w:name="_GoBack"/>
      <w:bookmarkEnd w:id="0"/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F112F0" w:rsidRPr="008E280D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8E280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F112F0" w:rsidRPr="002C47C5" w:rsidRDefault="00F112F0" w:rsidP="00F112F0">
      <w:pPr>
        <w:jc w:val="both"/>
        <w:rPr>
          <w:rFonts w:ascii="Palatino Linotype" w:hAnsi="Palatino Linotype" w:cs="Arial"/>
          <w:sz w:val="16"/>
          <w:szCs w:val="16"/>
          <w:lang w:eastAsia="es-EC"/>
        </w:rPr>
      </w:pPr>
      <w:r w:rsidRPr="00DA7EE5">
        <w:rPr>
          <w:rFonts w:ascii="Palatino Linotype" w:hAnsi="Palatino Linotype" w:cs="Arial"/>
          <w:sz w:val="16"/>
          <w:szCs w:val="16"/>
          <w:lang w:eastAsia="es-EC"/>
        </w:rPr>
        <w:t>RADM</w:t>
      </w:r>
    </w:p>
    <w:p w:rsidR="00AF343E" w:rsidRPr="002E14DB" w:rsidRDefault="00AF343E" w:rsidP="00AF343E">
      <w:pPr>
        <w:jc w:val="both"/>
        <w:rPr>
          <w:rFonts w:ascii="Palatino Linotype" w:hAnsi="Palatino Linotype" w:cs="Arial"/>
          <w:sz w:val="21"/>
          <w:szCs w:val="21"/>
          <w:lang w:eastAsia="es-EC"/>
        </w:rPr>
      </w:pPr>
      <w:r w:rsidRPr="002E14DB">
        <w:rPr>
          <w:rFonts w:ascii="Palatino Linotype" w:hAnsi="Palatino Linotype" w:cs="Arial"/>
          <w:sz w:val="21"/>
          <w:szCs w:val="21"/>
          <w:lang w:eastAsia="es-EC"/>
        </w:rPr>
        <w:t xml:space="preserve"> </w:t>
      </w:r>
    </w:p>
    <w:p w:rsidR="00AF343E" w:rsidRPr="002E14DB" w:rsidRDefault="00AF343E" w:rsidP="00AF343E">
      <w:pPr>
        <w:spacing w:after="240" w:line="276" w:lineRule="auto"/>
        <w:contextualSpacing/>
        <w:jc w:val="both"/>
        <w:rPr>
          <w:rFonts w:ascii="Palatino Linotype" w:hAnsi="Palatino Linotype"/>
          <w:sz w:val="21"/>
          <w:szCs w:val="21"/>
        </w:rPr>
      </w:pPr>
    </w:p>
    <w:p w:rsidR="00280C8E" w:rsidRPr="00AF343E" w:rsidRDefault="00280C8E" w:rsidP="00AF343E">
      <w:pPr>
        <w:spacing w:after="240" w:line="276" w:lineRule="auto"/>
        <w:contextualSpacing/>
        <w:jc w:val="both"/>
        <w:rPr>
          <w:rFonts w:ascii="Palatino Linotype" w:eastAsia="MS Mincho" w:hAnsi="Palatino Linotype"/>
          <w:sz w:val="21"/>
          <w:szCs w:val="21"/>
        </w:rPr>
      </w:pPr>
    </w:p>
    <w:sectPr w:rsidR="00280C8E" w:rsidRPr="00AF343E" w:rsidSect="00FA7B32">
      <w:headerReference w:type="first" r:id="rId11"/>
      <w:footerReference w:type="first" r:id="rId12"/>
      <w:pgSz w:w="11906" w:h="16838"/>
      <w:pgMar w:top="3402" w:right="1416" w:bottom="567" w:left="1701" w:header="709" w:footer="2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00" w:rsidRDefault="00E23200">
      <w:r>
        <w:separator/>
      </w:r>
    </w:p>
  </w:endnote>
  <w:endnote w:type="continuationSeparator" w:id="0">
    <w:p w:rsidR="00E23200" w:rsidRDefault="00E2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3299"/>
      <w:docPartObj>
        <w:docPartGallery w:val="Page Numbers (Bottom of Page)"/>
        <w:docPartUnique/>
      </w:docPartObj>
    </w:sdtPr>
    <w:sdtEndPr/>
    <w:sdtContent>
      <w:sdt>
        <w:sdtPr>
          <w:id w:val="-214517341"/>
          <w:docPartObj>
            <w:docPartGallery w:val="Page Numbers (Top of Page)"/>
            <w:docPartUnique/>
          </w:docPartObj>
        </w:sdtPr>
        <w:sdtEndPr/>
        <w:sdtContent>
          <w:p w:rsidR="00CB1CAE" w:rsidRDefault="00CB1CAE">
            <w:pPr>
              <w:pStyle w:val="Piedepgina"/>
              <w:jc w:val="right"/>
            </w:pPr>
            <w:r w:rsidRPr="00F112F0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9868C3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9</w:t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F112F0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9868C3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</w:p>
        </w:sdtContent>
      </w:sdt>
    </w:sdtContent>
  </w:sdt>
  <w:p w:rsidR="00CB1CAE" w:rsidRDefault="00CB1CAE" w:rsidP="00F112F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4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7B32" w:rsidRDefault="00FA7B32">
            <w:pPr>
              <w:pStyle w:val="Piedepgina"/>
              <w:jc w:val="right"/>
            </w:pPr>
            <w:r w:rsidRPr="00FA7B32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9868C3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1</w:t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FA7B32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9868C3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</w:p>
        </w:sdtContent>
      </w:sdt>
    </w:sdtContent>
  </w:sdt>
  <w:p w:rsidR="00FA7B32" w:rsidRDefault="00FA7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00" w:rsidRDefault="00E23200">
      <w:r>
        <w:separator/>
      </w:r>
    </w:p>
  </w:footnote>
  <w:footnote w:type="continuationSeparator" w:id="0">
    <w:p w:rsidR="00E23200" w:rsidRDefault="00E2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AE" w:rsidRDefault="00CB1CAE" w:rsidP="00D35EBE">
    <w:pPr>
      <w:pStyle w:val="a"/>
      <w:rPr>
        <w:rFonts w:ascii="Palatino Linotype" w:hAnsi="Palatino Linotype" w:cs="Arial"/>
        <w:sz w:val="22"/>
        <w:szCs w:val="22"/>
      </w:rPr>
    </w:pPr>
  </w:p>
  <w:p w:rsidR="00CB1CAE" w:rsidRDefault="00CB1CAE" w:rsidP="00D35EBE">
    <w:pPr>
      <w:pStyle w:val="a"/>
      <w:rPr>
        <w:rFonts w:ascii="Palatino Linotype" w:hAnsi="Palatino Linotype" w:cs="Arial"/>
        <w:sz w:val="22"/>
        <w:szCs w:val="22"/>
      </w:rPr>
    </w:pPr>
  </w:p>
  <w:p w:rsidR="00CB1CAE" w:rsidRDefault="00CB1CAE" w:rsidP="00D35EBE">
    <w:pPr>
      <w:pStyle w:val="a"/>
      <w:rPr>
        <w:rFonts w:ascii="Palatino Linotype" w:hAnsi="Palatino Linotype" w:cs="Arial"/>
        <w:sz w:val="22"/>
        <w:szCs w:val="22"/>
      </w:rPr>
    </w:pPr>
  </w:p>
  <w:p w:rsidR="00CB1CAE" w:rsidRDefault="00CB1CAE" w:rsidP="00D35EBE">
    <w:pPr>
      <w:pStyle w:val="a"/>
      <w:rPr>
        <w:rFonts w:ascii="Palatino Linotype" w:hAnsi="Palatino Linotype" w:cs="Arial"/>
        <w:sz w:val="22"/>
        <w:szCs w:val="22"/>
      </w:rPr>
    </w:pPr>
  </w:p>
  <w:p w:rsidR="00CB1CAE" w:rsidRDefault="00CB1CAE" w:rsidP="00A11D79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CB1CAE" w:rsidRPr="00476B21" w:rsidRDefault="00CB1CAE" w:rsidP="00D35EBE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CB1CAE" w:rsidRDefault="00CB1C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Default="00BA3016">
    <w:pPr>
      <w:pStyle w:val="Encabezado"/>
    </w:pPr>
  </w:p>
  <w:p w:rsidR="00BA3016" w:rsidRPr="00BA3016" w:rsidRDefault="00BA3016" w:rsidP="00BA3016">
    <w:pPr>
      <w:pStyle w:val="a"/>
      <w:spacing w:after="120" w:line="276" w:lineRule="auto"/>
      <w:rPr>
        <w:rFonts w:ascii="Palatino Linotype" w:hAnsi="Palatino Linotype" w:cs="Times New Roman"/>
        <w:sz w:val="21"/>
        <w:szCs w:val="21"/>
      </w:rPr>
    </w:pPr>
    <w:r>
      <w:rPr>
        <w:rFonts w:ascii="Palatino Linotype" w:hAnsi="Palatino Linotype" w:cs="Times New Roman"/>
        <w:sz w:val="21"/>
        <w:szCs w:val="21"/>
      </w:rPr>
      <w:t>ORDENANZA No.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Default="00FA7B32">
    <w:pPr>
      <w:pStyle w:val="Encabezado"/>
    </w:pPr>
  </w:p>
  <w:p w:rsidR="00FA7B32" w:rsidRPr="00BA3016" w:rsidRDefault="00FA7B32" w:rsidP="00BA3016">
    <w:pPr>
      <w:pStyle w:val="a"/>
      <w:spacing w:after="120" w:line="276" w:lineRule="auto"/>
      <w:rPr>
        <w:rFonts w:ascii="Palatino Linotype" w:hAnsi="Palatino Linotype" w:cs="Times New Roman"/>
        <w:sz w:val="21"/>
        <w:szCs w:val="21"/>
      </w:rPr>
    </w:pPr>
    <w:r>
      <w:rPr>
        <w:rFonts w:ascii="Palatino Linotype" w:hAnsi="Palatino Linotype" w:cs="Times New Roman"/>
        <w:sz w:val="21"/>
        <w:szCs w:val="21"/>
      </w:rPr>
      <w:t>ORDENANZA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4B6"/>
    <w:multiLevelType w:val="hybridMultilevel"/>
    <w:tmpl w:val="244CF2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6F3"/>
    <w:multiLevelType w:val="hybridMultilevel"/>
    <w:tmpl w:val="5664A1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F13"/>
    <w:multiLevelType w:val="hybridMultilevel"/>
    <w:tmpl w:val="491060BA"/>
    <w:lvl w:ilvl="0" w:tplc="5B4E55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7152"/>
    <w:multiLevelType w:val="hybridMultilevel"/>
    <w:tmpl w:val="274E5458"/>
    <w:lvl w:ilvl="0" w:tplc="30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CBA"/>
    <w:multiLevelType w:val="hybridMultilevel"/>
    <w:tmpl w:val="121885E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482C9C">
      <w:start w:val="6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72F5"/>
    <w:multiLevelType w:val="hybridMultilevel"/>
    <w:tmpl w:val="DFEAC4B4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A4B7C"/>
    <w:multiLevelType w:val="hybridMultilevel"/>
    <w:tmpl w:val="EF6ED5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8EEC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6A78"/>
    <w:multiLevelType w:val="hybridMultilevel"/>
    <w:tmpl w:val="983235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0899"/>
    <w:rsid w:val="00005163"/>
    <w:rsid w:val="00005E72"/>
    <w:rsid w:val="00013673"/>
    <w:rsid w:val="00015F4A"/>
    <w:rsid w:val="00016ED5"/>
    <w:rsid w:val="00022816"/>
    <w:rsid w:val="00025E1D"/>
    <w:rsid w:val="0003377E"/>
    <w:rsid w:val="000338B3"/>
    <w:rsid w:val="00041048"/>
    <w:rsid w:val="00041DDD"/>
    <w:rsid w:val="000472DA"/>
    <w:rsid w:val="000530B0"/>
    <w:rsid w:val="00074C67"/>
    <w:rsid w:val="000872C5"/>
    <w:rsid w:val="00090EED"/>
    <w:rsid w:val="000A0181"/>
    <w:rsid w:val="000A259D"/>
    <w:rsid w:val="000A2961"/>
    <w:rsid w:val="000B17C2"/>
    <w:rsid w:val="000B7053"/>
    <w:rsid w:val="000C00CF"/>
    <w:rsid w:val="000C3741"/>
    <w:rsid w:val="000C5689"/>
    <w:rsid w:val="000D747F"/>
    <w:rsid w:val="000E65FF"/>
    <w:rsid w:val="000E698E"/>
    <w:rsid w:val="000F3EEA"/>
    <w:rsid w:val="00100762"/>
    <w:rsid w:val="00100D9A"/>
    <w:rsid w:val="00101BAE"/>
    <w:rsid w:val="0010639B"/>
    <w:rsid w:val="00107B8D"/>
    <w:rsid w:val="00111697"/>
    <w:rsid w:val="0011199C"/>
    <w:rsid w:val="00120CFF"/>
    <w:rsid w:val="00131B9C"/>
    <w:rsid w:val="00137446"/>
    <w:rsid w:val="00140220"/>
    <w:rsid w:val="00146F43"/>
    <w:rsid w:val="001523D7"/>
    <w:rsid w:val="00160128"/>
    <w:rsid w:val="00160BAE"/>
    <w:rsid w:val="001639AA"/>
    <w:rsid w:val="00167BCC"/>
    <w:rsid w:val="00183192"/>
    <w:rsid w:val="001835D8"/>
    <w:rsid w:val="00186187"/>
    <w:rsid w:val="00187492"/>
    <w:rsid w:val="001A5E4F"/>
    <w:rsid w:val="001A60FB"/>
    <w:rsid w:val="001C4F66"/>
    <w:rsid w:val="001D38BE"/>
    <w:rsid w:val="001D7068"/>
    <w:rsid w:val="001E6302"/>
    <w:rsid w:val="002100B5"/>
    <w:rsid w:val="00217555"/>
    <w:rsid w:val="00226908"/>
    <w:rsid w:val="0023570F"/>
    <w:rsid w:val="00260748"/>
    <w:rsid w:val="00260770"/>
    <w:rsid w:val="002608CA"/>
    <w:rsid w:val="0026636B"/>
    <w:rsid w:val="002709BC"/>
    <w:rsid w:val="002776A8"/>
    <w:rsid w:val="00280C8E"/>
    <w:rsid w:val="0028424B"/>
    <w:rsid w:val="00293AE0"/>
    <w:rsid w:val="00294C22"/>
    <w:rsid w:val="002A778C"/>
    <w:rsid w:val="002B008B"/>
    <w:rsid w:val="002B1595"/>
    <w:rsid w:val="002C1F43"/>
    <w:rsid w:val="002C495A"/>
    <w:rsid w:val="002C61E0"/>
    <w:rsid w:val="002E29B6"/>
    <w:rsid w:val="002E704B"/>
    <w:rsid w:val="002F208F"/>
    <w:rsid w:val="00335588"/>
    <w:rsid w:val="00342AED"/>
    <w:rsid w:val="00356DE9"/>
    <w:rsid w:val="0036107B"/>
    <w:rsid w:val="00361728"/>
    <w:rsid w:val="00365574"/>
    <w:rsid w:val="00367FAA"/>
    <w:rsid w:val="00387FE3"/>
    <w:rsid w:val="00391F73"/>
    <w:rsid w:val="003A1975"/>
    <w:rsid w:val="003C251F"/>
    <w:rsid w:val="003D07F3"/>
    <w:rsid w:val="003D31AF"/>
    <w:rsid w:val="003E1E12"/>
    <w:rsid w:val="003E2E75"/>
    <w:rsid w:val="003F06F0"/>
    <w:rsid w:val="00413975"/>
    <w:rsid w:val="004200C2"/>
    <w:rsid w:val="004230DF"/>
    <w:rsid w:val="0045019E"/>
    <w:rsid w:val="004505DB"/>
    <w:rsid w:val="0045201D"/>
    <w:rsid w:val="004620F8"/>
    <w:rsid w:val="00464AB9"/>
    <w:rsid w:val="00465CB6"/>
    <w:rsid w:val="00495CE4"/>
    <w:rsid w:val="004A518A"/>
    <w:rsid w:val="004A6045"/>
    <w:rsid w:val="004B2F36"/>
    <w:rsid w:val="004C13B8"/>
    <w:rsid w:val="004C3D11"/>
    <w:rsid w:val="004C4BFA"/>
    <w:rsid w:val="004D35A7"/>
    <w:rsid w:val="004D44DB"/>
    <w:rsid w:val="004E186B"/>
    <w:rsid w:val="004E362F"/>
    <w:rsid w:val="004F333D"/>
    <w:rsid w:val="004F529C"/>
    <w:rsid w:val="004F74B2"/>
    <w:rsid w:val="005046F9"/>
    <w:rsid w:val="00506B01"/>
    <w:rsid w:val="005103AC"/>
    <w:rsid w:val="005159BA"/>
    <w:rsid w:val="0051624D"/>
    <w:rsid w:val="00527DB8"/>
    <w:rsid w:val="00542C2E"/>
    <w:rsid w:val="00543455"/>
    <w:rsid w:val="00543798"/>
    <w:rsid w:val="00546F26"/>
    <w:rsid w:val="00547E5B"/>
    <w:rsid w:val="0056347D"/>
    <w:rsid w:val="005719B6"/>
    <w:rsid w:val="005738F5"/>
    <w:rsid w:val="00574769"/>
    <w:rsid w:val="00592C7E"/>
    <w:rsid w:val="005949B7"/>
    <w:rsid w:val="005B51E8"/>
    <w:rsid w:val="005D60D7"/>
    <w:rsid w:val="005E2686"/>
    <w:rsid w:val="005E57E9"/>
    <w:rsid w:val="005E777E"/>
    <w:rsid w:val="006005A1"/>
    <w:rsid w:val="00606113"/>
    <w:rsid w:val="00655023"/>
    <w:rsid w:val="00687BC5"/>
    <w:rsid w:val="0069438B"/>
    <w:rsid w:val="00696358"/>
    <w:rsid w:val="006B1565"/>
    <w:rsid w:val="006B68D0"/>
    <w:rsid w:val="006C417C"/>
    <w:rsid w:val="006C60DB"/>
    <w:rsid w:val="006C66A2"/>
    <w:rsid w:val="006D0D23"/>
    <w:rsid w:val="006D2082"/>
    <w:rsid w:val="006E4699"/>
    <w:rsid w:val="006E6A53"/>
    <w:rsid w:val="006F60F7"/>
    <w:rsid w:val="00700288"/>
    <w:rsid w:val="00701D67"/>
    <w:rsid w:val="00706407"/>
    <w:rsid w:val="00706BA0"/>
    <w:rsid w:val="007129AF"/>
    <w:rsid w:val="00716151"/>
    <w:rsid w:val="007203BC"/>
    <w:rsid w:val="00727EF6"/>
    <w:rsid w:val="007314E4"/>
    <w:rsid w:val="00731B62"/>
    <w:rsid w:val="007353C1"/>
    <w:rsid w:val="007458C1"/>
    <w:rsid w:val="007555EE"/>
    <w:rsid w:val="0075666E"/>
    <w:rsid w:val="0076432C"/>
    <w:rsid w:val="00765431"/>
    <w:rsid w:val="007730B0"/>
    <w:rsid w:val="0078194D"/>
    <w:rsid w:val="00783C8A"/>
    <w:rsid w:val="007A2DE6"/>
    <w:rsid w:val="007A5259"/>
    <w:rsid w:val="007A714D"/>
    <w:rsid w:val="007F2761"/>
    <w:rsid w:val="007F46C0"/>
    <w:rsid w:val="007F72E6"/>
    <w:rsid w:val="0081550E"/>
    <w:rsid w:val="00815646"/>
    <w:rsid w:val="0082357C"/>
    <w:rsid w:val="0082368A"/>
    <w:rsid w:val="00826810"/>
    <w:rsid w:val="008342A9"/>
    <w:rsid w:val="0084658E"/>
    <w:rsid w:val="00855A7E"/>
    <w:rsid w:val="00856DB0"/>
    <w:rsid w:val="00857903"/>
    <w:rsid w:val="00860836"/>
    <w:rsid w:val="00865BDD"/>
    <w:rsid w:val="00874F69"/>
    <w:rsid w:val="008B5C7E"/>
    <w:rsid w:val="008D4A2E"/>
    <w:rsid w:val="008D59AF"/>
    <w:rsid w:val="008E280D"/>
    <w:rsid w:val="008E58E3"/>
    <w:rsid w:val="008F2D62"/>
    <w:rsid w:val="00917AF0"/>
    <w:rsid w:val="00917D16"/>
    <w:rsid w:val="00920038"/>
    <w:rsid w:val="00935B1F"/>
    <w:rsid w:val="00937A0B"/>
    <w:rsid w:val="00937DB0"/>
    <w:rsid w:val="00955E1B"/>
    <w:rsid w:val="0096035A"/>
    <w:rsid w:val="00971655"/>
    <w:rsid w:val="0097412C"/>
    <w:rsid w:val="009868C3"/>
    <w:rsid w:val="0099275B"/>
    <w:rsid w:val="009A141D"/>
    <w:rsid w:val="009B0F0D"/>
    <w:rsid w:val="009B44C6"/>
    <w:rsid w:val="009B556F"/>
    <w:rsid w:val="009E2994"/>
    <w:rsid w:val="009E3F50"/>
    <w:rsid w:val="009E46C0"/>
    <w:rsid w:val="00A0106D"/>
    <w:rsid w:val="00A02A3B"/>
    <w:rsid w:val="00A0324D"/>
    <w:rsid w:val="00A11D79"/>
    <w:rsid w:val="00A25BE6"/>
    <w:rsid w:val="00A33959"/>
    <w:rsid w:val="00A34AC8"/>
    <w:rsid w:val="00A36660"/>
    <w:rsid w:val="00A412F0"/>
    <w:rsid w:val="00A4294E"/>
    <w:rsid w:val="00A437A7"/>
    <w:rsid w:val="00A45219"/>
    <w:rsid w:val="00A4709D"/>
    <w:rsid w:val="00A50273"/>
    <w:rsid w:val="00A7617F"/>
    <w:rsid w:val="00A86289"/>
    <w:rsid w:val="00A86A49"/>
    <w:rsid w:val="00A92E62"/>
    <w:rsid w:val="00AA1E38"/>
    <w:rsid w:val="00AB39E0"/>
    <w:rsid w:val="00AB3B20"/>
    <w:rsid w:val="00AB76F7"/>
    <w:rsid w:val="00AC3350"/>
    <w:rsid w:val="00AD3CD5"/>
    <w:rsid w:val="00AD591D"/>
    <w:rsid w:val="00AF08F8"/>
    <w:rsid w:val="00AF2F72"/>
    <w:rsid w:val="00AF343E"/>
    <w:rsid w:val="00AF6452"/>
    <w:rsid w:val="00B07064"/>
    <w:rsid w:val="00B1679F"/>
    <w:rsid w:val="00B1770E"/>
    <w:rsid w:val="00B2386D"/>
    <w:rsid w:val="00B34886"/>
    <w:rsid w:val="00B405E8"/>
    <w:rsid w:val="00B55856"/>
    <w:rsid w:val="00B56EC2"/>
    <w:rsid w:val="00B61048"/>
    <w:rsid w:val="00B63C08"/>
    <w:rsid w:val="00B822B7"/>
    <w:rsid w:val="00B97F78"/>
    <w:rsid w:val="00BA2845"/>
    <w:rsid w:val="00BA3016"/>
    <w:rsid w:val="00BA638B"/>
    <w:rsid w:val="00BB0064"/>
    <w:rsid w:val="00BB6284"/>
    <w:rsid w:val="00BC26DE"/>
    <w:rsid w:val="00BC2C8D"/>
    <w:rsid w:val="00BC444B"/>
    <w:rsid w:val="00BD3F26"/>
    <w:rsid w:val="00BE49D9"/>
    <w:rsid w:val="00C00735"/>
    <w:rsid w:val="00C0684C"/>
    <w:rsid w:val="00C10FCA"/>
    <w:rsid w:val="00C14322"/>
    <w:rsid w:val="00C14CAB"/>
    <w:rsid w:val="00C15F19"/>
    <w:rsid w:val="00C17F43"/>
    <w:rsid w:val="00C22422"/>
    <w:rsid w:val="00C36D71"/>
    <w:rsid w:val="00C4560E"/>
    <w:rsid w:val="00C57BC0"/>
    <w:rsid w:val="00C640A0"/>
    <w:rsid w:val="00C8171A"/>
    <w:rsid w:val="00C81E44"/>
    <w:rsid w:val="00C861C5"/>
    <w:rsid w:val="00C9705B"/>
    <w:rsid w:val="00CA0414"/>
    <w:rsid w:val="00CA0BB8"/>
    <w:rsid w:val="00CA356B"/>
    <w:rsid w:val="00CB1CAE"/>
    <w:rsid w:val="00CB5B78"/>
    <w:rsid w:val="00CB6CDA"/>
    <w:rsid w:val="00CC152F"/>
    <w:rsid w:val="00CC2464"/>
    <w:rsid w:val="00CC46FB"/>
    <w:rsid w:val="00CC706E"/>
    <w:rsid w:val="00CD245F"/>
    <w:rsid w:val="00CD4FDB"/>
    <w:rsid w:val="00CF6000"/>
    <w:rsid w:val="00D054F7"/>
    <w:rsid w:val="00D16771"/>
    <w:rsid w:val="00D16C4F"/>
    <w:rsid w:val="00D20396"/>
    <w:rsid w:val="00D2649F"/>
    <w:rsid w:val="00D30211"/>
    <w:rsid w:val="00D344A8"/>
    <w:rsid w:val="00D35EBE"/>
    <w:rsid w:val="00D61311"/>
    <w:rsid w:val="00D826A1"/>
    <w:rsid w:val="00D840AD"/>
    <w:rsid w:val="00DA4B8C"/>
    <w:rsid w:val="00DA4D4E"/>
    <w:rsid w:val="00DB21C4"/>
    <w:rsid w:val="00DB3496"/>
    <w:rsid w:val="00DC31FD"/>
    <w:rsid w:val="00DD0144"/>
    <w:rsid w:val="00DD1186"/>
    <w:rsid w:val="00DD1A49"/>
    <w:rsid w:val="00DE3C84"/>
    <w:rsid w:val="00DE5D70"/>
    <w:rsid w:val="00DF360F"/>
    <w:rsid w:val="00DF6ACB"/>
    <w:rsid w:val="00E12100"/>
    <w:rsid w:val="00E13A19"/>
    <w:rsid w:val="00E23200"/>
    <w:rsid w:val="00E27DC1"/>
    <w:rsid w:val="00E330BC"/>
    <w:rsid w:val="00E60413"/>
    <w:rsid w:val="00E62FDF"/>
    <w:rsid w:val="00E72641"/>
    <w:rsid w:val="00E73B82"/>
    <w:rsid w:val="00E94899"/>
    <w:rsid w:val="00E949C4"/>
    <w:rsid w:val="00EA1A46"/>
    <w:rsid w:val="00EA1D87"/>
    <w:rsid w:val="00EB30B9"/>
    <w:rsid w:val="00EC0DB0"/>
    <w:rsid w:val="00ED4F82"/>
    <w:rsid w:val="00ED5D2C"/>
    <w:rsid w:val="00EE2B78"/>
    <w:rsid w:val="00EE2FEB"/>
    <w:rsid w:val="00EE3533"/>
    <w:rsid w:val="00EF4A0A"/>
    <w:rsid w:val="00EF4A1B"/>
    <w:rsid w:val="00F02637"/>
    <w:rsid w:val="00F112F0"/>
    <w:rsid w:val="00F13C3F"/>
    <w:rsid w:val="00F24272"/>
    <w:rsid w:val="00F27DAE"/>
    <w:rsid w:val="00F305C9"/>
    <w:rsid w:val="00F30C45"/>
    <w:rsid w:val="00F32486"/>
    <w:rsid w:val="00F43E5D"/>
    <w:rsid w:val="00F45308"/>
    <w:rsid w:val="00F65222"/>
    <w:rsid w:val="00F777FF"/>
    <w:rsid w:val="00F9008F"/>
    <w:rsid w:val="00FA264E"/>
    <w:rsid w:val="00FA2919"/>
    <w:rsid w:val="00FA7B32"/>
    <w:rsid w:val="00FB0CB1"/>
    <w:rsid w:val="00FC0670"/>
    <w:rsid w:val="00FC29F6"/>
    <w:rsid w:val="00FC413B"/>
    <w:rsid w:val="00FC7853"/>
    <w:rsid w:val="00FF333C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EDF7"/>
  <w15:docId w15:val="{D483F291-D01A-4765-95FF-A3A08AA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B3496"/>
  </w:style>
  <w:style w:type="character" w:customStyle="1" w:styleId="PrrafodelistaCar">
    <w:name w:val="Párrafo de lista Car"/>
    <w:link w:val="Prrafodelista"/>
    <w:uiPriority w:val="99"/>
    <w:locked/>
    <w:rsid w:val="009E29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4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33F4-79B1-4D23-8188-8E27C08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3034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Diego Sebastian Cevallos Salgado</cp:lastModifiedBy>
  <cp:revision>3</cp:revision>
  <cp:lastPrinted>2018-09-19T23:36:00Z</cp:lastPrinted>
  <dcterms:created xsi:type="dcterms:W3CDTF">2018-09-20T20:49:00Z</dcterms:created>
  <dcterms:modified xsi:type="dcterms:W3CDTF">2018-09-20T21:21:00Z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-436964531</vt:i4>
  </property>
</Properties>
</file>