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D621C0" w:rsidRDefault="007730B0"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t>EXPOSICIÓN DE MOTIVOS</w:t>
      </w:r>
    </w:p>
    <w:p w:rsidR="00C4560E" w:rsidRPr="00D621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D621C0">
        <w:rPr>
          <w:rFonts w:ascii="Palatino Linotype" w:eastAsiaTheme="minorHAnsi" w:hAnsi="Palatino Linotype"/>
          <w:sz w:val="22"/>
          <w:szCs w:val="22"/>
          <w:lang w:val="es-EC" w:eastAsia="en-US"/>
        </w:rPr>
        <w:t>La Constitución de la República del Ecuador, en su artículo 30, garantiza a las personas el "</w:t>
      </w:r>
      <w:r w:rsidRPr="00D621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D621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D621C0">
        <w:rPr>
          <w:rFonts w:ascii="Palatino Linotype" w:eastAsiaTheme="minorHAnsi" w:hAnsi="Palatino Linotype"/>
          <w:sz w:val="22"/>
          <w:szCs w:val="22"/>
          <w:lang w:val="es-EC" w:eastAsia="en-US"/>
        </w:rPr>
        <w:tab/>
      </w:r>
    </w:p>
    <w:p w:rsidR="00A675DA" w:rsidRDefault="0096645E" w:rsidP="00A675DA">
      <w:pPr>
        <w:spacing w:after="120" w:line="276" w:lineRule="auto"/>
        <w:ind w:firstLine="708"/>
        <w:jc w:val="both"/>
        <w:rPr>
          <w:rFonts w:ascii="Palatino Linotype" w:hAnsi="Palatino Linotype"/>
          <w:sz w:val="22"/>
          <w:szCs w:val="22"/>
        </w:rPr>
      </w:pPr>
      <w:r w:rsidRPr="00D621C0">
        <w:rPr>
          <w:rFonts w:ascii="Palatino Linotype" w:hAnsi="Palatino Linotype"/>
          <w:sz w:val="22"/>
          <w:szCs w:val="22"/>
        </w:rPr>
        <w:t xml:space="preserve">La Administración Municipal, a través de la Unidad Especial “Regula Tu Barrio”, gestiona procesos tendientes a regularizar </w:t>
      </w:r>
      <w:r w:rsidRPr="00D621C0">
        <w:rPr>
          <w:rFonts w:ascii="Palatino Linotype" w:hAnsi="Palatino Linotype"/>
          <w:bCs/>
          <w:sz w:val="22"/>
          <w:szCs w:val="22"/>
        </w:rPr>
        <w:t>la ocupación informal del suelo</w:t>
      </w:r>
      <w:r w:rsidRPr="00D621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525A91" w:rsidRPr="00577EF7" w:rsidRDefault="00525A91" w:rsidP="00525A91">
      <w:pPr>
        <w:spacing w:after="120" w:line="276" w:lineRule="auto"/>
        <w:ind w:firstLine="708"/>
        <w:jc w:val="both"/>
        <w:rPr>
          <w:rFonts w:ascii="Palatino Linotype" w:hAnsi="Palatino Linotype"/>
          <w:sz w:val="22"/>
          <w:szCs w:val="22"/>
        </w:rPr>
      </w:pPr>
      <w:r w:rsidRPr="00577EF7">
        <w:rPr>
          <w:rFonts w:ascii="Palatino Linotype" w:hAnsi="Palatino Linotype"/>
          <w:sz w:val="22"/>
          <w:szCs w:val="22"/>
        </w:rPr>
        <w:t>El Asentamiento Humano de Hecho y Consolidado de Interés Social denominado “Santiago Alto Etapa IV” tiene una consolidación de 71,43%;</w:t>
      </w:r>
      <w:r>
        <w:rPr>
          <w:rFonts w:ascii="Palatino Linotype" w:hAnsi="Palatino Linotype"/>
          <w:sz w:val="22"/>
          <w:szCs w:val="22"/>
        </w:rPr>
        <w:t xml:space="preserve"> </w:t>
      </w:r>
      <w:r w:rsidRPr="00577EF7">
        <w:rPr>
          <w:rFonts w:ascii="Palatino Linotype" w:hAnsi="Palatino Linotype"/>
          <w:sz w:val="22"/>
          <w:szCs w:val="22"/>
        </w:rPr>
        <w:t xml:space="preserve">al inicio del proceso de regularización contaba con 19 años de existencia sin embargo al momento de la sanción de la presente Ordenanza cuenta con 20 años de asentamiento y </w:t>
      </w:r>
      <w:r w:rsidRPr="00577EF7">
        <w:rPr>
          <w:rFonts w:ascii="Palatino Linotype" w:hAnsi="Palatino Linotype"/>
          <w:sz w:val="22"/>
          <w:szCs w:val="22"/>
          <w:lang w:val="es-EC"/>
        </w:rPr>
        <w:t xml:space="preserve">56 </w:t>
      </w:r>
      <w:r w:rsidRPr="00577EF7">
        <w:rPr>
          <w:rFonts w:ascii="Palatino Linotype" w:hAnsi="Palatino Linotype"/>
          <w:sz w:val="22"/>
          <w:szCs w:val="22"/>
        </w:rPr>
        <w:t xml:space="preserve">beneficiarios. </w:t>
      </w:r>
    </w:p>
    <w:p w:rsidR="00525A91" w:rsidRPr="00577EF7" w:rsidRDefault="00525A91" w:rsidP="00525A91">
      <w:pPr>
        <w:spacing w:after="120" w:line="276" w:lineRule="auto"/>
        <w:ind w:firstLine="708"/>
        <w:jc w:val="both"/>
        <w:rPr>
          <w:rFonts w:ascii="Palatino Linotype" w:hAnsi="Palatino Linotype"/>
          <w:sz w:val="22"/>
          <w:szCs w:val="22"/>
        </w:rPr>
      </w:pPr>
      <w:r w:rsidRPr="00577EF7">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7750DE" w:rsidRPr="00D621C0" w:rsidRDefault="00525A91" w:rsidP="00525A91">
      <w:pPr>
        <w:spacing w:after="120" w:line="276" w:lineRule="auto"/>
        <w:ind w:firstLine="708"/>
        <w:jc w:val="both"/>
        <w:rPr>
          <w:rFonts w:ascii="Palatino Linotype" w:hAnsi="Palatino Linotype"/>
          <w:b/>
          <w:sz w:val="22"/>
          <w:szCs w:val="22"/>
        </w:rPr>
      </w:pPr>
      <w:r w:rsidRPr="00577EF7">
        <w:rPr>
          <w:rFonts w:ascii="Palatino Linotype" w:hAnsi="Palatino Linotype"/>
          <w:sz w:val="22"/>
          <w:szCs w:val="22"/>
        </w:rPr>
        <w:t>En este sentido, la presente Ordenanza contiene la normativa tendiente a reconocer el fraccionamiento del predio sobre el que se encuentra el Asentamiento Humano de Hecho y Consolidado de Interés Social denominado “Santiago Alto Etapa IV”, a fin de garantizar a los beneficiarios el ejercicio de su derecho a la vivienda y el acceso a servicios básicos de calidad</w:t>
      </w:r>
      <w:r w:rsidR="007750DE" w:rsidRPr="00D621C0">
        <w:rPr>
          <w:rFonts w:ascii="Palatino Linotype" w:hAnsi="Palatino Linotype"/>
          <w:sz w:val="22"/>
          <w:szCs w:val="22"/>
        </w:rPr>
        <w:t>.</w:t>
      </w:r>
    </w:p>
    <w:p w:rsidR="00BA3016" w:rsidRPr="00D621C0" w:rsidRDefault="00BA3016" w:rsidP="00793402">
      <w:pPr>
        <w:spacing w:after="120" w:line="276" w:lineRule="auto"/>
        <w:ind w:firstLine="708"/>
        <w:jc w:val="both"/>
        <w:rPr>
          <w:rFonts w:ascii="Palatino Linotype" w:hAnsi="Palatino Linotype"/>
          <w:sz w:val="22"/>
          <w:szCs w:val="22"/>
        </w:rPr>
        <w:sectPr w:rsidR="00BA3016" w:rsidRPr="00D621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D621C0" w:rsidRDefault="00CD4FDB"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lastRenderedPageBreak/>
        <w:t>E</w:t>
      </w:r>
      <w:r w:rsidR="007730B0" w:rsidRPr="00D621C0">
        <w:rPr>
          <w:rFonts w:ascii="Palatino Linotype" w:hAnsi="Palatino Linotype" w:cs="Times New Roman"/>
          <w:sz w:val="22"/>
          <w:szCs w:val="22"/>
        </w:rPr>
        <w:t>L CONCEJO METROPOLITANO DE QUITO</w:t>
      </w:r>
    </w:p>
    <w:p w:rsidR="00C40CC0" w:rsidRPr="00D621C0" w:rsidRDefault="00E64141" w:rsidP="00C40CC0">
      <w:pPr>
        <w:spacing w:after="120" w:line="276" w:lineRule="auto"/>
        <w:jc w:val="both"/>
        <w:rPr>
          <w:rFonts w:ascii="Palatino Linotype" w:hAnsi="Palatino Linotype"/>
          <w:sz w:val="22"/>
          <w:szCs w:val="22"/>
        </w:rPr>
      </w:pPr>
      <w:r w:rsidRPr="00D621C0">
        <w:rPr>
          <w:rFonts w:ascii="Palatino Linotype" w:hAnsi="Palatino Linotype"/>
          <w:sz w:val="22"/>
          <w:szCs w:val="22"/>
        </w:rPr>
        <w:t>Visto</w:t>
      </w:r>
      <w:r w:rsidR="00B80CA5" w:rsidRPr="00D621C0">
        <w:rPr>
          <w:rFonts w:ascii="Palatino Linotype" w:hAnsi="Palatino Linotype"/>
          <w:sz w:val="22"/>
          <w:szCs w:val="22"/>
        </w:rPr>
        <w:t>s</w:t>
      </w:r>
      <w:r w:rsidRPr="00D621C0">
        <w:rPr>
          <w:rFonts w:ascii="Palatino Linotype" w:hAnsi="Palatino Linotype"/>
          <w:sz w:val="22"/>
          <w:szCs w:val="22"/>
        </w:rPr>
        <w:t xml:space="preserve"> </w:t>
      </w:r>
      <w:r w:rsidR="0099160A" w:rsidRPr="00D621C0">
        <w:rPr>
          <w:rFonts w:ascii="Palatino Linotype" w:hAnsi="Palatino Linotype"/>
          <w:sz w:val="22"/>
          <w:szCs w:val="22"/>
        </w:rPr>
        <w:t>el</w:t>
      </w:r>
      <w:r w:rsidRPr="00D621C0">
        <w:rPr>
          <w:rFonts w:ascii="Palatino Linotype" w:hAnsi="Palatino Linotype"/>
          <w:sz w:val="22"/>
          <w:szCs w:val="22"/>
        </w:rPr>
        <w:t xml:space="preserve"> Informe No</w:t>
      </w:r>
      <w:r w:rsidR="00B80CA5" w:rsidRPr="00D621C0">
        <w:rPr>
          <w:rFonts w:ascii="Palatino Linotype" w:hAnsi="Palatino Linotype"/>
          <w:sz w:val="22"/>
          <w:szCs w:val="22"/>
        </w:rPr>
        <w:t>.</w:t>
      </w:r>
      <w:r w:rsidR="00236471" w:rsidRPr="00D621C0">
        <w:rPr>
          <w:rFonts w:ascii="Palatino Linotype" w:hAnsi="Palatino Linotype"/>
          <w:sz w:val="22"/>
          <w:szCs w:val="22"/>
        </w:rPr>
        <w:t xml:space="preserve"> IC-O-</w:t>
      </w:r>
      <w:r w:rsidR="00683507" w:rsidRPr="00D621C0">
        <w:rPr>
          <w:rFonts w:ascii="Palatino Linotype" w:hAnsi="Palatino Linotype"/>
          <w:sz w:val="22"/>
          <w:szCs w:val="22"/>
        </w:rPr>
        <w:t>201</w:t>
      </w:r>
      <w:r w:rsidR="000F3EE6">
        <w:rPr>
          <w:rFonts w:ascii="Palatino Linotype" w:hAnsi="Palatino Linotype"/>
          <w:sz w:val="22"/>
          <w:szCs w:val="22"/>
        </w:rPr>
        <w:t>8</w:t>
      </w:r>
      <w:r w:rsidR="00236471" w:rsidRPr="00D621C0">
        <w:rPr>
          <w:rFonts w:ascii="Palatino Linotype" w:hAnsi="Palatino Linotype"/>
          <w:sz w:val="22"/>
          <w:szCs w:val="22"/>
        </w:rPr>
        <w:t>-</w:t>
      </w:r>
      <w:r w:rsidR="000F3EE6">
        <w:rPr>
          <w:rFonts w:ascii="Palatino Linotype" w:hAnsi="Palatino Linotype"/>
          <w:sz w:val="22"/>
          <w:szCs w:val="22"/>
        </w:rPr>
        <w:t>3</w:t>
      </w:r>
      <w:r w:rsidR="00525A91">
        <w:rPr>
          <w:rFonts w:ascii="Palatino Linotype" w:hAnsi="Palatino Linotype"/>
          <w:sz w:val="22"/>
          <w:szCs w:val="22"/>
        </w:rPr>
        <w:t>28</w:t>
      </w:r>
      <w:r w:rsidR="007359A3" w:rsidRPr="00D621C0">
        <w:rPr>
          <w:rFonts w:ascii="Palatino Linotype" w:hAnsi="Palatino Linotype"/>
          <w:sz w:val="22"/>
          <w:szCs w:val="22"/>
        </w:rPr>
        <w:t xml:space="preserve">, de </w:t>
      </w:r>
      <w:r w:rsidR="00525A91">
        <w:rPr>
          <w:rFonts w:ascii="Palatino Linotype" w:hAnsi="Palatino Linotype"/>
          <w:sz w:val="22"/>
          <w:szCs w:val="22"/>
        </w:rPr>
        <w:t>9</w:t>
      </w:r>
      <w:r w:rsidRPr="00D621C0">
        <w:rPr>
          <w:rFonts w:ascii="Palatino Linotype" w:hAnsi="Palatino Linotype"/>
          <w:sz w:val="22"/>
          <w:szCs w:val="22"/>
        </w:rPr>
        <w:t xml:space="preserve"> de </w:t>
      </w:r>
      <w:r w:rsidR="000F3EE6">
        <w:rPr>
          <w:rFonts w:ascii="Palatino Linotype" w:hAnsi="Palatino Linotype"/>
          <w:sz w:val="22"/>
          <w:szCs w:val="22"/>
        </w:rPr>
        <w:t xml:space="preserve">octubre </w:t>
      </w:r>
      <w:r w:rsidR="00495C11" w:rsidRPr="00D621C0">
        <w:rPr>
          <w:rFonts w:ascii="Palatino Linotype" w:hAnsi="Palatino Linotype"/>
          <w:sz w:val="22"/>
          <w:szCs w:val="22"/>
        </w:rPr>
        <w:t>de 201</w:t>
      </w:r>
      <w:r w:rsidR="000F3EE6">
        <w:rPr>
          <w:rFonts w:ascii="Palatino Linotype" w:hAnsi="Palatino Linotype"/>
          <w:sz w:val="22"/>
          <w:szCs w:val="22"/>
        </w:rPr>
        <w:t>8</w:t>
      </w:r>
      <w:r w:rsidRPr="00D621C0">
        <w:rPr>
          <w:rFonts w:ascii="Palatino Linotype" w:hAnsi="Palatino Linotype"/>
          <w:sz w:val="22"/>
          <w:szCs w:val="22"/>
        </w:rPr>
        <w:t>, expedido por la Comisión de Ordenamiento Territorial</w:t>
      </w:r>
      <w:r w:rsidR="00C40CC0" w:rsidRPr="00D621C0">
        <w:rPr>
          <w:rFonts w:ascii="Palatino Linotype" w:hAnsi="Palatino Linotype"/>
          <w:sz w:val="22"/>
          <w:szCs w:val="22"/>
        </w:rPr>
        <w:t>.</w:t>
      </w:r>
    </w:p>
    <w:p w:rsidR="005B51E8" w:rsidRPr="00D621C0" w:rsidRDefault="005B51E8" w:rsidP="00E4288C">
      <w:pPr>
        <w:spacing w:after="120" w:line="276" w:lineRule="auto"/>
        <w:jc w:val="center"/>
        <w:rPr>
          <w:rFonts w:ascii="Palatino Linotype" w:hAnsi="Palatino Linotype"/>
          <w:b/>
          <w:sz w:val="22"/>
          <w:szCs w:val="22"/>
        </w:rPr>
      </w:pPr>
      <w:r w:rsidRPr="00D621C0">
        <w:rPr>
          <w:rFonts w:ascii="Palatino Linotype" w:hAnsi="Palatino Linotype"/>
          <w:b/>
          <w:sz w:val="22"/>
          <w:szCs w:val="22"/>
        </w:rPr>
        <w:t>CONSIDERANDO:</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rPr>
        <w:t xml:space="preserve">Que, </w:t>
      </w:r>
      <w:r w:rsidRPr="00D621C0">
        <w:rPr>
          <w:rFonts w:ascii="Palatino Linotype" w:hAnsi="Palatino Linotype"/>
          <w:b/>
        </w:rPr>
        <w:tab/>
      </w:r>
      <w:r w:rsidRPr="00D621C0">
        <w:rPr>
          <w:rFonts w:ascii="Palatino Linotype" w:hAnsi="Palatino Linotype"/>
        </w:rPr>
        <w:t>el artículo 30 de la Constitución de la República del Ecuador (en adelante “Constitución”) establece que: “</w:t>
      </w:r>
      <w:r w:rsidRPr="00D621C0">
        <w:rPr>
          <w:rFonts w:ascii="Palatino Linotype" w:hAnsi="Palatino Linotype"/>
          <w:i/>
        </w:rPr>
        <w:t>Las personas tienen derecho a un hábitat seguro y saludable, y a una vivienda adecuada y digna, con independencia de su situación social y económica.</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31 de la Constitución expresa que: “</w:t>
      </w:r>
      <w:r w:rsidRPr="00D621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21C0">
        <w:rPr>
          <w:rFonts w:ascii="Palatino Linotype" w:hAnsi="Palatino Linotype"/>
          <w:bCs/>
        </w:rPr>
        <w:t xml:space="preserve">”;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240 de la Constitución establece que: “</w:t>
      </w:r>
      <w:r w:rsidRPr="00D621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i/>
        </w:rPr>
      </w:pPr>
      <w:r w:rsidRPr="00D621C0">
        <w:rPr>
          <w:rFonts w:ascii="Palatino Linotype" w:hAnsi="Palatino Linotype"/>
          <w:b/>
          <w:bCs/>
        </w:rPr>
        <w:t>Que,</w:t>
      </w:r>
      <w:r w:rsidR="00FD56C4" w:rsidRPr="00D621C0">
        <w:rPr>
          <w:rFonts w:ascii="Palatino Linotype" w:hAnsi="Palatino Linotype"/>
        </w:rPr>
        <w:tab/>
        <w:t>el numeral 1 y 2</w:t>
      </w:r>
      <w:r w:rsidRPr="00D621C0">
        <w:rPr>
          <w:rFonts w:ascii="Palatino Linotype" w:hAnsi="Palatino Linotype"/>
        </w:rPr>
        <w:t xml:space="preserve"> del artículo 264 de la Constitución manifiesta que: “</w:t>
      </w:r>
      <w:r w:rsidRPr="00D621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621C0">
        <w:rPr>
          <w:rFonts w:ascii="Palatino Linotype" w:hAnsi="Palatino Linotype"/>
        </w:rPr>
        <w:t xml:space="preserve">”; </w:t>
      </w:r>
      <w:r w:rsidRPr="00D621C0">
        <w:rPr>
          <w:rFonts w:ascii="Palatino Linotype" w:hAnsi="Palatino Linotype"/>
          <w:i/>
        </w:rPr>
        <w:t>(…)2.- “Ejercer el control sobre el uso y ocupación del</w:t>
      </w:r>
      <w:r w:rsidR="00FC7853" w:rsidRPr="00D621C0">
        <w:rPr>
          <w:rFonts w:ascii="Palatino Linotype" w:hAnsi="Palatino Linotype"/>
          <w:i/>
        </w:rPr>
        <w:t xml:space="preserve"> suelo en el cantón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literal c) del artículo 54, en concordancia con el literal c) del artículo 84 del Código Orgánico de Organización Territorial, Autonomía y Descentralización (en adelante “COOTAD”),</w:t>
      </w:r>
      <w:r w:rsidRPr="00D621C0">
        <w:rPr>
          <w:rFonts w:ascii="Palatino Linotype" w:hAnsi="Palatino Linotype"/>
          <w:b/>
          <w:bCs/>
        </w:rPr>
        <w:t xml:space="preserve"> </w:t>
      </w:r>
      <w:r w:rsidRPr="00D621C0">
        <w:rPr>
          <w:rFonts w:ascii="Palatino Linotype" w:hAnsi="Palatino Linotype"/>
          <w:bCs/>
        </w:rPr>
        <w:t>señala</w:t>
      </w:r>
      <w:r w:rsidRPr="00D621C0">
        <w:rPr>
          <w:rFonts w:ascii="Palatino Linotype" w:hAnsi="Palatino Linotype"/>
          <w:b/>
          <w:bCs/>
        </w:rPr>
        <w:t xml:space="preserve"> </w:t>
      </w:r>
      <w:r w:rsidRPr="00D621C0">
        <w:rPr>
          <w:rFonts w:ascii="Palatino Linotype" w:hAnsi="Palatino Linotype"/>
          <w:bCs/>
        </w:rPr>
        <w:t>como una función del gobierno autónomo descentralizado municipal</w:t>
      </w:r>
      <w:r w:rsidRPr="00D621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el artículo 57, en concordancia con el artículo 87 del COOTAD, establece que las funciones del Concejo Municipal, entre otras, son: </w:t>
      </w:r>
      <w:r w:rsidRPr="00D621C0">
        <w:rPr>
          <w:rFonts w:ascii="Palatino Linotype" w:hAnsi="Palatino Linotype"/>
          <w:iCs/>
        </w:rPr>
        <w:t>“</w:t>
      </w:r>
      <w:r w:rsidRPr="00D621C0">
        <w:rPr>
          <w:rFonts w:ascii="Palatino Linotype" w:hAnsi="Palatino Linotype"/>
          <w:i/>
          <w:iCs/>
        </w:rPr>
        <w:t>a) El ejercicio de la facultad normativa en las materias de competencia del gobierno autónomo des</w:t>
      </w:r>
      <w:bookmarkStart w:id="0" w:name="_GoBack"/>
      <w:bookmarkEnd w:id="0"/>
      <w:r w:rsidRPr="00D621C0">
        <w:rPr>
          <w:rFonts w:ascii="Palatino Linotype" w:hAnsi="Palatino Linotype"/>
          <w:i/>
          <w:iCs/>
        </w:rPr>
        <w:t xml:space="preserve">centralizado municipal, mediante la expedición de ordenanzas cantonales, acuerdos y resoluciones; (…) </w:t>
      </w:r>
      <w:r w:rsidRPr="00D621C0">
        <w:rPr>
          <w:rFonts w:ascii="Palatino Linotype" w:hAnsi="Palatino Linotype"/>
          <w:i/>
        </w:rPr>
        <w:t xml:space="preserve"> </w:t>
      </w:r>
      <w:r w:rsidRPr="00D621C0">
        <w:rPr>
          <w:rFonts w:ascii="Palatino Linotype" w:hAnsi="Palatino Linotype"/>
          <w:i/>
          <w:iCs/>
        </w:rPr>
        <w:t xml:space="preserve">x) Regular y controlar, mediante la normativa cantonal correspondiente, el uso del suelo en el territorio </w:t>
      </w:r>
      <w:r w:rsidRPr="00D621C0">
        <w:rPr>
          <w:rFonts w:ascii="Palatino Linotype" w:hAnsi="Palatino Linotype"/>
          <w:i/>
          <w:iCs/>
        </w:rPr>
        <w:lastRenderedPageBreak/>
        <w:t>del cantón, de conformidad con las leyes sobre la materia, y establecer el régimen urbanístico de la tierra;</w:t>
      </w:r>
      <w:r w:rsidRPr="00D621C0">
        <w:rPr>
          <w:rFonts w:ascii="Palatino Linotype" w:hAnsi="Palatino Linotype"/>
          <w:i/>
        </w:rPr>
        <w:t xml:space="preserve"> y, (…) </w:t>
      </w:r>
      <w:r w:rsidRPr="00D621C0">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621C0">
        <w:rPr>
          <w:rFonts w:ascii="Palatino Linotype" w:hAnsi="Palatino Linotype"/>
          <w:i/>
          <w:iCs/>
        </w:rPr>
        <w:t>interbarrial</w:t>
      </w:r>
      <w:proofErr w:type="spellEnd"/>
      <w:r w:rsidRPr="00D621C0">
        <w:rPr>
          <w:rFonts w:ascii="Palatino Linotype" w:hAnsi="Palatino Linotype"/>
          <w:i/>
          <w:iCs/>
        </w:rPr>
        <w:t>.</w:t>
      </w:r>
      <w:r w:rsidRPr="00D621C0">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 xml:space="preserve">Que, </w:t>
      </w:r>
      <w:r w:rsidRPr="00D621C0">
        <w:rPr>
          <w:rFonts w:ascii="Palatino Linotype" w:hAnsi="Palatino Linotype"/>
          <w:b/>
          <w:bCs/>
        </w:rPr>
        <w:tab/>
      </w:r>
      <w:r w:rsidR="00DD1A49" w:rsidRPr="00D621C0">
        <w:rPr>
          <w:rFonts w:ascii="Palatino Linotype" w:hAnsi="Palatino Linotype"/>
        </w:rPr>
        <w:t>el artículo 322 del COOTAD establece el procedimiento para la aprobación de las ordenanzas municipales;</w:t>
      </w:r>
    </w:p>
    <w:p w:rsidR="000F3EE6" w:rsidRPr="00D621C0" w:rsidRDefault="000F3EE6" w:rsidP="000F3EE6">
      <w:pPr>
        <w:pStyle w:val="Sinespaciado"/>
        <w:spacing w:after="120" w:line="276" w:lineRule="auto"/>
        <w:ind w:left="709" w:hanging="709"/>
        <w:jc w:val="both"/>
        <w:rPr>
          <w:rFonts w:ascii="Palatino Linotype" w:hAnsi="Palatino Linotype"/>
          <w:b/>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486 del COOTAD reformado establece que: “</w:t>
      </w:r>
      <w:r w:rsidRPr="00D621C0">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621C0">
        <w:rPr>
          <w:rFonts w:ascii="Palatino Linotype" w:hAnsi="Palatino Linotype"/>
          <w:bCs/>
          <w:lang w:val="es-ES_tradnl"/>
        </w:rPr>
        <w:t>”</w:t>
      </w:r>
      <w:r w:rsidRPr="00D621C0">
        <w:rPr>
          <w:rFonts w:ascii="Palatino Linotype" w:hAnsi="Palatino Linotype"/>
          <w:b/>
          <w:bCs/>
        </w:rPr>
        <w:t xml:space="preserve">;  </w:t>
      </w:r>
    </w:p>
    <w:p w:rsidR="00793402" w:rsidRPr="00D621C0" w:rsidRDefault="00793402"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la Disposición Transitoria Dé</w:t>
      </w:r>
      <w:r w:rsidR="00494DA4">
        <w:rPr>
          <w:rFonts w:ascii="Palatino Linotype" w:hAnsi="Palatino Linotype"/>
          <w:bCs/>
        </w:rPr>
        <w:t xml:space="preserve">cima Cuarta del COOTAD, señala: </w:t>
      </w:r>
      <w:r w:rsidRPr="00D621C0">
        <w:rPr>
          <w:rFonts w:ascii="Palatino Linotype" w:hAnsi="Palatino Linotype"/>
          <w:bCs/>
        </w:rPr>
        <w:t>“</w:t>
      </w:r>
      <w:r w:rsidRPr="00D621C0">
        <w:rPr>
          <w:rFonts w:ascii="Palatino Linotype" w:hAnsi="Palatino Linotype"/>
          <w:bCs/>
          <w:i/>
        </w:rPr>
        <w:t xml:space="preserve">(…) </w:t>
      </w:r>
      <w:r w:rsidRPr="00D621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621C0">
        <w:rPr>
          <w:rFonts w:ascii="Palatino Linotype" w:hAnsi="Palatino Linotype"/>
        </w:rPr>
        <w:t>.”;</w:t>
      </w:r>
    </w:p>
    <w:p w:rsidR="00DD1A49" w:rsidRPr="00D621C0" w:rsidRDefault="00DD1A49"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D621C0" w:rsidRDefault="00DD1A49" w:rsidP="00E64141">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A675DA" w:rsidRDefault="00FF3CDC" w:rsidP="00A675DA">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B80CA5" w:rsidRPr="00D621C0">
        <w:rPr>
          <w:rFonts w:ascii="Palatino Linotype" w:hAnsi="Palatino Linotype"/>
          <w:b/>
          <w:bCs/>
          <w:sz w:val="22"/>
          <w:szCs w:val="22"/>
        </w:rPr>
        <w:tab/>
      </w:r>
      <w:r w:rsidRPr="00D621C0">
        <w:rPr>
          <w:rFonts w:ascii="Palatino Linotype" w:hAnsi="Palatino Linotype"/>
          <w:bCs/>
          <w:sz w:val="22"/>
          <w:szCs w:val="22"/>
        </w:rPr>
        <w:t>la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en sus considerandos reconoce la creación de la Unidad “Especial Regula Tu Barrio” como el ente encargado de </w:t>
      </w:r>
      <w:r w:rsidRPr="00D621C0">
        <w:rPr>
          <w:rFonts w:ascii="Palatino Linotype" w:hAnsi="Palatino Linotype"/>
          <w:bCs/>
          <w:sz w:val="22"/>
          <w:szCs w:val="22"/>
        </w:rPr>
        <w:lastRenderedPageBreak/>
        <w:t>procesar, canalizar y resolver los procedimientos para la regularización de la ocupación informal del suelo;</w:t>
      </w:r>
    </w:p>
    <w:p w:rsidR="00FF3CDC"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246137" w:rsidRPr="00D621C0">
        <w:rPr>
          <w:rFonts w:ascii="Palatino Linotype" w:hAnsi="Palatino Linotype"/>
          <w:b/>
          <w:bCs/>
          <w:sz w:val="22"/>
          <w:szCs w:val="22"/>
        </w:rPr>
        <w:tab/>
      </w:r>
      <w:r w:rsidRPr="00D621C0">
        <w:rPr>
          <w:rFonts w:ascii="Palatino Linotype" w:hAnsi="Palatino Linotype"/>
          <w:bCs/>
          <w:sz w:val="22"/>
          <w:szCs w:val="22"/>
        </w:rPr>
        <w:t>mediante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b/>
          <w:bCs/>
          <w:sz w:val="22"/>
          <w:szCs w:val="22"/>
        </w:rPr>
        <w:tab/>
      </w:r>
      <w:r w:rsidR="00FF3CDC" w:rsidRPr="00D621C0">
        <w:rPr>
          <w:rFonts w:ascii="Palatino Linotype" w:hAnsi="Palatino Linotype"/>
          <w:bCs/>
          <w:sz w:val="22"/>
          <w:szCs w:val="22"/>
        </w:rPr>
        <w:t>de conformidad con la disposición transitoria segunda de la Ordenanza No. 0147</w:t>
      </w:r>
      <w:r w:rsidRPr="00D621C0">
        <w:rPr>
          <w:rFonts w:ascii="Palatino Linotype" w:hAnsi="Palatino Linotype"/>
          <w:bCs/>
          <w:sz w:val="22"/>
          <w:szCs w:val="22"/>
        </w:rPr>
        <w:t>,</w:t>
      </w:r>
      <w:r w:rsidR="00FF3CDC" w:rsidRPr="00D621C0">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D621C0" w:rsidRDefault="00C83BE6"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sz w:val="22"/>
          <w:szCs w:val="22"/>
        </w:rPr>
        <w:tab/>
      </w:r>
      <w:r w:rsidR="00907ED5" w:rsidRPr="00577EF7">
        <w:rPr>
          <w:rFonts w:ascii="Palatino Linotype" w:hAnsi="Palatino Linotype"/>
          <w:bCs/>
          <w:sz w:val="22"/>
          <w:szCs w:val="22"/>
        </w:rPr>
        <w:t>la Mesa Institucional, reunida el 27 de diciembre de 2017</w:t>
      </w:r>
      <w:r w:rsidR="00907ED5">
        <w:rPr>
          <w:rFonts w:ascii="Palatino Linotype" w:hAnsi="Palatino Linotype"/>
          <w:bCs/>
          <w:sz w:val="22"/>
          <w:szCs w:val="22"/>
        </w:rPr>
        <w:t>,</w:t>
      </w:r>
      <w:r w:rsidR="00907ED5" w:rsidRPr="00577EF7">
        <w:rPr>
          <w:rFonts w:ascii="Palatino Linotype" w:hAnsi="Palatino Linotype"/>
          <w:bCs/>
          <w:sz w:val="22"/>
          <w:szCs w:val="22"/>
        </w:rPr>
        <w:t xml:space="preserve"> en la Administración Zonal Eloy Alfaro, integrada por </w:t>
      </w:r>
      <w:r w:rsidR="00907ED5" w:rsidRPr="00577EF7">
        <w:rPr>
          <w:rFonts w:ascii="Palatino Linotype" w:hAnsi="Palatino Linotype"/>
          <w:sz w:val="22"/>
          <w:szCs w:val="22"/>
        </w:rPr>
        <w:t xml:space="preserve">Edwin </w:t>
      </w:r>
      <w:proofErr w:type="spellStart"/>
      <w:r w:rsidR="00907ED5" w:rsidRPr="00577EF7">
        <w:rPr>
          <w:rFonts w:ascii="Palatino Linotype" w:hAnsi="Palatino Linotype"/>
          <w:sz w:val="22"/>
          <w:szCs w:val="22"/>
        </w:rPr>
        <w:t>Bosmediano</w:t>
      </w:r>
      <w:proofErr w:type="spellEnd"/>
      <w:r w:rsidR="00907ED5" w:rsidRPr="00577EF7">
        <w:rPr>
          <w:rFonts w:ascii="Palatino Linotype" w:hAnsi="Palatino Linotype"/>
          <w:sz w:val="22"/>
          <w:szCs w:val="22"/>
        </w:rPr>
        <w:t>, Administrador Zonal Eloy Alfaro; Arq. Miguel Hidalgo, Coordinador UERB- Q (E), Arq. Mauricio Zapata, Director de Gestión del Territorio Zonal Eloy Alfaro (E); Arq. Elizabeth Ortiz, Delegada de la Secretaría de Territorio, Hábitat y Vivienda; Arq. María Belén Cueva, Delegada de la Dirección Metropolitana de Catastro;  Ing. Elizabeth Carrión, Delegada de la Dirección Metropolitana de Gestión de Riesgos;</w:t>
      </w:r>
      <w:r w:rsidR="00907ED5" w:rsidRPr="00577EF7">
        <w:rPr>
          <w:rFonts w:ascii="Palatino Linotype" w:hAnsi="Palatino Linotype"/>
          <w:bCs/>
          <w:sz w:val="22"/>
          <w:szCs w:val="22"/>
        </w:rPr>
        <w:t xml:space="preserve"> Abg. Sofía Reyna, Responsable Legal y Lcda. </w:t>
      </w:r>
      <w:proofErr w:type="spellStart"/>
      <w:r w:rsidR="00907ED5" w:rsidRPr="00577EF7">
        <w:rPr>
          <w:rFonts w:ascii="Palatino Linotype" w:hAnsi="Palatino Linotype"/>
          <w:bCs/>
          <w:sz w:val="22"/>
          <w:szCs w:val="22"/>
        </w:rPr>
        <w:t>Gianyna</w:t>
      </w:r>
      <w:proofErr w:type="spellEnd"/>
      <w:r w:rsidR="00907ED5" w:rsidRPr="00577EF7">
        <w:rPr>
          <w:rFonts w:ascii="Palatino Linotype" w:hAnsi="Palatino Linotype"/>
          <w:bCs/>
          <w:sz w:val="22"/>
          <w:szCs w:val="22"/>
        </w:rPr>
        <w:t xml:space="preserve"> Rosero, Responsable Socio-Organizativo,  de la Unidad Especial Regula Tu Barrio aprobaron el Informe Socio Organizativo Legal y Técnico N</w:t>
      </w:r>
      <w:r w:rsidR="00907ED5">
        <w:rPr>
          <w:rFonts w:ascii="Palatino Linotype" w:hAnsi="Palatino Linotype"/>
          <w:bCs/>
          <w:sz w:val="22"/>
          <w:szCs w:val="22"/>
        </w:rPr>
        <w:t>o.</w:t>
      </w:r>
      <w:r w:rsidR="00907ED5" w:rsidRPr="00577EF7">
        <w:rPr>
          <w:rFonts w:ascii="Palatino Linotype" w:hAnsi="Palatino Linotype"/>
          <w:bCs/>
          <w:sz w:val="22"/>
          <w:szCs w:val="22"/>
        </w:rPr>
        <w:t xml:space="preserve"> 007-UERB-E-SOLT-2017, de 30 de noviembre de 2017, habilitante de la Ordenanza de Reconocimiento del Asentamiento Humano de Hecho y Consolidado de Interés Social, denominado “Santiago Alto Etapa IV” a favor de sus copropietarios</w:t>
      </w:r>
      <w:r w:rsidRPr="00D621C0">
        <w:rPr>
          <w:rFonts w:ascii="Palatino Linotype" w:hAnsi="Palatino Linotype"/>
          <w:sz w:val="22"/>
          <w:szCs w:val="22"/>
        </w:rPr>
        <w:t>.</w:t>
      </w:r>
    </w:p>
    <w:p w:rsidR="005B51E8" w:rsidRPr="00D621C0" w:rsidRDefault="005B51E8" w:rsidP="00E4288C">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En </w:t>
      </w:r>
      <w:r w:rsidR="00F112F0" w:rsidRPr="00D621C0">
        <w:rPr>
          <w:rFonts w:ascii="Palatino Linotype" w:hAnsi="Palatino Linotype"/>
          <w:b/>
          <w:sz w:val="22"/>
          <w:szCs w:val="22"/>
        </w:rPr>
        <w:t>ejercicio</w:t>
      </w:r>
      <w:r w:rsidRPr="00D621C0">
        <w:rPr>
          <w:rFonts w:ascii="Palatino Linotype" w:hAnsi="Palatino Linotype"/>
          <w:b/>
          <w:sz w:val="22"/>
          <w:szCs w:val="22"/>
        </w:rPr>
        <w:t xml:space="preserve"> de </w:t>
      </w:r>
      <w:r w:rsidR="00F112F0" w:rsidRPr="00D621C0">
        <w:rPr>
          <w:rFonts w:ascii="Palatino Linotype" w:hAnsi="Palatino Linotype"/>
          <w:b/>
          <w:sz w:val="22"/>
          <w:szCs w:val="22"/>
        </w:rPr>
        <w:t xml:space="preserve">sus </w:t>
      </w:r>
      <w:r w:rsidRPr="00D621C0">
        <w:rPr>
          <w:rFonts w:ascii="Palatino Linotype" w:hAnsi="Palatino Linotype"/>
          <w:b/>
          <w:sz w:val="22"/>
          <w:szCs w:val="22"/>
        </w:rPr>
        <w:t>atribuciones legales constantes en los artículos 30, 31, 240 y 264 n</w:t>
      </w:r>
      <w:r w:rsidR="009868C3" w:rsidRPr="00D621C0">
        <w:rPr>
          <w:rFonts w:ascii="Palatino Linotype" w:hAnsi="Palatino Linotype"/>
          <w:b/>
          <w:sz w:val="22"/>
          <w:szCs w:val="22"/>
        </w:rPr>
        <w:t>umeral 1 y 2 de la Constitución</w:t>
      </w:r>
      <w:r w:rsidRPr="00D621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D621C0">
        <w:rPr>
          <w:rFonts w:ascii="Palatino Linotype" w:hAnsi="Palatino Linotype"/>
          <w:b/>
          <w:sz w:val="22"/>
          <w:szCs w:val="22"/>
        </w:rPr>
        <w:t xml:space="preserve"> 1 de la Ley de Régimen para el</w:t>
      </w:r>
      <w:r w:rsidRPr="00D621C0">
        <w:rPr>
          <w:rFonts w:ascii="Palatino Linotype" w:hAnsi="Palatino Linotype"/>
          <w:b/>
          <w:sz w:val="22"/>
          <w:szCs w:val="22"/>
        </w:rPr>
        <w:t xml:space="preserve"> D</w:t>
      </w:r>
      <w:r w:rsidR="00FC7853" w:rsidRPr="00D621C0">
        <w:rPr>
          <w:rFonts w:ascii="Palatino Linotype" w:hAnsi="Palatino Linotype"/>
          <w:b/>
          <w:sz w:val="22"/>
          <w:szCs w:val="22"/>
        </w:rPr>
        <w:t>istrito Metropolitano</w:t>
      </w:r>
      <w:r w:rsidR="007A714D" w:rsidRPr="00D621C0">
        <w:rPr>
          <w:rFonts w:ascii="Palatino Linotype" w:hAnsi="Palatino Linotype"/>
          <w:b/>
          <w:sz w:val="22"/>
          <w:szCs w:val="22"/>
        </w:rPr>
        <w:t xml:space="preserve"> de Quito,</w:t>
      </w:r>
    </w:p>
    <w:p w:rsidR="005B51E8" w:rsidRPr="00D621C0" w:rsidRDefault="005B51E8" w:rsidP="00E4288C">
      <w:pPr>
        <w:spacing w:after="120" w:line="276" w:lineRule="auto"/>
        <w:jc w:val="center"/>
        <w:rPr>
          <w:rFonts w:ascii="Palatino Linotype" w:hAnsi="Palatino Linotype"/>
          <w:b/>
          <w:bCs/>
          <w:sz w:val="22"/>
          <w:szCs w:val="22"/>
        </w:rPr>
      </w:pPr>
      <w:r w:rsidRPr="00D621C0">
        <w:rPr>
          <w:rFonts w:ascii="Palatino Linotype" w:hAnsi="Palatino Linotype"/>
          <w:b/>
          <w:sz w:val="22"/>
          <w:szCs w:val="22"/>
        </w:rPr>
        <w:t>EXPIDE LA SIGUIENTE:</w:t>
      </w:r>
    </w:p>
    <w:p w:rsidR="00907ED5" w:rsidRPr="00577EF7" w:rsidRDefault="00495C11" w:rsidP="00907ED5">
      <w:pPr>
        <w:pStyle w:val="Ttulo7"/>
        <w:spacing w:before="0" w:after="120" w:line="276" w:lineRule="auto"/>
        <w:jc w:val="center"/>
        <w:rPr>
          <w:rFonts w:ascii="Palatino Linotype" w:hAnsi="Palatino Linotype"/>
          <w:sz w:val="22"/>
          <w:szCs w:val="22"/>
        </w:rPr>
      </w:pPr>
      <w:r w:rsidRPr="00D621C0">
        <w:rPr>
          <w:rFonts w:ascii="Palatino Linotype" w:hAnsi="Palatino Linotype"/>
          <w:b/>
          <w:bCs/>
          <w:sz w:val="22"/>
          <w:szCs w:val="22"/>
        </w:rPr>
        <w:t xml:space="preserve">ORDENANZA </w:t>
      </w:r>
      <w:r w:rsidR="00907ED5" w:rsidRPr="00577EF7">
        <w:rPr>
          <w:rFonts w:ascii="Palatino Linotype" w:hAnsi="Palatino Linotype"/>
          <w:b/>
          <w:bCs/>
          <w:sz w:val="22"/>
          <w:szCs w:val="22"/>
        </w:rPr>
        <w:t xml:space="preserve">QUE RECONOCE Y APRUEBA EL </w:t>
      </w:r>
      <w:r w:rsidR="00907ED5" w:rsidRPr="00577EF7">
        <w:rPr>
          <w:rFonts w:ascii="Palatino Linotype" w:hAnsi="Palatino Linotype"/>
          <w:b/>
          <w:color w:val="000000"/>
          <w:sz w:val="22"/>
          <w:szCs w:val="22"/>
          <w:shd w:val="clear" w:color="auto" w:fill="FFFFFF"/>
        </w:rPr>
        <w:t xml:space="preserve">FRACCIONAMIENTO DE LOS PREDIOS </w:t>
      </w:r>
      <w:r w:rsidR="00907ED5">
        <w:rPr>
          <w:rFonts w:ascii="Palatino Linotype" w:hAnsi="Palatino Linotype"/>
          <w:b/>
          <w:color w:val="000000"/>
          <w:sz w:val="22"/>
          <w:szCs w:val="22"/>
          <w:shd w:val="clear" w:color="auto" w:fill="FFFFFF"/>
        </w:rPr>
        <w:t xml:space="preserve">Nos. </w:t>
      </w:r>
      <w:r w:rsidR="00907ED5" w:rsidRPr="00577EF7">
        <w:rPr>
          <w:rFonts w:ascii="Palatino Linotype" w:hAnsi="Palatino Linotype"/>
          <w:b/>
          <w:sz w:val="22"/>
          <w:szCs w:val="22"/>
        </w:rPr>
        <w:t>197676</w:t>
      </w:r>
      <w:r w:rsidR="00907ED5">
        <w:rPr>
          <w:rFonts w:ascii="Palatino Linotype" w:hAnsi="Palatino Linotype"/>
          <w:b/>
          <w:sz w:val="22"/>
          <w:szCs w:val="22"/>
        </w:rPr>
        <w:t>,</w:t>
      </w:r>
      <w:r w:rsidR="00907ED5" w:rsidRPr="00577EF7">
        <w:rPr>
          <w:rFonts w:ascii="Palatino Linotype" w:hAnsi="Palatino Linotype"/>
          <w:b/>
          <w:sz w:val="22"/>
          <w:szCs w:val="22"/>
        </w:rPr>
        <w:t xml:space="preserve"> 197682</w:t>
      </w:r>
      <w:r w:rsidR="00907ED5">
        <w:rPr>
          <w:rFonts w:ascii="Palatino Linotype" w:hAnsi="Palatino Linotype"/>
          <w:b/>
          <w:sz w:val="22"/>
          <w:szCs w:val="22"/>
        </w:rPr>
        <w:t>,</w:t>
      </w:r>
      <w:r w:rsidR="00907ED5" w:rsidRPr="00577EF7">
        <w:rPr>
          <w:rFonts w:ascii="Palatino Linotype" w:hAnsi="Palatino Linotype"/>
          <w:b/>
          <w:sz w:val="22"/>
          <w:szCs w:val="22"/>
        </w:rPr>
        <w:t xml:space="preserve"> 197693</w:t>
      </w:r>
      <w:r w:rsidR="00907ED5">
        <w:rPr>
          <w:rFonts w:ascii="Palatino Linotype" w:hAnsi="Palatino Linotype"/>
          <w:b/>
          <w:sz w:val="22"/>
          <w:szCs w:val="22"/>
        </w:rPr>
        <w:t xml:space="preserve"> Y</w:t>
      </w:r>
      <w:r w:rsidR="00907ED5" w:rsidRPr="00577EF7">
        <w:rPr>
          <w:rFonts w:ascii="Palatino Linotype" w:hAnsi="Palatino Linotype"/>
          <w:b/>
          <w:sz w:val="22"/>
          <w:szCs w:val="22"/>
        </w:rPr>
        <w:t xml:space="preserve"> 197696</w:t>
      </w:r>
      <w:r w:rsidR="00907ED5">
        <w:rPr>
          <w:rFonts w:ascii="Palatino Linotype" w:hAnsi="Palatino Linotype"/>
          <w:b/>
          <w:sz w:val="22"/>
          <w:szCs w:val="22"/>
        </w:rPr>
        <w:t>,</w:t>
      </w:r>
      <w:r w:rsidR="00907ED5" w:rsidRPr="00577EF7">
        <w:rPr>
          <w:rFonts w:ascii="Palatino Linotype" w:hAnsi="Palatino Linotype"/>
          <w:b/>
          <w:sz w:val="22"/>
          <w:szCs w:val="22"/>
        </w:rPr>
        <w:t xml:space="preserve"> </w:t>
      </w:r>
      <w:r w:rsidR="00907ED5" w:rsidRPr="00577EF7">
        <w:rPr>
          <w:rFonts w:ascii="Palatino Linotype" w:hAnsi="Palatino Linotype"/>
          <w:b/>
          <w:color w:val="000000"/>
          <w:sz w:val="22"/>
          <w:szCs w:val="22"/>
          <w:shd w:val="clear" w:color="auto" w:fill="FFFFFF"/>
        </w:rPr>
        <w:t>SOBRE LOS QUE SE ENCUENTRA</w:t>
      </w:r>
      <w:r w:rsidR="00907ED5" w:rsidRPr="00577EF7">
        <w:rPr>
          <w:rFonts w:ascii="Palatino Linotype" w:hAnsi="Palatino Linotype"/>
          <w:b/>
          <w:bCs/>
          <w:sz w:val="22"/>
          <w:szCs w:val="22"/>
        </w:rPr>
        <w:t xml:space="preserve"> EL ASENTAMIENTO HUMANO DE HECHO Y CONSOLIDADO DE INTERÉS SOCIAL </w:t>
      </w:r>
      <w:r w:rsidR="00907ED5" w:rsidRPr="00577EF7">
        <w:rPr>
          <w:rFonts w:ascii="Palatino Linotype" w:hAnsi="Palatino Linotype"/>
          <w:b/>
          <w:bCs/>
          <w:sz w:val="22"/>
          <w:szCs w:val="22"/>
        </w:rPr>
        <w:lastRenderedPageBreak/>
        <w:t>DENOMINADO “SANTIAGO ALTO ETAPA IV”</w:t>
      </w:r>
      <w:r w:rsidR="00907ED5">
        <w:rPr>
          <w:rFonts w:ascii="Palatino Linotype" w:hAnsi="Palatino Linotype"/>
          <w:b/>
          <w:bCs/>
          <w:sz w:val="22"/>
          <w:szCs w:val="22"/>
        </w:rPr>
        <w:t>,</w:t>
      </w:r>
      <w:r w:rsidR="00907ED5" w:rsidRPr="00577EF7">
        <w:rPr>
          <w:rFonts w:ascii="Palatino Linotype" w:hAnsi="Palatino Linotype"/>
          <w:b/>
          <w:bCs/>
          <w:sz w:val="22"/>
          <w:szCs w:val="22"/>
        </w:rPr>
        <w:t xml:space="preserve"> A FAVOR DE SUS COPROPIETARIOS  </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b/>
          <w:bCs/>
          <w:sz w:val="22"/>
          <w:szCs w:val="22"/>
        </w:rPr>
        <w:t xml:space="preserve">Artículo 1.- De los planos y documentos </w:t>
      </w:r>
      <w:proofErr w:type="gramStart"/>
      <w:r w:rsidRPr="00577EF7">
        <w:rPr>
          <w:rFonts w:ascii="Palatino Linotype" w:hAnsi="Palatino Linotype"/>
          <w:b/>
          <w:bCs/>
          <w:sz w:val="22"/>
          <w:szCs w:val="22"/>
        </w:rPr>
        <w:t>presentados.-</w:t>
      </w:r>
      <w:proofErr w:type="gramEnd"/>
      <w:r w:rsidRPr="00577EF7">
        <w:rPr>
          <w:rFonts w:ascii="Palatino Linotype" w:hAnsi="Palatino Linotype"/>
          <w:b/>
          <w:bCs/>
          <w:sz w:val="22"/>
          <w:szCs w:val="22"/>
        </w:rPr>
        <w:t xml:space="preserve"> </w:t>
      </w:r>
      <w:r w:rsidRPr="00577EF7">
        <w:rPr>
          <w:rFonts w:ascii="Palatino Linotype" w:hAnsi="Palatino Linotype"/>
          <w:sz w:val="22"/>
          <w:szCs w:val="22"/>
        </w:rPr>
        <w:t>Los planos y documentos presentados son de exclusiva responsabilidad del proyectista y de los copropietarios del Asentamiento Humano de Hecho y Consolidado de Interés Social denominado “Santiago Alto Etapa IV”</w:t>
      </w:r>
      <w:r>
        <w:rPr>
          <w:rFonts w:ascii="Palatino Linotype" w:hAnsi="Palatino Linotype"/>
          <w:sz w:val="22"/>
          <w:szCs w:val="22"/>
        </w:rPr>
        <w:t>,</w:t>
      </w:r>
      <w:r w:rsidRPr="00577EF7">
        <w:rPr>
          <w:rFonts w:ascii="Palatino Linotype" w:hAnsi="Palatino Linotype"/>
          <w:sz w:val="22"/>
          <w:szCs w:val="22"/>
        </w:rPr>
        <w:t xml:space="preserve"> ubicado en la parroquia </w:t>
      </w:r>
      <w:proofErr w:type="spellStart"/>
      <w:r w:rsidRPr="00577EF7">
        <w:rPr>
          <w:rFonts w:ascii="Palatino Linotype" w:hAnsi="Palatino Linotype"/>
          <w:sz w:val="22"/>
          <w:szCs w:val="22"/>
        </w:rPr>
        <w:t>Chilibulo</w:t>
      </w:r>
      <w:proofErr w:type="spellEnd"/>
      <w:r w:rsidRPr="00577EF7">
        <w:rPr>
          <w:rFonts w:ascii="Palatino Linotype" w:hAnsi="Palatino Linotype"/>
          <w:sz w:val="22"/>
          <w:szCs w:val="22"/>
        </w:rPr>
        <w:t xml:space="preserve"> (antes La Magdalena)</w:t>
      </w:r>
      <w:r>
        <w:rPr>
          <w:rFonts w:ascii="Palatino Linotype" w:hAnsi="Palatino Linotype"/>
          <w:sz w:val="22"/>
          <w:szCs w:val="22"/>
        </w:rPr>
        <w:t>,</w:t>
      </w:r>
      <w:r w:rsidRPr="00577EF7">
        <w:rPr>
          <w:rFonts w:ascii="Palatino Linotype" w:hAnsi="Palatino Linotype"/>
          <w:sz w:val="22"/>
          <w:szCs w:val="22"/>
        </w:rPr>
        <w:t xml:space="preserve"> </w:t>
      </w:r>
      <w:r w:rsidRPr="00577EF7">
        <w:rPr>
          <w:rFonts w:ascii="Palatino Linotype" w:hAnsi="Palatino Linotype"/>
          <w:bCs/>
          <w:sz w:val="22"/>
          <w:szCs w:val="22"/>
        </w:rPr>
        <w:t xml:space="preserve">sin </w:t>
      </w:r>
      <w:r w:rsidRPr="00577EF7">
        <w:rPr>
          <w:rFonts w:ascii="Palatino Linotype" w:hAnsi="Palatino Linotype"/>
          <w:sz w:val="22"/>
          <w:szCs w:val="22"/>
        </w:rPr>
        <w:t>perjuicio de la responsabilidad de quienes revisaron los planos y los documentos legales, excepto que hayan sido inducidos a engaño.</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sz w:val="22"/>
          <w:szCs w:val="22"/>
        </w:rPr>
        <w:t xml:space="preserve">Las dimensiones y superficies de los lotes, son las determinadas en el plano aprobatorio, que </w:t>
      </w:r>
      <w:r>
        <w:rPr>
          <w:rFonts w:ascii="Palatino Linotype" w:hAnsi="Palatino Linotype"/>
          <w:sz w:val="22"/>
          <w:szCs w:val="22"/>
        </w:rPr>
        <w:t>forma parte integrante de esta o</w:t>
      </w:r>
      <w:r w:rsidRPr="00577EF7">
        <w:rPr>
          <w:rFonts w:ascii="Palatino Linotype" w:hAnsi="Palatino Linotype"/>
          <w:sz w:val="22"/>
          <w:szCs w:val="22"/>
        </w:rPr>
        <w:t>rdenanza.</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sz w:val="22"/>
          <w:szCs w:val="22"/>
        </w:rPr>
        <w:t>Los copropietarios del Asentamiento Humano de Hecho y Consolidado de Interés Social denominado “Santiago Alto Etapa IV” se comprometen a respetar las características de los lotes establecidas en el plano y en este instrumento; por tanto, no podrán fraccionarlos o dividirlos.</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sz w:val="22"/>
          <w:szCs w:val="22"/>
        </w:rPr>
        <w:t>El incumplimiento de lo dispuesto en la presente</w:t>
      </w:r>
      <w:r>
        <w:rPr>
          <w:rFonts w:ascii="Palatino Linotype" w:hAnsi="Palatino Linotype"/>
          <w:sz w:val="22"/>
          <w:szCs w:val="22"/>
        </w:rPr>
        <w:t xml:space="preserve"> o</w:t>
      </w:r>
      <w:r w:rsidRPr="00577EF7">
        <w:rPr>
          <w:rFonts w:ascii="Palatino Linotype" w:hAnsi="Palatino Linotype"/>
          <w:sz w:val="22"/>
          <w:szCs w:val="22"/>
        </w:rPr>
        <w:t>rdenanza y en la normativa metropolitana y nacional vigente al respecto, dará lugar a la imposición de las sanciones correspondientes.</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sz w:val="22"/>
          <w:szCs w:val="22"/>
        </w:rPr>
        <w:t>Por las condiciones de asentamiento humano de hecho y consolidado, se lo aprueba considerándolo de interés social.</w:t>
      </w:r>
    </w:p>
    <w:p w:rsidR="00907ED5" w:rsidRPr="00577EF7" w:rsidRDefault="00907ED5" w:rsidP="00907ED5">
      <w:pPr>
        <w:spacing w:after="120" w:line="276" w:lineRule="auto"/>
        <w:jc w:val="both"/>
        <w:rPr>
          <w:rFonts w:ascii="Palatino Linotype" w:hAnsi="Palatino Linotype"/>
          <w:b/>
          <w:bCs/>
          <w:sz w:val="22"/>
          <w:szCs w:val="22"/>
        </w:rPr>
      </w:pPr>
      <w:r w:rsidRPr="00577EF7">
        <w:rPr>
          <w:rFonts w:ascii="Palatino Linotype" w:hAnsi="Palatino Linotype"/>
          <w:b/>
          <w:bCs/>
          <w:sz w:val="22"/>
          <w:szCs w:val="22"/>
        </w:rPr>
        <w:t xml:space="preserve">Artículo 2.- Especificaciones </w:t>
      </w:r>
      <w:proofErr w:type="gramStart"/>
      <w:r w:rsidRPr="00577EF7">
        <w:rPr>
          <w:rFonts w:ascii="Palatino Linotype" w:hAnsi="Palatino Linotype"/>
          <w:b/>
          <w:bCs/>
          <w:sz w:val="22"/>
          <w:szCs w:val="22"/>
        </w:rPr>
        <w:t>técnicas.-</w:t>
      </w:r>
      <w:proofErr w:type="gramEnd"/>
    </w:p>
    <w:tbl>
      <w:tblPr>
        <w:tblW w:w="8582" w:type="dxa"/>
        <w:tblInd w:w="55" w:type="dxa"/>
        <w:tblCellMar>
          <w:left w:w="70" w:type="dxa"/>
          <w:right w:w="70" w:type="dxa"/>
        </w:tblCellMar>
        <w:tblLook w:val="04A0" w:firstRow="1" w:lastRow="0" w:firstColumn="1" w:lastColumn="0" w:noHBand="0" w:noVBand="1"/>
      </w:tblPr>
      <w:tblGrid>
        <w:gridCol w:w="4613"/>
        <w:gridCol w:w="3969"/>
      </w:tblGrid>
      <w:tr w:rsidR="00907ED5" w:rsidRPr="00577EF7" w:rsidTr="004804CE">
        <w:trPr>
          <w:trHeight w:val="315"/>
        </w:trPr>
        <w:tc>
          <w:tcPr>
            <w:tcW w:w="4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7ED5" w:rsidRPr="00577EF7" w:rsidRDefault="00907ED5" w:rsidP="002F6B41">
            <w:pPr>
              <w:spacing w:after="120" w:line="276" w:lineRule="auto"/>
              <w:rPr>
                <w:rFonts w:ascii="Palatino Linotype" w:hAnsi="Palatino Linotype"/>
                <w:b/>
                <w:bCs/>
                <w:color w:val="000000"/>
                <w:sz w:val="22"/>
                <w:szCs w:val="22"/>
              </w:rPr>
            </w:pPr>
            <w:r w:rsidRPr="00577EF7">
              <w:rPr>
                <w:rFonts w:ascii="Palatino Linotype" w:hAnsi="Palatino Linotype"/>
                <w:b/>
                <w:bCs/>
                <w:color w:val="000000"/>
                <w:sz w:val="22"/>
                <w:szCs w:val="22"/>
              </w:rPr>
              <w:t>No. Predios:</w:t>
            </w:r>
          </w:p>
        </w:tc>
        <w:tc>
          <w:tcPr>
            <w:tcW w:w="3969" w:type="dxa"/>
            <w:tcBorders>
              <w:top w:val="single" w:sz="8" w:space="0" w:color="auto"/>
              <w:left w:val="nil"/>
              <w:bottom w:val="nil"/>
              <w:right w:val="single" w:sz="8" w:space="0" w:color="auto"/>
            </w:tcBorders>
            <w:shd w:val="clear" w:color="auto" w:fill="auto"/>
            <w:noWrap/>
            <w:vAlign w:val="bottom"/>
            <w:hideMark/>
          </w:tcPr>
          <w:p w:rsidR="00907ED5" w:rsidRPr="00577EF7" w:rsidRDefault="00907ED5" w:rsidP="004804CE">
            <w:pPr>
              <w:spacing w:after="120" w:line="276" w:lineRule="auto"/>
              <w:rPr>
                <w:rFonts w:ascii="Palatino Linotype" w:hAnsi="Palatino Linotype"/>
                <w:color w:val="000000"/>
                <w:sz w:val="22"/>
                <w:szCs w:val="22"/>
              </w:rPr>
            </w:pPr>
            <w:r w:rsidRPr="00577EF7">
              <w:rPr>
                <w:rFonts w:ascii="Palatino Linotype" w:hAnsi="Palatino Linotype"/>
                <w:color w:val="000000"/>
                <w:sz w:val="22"/>
                <w:szCs w:val="22"/>
              </w:rPr>
              <w:t>197676</w:t>
            </w:r>
            <w:r w:rsidR="004804CE">
              <w:rPr>
                <w:rFonts w:ascii="Palatino Linotype" w:hAnsi="Palatino Linotype"/>
                <w:color w:val="000000"/>
                <w:sz w:val="22"/>
                <w:szCs w:val="22"/>
              </w:rPr>
              <w:t xml:space="preserve"> </w:t>
            </w:r>
            <w:r w:rsidRPr="00577EF7">
              <w:rPr>
                <w:rFonts w:ascii="Palatino Linotype" w:hAnsi="Palatino Linotype"/>
                <w:color w:val="000000"/>
                <w:sz w:val="22"/>
                <w:szCs w:val="22"/>
              </w:rPr>
              <w:t>/</w:t>
            </w:r>
            <w:r w:rsidR="004804CE">
              <w:rPr>
                <w:rFonts w:ascii="Palatino Linotype" w:hAnsi="Palatino Linotype"/>
                <w:color w:val="000000"/>
                <w:sz w:val="22"/>
                <w:szCs w:val="22"/>
              </w:rPr>
              <w:t xml:space="preserve"> </w:t>
            </w:r>
            <w:r w:rsidRPr="00577EF7">
              <w:rPr>
                <w:rFonts w:ascii="Palatino Linotype" w:hAnsi="Palatino Linotype"/>
                <w:color w:val="000000"/>
                <w:sz w:val="22"/>
                <w:szCs w:val="22"/>
              </w:rPr>
              <w:t>197682</w:t>
            </w:r>
            <w:r w:rsidR="004804CE">
              <w:rPr>
                <w:rFonts w:ascii="Palatino Linotype" w:hAnsi="Palatino Linotype"/>
                <w:color w:val="000000"/>
                <w:sz w:val="22"/>
                <w:szCs w:val="22"/>
              </w:rPr>
              <w:t xml:space="preserve"> </w:t>
            </w:r>
            <w:r w:rsidRPr="00577EF7">
              <w:rPr>
                <w:rFonts w:ascii="Palatino Linotype" w:hAnsi="Palatino Linotype"/>
                <w:color w:val="000000"/>
                <w:sz w:val="22"/>
                <w:szCs w:val="22"/>
              </w:rPr>
              <w:t>/</w:t>
            </w:r>
            <w:r w:rsidR="004804CE">
              <w:rPr>
                <w:rFonts w:ascii="Palatino Linotype" w:hAnsi="Palatino Linotype"/>
                <w:color w:val="000000"/>
                <w:sz w:val="22"/>
                <w:szCs w:val="22"/>
              </w:rPr>
              <w:t xml:space="preserve"> </w:t>
            </w:r>
            <w:r w:rsidRPr="00577EF7">
              <w:rPr>
                <w:rFonts w:ascii="Palatino Linotype" w:hAnsi="Palatino Linotype"/>
                <w:color w:val="000000"/>
                <w:sz w:val="22"/>
                <w:szCs w:val="22"/>
              </w:rPr>
              <w:t>197693</w:t>
            </w:r>
            <w:r w:rsidR="004804CE">
              <w:rPr>
                <w:rFonts w:ascii="Palatino Linotype" w:hAnsi="Palatino Linotype"/>
                <w:color w:val="000000"/>
                <w:sz w:val="22"/>
                <w:szCs w:val="22"/>
              </w:rPr>
              <w:t xml:space="preserve"> </w:t>
            </w:r>
            <w:r w:rsidRPr="00577EF7">
              <w:rPr>
                <w:rFonts w:ascii="Palatino Linotype" w:hAnsi="Palatino Linotype"/>
                <w:color w:val="000000"/>
                <w:sz w:val="22"/>
                <w:szCs w:val="22"/>
              </w:rPr>
              <w:t>/</w:t>
            </w:r>
            <w:r w:rsidR="004804CE">
              <w:rPr>
                <w:rFonts w:ascii="Palatino Linotype" w:hAnsi="Palatino Linotype"/>
                <w:color w:val="000000"/>
                <w:sz w:val="22"/>
                <w:szCs w:val="22"/>
              </w:rPr>
              <w:t xml:space="preserve"> </w:t>
            </w:r>
            <w:r w:rsidRPr="00577EF7">
              <w:rPr>
                <w:rFonts w:ascii="Palatino Linotype" w:hAnsi="Palatino Linotype"/>
                <w:color w:val="000000"/>
                <w:sz w:val="22"/>
                <w:szCs w:val="22"/>
              </w:rPr>
              <w:t>197696</w:t>
            </w:r>
          </w:p>
        </w:tc>
      </w:tr>
      <w:tr w:rsidR="00907ED5" w:rsidRPr="00577EF7" w:rsidTr="004804CE">
        <w:trPr>
          <w:trHeight w:val="315"/>
        </w:trPr>
        <w:tc>
          <w:tcPr>
            <w:tcW w:w="4613" w:type="dxa"/>
            <w:tcBorders>
              <w:top w:val="nil"/>
              <w:left w:val="single" w:sz="8" w:space="0" w:color="auto"/>
              <w:bottom w:val="single" w:sz="8" w:space="0" w:color="auto"/>
              <w:right w:val="single" w:sz="8" w:space="0" w:color="auto"/>
            </w:tcBorders>
            <w:shd w:val="clear" w:color="auto" w:fill="auto"/>
            <w:vAlign w:val="bottom"/>
            <w:hideMark/>
          </w:tcPr>
          <w:p w:rsidR="00907ED5" w:rsidRPr="00577EF7" w:rsidRDefault="00907ED5" w:rsidP="002F6B41">
            <w:pPr>
              <w:spacing w:after="120" w:line="276" w:lineRule="auto"/>
              <w:rPr>
                <w:rFonts w:ascii="Palatino Linotype" w:hAnsi="Palatino Linotype"/>
                <w:b/>
                <w:bCs/>
                <w:color w:val="000000"/>
                <w:sz w:val="22"/>
                <w:szCs w:val="22"/>
              </w:rPr>
            </w:pPr>
            <w:r w:rsidRPr="00577EF7">
              <w:rPr>
                <w:rFonts w:ascii="Palatino Linotype" w:hAnsi="Palatino Linotype"/>
                <w:b/>
                <w:bCs/>
                <w:color w:val="000000"/>
                <w:sz w:val="22"/>
                <w:szCs w:val="22"/>
              </w:rPr>
              <w:t>Zonificación:</w:t>
            </w:r>
          </w:p>
        </w:tc>
        <w:tc>
          <w:tcPr>
            <w:tcW w:w="3969" w:type="dxa"/>
            <w:tcBorders>
              <w:top w:val="single" w:sz="8" w:space="0" w:color="auto"/>
              <w:left w:val="nil"/>
              <w:bottom w:val="single" w:sz="8" w:space="0" w:color="auto"/>
              <w:right w:val="single" w:sz="8" w:space="0" w:color="auto"/>
            </w:tcBorders>
            <w:shd w:val="clear" w:color="auto" w:fill="auto"/>
            <w:vAlign w:val="bottom"/>
            <w:hideMark/>
          </w:tcPr>
          <w:p w:rsidR="00907ED5" w:rsidRPr="00577EF7" w:rsidRDefault="00907ED5" w:rsidP="004804CE">
            <w:pPr>
              <w:spacing w:after="120" w:line="276" w:lineRule="auto"/>
              <w:rPr>
                <w:rFonts w:ascii="Palatino Linotype" w:hAnsi="Palatino Linotype"/>
                <w:color w:val="000000"/>
                <w:sz w:val="22"/>
                <w:szCs w:val="22"/>
              </w:rPr>
            </w:pPr>
            <w:r w:rsidRPr="00577EF7">
              <w:rPr>
                <w:rFonts w:ascii="Palatino Linotype" w:hAnsi="Palatino Linotype"/>
                <w:color w:val="000000"/>
                <w:sz w:val="22"/>
                <w:szCs w:val="22"/>
              </w:rPr>
              <w:t xml:space="preserve">D3(D203-80) </w:t>
            </w:r>
          </w:p>
        </w:tc>
      </w:tr>
      <w:tr w:rsidR="00907ED5" w:rsidRPr="00577EF7" w:rsidTr="004804CE">
        <w:trPr>
          <w:trHeight w:val="315"/>
        </w:trPr>
        <w:tc>
          <w:tcPr>
            <w:tcW w:w="4613" w:type="dxa"/>
            <w:tcBorders>
              <w:top w:val="nil"/>
              <w:left w:val="single" w:sz="8" w:space="0" w:color="auto"/>
              <w:bottom w:val="single" w:sz="8" w:space="0" w:color="auto"/>
              <w:right w:val="single" w:sz="8" w:space="0" w:color="auto"/>
            </w:tcBorders>
            <w:shd w:val="clear" w:color="auto" w:fill="auto"/>
            <w:vAlign w:val="bottom"/>
            <w:hideMark/>
          </w:tcPr>
          <w:p w:rsidR="00907ED5" w:rsidRPr="00577EF7" w:rsidRDefault="00907ED5" w:rsidP="002F6B41">
            <w:pPr>
              <w:spacing w:after="120" w:line="276" w:lineRule="auto"/>
              <w:rPr>
                <w:rFonts w:ascii="Palatino Linotype" w:hAnsi="Palatino Linotype"/>
                <w:b/>
                <w:bCs/>
                <w:color w:val="000000"/>
                <w:sz w:val="22"/>
                <w:szCs w:val="22"/>
              </w:rPr>
            </w:pPr>
            <w:r w:rsidRPr="00577EF7">
              <w:rPr>
                <w:rFonts w:ascii="Palatino Linotype" w:hAnsi="Palatino Linotype"/>
                <w:b/>
                <w:bCs/>
                <w:color w:val="000000"/>
                <w:sz w:val="22"/>
                <w:szCs w:val="22"/>
              </w:rPr>
              <w:t>Lote mínimo:</w:t>
            </w:r>
          </w:p>
        </w:tc>
        <w:tc>
          <w:tcPr>
            <w:tcW w:w="3969" w:type="dxa"/>
            <w:tcBorders>
              <w:top w:val="nil"/>
              <w:left w:val="nil"/>
              <w:bottom w:val="single" w:sz="8" w:space="0" w:color="auto"/>
              <w:right w:val="single" w:sz="8" w:space="0" w:color="auto"/>
            </w:tcBorders>
            <w:shd w:val="clear" w:color="auto" w:fill="auto"/>
            <w:vAlign w:val="bottom"/>
            <w:hideMark/>
          </w:tcPr>
          <w:p w:rsidR="00907ED5" w:rsidRPr="00577EF7" w:rsidRDefault="00907ED5" w:rsidP="004804CE">
            <w:pPr>
              <w:spacing w:after="120" w:line="276" w:lineRule="auto"/>
              <w:rPr>
                <w:rFonts w:ascii="Palatino Linotype" w:hAnsi="Palatino Linotype"/>
                <w:color w:val="000000"/>
                <w:sz w:val="22"/>
                <w:szCs w:val="22"/>
              </w:rPr>
            </w:pPr>
            <w:r w:rsidRPr="00577EF7">
              <w:rPr>
                <w:rFonts w:ascii="Palatino Linotype" w:hAnsi="Palatino Linotype"/>
                <w:color w:val="000000"/>
                <w:sz w:val="22"/>
                <w:szCs w:val="22"/>
              </w:rPr>
              <w:t>200 m</w:t>
            </w:r>
            <w:r w:rsidRPr="004804CE">
              <w:rPr>
                <w:rFonts w:ascii="Palatino Linotype" w:hAnsi="Palatino Linotype"/>
                <w:color w:val="000000"/>
                <w:sz w:val="22"/>
                <w:szCs w:val="22"/>
                <w:vertAlign w:val="superscript"/>
              </w:rPr>
              <w:t xml:space="preserve">2 </w:t>
            </w:r>
          </w:p>
        </w:tc>
      </w:tr>
      <w:tr w:rsidR="00907ED5" w:rsidRPr="00577EF7" w:rsidTr="004804CE">
        <w:trPr>
          <w:trHeight w:val="315"/>
        </w:trPr>
        <w:tc>
          <w:tcPr>
            <w:tcW w:w="4613" w:type="dxa"/>
            <w:tcBorders>
              <w:top w:val="nil"/>
              <w:left w:val="single" w:sz="8" w:space="0" w:color="auto"/>
              <w:bottom w:val="single" w:sz="8" w:space="0" w:color="auto"/>
              <w:right w:val="single" w:sz="8" w:space="0" w:color="auto"/>
            </w:tcBorders>
            <w:shd w:val="clear" w:color="auto" w:fill="auto"/>
            <w:vAlign w:val="bottom"/>
            <w:hideMark/>
          </w:tcPr>
          <w:p w:rsidR="00907ED5" w:rsidRPr="00577EF7" w:rsidRDefault="004804CE" w:rsidP="002F6B41">
            <w:pPr>
              <w:spacing w:after="120" w:line="276" w:lineRule="auto"/>
              <w:rPr>
                <w:rFonts w:ascii="Palatino Linotype" w:hAnsi="Palatino Linotype"/>
                <w:b/>
                <w:bCs/>
                <w:color w:val="000000"/>
                <w:sz w:val="22"/>
                <w:szCs w:val="22"/>
              </w:rPr>
            </w:pPr>
            <w:r>
              <w:rPr>
                <w:rFonts w:ascii="Palatino Linotype" w:hAnsi="Palatino Linotype"/>
                <w:b/>
                <w:bCs/>
                <w:color w:val="000000"/>
                <w:sz w:val="22"/>
                <w:szCs w:val="22"/>
              </w:rPr>
              <w:t>Forma de o</w:t>
            </w:r>
            <w:r w:rsidR="00907ED5" w:rsidRPr="00577EF7">
              <w:rPr>
                <w:rFonts w:ascii="Palatino Linotype" w:hAnsi="Palatino Linotype"/>
                <w:b/>
                <w:bCs/>
                <w:color w:val="000000"/>
                <w:sz w:val="22"/>
                <w:szCs w:val="22"/>
              </w:rPr>
              <w:t>cupación del suelo</w:t>
            </w:r>
            <w:r>
              <w:rPr>
                <w:rFonts w:ascii="Palatino Linotype" w:hAnsi="Palatino Linotype"/>
                <w:b/>
                <w:bCs/>
                <w:color w:val="000000"/>
                <w:sz w:val="22"/>
                <w:szCs w:val="22"/>
              </w:rPr>
              <w:t>:</w:t>
            </w:r>
          </w:p>
        </w:tc>
        <w:tc>
          <w:tcPr>
            <w:tcW w:w="3969" w:type="dxa"/>
            <w:tcBorders>
              <w:top w:val="nil"/>
              <w:left w:val="nil"/>
              <w:bottom w:val="single" w:sz="8" w:space="0" w:color="auto"/>
              <w:right w:val="single" w:sz="8" w:space="0" w:color="auto"/>
            </w:tcBorders>
            <w:shd w:val="clear" w:color="auto" w:fill="auto"/>
            <w:vAlign w:val="bottom"/>
            <w:hideMark/>
          </w:tcPr>
          <w:p w:rsidR="00907ED5" w:rsidRPr="00577EF7" w:rsidRDefault="00907ED5" w:rsidP="004804CE">
            <w:pPr>
              <w:spacing w:after="120" w:line="276" w:lineRule="auto"/>
              <w:rPr>
                <w:rFonts w:ascii="Palatino Linotype" w:hAnsi="Palatino Linotype"/>
                <w:color w:val="000000"/>
                <w:sz w:val="22"/>
                <w:szCs w:val="22"/>
              </w:rPr>
            </w:pPr>
            <w:r w:rsidRPr="00577EF7">
              <w:rPr>
                <w:rFonts w:ascii="Palatino Linotype" w:hAnsi="Palatino Linotype"/>
                <w:color w:val="000000"/>
                <w:sz w:val="22"/>
                <w:szCs w:val="22"/>
              </w:rPr>
              <w:t>(D) Sobre línea de fábrica</w:t>
            </w:r>
          </w:p>
        </w:tc>
      </w:tr>
      <w:tr w:rsidR="00907ED5" w:rsidRPr="00577EF7" w:rsidTr="004804CE">
        <w:trPr>
          <w:trHeight w:val="315"/>
        </w:trPr>
        <w:tc>
          <w:tcPr>
            <w:tcW w:w="4613" w:type="dxa"/>
            <w:tcBorders>
              <w:top w:val="nil"/>
              <w:left w:val="single" w:sz="8" w:space="0" w:color="auto"/>
              <w:bottom w:val="single" w:sz="8" w:space="0" w:color="auto"/>
              <w:right w:val="single" w:sz="8" w:space="0" w:color="auto"/>
            </w:tcBorders>
            <w:shd w:val="clear" w:color="auto" w:fill="auto"/>
            <w:vAlign w:val="bottom"/>
            <w:hideMark/>
          </w:tcPr>
          <w:p w:rsidR="00907ED5" w:rsidRPr="00577EF7" w:rsidRDefault="00907ED5" w:rsidP="002F6B41">
            <w:pPr>
              <w:spacing w:after="120" w:line="276" w:lineRule="auto"/>
              <w:rPr>
                <w:rFonts w:ascii="Palatino Linotype" w:hAnsi="Palatino Linotype"/>
                <w:b/>
                <w:bCs/>
                <w:color w:val="000000"/>
                <w:sz w:val="22"/>
                <w:szCs w:val="22"/>
              </w:rPr>
            </w:pPr>
            <w:r w:rsidRPr="00577EF7">
              <w:rPr>
                <w:rFonts w:ascii="Palatino Linotype" w:hAnsi="Palatino Linotype"/>
                <w:b/>
                <w:bCs/>
                <w:color w:val="000000"/>
                <w:sz w:val="22"/>
                <w:szCs w:val="22"/>
              </w:rPr>
              <w:t>Uso principal del suelo:</w:t>
            </w:r>
          </w:p>
        </w:tc>
        <w:tc>
          <w:tcPr>
            <w:tcW w:w="3969" w:type="dxa"/>
            <w:tcBorders>
              <w:top w:val="nil"/>
              <w:left w:val="nil"/>
              <w:bottom w:val="single" w:sz="8" w:space="0" w:color="auto"/>
              <w:right w:val="single" w:sz="8" w:space="0" w:color="auto"/>
            </w:tcBorders>
            <w:shd w:val="clear" w:color="auto" w:fill="auto"/>
            <w:vAlign w:val="bottom"/>
            <w:hideMark/>
          </w:tcPr>
          <w:p w:rsidR="00907ED5" w:rsidRPr="00577EF7" w:rsidRDefault="00907ED5" w:rsidP="004804CE">
            <w:pPr>
              <w:spacing w:after="120" w:line="276" w:lineRule="auto"/>
              <w:rPr>
                <w:rFonts w:ascii="Palatino Linotype" w:hAnsi="Palatino Linotype"/>
                <w:color w:val="000000"/>
                <w:sz w:val="22"/>
                <w:szCs w:val="22"/>
              </w:rPr>
            </w:pPr>
            <w:r w:rsidRPr="00577EF7">
              <w:rPr>
                <w:rFonts w:ascii="Palatino Linotype" w:hAnsi="Palatino Linotype"/>
                <w:color w:val="000000"/>
                <w:sz w:val="22"/>
                <w:szCs w:val="22"/>
              </w:rPr>
              <w:t>(RU2) Residencial urbano 2</w:t>
            </w:r>
          </w:p>
        </w:tc>
      </w:tr>
      <w:tr w:rsidR="00907ED5" w:rsidRPr="00577EF7" w:rsidTr="004804CE">
        <w:trPr>
          <w:trHeight w:val="315"/>
        </w:trPr>
        <w:tc>
          <w:tcPr>
            <w:tcW w:w="4613" w:type="dxa"/>
            <w:tcBorders>
              <w:top w:val="nil"/>
              <w:left w:val="single" w:sz="8" w:space="0" w:color="auto"/>
              <w:bottom w:val="single" w:sz="8" w:space="0" w:color="auto"/>
              <w:right w:val="single" w:sz="8" w:space="0" w:color="auto"/>
            </w:tcBorders>
            <w:shd w:val="clear" w:color="auto" w:fill="auto"/>
            <w:vAlign w:val="bottom"/>
            <w:hideMark/>
          </w:tcPr>
          <w:p w:rsidR="00907ED5" w:rsidRPr="00577EF7" w:rsidRDefault="00907ED5" w:rsidP="002F6B41">
            <w:pPr>
              <w:spacing w:after="120" w:line="276" w:lineRule="auto"/>
              <w:rPr>
                <w:rFonts w:ascii="Palatino Linotype" w:hAnsi="Palatino Linotype"/>
                <w:b/>
                <w:bCs/>
                <w:color w:val="000000"/>
                <w:sz w:val="22"/>
                <w:szCs w:val="22"/>
              </w:rPr>
            </w:pPr>
            <w:r w:rsidRPr="00577EF7">
              <w:rPr>
                <w:rFonts w:ascii="Palatino Linotype" w:hAnsi="Palatino Linotype"/>
                <w:b/>
                <w:bCs/>
                <w:color w:val="000000"/>
                <w:sz w:val="22"/>
                <w:szCs w:val="22"/>
              </w:rPr>
              <w:t>Clasificación del suelo:</w:t>
            </w:r>
          </w:p>
        </w:tc>
        <w:tc>
          <w:tcPr>
            <w:tcW w:w="3969" w:type="dxa"/>
            <w:tcBorders>
              <w:top w:val="nil"/>
              <w:left w:val="nil"/>
              <w:bottom w:val="single" w:sz="8" w:space="0" w:color="auto"/>
              <w:right w:val="single" w:sz="8" w:space="0" w:color="auto"/>
            </w:tcBorders>
            <w:shd w:val="clear" w:color="auto" w:fill="auto"/>
            <w:vAlign w:val="bottom"/>
            <w:hideMark/>
          </w:tcPr>
          <w:p w:rsidR="00907ED5" w:rsidRPr="00577EF7" w:rsidRDefault="00907ED5" w:rsidP="004804CE">
            <w:pPr>
              <w:spacing w:after="120" w:line="276" w:lineRule="auto"/>
              <w:rPr>
                <w:rFonts w:ascii="Palatino Linotype" w:hAnsi="Palatino Linotype"/>
                <w:color w:val="000000"/>
                <w:sz w:val="22"/>
                <w:szCs w:val="22"/>
              </w:rPr>
            </w:pPr>
            <w:r w:rsidRPr="00577EF7">
              <w:rPr>
                <w:rFonts w:ascii="Palatino Linotype" w:hAnsi="Palatino Linotype"/>
                <w:color w:val="000000"/>
                <w:sz w:val="22"/>
                <w:szCs w:val="22"/>
              </w:rPr>
              <w:t>(SU) Suelo Urbano</w:t>
            </w:r>
          </w:p>
        </w:tc>
      </w:tr>
      <w:tr w:rsidR="00907ED5" w:rsidRPr="00577EF7" w:rsidTr="004804CE">
        <w:trPr>
          <w:trHeight w:val="315"/>
        </w:trPr>
        <w:tc>
          <w:tcPr>
            <w:tcW w:w="4613" w:type="dxa"/>
            <w:tcBorders>
              <w:top w:val="nil"/>
              <w:left w:val="single" w:sz="8" w:space="0" w:color="auto"/>
              <w:bottom w:val="single" w:sz="4" w:space="0" w:color="auto"/>
              <w:right w:val="single" w:sz="8" w:space="0" w:color="auto"/>
            </w:tcBorders>
            <w:shd w:val="clear" w:color="auto" w:fill="auto"/>
            <w:vAlign w:val="bottom"/>
            <w:hideMark/>
          </w:tcPr>
          <w:p w:rsidR="00907ED5" w:rsidRPr="00577EF7" w:rsidRDefault="00907ED5" w:rsidP="002F6B41">
            <w:pPr>
              <w:spacing w:after="120" w:line="276" w:lineRule="auto"/>
              <w:rPr>
                <w:rFonts w:ascii="Palatino Linotype" w:hAnsi="Palatino Linotype"/>
                <w:b/>
                <w:bCs/>
                <w:color w:val="000000"/>
                <w:sz w:val="22"/>
                <w:szCs w:val="22"/>
              </w:rPr>
            </w:pPr>
            <w:r w:rsidRPr="00577EF7">
              <w:rPr>
                <w:rFonts w:ascii="Palatino Linotype" w:hAnsi="Palatino Linotype"/>
                <w:b/>
                <w:bCs/>
                <w:color w:val="000000"/>
                <w:sz w:val="22"/>
                <w:szCs w:val="22"/>
              </w:rPr>
              <w:t xml:space="preserve">Área </w:t>
            </w:r>
            <w:r w:rsidR="004804CE" w:rsidRPr="00577EF7">
              <w:rPr>
                <w:rFonts w:ascii="Palatino Linotype" w:hAnsi="Palatino Linotype"/>
                <w:b/>
                <w:bCs/>
                <w:color w:val="000000"/>
                <w:sz w:val="22"/>
                <w:szCs w:val="22"/>
              </w:rPr>
              <w:t>útil de lotes</w:t>
            </w:r>
            <w:r w:rsidRPr="00577EF7">
              <w:rPr>
                <w:rFonts w:ascii="Palatino Linotype" w:hAnsi="Palatino Linotype"/>
                <w:b/>
                <w:bCs/>
                <w:color w:val="000000"/>
                <w:sz w:val="22"/>
                <w:szCs w:val="22"/>
              </w:rPr>
              <w:t>:</w:t>
            </w:r>
          </w:p>
        </w:tc>
        <w:tc>
          <w:tcPr>
            <w:tcW w:w="3969" w:type="dxa"/>
            <w:tcBorders>
              <w:top w:val="nil"/>
              <w:left w:val="nil"/>
              <w:bottom w:val="single" w:sz="4" w:space="0" w:color="auto"/>
              <w:right w:val="single" w:sz="8" w:space="0" w:color="auto"/>
            </w:tcBorders>
            <w:shd w:val="clear" w:color="auto" w:fill="auto"/>
            <w:vAlign w:val="bottom"/>
            <w:hideMark/>
          </w:tcPr>
          <w:p w:rsidR="00907ED5" w:rsidRPr="00577EF7" w:rsidRDefault="00907ED5" w:rsidP="004804CE">
            <w:pPr>
              <w:spacing w:after="120" w:line="276" w:lineRule="auto"/>
              <w:rPr>
                <w:rFonts w:ascii="Palatino Linotype" w:hAnsi="Palatino Linotype"/>
                <w:color w:val="000000"/>
                <w:sz w:val="22"/>
                <w:szCs w:val="22"/>
              </w:rPr>
            </w:pPr>
            <w:r w:rsidRPr="00577EF7">
              <w:rPr>
                <w:rFonts w:ascii="Palatino Linotype" w:hAnsi="Palatino Linotype"/>
                <w:color w:val="000000"/>
                <w:sz w:val="22"/>
                <w:szCs w:val="22"/>
              </w:rPr>
              <w:t xml:space="preserve">4.346,35 </w:t>
            </w:r>
            <w:r w:rsidR="004804CE" w:rsidRPr="00577EF7">
              <w:rPr>
                <w:rFonts w:ascii="Palatino Linotype" w:hAnsi="Palatino Linotype"/>
                <w:color w:val="000000"/>
                <w:sz w:val="22"/>
                <w:szCs w:val="22"/>
              </w:rPr>
              <w:t>m</w:t>
            </w:r>
            <w:r w:rsidR="004804CE" w:rsidRPr="004804CE">
              <w:rPr>
                <w:rFonts w:ascii="Palatino Linotype" w:hAnsi="Palatino Linotype"/>
                <w:color w:val="000000"/>
                <w:sz w:val="22"/>
                <w:szCs w:val="22"/>
                <w:vertAlign w:val="superscript"/>
              </w:rPr>
              <w:t>2</w:t>
            </w:r>
          </w:p>
        </w:tc>
      </w:tr>
      <w:tr w:rsidR="00907ED5" w:rsidRPr="00577EF7" w:rsidTr="004804CE">
        <w:trPr>
          <w:trHeight w:val="315"/>
        </w:trPr>
        <w:tc>
          <w:tcPr>
            <w:tcW w:w="461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907ED5" w:rsidRPr="00577EF7" w:rsidRDefault="00907ED5" w:rsidP="002F6B41">
            <w:pPr>
              <w:spacing w:after="120" w:line="276" w:lineRule="auto"/>
              <w:rPr>
                <w:rFonts w:ascii="Palatino Linotype" w:hAnsi="Palatino Linotype"/>
                <w:b/>
                <w:bCs/>
                <w:color w:val="000000"/>
                <w:sz w:val="22"/>
                <w:szCs w:val="22"/>
              </w:rPr>
            </w:pPr>
            <w:r w:rsidRPr="00577EF7">
              <w:rPr>
                <w:rFonts w:ascii="Palatino Linotype" w:hAnsi="Palatino Linotype"/>
                <w:b/>
                <w:bCs/>
                <w:color w:val="000000"/>
                <w:sz w:val="22"/>
                <w:szCs w:val="22"/>
              </w:rPr>
              <w:lastRenderedPageBreak/>
              <w:t xml:space="preserve">Área de </w:t>
            </w:r>
            <w:r w:rsidR="004804CE" w:rsidRPr="00577EF7">
              <w:rPr>
                <w:rFonts w:ascii="Palatino Linotype" w:hAnsi="Palatino Linotype"/>
                <w:b/>
                <w:bCs/>
                <w:color w:val="000000"/>
                <w:sz w:val="22"/>
                <w:szCs w:val="22"/>
              </w:rPr>
              <w:t>vías y pasajes:</w:t>
            </w:r>
          </w:p>
        </w:tc>
        <w:tc>
          <w:tcPr>
            <w:tcW w:w="3969" w:type="dxa"/>
            <w:tcBorders>
              <w:top w:val="single" w:sz="4" w:space="0" w:color="auto"/>
              <w:left w:val="nil"/>
              <w:bottom w:val="single" w:sz="8" w:space="0" w:color="auto"/>
              <w:right w:val="single" w:sz="8" w:space="0" w:color="auto"/>
            </w:tcBorders>
            <w:shd w:val="clear" w:color="auto" w:fill="auto"/>
            <w:vAlign w:val="bottom"/>
            <w:hideMark/>
          </w:tcPr>
          <w:p w:rsidR="00907ED5" w:rsidRPr="00577EF7" w:rsidRDefault="00907ED5" w:rsidP="004804CE">
            <w:pPr>
              <w:spacing w:after="120" w:line="276" w:lineRule="auto"/>
              <w:rPr>
                <w:rFonts w:ascii="Palatino Linotype" w:hAnsi="Palatino Linotype"/>
                <w:color w:val="000000"/>
                <w:sz w:val="22"/>
                <w:szCs w:val="22"/>
              </w:rPr>
            </w:pPr>
            <w:r w:rsidRPr="00577EF7">
              <w:rPr>
                <w:rFonts w:ascii="Palatino Linotype" w:hAnsi="Palatino Linotype"/>
                <w:color w:val="000000"/>
                <w:sz w:val="22"/>
                <w:szCs w:val="22"/>
              </w:rPr>
              <w:t xml:space="preserve">233,32 </w:t>
            </w:r>
            <w:r w:rsidR="004804CE" w:rsidRPr="00577EF7">
              <w:rPr>
                <w:rFonts w:ascii="Palatino Linotype" w:hAnsi="Palatino Linotype"/>
                <w:color w:val="000000"/>
                <w:sz w:val="22"/>
                <w:szCs w:val="22"/>
              </w:rPr>
              <w:t>m</w:t>
            </w:r>
            <w:r w:rsidR="004804CE" w:rsidRPr="004804CE">
              <w:rPr>
                <w:rFonts w:ascii="Palatino Linotype" w:hAnsi="Palatino Linotype"/>
                <w:color w:val="000000"/>
                <w:sz w:val="22"/>
                <w:szCs w:val="22"/>
                <w:vertAlign w:val="superscript"/>
              </w:rPr>
              <w:t>2</w:t>
            </w:r>
          </w:p>
        </w:tc>
      </w:tr>
      <w:tr w:rsidR="00907ED5" w:rsidRPr="00577EF7" w:rsidTr="004804CE">
        <w:trPr>
          <w:trHeight w:val="315"/>
        </w:trPr>
        <w:tc>
          <w:tcPr>
            <w:tcW w:w="4613" w:type="dxa"/>
            <w:tcBorders>
              <w:top w:val="nil"/>
              <w:left w:val="single" w:sz="8" w:space="0" w:color="auto"/>
              <w:bottom w:val="single" w:sz="8" w:space="0" w:color="auto"/>
              <w:right w:val="single" w:sz="8" w:space="0" w:color="auto"/>
            </w:tcBorders>
            <w:shd w:val="clear" w:color="auto" w:fill="auto"/>
            <w:vAlign w:val="bottom"/>
            <w:hideMark/>
          </w:tcPr>
          <w:p w:rsidR="00907ED5" w:rsidRPr="00577EF7" w:rsidRDefault="00907ED5" w:rsidP="002F6B41">
            <w:pPr>
              <w:spacing w:after="120" w:line="276" w:lineRule="auto"/>
              <w:rPr>
                <w:rFonts w:ascii="Palatino Linotype" w:hAnsi="Palatino Linotype"/>
                <w:b/>
                <w:bCs/>
                <w:color w:val="000000"/>
                <w:sz w:val="22"/>
                <w:szCs w:val="22"/>
              </w:rPr>
            </w:pPr>
            <w:r w:rsidRPr="00577EF7">
              <w:rPr>
                <w:rFonts w:ascii="Palatino Linotype" w:hAnsi="Palatino Linotype"/>
                <w:b/>
                <w:bCs/>
                <w:color w:val="000000"/>
                <w:sz w:val="22"/>
                <w:szCs w:val="22"/>
                <w:lang w:val="es-EC"/>
              </w:rPr>
              <w:t xml:space="preserve">Área de </w:t>
            </w:r>
            <w:r w:rsidR="004804CE" w:rsidRPr="00577EF7">
              <w:rPr>
                <w:rFonts w:ascii="Palatino Linotype" w:hAnsi="Palatino Linotype"/>
                <w:b/>
                <w:bCs/>
                <w:color w:val="000000"/>
                <w:sz w:val="22"/>
                <w:szCs w:val="22"/>
                <w:lang w:val="es-EC"/>
              </w:rPr>
              <w:t>afectación vial:</w:t>
            </w:r>
          </w:p>
        </w:tc>
        <w:tc>
          <w:tcPr>
            <w:tcW w:w="3969" w:type="dxa"/>
            <w:tcBorders>
              <w:top w:val="nil"/>
              <w:left w:val="nil"/>
              <w:bottom w:val="single" w:sz="8" w:space="0" w:color="auto"/>
              <w:right w:val="single" w:sz="8" w:space="0" w:color="auto"/>
            </w:tcBorders>
            <w:shd w:val="clear" w:color="auto" w:fill="auto"/>
            <w:vAlign w:val="bottom"/>
            <w:hideMark/>
          </w:tcPr>
          <w:p w:rsidR="00907ED5" w:rsidRPr="00577EF7" w:rsidRDefault="00907ED5" w:rsidP="004804CE">
            <w:pPr>
              <w:spacing w:after="120" w:line="276" w:lineRule="auto"/>
              <w:rPr>
                <w:rFonts w:ascii="Palatino Linotype" w:hAnsi="Palatino Linotype"/>
                <w:color w:val="000000"/>
                <w:sz w:val="22"/>
                <w:szCs w:val="22"/>
              </w:rPr>
            </w:pPr>
            <w:r w:rsidRPr="00577EF7">
              <w:rPr>
                <w:rFonts w:ascii="Palatino Linotype" w:hAnsi="Palatino Linotype"/>
                <w:color w:val="000000"/>
                <w:sz w:val="22"/>
                <w:szCs w:val="22"/>
              </w:rPr>
              <w:t xml:space="preserve">305,93 </w:t>
            </w:r>
            <w:r w:rsidR="004804CE" w:rsidRPr="00577EF7">
              <w:rPr>
                <w:rFonts w:ascii="Palatino Linotype" w:hAnsi="Palatino Linotype"/>
                <w:color w:val="000000"/>
                <w:sz w:val="22"/>
                <w:szCs w:val="22"/>
              </w:rPr>
              <w:t>m</w:t>
            </w:r>
            <w:r w:rsidR="004804CE" w:rsidRPr="004804CE">
              <w:rPr>
                <w:rFonts w:ascii="Palatino Linotype" w:hAnsi="Palatino Linotype"/>
                <w:color w:val="000000"/>
                <w:sz w:val="22"/>
                <w:szCs w:val="22"/>
                <w:vertAlign w:val="superscript"/>
              </w:rPr>
              <w:t>2</w:t>
            </w:r>
          </w:p>
        </w:tc>
      </w:tr>
      <w:tr w:rsidR="00907ED5" w:rsidRPr="00577EF7" w:rsidTr="004804CE">
        <w:trPr>
          <w:trHeight w:val="570"/>
        </w:trPr>
        <w:tc>
          <w:tcPr>
            <w:tcW w:w="4613" w:type="dxa"/>
            <w:tcBorders>
              <w:top w:val="nil"/>
              <w:left w:val="single" w:sz="8" w:space="0" w:color="auto"/>
              <w:bottom w:val="single" w:sz="8" w:space="0" w:color="auto"/>
              <w:right w:val="single" w:sz="8" w:space="0" w:color="auto"/>
            </w:tcBorders>
            <w:shd w:val="clear" w:color="auto" w:fill="auto"/>
            <w:vAlign w:val="bottom"/>
            <w:hideMark/>
          </w:tcPr>
          <w:p w:rsidR="00907ED5" w:rsidRPr="00577EF7" w:rsidRDefault="00907ED5" w:rsidP="002F6B41">
            <w:pPr>
              <w:spacing w:after="120" w:line="276" w:lineRule="auto"/>
              <w:rPr>
                <w:rFonts w:ascii="Palatino Linotype" w:hAnsi="Palatino Linotype"/>
                <w:b/>
                <w:bCs/>
                <w:color w:val="000000"/>
                <w:sz w:val="22"/>
                <w:szCs w:val="22"/>
              </w:rPr>
            </w:pPr>
            <w:r w:rsidRPr="00577EF7">
              <w:rPr>
                <w:rFonts w:ascii="Palatino Linotype" w:hAnsi="Palatino Linotype"/>
                <w:b/>
                <w:bCs/>
                <w:color w:val="000000"/>
                <w:sz w:val="22"/>
                <w:szCs w:val="22"/>
              </w:rPr>
              <w:t xml:space="preserve">Área </w:t>
            </w:r>
            <w:r w:rsidR="004804CE" w:rsidRPr="00577EF7">
              <w:rPr>
                <w:rFonts w:ascii="Palatino Linotype" w:hAnsi="Palatino Linotype"/>
                <w:b/>
                <w:bCs/>
                <w:color w:val="000000"/>
                <w:sz w:val="22"/>
                <w:szCs w:val="22"/>
              </w:rPr>
              <w:t>total  del terreno (área  a escriturar):</w:t>
            </w:r>
          </w:p>
        </w:tc>
        <w:tc>
          <w:tcPr>
            <w:tcW w:w="3969" w:type="dxa"/>
            <w:tcBorders>
              <w:top w:val="nil"/>
              <w:left w:val="nil"/>
              <w:bottom w:val="single" w:sz="8" w:space="0" w:color="auto"/>
              <w:right w:val="single" w:sz="8" w:space="0" w:color="auto"/>
            </w:tcBorders>
            <w:shd w:val="clear" w:color="auto" w:fill="auto"/>
            <w:vAlign w:val="bottom"/>
            <w:hideMark/>
          </w:tcPr>
          <w:p w:rsidR="00907ED5" w:rsidRPr="00577EF7" w:rsidRDefault="00907ED5" w:rsidP="004804CE">
            <w:pPr>
              <w:spacing w:after="120" w:line="276" w:lineRule="auto"/>
              <w:rPr>
                <w:rFonts w:ascii="Palatino Linotype" w:hAnsi="Palatino Linotype"/>
                <w:color w:val="000000"/>
                <w:sz w:val="22"/>
                <w:szCs w:val="22"/>
              </w:rPr>
            </w:pPr>
            <w:r w:rsidRPr="00577EF7">
              <w:rPr>
                <w:rFonts w:ascii="Palatino Linotype" w:hAnsi="Palatino Linotype"/>
                <w:color w:val="000000"/>
                <w:sz w:val="22"/>
                <w:szCs w:val="22"/>
              </w:rPr>
              <w:t xml:space="preserve">4.885,60 </w:t>
            </w:r>
            <w:r w:rsidR="004804CE" w:rsidRPr="00577EF7">
              <w:rPr>
                <w:rFonts w:ascii="Palatino Linotype" w:hAnsi="Palatino Linotype"/>
                <w:color w:val="000000"/>
                <w:sz w:val="22"/>
                <w:szCs w:val="22"/>
              </w:rPr>
              <w:t>m</w:t>
            </w:r>
            <w:r w:rsidR="004804CE" w:rsidRPr="004804CE">
              <w:rPr>
                <w:rFonts w:ascii="Palatino Linotype" w:hAnsi="Palatino Linotype"/>
                <w:color w:val="000000"/>
                <w:sz w:val="22"/>
                <w:szCs w:val="22"/>
                <w:vertAlign w:val="superscript"/>
              </w:rPr>
              <w:t>2</w:t>
            </w:r>
          </w:p>
        </w:tc>
      </w:tr>
    </w:tbl>
    <w:p w:rsidR="00907ED5" w:rsidRPr="00577EF7" w:rsidRDefault="00907ED5" w:rsidP="00907ED5">
      <w:pPr>
        <w:tabs>
          <w:tab w:val="left" w:pos="4253"/>
          <w:tab w:val="center" w:pos="4394"/>
        </w:tabs>
        <w:spacing w:after="120" w:line="276" w:lineRule="auto"/>
        <w:rPr>
          <w:rFonts w:ascii="Palatino Linotype" w:hAnsi="Palatino Linotype"/>
          <w:sz w:val="22"/>
          <w:szCs w:val="22"/>
        </w:rPr>
      </w:pP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sz w:val="22"/>
          <w:szCs w:val="22"/>
        </w:rPr>
        <w:t>El número total de lotes es de 11</w:t>
      </w:r>
      <w:r w:rsidR="004804CE">
        <w:rPr>
          <w:rFonts w:ascii="Palatino Linotype" w:hAnsi="Palatino Linotype"/>
          <w:sz w:val="22"/>
          <w:szCs w:val="22"/>
        </w:rPr>
        <w:t>,</w:t>
      </w:r>
      <w:r w:rsidRPr="00577EF7">
        <w:rPr>
          <w:rFonts w:ascii="Palatino Linotype" w:hAnsi="Palatino Linotype"/>
          <w:sz w:val="22"/>
          <w:szCs w:val="22"/>
        </w:rPr>
        <w:t xml:space="preserve"> signados del uno (1) al catorce (14), cuyo detalle es el que consta en los planos aprobatorios que forman parte de la presente </w:t>
      </w:r>
      <w:r w:rsidR="004804CE">
        <w:rPr>
          <w:rFonts w:ascii="Palatino Linotype" w:hAnsi="Palatino Linotype"/>
          <w:sz w:val="22"/>
          <w:szCs w:val="22"/>
        </w:rPr>
        <w:t>o</w:t>
      </w:r>
      <w:r w:rsidRPr="00577EF7">
        <w:rPr>
          <w:rFonts w:ascii="Palatino Linotype" w:hAnsi="Palatino Linotype"/>
          <w:sz w:val="22"/>
          <w:szCs w:val="22"/>
        </w:rPr>
        <w:t>rdenanza.</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b/>
          <w:bCs/>
          <w:sz w:val="22"/>
          <w:szCs w:val="22"/>
        </w:rPr>
        <w:t xml:space="preserve">Artículo 3.- Zonificación de los </w:t>
      </w:r>
      <w:proofErr w:type="gramStart"/>
      <w:r w:rsidRPr="00577EF7">
        <w:rPr>
          <w:rFonts w:ascii="Palatino Linotype" w:hAnsi="Palatino Linotype"/>
          <w:b/>
          <w:bCs/>
          <w:sz w:val="22"/>
          <w:szCs w:val="22"/>
        </w:rPr>
        <w:t>lotes.-</w:t>
      </w:r>
      <w:proofErr w:type="gramEnd"/>
      <w:r w:rsidRPr="00577EF7">
        <w:rPr>
          <w:rFonts w:ascii="Palatino Linotype" w:hAnsi="Palatino Linotype"/>
          <w:b/>
          <w:bCs/>
          <w:sz w:val="22"/>
          <w:szCs w:val="22"/>
        </w:rPr>
        <w:t xml:space="preserve"> </w:t>
      </w:r>
      <w:r w:rsidRPr="00577EF7">
        <w:rPr>
          <w:rFonts w:ascii="Palatino Linotype" w:hAnsi="Palatino Linotype"/>
          <w:bCs/>
          <w:sz w:val="22"/>
          <w:szCs w:val="22"/>
        </w:rPr>
        <w:t xml:space="preserve">Los lotes fraccionados mantendrán la zonificación actual para los 11 lotes conforme se detalla a continuación: </w:t>
      </w:r>
      <w:r w:rsidRPr="00577EF7">
        <w:rPr>
          <w:rFonts w:ascii="Palatino Linotype" w:hAnsi="Palatino Linotype"/>
          <w:sz w:val="22"/>
          <w:szCs w:val="22"/>
        </w:rPr>
        <w:t>D3 (D203-80)</w:t>
      </w:r>
      <w:r w:rsidRPr="00577EF7">
        <w:rPr>
          <w:rFonts w:ascii="Palatino Linotype" w:hAnsi="Palatino Linotype"/>
          <w:bCs/>
          <w:sz w:val="22"/>
          <w:szCs w:val="22"/>
        </w:rPr>
        <w:t xml:space="preserve">; </w:t>
      </w:r>
      <w:r w:rsidRPr="00577EF7">
        <w:rPr>
          <w:rFonts w:ascii="Palatino Linotype" w:hAnsi="Palatino Linotype"/>
          <w:sz w:val="22"/>
          <w:szCs w:val="22"/>
        </w:rPr>
        <w:t xml:space="preserve">Área de lote mínimo 200 </w:t>
      </w:r>
      <w:r w:rsidR="004804CE" w:rsidRPr="00577EF7">
        <w:rPr>
          <w:rFonts w:ascii="Palatino Linotype" w:hAnsi="Palatino Linotype"/>
          <w:color w:val="000000"/>
          <w:sz w:val="22"/>
          <w:szCs w:val="22"/>
        </w:rPr>
        <w:t>m</w:t>
      </w:r>
      <w:r w:rsidR="004804CE" w:rsidRPr="004804CE">
        <w:rPr>
          <w:rFonts w:ascii="Palatino Linotype" w:hAnsi="Palatino Linotype"/>
          <w:color w:val="000000"/>
          <w:sz w:val="22"/>
          <w:szCs w:val="22"/>
          <w:vertAlign w:val="superscript"/>
        </w:rPr>
        <w:t>2</w:t>
      </w:r>
      <w:r w:rsidRPr="00577EF7">
        <w:rPr>
          <w:rFonts w:ascii="Palatino Linotype" w:hAnsi="Palatino Linotype"/>
          <w:sz w:val="22"/>
          <w:szCs w:val="22"/>
        </w:rPr>
        <w:t>, uso principal del suelo  (RU2) Residencia Urbano 2 y forma de ocupación del suelo (D) Sobre línea de fábrica.</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b/>
          <w:sz w:val="22"/>
          <w:szCs w:val="22"/>
        </w:rPr>
        <w:t xml:space="preserve">Artículo 4.- Clasificación del </w:t>
      </w:r>
      <w:proofErr w:type="gramStart"/>
      <w:r w:rsidR="004804CE">
        <w:rPr>
          <w:rFonts w:ascii="Palatino Linotype" w:hAnsi="Palatino Linotype"/>
          <w:b/>
          <w:sz w:val="22"/>
          <w:szCs w:val="22"/>
        </w:rPr>
        <w:t>s</w:t>
      </w:r>
      <w:r w:rsidRPr="00577EF7">
        <w:rPr>
          <w:rFonts w:ascii="Palatino Linotype" w:hAnsi="Palatino Linotype"/>
          <w:b/>
          <w:sz w:val="22"/>
          <w:szCs w:val="22"/>
        </w:rPr>
        <w:t>uelo.-</w:t>
      </w:r>
      <w:proofErr w:type="gramEnd"/>
      <w:r w:rsidRPr="00577EF7">
        <w:rPr>
          <w:rFonts w:ascii="Palatino Linotype" w:hAnsi="Palatino Linotype"/>
          <w:b/>
          <w:sz w:val="22"/>
          <w:szCs w:val="22"/>
        </w:rPr>
        <w:t xml:space="preserve"> </w:t>
      </w:r>
      <w:r w:rsidRPr="00577EF7">
        <w:rPr>
          <w:rFonts w:ascii="Palatino Linotype" w:hAnsi="Palatino Linotype"/>
          <w:sz w:val="22"/>
          <w:szCs w:val="22"/>
        </w:rPr>
        <w:t>Los lotes fraccionados mantendrán la clasificación vigente</w:t>
      </w:r>
      <w:r w:rsidR="004804CE">
        <w:rPr>
          <w:rFonts w:ascii="Palatino Linotype" w:hAnsi="Palatino Linotype"/>
          <w:sz w:val="22"/>
          <w:szCs w:val="22"/>
        </w:rPr>
        <w:t>,</w:t>
      </w:r>
      <w:r w:rsidRPr="00577EF7">
        <w:rPr>
          <w:rFonts w:ascii="Palatino Linotype" w:hAnsi="Palatino Linotype"/>
          <w:sz w:val="22"/>
          <w:szCs w:val="22"/>
        </w:rPr>
        <w:t xml:space="preserve"> esto es</w:t>
      </w:r>
      <w:r w:rsidR="004804CE">
        <w:rPr>
          <w:rFonts w:ascii="Palatino Linotype" w:hAnsi="Palatino Linotype"/>
          <w:sz w:val="22"/>
          <w:szCs w:val="22"/>
        </w:rPr>
        <w:t>,</w:t>
      </w:r>
      <w:r w:rsidRPr="00577EF7">
        <w:rPr>
          <w:rFonts w:ascii="Palatino Linotype" w:hAnsi="Palatino Linotype"/>
          <w:sz w:val="22"/>
          <w:szCs w:val="22"/>
        </w:rPr>
        <w:t xml:space="preserve"> (SU) Suelo Urbano.</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b/>
          <w:bCs/>
          <w:sz w:val="22"/>
          <w:szCs w:val="22"/>
        </w:rPr>
        <w:t xml:space="preserve">Artículo 5.- Informe Técnico de Evaluación de Riesgos de la Secretaría General de Seguridad y Gobernabilidad.- </w:t>
      </w:r>
      <w:r w:rsidRPr="00577EF7">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Eloy Alfaro</w:t>
      </w:r>
      <w:r w:rsidRPr="00577EF7">
        <w:rPr>
          <w:rFonts w:ascii="Palatino Linotype" w:hAnsi="Palatino Linotype"/>
          <w:color w:val="2A2A2A"/>
          <w:sz w:val="22"/>
          <w:szCs w:val="22"/>
        </w:rPr>
        <w:t xml:space="preserve">, </w:t>
      </w:r>
      <w:r w:rsidRPr="00577EF7">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907ED5" w:rsidRPr="00577EF7" w:rsidRDefault="00907ED5" w:rsidP="00907ED5">
      <w:pPr>
        <w:pStyle w:val="Sinespaciado"/>
        <w:spacing w:after="120" w:line="276" w:lineRule="auto"/>
        <w:jc w:val="both"/>
        <w:rPr>
          <w:rFonts w:ascii="Palatino Linotype" w:hAnsi="Palatino Linotype"/>
        </w:rPr>
      </w:pPr>
      <w:r w:rsidRPr="00577EF7">
        <w:rPr>
          <w:rFonts w:ascii="Palatino Linotype" w:hAnsi="Palatino Linotype"/>
          <w:bCs/>
        </w:rPr>
        <w:t xml:space="preserve">El Asentamiento Humano de Hecho y Consolidado de Interés Social denominado </w:t>
      </w:r>
      <w:r w:rsidRPr="00577EF7">
        <w:rPr>
          <w:rFonts w:ascii="Palatino Linotype" w:hAnsi="Palatino Linotype"/>
        </w:rPr>
        <w:t xml:space="preserve">“Santiago Alto Etapa IV” </w:t>
      </w:r>
      <w:r w:rsidRPr="00577EF7">
        <w:rPr>
          <w:rFonts w:ascii="Palatino Linotype" w:hAnsi="Palatino Linotype"/>
          <w:bCs/>
        </w:rPr>
        <w:t xml:space="preserve">deberá cumplir con lo establecido dentro de la calificación del riesgo y acatar las recomendaciones que se encuentran determinadas </w:t>
      </w:r>
      <w:r w:rsidRPr="00577EF7">
        <w:rPr>
          <w:rFonts w:ascii="Palatino Linotype" w:hAnsi="Palatino Linotype"/>
          <w:color w:val="000000"/>
          <w:shd w:val="clear" w:color="auto" w:fill="FFFFFF"/>
        </w:rPr>
        <w:t xml:space="preserve">en el informe de la Dirección Metropolitana de Gestión de Riesgos </w:t>
      </w:r>
      <w:r w:rsidRPr="00577EF7">
        <w:rPr>
          <w:rFonts w:ascii="Palatino Linotype" w:hAnsi="Palatino Linotype"/>
        </w:rPr>
        <w:t xml:space="preserve">No. </w:t>
      </w:r>
      <w:r w:rsidR="004804CE">
        <w:rPr>
          <w:rFonts w:ascii="Palatino Linotype" w:hAnsi="Palatino Linotype"/>
        </w:rPr>
        <w:t xml:space="preserve">172-AT-DMGR-2017, con fecha 12 de septiembre de </w:t>
      </w:r>
      <w:r w:rsidRPr="00577EF7">
        <w:rPr>
          <w:rFonts w:ascii="Palatino Linotype" w:hAnsi="Palatino Linotype"/>
        </w:rPr>
        <w:t>2017, el mismo que establece:</w:t>
      </w:r>
    </w:p>
    <w:p w:rsidR="00907ED5" w:rsidRPr="00577EF7" w:rsidRDefault="00907ED5" w:rsidP="00907ED5">
      <w:pPr>
        <w:spacing w:after="120" w:line="276" w:lineRule="auto"/>
        <w:jc w:val="both"/>
        <w:rPr>
          <w:rFonts w:ascii="Palatino Linotype" w:hAnsi="Palatino Linotype"/>
          <w:b/>
          <w:i/>
          <w:sz w:val="22"/>
          <w:szCs w:val="22"/>
        </w:rPr>
      </w:pPr>
      <w:r w:rsidRPr="00577EF7">
        <w:rPr>
          <w:rFonts w:ascii="Palatino Linotype" w:hAnsi="Palatino Linotype"/>
          <w:b/>
          <w:i/>
          <w:sz w:val="22"/>
          <w:szCs w:val="22"/>
        </w:rPr>
        <w:t>“6 CALIFICACIÓN DEL RIESGO</w:t>
      </w:r>
    </w:p>
    <w:p w:rsidR="00907ED5" w:rsidRPr="00577EF7" w:rsidRDefault="00907ED5" w:rsidP="00907ED5">
      <w:pPr>
        <w:spacing w:after="120" w:line="276" w:lineRule="auto"/>
        <w:jc w:val="both"/>
        <w:rPr>
          <w:rFonts w:ascii="Palatino Linotype" w:hAnsi="Palatino Linotype"/>
          <w:i/>
          <w:sz w:val="22"/>
          <w:szCs w:val="22"/>
        </w:rPr>
      </w:pPr>
      <w:r w:rsidRPr="00577EF7">
        <w:rPr>
          <w:rFonts w:ascii="Palatino Linotype" w:hAnsi="Palatino Linotype"/>
          <w:i/>
          <w:sz w:val="22"/>
          <w:szCs w:val="22"/>
        </w:rPr>
        <w:t xml:space="preserve">La zona en estudio, una vez realizada la inspección técnica al AHHYC barrio “Santiago Alto IV” de la Parroquia </w:t>
      </w:r>
      <w:proofErr w:type="spellStart"/>
      <w:r w:rsidRPr="00577EF7">
        <w:rPr>
          <w:rFonts w:ascii="Palatino Linotype" w:hAnsi="Palatino Linotype"/>
          <w:i/>
          <w:sz w:val="22"/>
          <w:szCs w:val="22"/>
        </w:rPr>
        <w:t>Chilibulo</w:t>
      </w:r>
      <w:proofErr w:type="spellEnd"/>
      <w:r w:rsidRPr="00577EF7">
        <w:rPr>
          <w:rFonts w:ascii="Palatino Linotype" w:hAnsi="Palatino Linotype"/>
          <w:i/>
          <w:sz w:val="22"/>
          <w:szCs w:val="22"/>
        </w:rPr>
        <w:t>, considerando las amenazas, elementos expuestos y vulnerabilidades se determina que:</w:t>
      </w:r>
    </w:p>
    <w:p w:rsidR="00907ED5" w:rsidRPr="00577EF7" w:rsidRDefault="00907ED5" w:rsidP="00907ED5">
      <w:pPr>
        <w:spacing w:after="120" w:line="276" w:lineRule="auto"/>
        <w:jc w:val="both"/>
        <w:rPr>
          <w:rFonts w:ascii="Palatino Linotype" w:hAnsi="Palatino Linotype"/>
          <w:i/>
          <w:sz w:val="22"/>
          <w:szCs w:val="22"/>
        </w:rPr>
      </w:pPr>
    </w:p>
    <w:p w:rsidR="00907ED5" w:rsidRPr="00577EF7" w:rsidRDefault="00907ED5" w:rsidP="00907ED5">
      <w:pPr>
        <w:spacing w:after="120" w:line="276" w:lineRule="auto"/>
        <w:jc w:val="both"/>
        <w:rPr>
          <w:rFonts w:ascii="Palatino Linotype" w:hAnsi="Palatino Linotype"/>
          <w:i/>
          <w:sz w:val="22"/>
          <w:szCs w:val="22"/>
        </w:rPr>
      </w:pPr>
      <w:r w:rsidRPr="00577EF7">
        <w:rPr>
          <w:rFonts w:ascii="Palatino Linotype" w:hAnsi="Palatino Linotype"/>
          <w:i/>
          <w:sz w:val="22"/>
          <w:szCs w:val="22"/>
        </w:rPr>
        <w:lastRenderedPageBreak/>
        <w:t xml:space="preserve">De acuerdo a las condiciones morfológicas, litológicas y elementos expuestos se manifiesta que presenta un </w:t>
      </w:r>
      <w:r w:rsidRPr="00577EF7">
        <w:rPr>
          <w:rFonts w:ascii="Palatino Linotype" w:hAnsi="Palatino Linotype"/>
          <w:b/>
          <w:i/>
          <w:sz w:val="22"/>
          <w:szCs w:val="22"/>
        </w:rPr>
        <w:t xml:space="preserve">Riesgo </w:t>
      </w:r>
      <w:r w:rsidRPr="00577EF7">
        <w:rPr>
          <w:rFonts w:ascii="Palatino Linotype" w:eastAsia="Arial Unicode MS" w:hAnsi="Palatino Linotype"/>
          <w:b/>
          <w:i/>
          <w:sz w:val="22"/>
          <w:szCs w:val="22"/>
        </w:rPr>
        <w:t xml:space="preserve">Moderado </w:t>
      </w:r>
      <w:r w:rsidRPr="00577EF7">
        <w:rPr>
          <w:rFonts w:ascii="Palatino Linotype" w:hAnsi="Palatino Linotype"/>
          <w:i/>
          <w:sz w:val="22"/>
          <w:szCs w:val="22"/>
        </w:rPr>
        <w:t>frente a movimientos de remoción en masa.</w:t>
      </w:r>
    </w:p>
    <w:p w:rsidR="00907ED5" w:rsidRPr="00577EF7" w:rsidRDefault="00907ED5" w:rsidP="00907ED5">
      <w:pPr>
        <w:spacing w:after="120" w:line="276" w:lineRule="auto"/>
        <w:jc w:val="both"/>
        <w:rPr>
          <w:rFonts w:ascii="Palatino Linotype" w:hAnsi="Palatino Linotype"/>
          <w:i/>
          <w:sz w:val="22"/>
          <w:szCs w:val="22"/>
        </w:rPr>
      </w:pPr>
      <w:r w:rsidRPr="00577EF7">
        <w:rPr>
          <w:rFonts w:ascii="Palatino Linotype" w:hAnsi="Palatino Linotype"/>
          <w:i/>
          <w:sz w:val="22"/>
          <w:szCs w:val="22"/>
        </w:rPr>
        <w:t xml:space="preserve">Con respecto a la </w:t>
      </w:r>
      <w:r w:rsidRPr="00577EF7">
        <w:rPr>
          <w:rFonts w:ascii="Palatino Linotype" w:hAnsi="Palatino Linotype"/>
          <w:b/>
          <w:i/>
          <w:sz w:val="22"/>
          <w:szCs w:val="22"/>
        </w:rPr>
        <w:t>Amenaza Sísmica</w:t>
      </w:r>
      <w:r w:rsidRPr="00577EF7">
        <w:rPr>
          <w:rFonts w:ascii="Palatino Linotype" w:hAnsi="Palatino Linotype"/>
          <w:i/>
          <w:sz w:val="22"/>
          <w:szCs w:val="22"/>
        </w:rPr>
        <w:t xml:space="preserve"> el AHHYC “Santiago Alto IV”</w:t>
      </w:r>
      <w:r w:rsidRPr="00577EF7">
        <w:rPr>
          <w:rFonts w:ascii="Palatino Linotype" w:hAnsi="Palatino Linotype"/>
          <w:b/>
          <w:bCs/>
          <w:i/>
          <w:sz w:val="22"/>
          <w:szCs w:val="22"/>
        </w:rPr>
        <w:t xml:space="preserve"> </w:t>
      </w:r>
      <w:r w:rsidRPr="00577EF7">
        <w:rPr>
          <w:rFonts w:ascii="Palatino Linotype" w:hAnsi="Palatino Linotype"/>
          <w:i/>
          <w:sz w:val="22"/>
          <w:szCs w:val="22"/>
        </w:rPr>
        <w:t xml:space="preserve">de la Parroquia </w:t>
      </w:r>
      <w:proofErr w:type="spellStart"/>
      <w:r w:rsidRPr="00577EF7">
        <w:rPr>
          <w:rFonts w:ascii="Palatino Linotype" w:hAnsi="Palatino Linotype"/>
          <w:i/>
          <w:sz w:val="22"/>
          <w:szCs w:val="22"/>
        </w:rPr>
        <w:t>Chilibulo</w:t>
      </w:r>
      <w:proofErr w:type="spellEnd"/>
      <w:r w:rsidRPr="00577EF7">
        <w:rPr>
          <w:rFonts w:ascii="Palatino Linotype" w:hAnsi="Palatino Linotype"/>
          <w:i/>
          <w:sz w:val="22"/>
          <w:szCs w:val="22"/>
        </w:rPr>
        <w:t xml:space="preserve">, presenta un nivel de </w:t>
      </w:r>
      <w:r w:rsidRPr="00577EF7">
        <w:rPr>
          <w:rFonts w:ascii="Palatino Linotype" w:hAnsi="Palatino Linotype"/>
          <w:b/>
          <w:i/>
          <w:sz w:val="22"/>
          <w:szCs w:val="22"/>
        </w:rPr>
        <w:t xml:space="preserve">Riesgo Moderado </w:t>
      </w:r>
      <w:r w:rsidRPr="00577EF7">
        <w:rPr>
          <w:rFonts w:ascii="Palatino Linotype" w:hAnsi="Palatino Linotype"/>
          <w:i/>
          <w:sz w:val="22"/>
          <w:szCs w:val="22"/>
        </w:rPr>
        <w:t>por ser construcciones sin control urbano y aparentemente sin supervisión técnica; esto presume que no cumplirían con los estándares establecidos para el diseño de estructuras sismo resistente en la NEC-SE 2016 y se consideran viviendas con vulnerabilidad.</w:t>
      </w:r>
    </w:p>
    <w:p w:rsidR="00907ED5" w:rsidRPr="00577EF7" w:rsidRDefault="00907ED5" w:rsidP="00907ED5">
      <w:pPr>
        <w:spacing w:after="120" w:line="276" w:lineRule="auto"/>
        <w:jc w:val="both"/>
        <w:rPr>
          <w:rFonts w:ascii="Palatino Linotype" w:hAnsi="Palatino Linotype"/>
          <w:i/>
          <w:sz w:val="22"/>
          <w:szCs w:val="22"/>
        </w:rPr>
      </w:pPr>
      <w:r w:rsidRPr="00577EF7">
        <w:rPr>
          <w:rFonts w:ascii="Palatino Linotype" w:hAnsi="Palatino Linotype"/>
          <w:i/>
          <w:sz w:val="22"/>
          <w:szCs w:val="22"/>
        </w:rPr>
        <w:t>Adicionalmente, con respecto a la amenaza volcánica el AHHYC “Santiago Alto IV”</w:t>
      </w:r>
      <w:r w:rsidRPr="00577EF7">
        <w:rPr>
          <w:rFonts w:ascii="Palatino Linotype" w:hAnsi="Palatino Linotype"/>
          <w:b/>
          <w:bCs/>
          <w:i/>
          <w:sz w:val="22"/>
          <w:szCs w:val="22"/>
        </w:rPr>
        <w:t xml:space="preserve"> </w:t>
      </w:r>
      <w:r w:rsidRPr="00577EF7">
        <w:rPr>
          <w:rFonts w:ascii="Palatino Linotype" w:hAnsi="Palatino Linotype"/>
          <w:i/>
          <w:sz w:val="22"/>
          <w:szCs w:val="22"/>
        </w:rPr>
        <w:t xml:space="preserve">de la Parroquia </w:t>
      </w:r>
      <w:proofErr w:type="spellStart"/>
      <w:r w:rsidRPr="00577EF7">
        <w:rPr>
          <w:rFonts w:ascii="Palatino Linotype" w:hAnsi="Palatino Linotype"/>
          <w:i/>
          <w:sz w:val="22"/>
          <w:szCs w:val="22"/>
        </w:rPr>
        <w:t>Chilibulo</w:t>
      </w:r>
      <w:proofErr w:type="spellEnd"/>
      <w:r w:rsidRPr="00577EF7">
        <w:rPr>
          <w:rFonts w:ascii="Palatino Linotype" w:hAnsi="Palatino Linotype"/>
          <w:i/>
          <w:sz w:val="22"/>
          <w:szCs w:val="22"/>
        </w:rPr>
        <w:t xml:space="preserve">, presenta un nivel de riesgo </w:t>
      </w:r>
      <w:r w:rsidRPr="00577EF7">
        <w:rPr>
          <w:rFonts w:ascii="Palatino Linotype" w:hAnsi="Palatino Linotype"/>
          <w:b/>
          <w:i/>
          <w:sz w:val="22"/>
          <w:szCs w:val="22"/>
        </w:rPr>
        <w:t>Alto</w:t>
      </w:r>
      <w:r w:rsidRPr="00577EF7">
        <w:rPr>
          <w:rFonts w:ascii="Palatino Linotype" w:hAnsi="Palatino Linotype"/>
          <w:i/>
          <w:sz w:val="22"/>
          <w:szCs w:val="22"/>
        </w:rPr>
        <w:t xml:space="preserve"> por la probable caída de </w:t>
      </w:r>
      <w:proofErr w:type="spellStart"/>
      <w:r w:rsidRPr="00577EF7">
        <w:rPr>
          <w:rFonts w:ascii="Palatino Linotype" w:hAnsi="Palatino Linotype"/>
          <w:i/>
          <w:sz w:val="22"/>
          <w:szCs w:val="22"/>
        </w:rPr>
        <w:t>piroclastos</w:t>
      </w:r>
      <w:proofErr w:type="spellEnd"/>
      <w:r w:rsidRPr="00577EF7">
        <w:rPr>
          <w:rFonts w:ascii="Palatino Linotype" w:hAnsi="Palatino Linotype"/>
          <w:i/>
          <w:sz w:val="22"/>
          <w:szCs w:val="22"/>
        </w:rPr>
        <w:t xml:space="preserve"> (ceniza y lapilli) de los volcanes descritos.</w:t>
      </w:r>
    </w:p>
    <w:p w:rsidR="00907ED5" w:rsidRPr="00577EF7" w:rsidRDefault="00907ED5" w:rsidP="00907ED5">
      <w:pPr>
        <w:spacing w:after="120" w:line="276" w:lineRule="auto"/>
        <w:jc w:val="both"/>
        <w:rPr>
          <w:rFonts w:ascii="Palatino Linotype" w:hAnsi="Palatino Linotype"/>
          <w:i/>
          <w:sz w:val="22"/>
          <w:szCs w:val="22"/>
        </w:rPr>
      </w:pPr>
      <w:r w:rsidRPr="00577EF7">
        <w:rPr>
          <w:rFonts w:ascii="Palatino Linotype" w:hAnsi="Palatino Linotype"/>
          <w:i/>
          <w:sz w:val="22"/>
          <w:szCs w:val="22"/>
        </w:rPr>
        <w:t>Con respecto a la amenaza por incendio forestal el AHHYC “Santiago Alto IV”</w:t>
      </w:r>
      <w:r w:rsidRPr="00577EF7">
        <w:rPr>
          <w:rFonts w:ascii="Palatino Linotype" w:hAnsi="Palatino Linotype"/>
          <w:b/>
          <w:bCs/>
          <w:i/>
          <w:sz w:val="22"/>
          <w:szCs w:val="22"/>
        </w:rPr>
        <w:t xml:space="preserve"> </w:t>
      </w:r>
      <w:r w:rsidRPr="00577EF7">
        <w:rPr>
          <w:rFonts w:ascii="Palatino Linotype" w:hAnsi="Palatino Linotype"/>
          <w:i/>
          <w:sz w:val="22"/>
          <w:szCs w:val="22"/>
        </w:rPr>
        <w:t xml:space="preserve">de la Parroquia </w:t>
      </w:r>
      <w:proofErr w:type="spellStart"/>
      <w:r w:rsidRPr="00577EF7">
        <w:rPr>
          <w:rFonts w:ascii="Palatino Linotype" w:hAnsi="Palatino Linotype"/>
          <w:i/>
          <w:sz w:val="22"/>
          <w:szCs w:val="22"/>
        </w:rPr>
        <w:t>Chilibulo</w:t>
      </w:r>
      <w:proofErr w:type="spellEnd"/>
      <w:r w:rsidRPr="00577EF7">
        <w:rPr>
          <w:rFonts w:ascii="Palatino Linotype" w:hAnsi="Palatino Linotype"/>
          <w:i/>
          <w:sz w:val="22"/>
          <w:szCs w:val="22"/>
        </w:rPr>
        <w:t xml:space="preserve"> presenta un riesgo </w:t>
      </w:r>
      <w:r w:rsidRPr="00577EF7">
        <w:rPr>
          <w:rFonts w:ascii="Palatino Linotype" w:hAnsi="Palatino Linotype"/>
          <w:b/>
          <w:i/>
          <w:sz w:val="22"/>
          <w:szCs w:val="22"/>
        </w:rPr>
        <w:t>Bajo</w:t>
      </w:r>
      <w:r w:rsidRPr="00577EF7">
        <w:rPr>
          <w:rFonts w:ascii="Palatino Linotype" w:hAnsi="Palatino Linotype"/>
          <w:i/>
          <w:sz w:val="22"/>
          <w:szCs w:val="22"/>
        </w:rPr>
        <w:t xml:space="preserve"> por encontrarse en una zona urbanizada y alejado de bosques.</w:t>
      </w:r>
    </w:p>
    <w:p w:rsidR="00907ED5" w:rsidRPr="00577EF7" w:rsidRDefault="00907ED5" w:rsidP="00907ED5">
      <w:pPr>
        <w:spacing w:after="120" w:line="276" w:lineRule="auto"/>
        <w:jc w:val="both"/>
        <w:rPr>
          <w:rFonts w:ascii="Palatino Linotype" w:hAnsi="Palatino Linotype"/>
          <w:bCs/>
          <w:i/>
          <w:sz w:val="22"/>
          <w:szCs w:val="22"/>
        </w:rPr>
      </w:pPr>
      <w:r w:rsidRPr="00577EF7">
        <w:rPr>
          <w:rFonts w:ascii="Palatino Linotype" w:hAnsi="Palatino Linotype"/>
          <w:bCs/>
          <w:i/>
          <w:sz w:val="22"/>
          <w:szCs w:val="22"/>
        </w:rPr>
        <w:t xml:space="preserve">La calificación de la evaluación de la condición del riesgo está dada en base a la probabilidad de ocurrencia de eventos adversos y a las perdidas con su consecuente afectación. </w:t>
      </w:r>
      <w:r w:rsidRPr="00577EF7">
        <w:rPr>
          <w:rFonts w:ascii="Palatino Linotype" w:hAnsi="Palatino Linotype"/>
          <w:i/>
          <w:sz w:val="22"/>
          <w:szCs w:val="22"/>
        </w:rPr>
        <w:t xml:space="preserve">Por lo tanto, desde el análisis de la DMGR se expresa que es </w:t>
      </w:r>
      <w:r w:rsidRPr="00577EF7">
        <w:rPr>
          <w:rFonts w:ascii="Palatino Linotype" w:hAnsi="Palatino Linotype"/>
          <w:b/>
          <w:i/>
          <w:sz w:val="22"/>
          <w:szCs w:val="22"/>
        </w:rPr>
        <w:t>Factible</w:t>
      </w:r>
      <w:r w:rsidRPr="00577EF7">
        <w:rPr>
          <w:rFonts w:ascii="Palatino Linotype" w:hAnsi="Palatino Linotype"/>
          <w:i/>
          <w:sz w:val="22"/>
          <w:szCs w:val="22"/>
        </w:rPr>
        <w:t xml:space="preserve"> continuar con el proceso de regularización del AHHYC. Ya que siguiendo </w:t>
      </w:r>
      <w:r w:rsidRPr="00577EF7">
        <w:rPr>
          <w:rFonts w:ascii="Palatino Linotype" w:hAnsi="Palatino Linotype"/>
          <w:bCs/>
          <w:i/>
          <w:sz w:val="22"/>
          <w:szCs w:val="22"/>
        </w:rPr>
        <w:t>las recomendaciones que se describen contribuirá a garantizar la reducción del riesgo en la zona en análisis.</w:t>
      </w:r>
    </w:p>
    <w:p w:rsidR="00907ED5" w:rsidRPr="00577EF7" w:rsidRDefault="00907ED5" w:rsidP="00907ED5">
      <w:pPr>
        <w:spacing w:after="120" w:line="276" w:lineRule="auto"/>
        <w:jc w:val="both"/>
        <w:rPr>
          <w:rFonts w:ascii="Palatino Linotype" w:hAnsi="Palatino Linotype"/>
          <w:bCs/>
          <w:i/>
          <w:sz w:val="22"/>
          <w:szCs w:val="22"/>
        </w:rPr>
      </w:pPr>
      <w:r w:rsidRPr="00577EF7">
        <w:rPr>
          <w:rFonts w:ascii="Palatino Linotype" w:hAnsi="Palatino Linotype"/>
          <w:bCs/>
          <w:i/>
          <w:sz w:val="22"/>
          <w:szCs w:val="22"/>
        </w:rPr>
        <w:t xml:space="preserve">Ante la calificación del riesgo anteriormente detallado para el sector denominado AHHYC </w:t>
      </w:r>
      <w:r w:rsidRPr="00577EF7">
        <w:rPr>
          <w:rFonts w:ascii="Palatino Linotype" w:hAnsi="Palatino Linotype"/>
          <w:i/>
          <w:sz w:val="22"/>
          <w:szCs w:val="22"/>
        </w:rPr>
        <w:t>“Santiago Alto IV”</w:t>
      </w:r>
      <w:r w:rsidRPr="00577EF7">
        <w:rPr>
          <w:rFonts w:ascii="Palatino Linotype" w:hAnsi="Palatino Linotype"/>
          <w:bCs/>
          <w:i/>
          <w:sz w:val="22"/>
          <w:szCs w:val="22"/>
        </w:rPr>
        <w:t xml:space="preserve"> </w:t>
      </w:r>
      <w:r w:rsidRPr="00577EF7">
        <w:rPr>
          <w:rFonts w:ascii="Palatino Linotype" w:hAnsi="Palatino Linotype"/>
          <w:i/>
          <w:sz w:val="22"/>
          <w:szCs w:val="22"/>
        </w:rPr>
        <w:t xml:space="preserve">de la Parroquia </w:t>
      </w:r>
      <w:proofErr w:type="spellStart"/>
      <w:r w:rsidRPr="00577EF7">
        <w:rPr>
          <w:rFonts w:ascii="Palatino Linotype" w:hAnsi="Palatino Linotype"/>
          <w:i/>
          <w:sz w:val="22"/>
          <w:szCs w:val="22"/>
        </w:rPr>
        <w:t>Chilibulo</w:t>
      </w:r>
      <w:proofErr w:type="spellEnd"/>
      <w:r w:rsidRPr="00577EF7">
        <w:rPr>
          <w:rFonts w:ascii="Palatino Linotype" w:hAnsi="Palatino Linotype"/>
          <w:bCs/>
          <w:i/>
          <w:sz w:val="22"/>
          <w:szCs w:val="22"/>
        </w:rPr>
        <w:t>, La DMGR manifiesta que los propietarios deberán contratar un estudio geológico- geotécnico realizado por un profesional responsable o especialista para definir diseños e implementar las obras y/o acciones de mitigación de acuerdo a los niveles del riesgo; El resultado obtenido del estudio determinará que un Riesgo en el sector puede ser Mitigable en cuanto a que la comunidad puede disminuir o limitar mediante obras y/o acciones los posibles impactos adversos de las amenazas identificadas. Además</w:t>
      </w:r>
      <w:r w:rsidR="004804CE">
        <w:rPr>
          <w:rFonts w:ascii="Palatino Linotype" w:hAnsi="Palatino Linotype"/>
          <w:bCs/>
          <w:i/>
          <w:sz w:val="22"/>
          <w:szCs w:val="22"/>
        </w:rPr>
        <w:t>,</w:t>
      </w:r>
      <w:r w:rsidRPr="00577EF7">
        <w:rPr>
          <w:rFonts w:ascii="Palatino Linotype" w:hAnsi="Palatino Linotype"/>
          <w:bCs/>
          <w:i/>
          <w:sz w:val="22"/>
          <w:szCs w:val="22"/>
        </w:rPr>
        <w:t xml:space="preserve"> se debe hacer un análisis estructural de las edificaciones existentes y respecto a los gastos que representen los estudios, análisis, obras y/o acciones de mitigación serán solventados en su totalidad por la comunidad solicitante.</w:t>
      </w:r>
    </w:p>
    <w:p w:rsidR="00907ED5" w:rsidRPr="00577EF7" w:rsidRDefault="00907ED5" w:rsidP="00907ED5">
      <w:pPr>
        <w:spacing w:after="120" w:line="276" w:lineRule="auto"/>
        <w:jc w:val="both"/>
        <w:rPr>
          <w:rFonts w:ascii="Palatino Linotype" w:hAnsi="Palatino Linotype"/>
          <w:bCs/>
          <w:i/>
          <w:sz w:val="22"/>
          <w:szCs w:val="22"/>
        </w:rPr>
      </w:pPr>
      <w:r w:rsidRPr="00577EF7">
        <w:rPr>
          <w:rFonts w:ascii="Palatino Linotype" w:hAnsi="Palatino Linotype"/>
          <w:bCs/>
          <w:i/>
          <w:sz w:val="22"/>
          <w:szCs w:val="22"/>
        </w:rPr>
        <w:t>El Riesgo es Mitigable cuando se pueden implementar medidas estructurales y no estructurales para reducir el riesgo actual, y consecuente impacto adverso de amenazas naturales, antrópicas, tecnológicas y de degradación ambiental.</w:t>
      </w:r>
    </w:p>
    <w:p w:rsidR="00907ED5" w:rsidRPr="00577EF7" w:rsidRDefault="00907ED5" w:rsidP="004804CE">
      <w:pPr>
        <w:spacing w:after="120" w:line="276" w:lineRule="auto"/>
        <w:jc w:val="both"/>
        <w:rPr>
          <w:rFonts w:ascii="Palatino Linotype" w:hAnsi="Palatino Linotype"/>
          <w:bCs/>
          <w:i/>
          <w:sz w:val="22"/>
          <w:szCs w:val="22"/>
        </w:rPr>
      </w:pPr>
      <w:r w:rsidRPr="00577EF7">
        <w:rPr>
          <w:rFonts w:ascii="Palatino Linotype" w:hAnsi="Palatino Linotype"/>
          <w:b/>
          <w:bCs/>
          <w:i/>
          <w:sz w:val="22"/>
          <w:szCs w:val="22"/>
        </w:rPr>
        <w:t>Medidas Estructurales:</w:t>
      </w:r>
      <w:r w:rsidRPr="00577EF7">
        <w:rPr>
          <w:rFonts w:ascii="Palatino Linotype" w:hAnsi="Palatino Linotype"/>
          <w:bCs/>
          <w:i/>
          <w:sz w:val="22"/>
          <w:szCs w:val="22"/>
        </w:rPr>
        <w:t xml:space="preserve"> </w:t>
      </w:r>
      <w:r w:rsidR="004804CE" w:rsidRPr="00577EF7">
        <w:rPr>
          <w:rFonts w:ascii="Palatino Linotype" w:hAnsi="Palatino Linotype"/>
          <w:bCs/>
          <w:i/>
          <w:sz w:val="22"/>
          <w:szCs w:val="22"/>
        </w:rPr>
        <w:t>Acciones de</w:t>
      </w:r>
      <w:r w:rsidRPr="00577EF7">
        <w:rPr>
          <w:rFonts w:ascii="Palatino Linotype" w:hAnsi="Palatino Linotype"/>
          <w:bCs/>
          <w:i/>
          <w:sz w:val="22"/>
          <w:szCs w:val="22"/>
        </w:rPr>
        <w:t xml:space="preserve"> ingeniería para reducir impactos de las amenazas como:</w:t>
      </w:r>
    </w:p>
    <w:p w:rsidR="00907ED5" w:rsidRPr="00577EF7" w:rsidRDefault="00907ED5" w:rsidP="00907ED5">
      <w:pPr>
        <w:pStyle w:val="Prrafodelista"/>
        <w:numPr>
          <w:ilvl w:val="0"/>
          <w:numId w:val="9"/>
        </w:numPr>
        <w:spacing w:after="120" w:line="276" w:lineRule="auto"/>
        <w:ind w:left="851" w:firstLine="0"/>
        <w:contextualSpacing/>
        <w:jc w:val="both"/>
        <w:rPr>
          <w:rFonts w:ascii="Palatino Linotype" w:hAnsi="Palatino Linotype"/>
          <w:bCs/>
          <w:i/>
          <w:sz w:val="22"/>
          <w:szCs w:val="22"/>
        </w:rPr>
      </w:pPr>
      <w:r w:rsidRPr="00577EF7">
        <w:rPr>
          <w:rFonts w:ascii="Palatino Linotype" w:hAnsi="Palatino Linotype"/>
          <w:bCs/>
          <w:i/>
          <w:sz w:val="22"/>
          <w:szCs w:val="22"/>
        </w:rPr>
        <w:t>Protección y control: Intervención directa de la amenaza (Diques, muros de contención, canalización de aguas.)</w:t>
      </w:r>
    </w:p>
    <w:p w:rsidR="00907ED5" w:rsidRPr="00577EF7" w:rsidRDefault="00907ED5" w:rsidP="00907ED5">
      <w:pPr>
        <w:pStyle w:val="Prrafodelista"/>
        <w:numPr>
          <w:ilvl w:val="0"/>
          <w:numId w:val="9"/>
        </w:numPr>
        <w:spacing w:after="120" w:line="276" w:lineRule="auto"/>
        <w:ind w:left="851" w:firstLine="0"/>
        <w:contextualSpacing/>
        <w:jc w:val="both"/>
        <w:rPr>
          <w:rFonts w:ascii="Palatino Linotype" w:hAnsi="Palatino Linotype"/>
          <w:bCs/>
          <w:i/>
          <w:sz w:val="22"/>
          <w:szCs w:val="22"/>
        </w:rPr>
      </w:pPr>
      <w:r w:rsidRPr="00577EF7">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907ED5" w:rsidRPr="00577EF7" w:rsidRDefault="00907ED5" w:rsidP="004804CE">
      <w:pPr>
        <w:spacing w:after="120" w:line="276" w:lineRule="auto"/>
        <w:jc w:val="both"/>
        <w:rPr>
          <w:rFonts w:ascii="Palatino Linotype" w:hAnsi="Palatino Linotype"/>
          <w:bCs/>
          <w:i/>
          <w:sz w:val="22"/>
          <w:szCs w:val="22"/>
        </w:rPr>
      </w:pPr>
      <w:r w:rsidRPr="00577EF7">
        <w:rPr>
          <w:rFonts w:ascii="Palatino Linotype" w:hAnsi="Palatino Linotype"/>
          <w:b/>
          <w:bCs/>
          <w:i/>
          <w:sz w:val="22"/>
          <w:szCs w:val="22"/>
        </w:rPr>
        <w:lastRenderedPageBreak/>
        <w:t>Medidas No estructurales:</w:t>
      </w:r>
      <w:r w:rsidRPr="00577EF7">
        <w:rPr>
          <w:rFonts w:ascii="Palatino Linotype" w:hAnsi="Palatino Linotype"/>
          <w:bCs/>
          <w:i/>
          <w:sz w:val="22"/>
          <w:szCs w:val="22"/>
        </w:rPr>
        <w:t xml:space="preserve"> Desarrollo del conocimiento, políticas, </w:t>
      </w:r>
      <w:proofErr w:type="gramStart"/>
      <w:r w:rsidRPr="00577EF7">
        <w:rPr>
          <w:rFonts w:ascii="Palatino Linotype" w:hAnsi="Palatino Linotype"/>
          <w:bCs/>
          <w:i/>
          <w:sz w:val="22"/>
          <w:szCs w:val="22"/>
        </w:rPr>
        <w:t>leyes  y</w:t>
      </w:r>
      <w:proofErr w:type="gramEnd"/>
      <w:r w:rsidRPr="00577EF7">
        <w:rPr>
          <w:rFonts w:ascii="Palatino Linotype" w:hAnsi="Palatino Linotype"/>
          <w:bCs/>
          <w:i/>
          <w:sz w:val="22"/>
          <w:szCs w:val="22"/>
        </w:rPr>
        <w:t xml:space="preserve"> mecanismos participativos.</w:t>
      </w:r>
    </w:p>
    <w:p w:rsidR="00907ED5" w:rsidRPr="00577EF7" w:rsidRDefault="00907ED5" w:rsidP="00907ED5">
      <w:pPr>
        <w:pStyle w:val="Prrafodelista"/>
        <w:numPr>
          <w:ilvl w:val="0"/>
          <w:numId w:val="9"/>
        </w:numPr>
        <w:spacing w:after="120" w:line="276" w:lineRule="auto"/>
        <w:ind w:left="851" w:firstLine="0"/>
        <w:contextualSpacing/>
        <w:jc w:val="both"/>
        <w:rPr>
          <w:rFonts w:ascii="Palatino Linotype" w:hAnsi="Palatino Linotype"/>
          <w:bCs/>
          <w:i/>
          <w:sz w:val="22"/>
          <w:szCs w:val="22"/>
        </w:rPr>
      </w:pPr>
      <w:r w:rsidRPr="00577EF7">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907ED5" w:rsidRPr="00577EF7" w:rsidRDefault="00907ED5" w:rsidP="00907ED5">
      <w:pPr>
        <w:pStyle w:val="Prrafodelista"/>
        <w:numPr>
          <w:ilvl w:val="0"/>
          <w:numId w:val="9"/>
        </w:numPr>
        <w:spacing w:after="120" w:line="276" w:lineRule="auto"/>
        <w:ind w:left="993" w:hanging="142"/>
        <w:contextualSpacing/>
        <w:jc w:val="both"/>
        <w:rPr>
          <w:rFonts w:ascii="Palatino Linotype" w:hAnsi="Palatino Linotype"/>
          <w:bCs/>
          <w:i/>
          <w:sz w:val="22"/>
          <w:szCs w:val="22"/>
        </w:rPr>
      </w:pPr>
      <w:r w:rsidRPr="00577EF7">
        <w:rPr>
          <w:rFonts w:ascii="Palatino Linotype" w:hAnsi="Palatino Linotype"/>
          <w:bCs/>
          <w:i/>
          <w:sz w:val="22"/>
          <w:szCs w:val="22"/>
        </w:rPr>
        <w:t>Acciones Pasivas: Relacionadas con legislación y planificación (normas de construcción, uso del suelo y ordenamiento territorial, etc.)</w:t>
      </w:r>
    </w:p>
    <w:p w:rsidR="00907ED5" w:rsidRPr="00577EF7" w:rsidRDefault="00907ED5" w:rsidP="004804CE">
      <w:pPr>
        <w:spacing w:after="120" w:line="276" w:lineRule="auto"/>
        <w:jc w:val="both"/>
        <w:rPr>
          <w:rFonts w:ascii="Palatino Linotype" w:hAnsi="Palatino Linotype"/>
          <w:i/>
          <w:sz w:val="22"/>
          <w:szCs w:val="22"/>
        </w:rPr>
      </w:pPr>
      <w:r w:rsidRPr="00577EF7">
        <w:rPr>
          <w:rFonts w:ascii="Palatino Linotype" w:hAnsi="Palatino Linotype"/>
          <w:bCs/>
          <w:i/>
          <w:sz w:val="22"/>
          <w:szCs w:val="22"/>
        </w:rPr>
        <w:t>Cabe indicar que la calificación de la condición del riesgo podría cambiar en función de la aplicación de la norma ecuatoriana de la construcción para las edificaciones y el apropiamiento de las normas y medidas de autoprotección del Asentamiento Humano de Hecho y Consolidado para cada una de las amenazas descritas.</w:t>
      </w:r>
    </w:p>
    <w:p w:rsidR="00907ED5" w:rsidRPr="00577EF7" w:rsidRDefault="00907ED5" w:rsidP="00907ED5">
      <w:pPr>
        <w:spacing w:after="120" w:line="276" w:lineRule="auto"/>
        <w:jc w:val="both"/>
        <w:rPr>
          <w:rFonts w:ascii="Palatino Linotype" w:hAnsi="Palatino Linotype"/>
          <w:b/>
          <w:i/>
          <w:sz w:val="22"/>
          <w:szCs w:val="22"/>
        </w:rPr>
      </w:pPr>
      <w:r w:rsidRPr="00577EF7">
        <w:rPr>
          <w:rFonts w:ascii="Palatino Linotype" w:hAnsi="Palatino Linotype"/>
          <w:b/>
          <w:i/>
          <w:sz w:val="22"/>
          <w:szCs w:val="22"/>
        </w:rPr>
        <w:t>7 RECOMENDACIONES</w:t>
      </w:r>
    </w:p>
    <w:p w:rsidR="00907ED5" w:rsidRPr="00577EF7" w:rsidRDefault="00907ED5" w:rsidP="00907ED5">
      <w:pPr>
        <w:spacing w:after="120" w:line="276" w:lineRule="auto"/>
        <w:jc w:val="both"/>
        <w:rPr>
          <w:rFonts w:ascii="Palatino Linotype" w:hAnsi="Palatino Linotype"/>
          <w:b/>
          <w:i/>
          <w:sz w:val="22"/>
          <w:szCs w:val="22"/>
        </w:rPr>
      </w:pPr>
      <w:r w:rsidRPr="00577EF7">
        <w:rPr>
          <w:rFonts w:ascii="Palatino Linotype" w:hAnsi="Palatino Linotype"/>
          <w:b/>
          <w:i/>
          <w:sz w:val="22"/>
          <w:szCs w:val="22"/>
        </w:rPr>
        <w:t>NORMATIVA VIGENTE:</w:t>
      </w:r>
    </w:p>
    <w:p w:rsidR="00907ED5" w:rsidRPr="00577EF7" w:rsidRDefault="00907ED5" w:rsidP="00907ED5">
      <w:pPr>
        <w:spacing w:after="120" w:line="276" w:lineRule="auto"/>
        <w:jc w:val="both"/>
        <w:rPr>
          <w:rFonts w:ascii="Palatino Linotype" w:hAnsi="Palatino Linotype"/>
          <w:i/>
          <w:color w:val="000000"/>
          <w:sz w:val="22"/>
          <w:szCs w:val="22"/>
        </w:rPr>
      </w:pPr>
      <w:r w:rsidRPr="00577EF7">
        <w:rPr>
          <w:rFonts w:ascii="Palatino Linotype" w:hAnsi="Palatino Linotype"/>
          <w:i/>
          <w:color w:val="000000"/>
          <w:sz w:val="22"/>
          <w:szCs w:val="22"/>
        </w:rPr>
        <w:t>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w:t>
      </w:r>
    </w:p>
    <w:p w:rsidR="00907ED5" w:rsidRPr="00577EF7" w:rsidRDefault="00907ED5" w:rsidP="00907ED5">
      <w:pPr>
        <w:pStyle w:val="Prrafodelista"/>
        <w:numPr>
          <w:ilvl w:val="0"/>
          <w:numId w:val="11"/>
        </w:numPr>
        <w:spacing w:after="120" w:line="276" w:lineRule="auto"/>
        <w:contextualSpacing/>
        <w:jc w:val="both"/>
        <w:rPr>
          <w:rFonts w:ascii="Palatino Linotype" w:hAnsi="Palatino Linotype"/>
          <w:bCs/>
          <w:i/>
          <w:sz w:val="22"/>
          <w:szCs w:val="22"/>
        </w:rPr>
      </w:pPr>
      <w:r w:rsidRPr="00577EF7">
        <w:rPr>
          <w:rFonts w:ascii="Palatino Linotype" w:hAnsi="Palatino Linotype"/>
          <w:bCs/>
          <w:i/>
          <w:sz w:val="22"/>
          <w:szCs w:val="22"/>
        </w:rPr>
        <w:t xml:space="preserve">Tomar en cuenta el </w:t>
      </w:r>
      <w:r w:rsidR="004804CE">
        <w:rPr>
          <w:rFonts w:ascii="Palatino Linotype" w:hAnsi="Palatino Linotype"/>
          <w:bCs/>
          <w:i/>
          <w:sz w:val="22"/>
          <w:szCs w:val="22"/>
        </w:rPr>
        <w:t>a</w:t>
      </w:r>
      <w:r w:rsidRPr="00577EF7">
        <w:rPr>
          <w:rFonts w:ascii="Palatino Linotype" w:hAnsi="Palatino Linotype"/>
          <w:bCs/>
          <w:i/>
          <w:sz w:val="22"/>
          <w:szCs w:val="22"/>
        </w:rPr>
        <w:t>rtículo 264 de la Constitución de la República del Ecuador dispone:</w:t>
      </w:r>
    </w:p>
    <w:p w:rsidR="00907ED5" w:rsidRPr="00577EF7" w:rsidRDefault="00907ED5" w:rsidP="00907ED5">
      <w:pPr>
        <w:pStyle w:val="Prrafodelista"/>
        <w:spacing w:after="120" w:line="276" w:lineRule="auto"/>
        <w:jc w:val="both"/>
        <w:rPr>
          <w:rFonts w:ascii="Palatino Linotype" w:hAnsi="Palatino Linotype"/>
          <w:i/>
          <w:sz w:val="22"/>
          <w:szCs w:val="22"/>
        </w:rPr>
      </w:pPr>
      <w:r w:rsidRPr="00577EF7">
        <w:rPr>
          <w:rFonts w:ascii="Palatino Linotype" w:hAnsi="Palatino Linotype"/>
          <w:i/>
          <w:sz w:val="22"/>
          <w:szCs w:val="22"/>
        </w:rPr>
        <w:t>Los gobiernos municipales tendrán las siguientes competencias exclusivas sin perjuicio de otras que determine la ley:</w:t>
      </w:r>
    </w:p>
    <w:p w:rsidR="00907ED5" w:rsidRPr="00577EF7" w:rsidRDefault="00907ED5" w:rsidP="00907ED5">
      <w:pPr>
        <w:pStyle w:val="Prrafodelista"/>
        <w:spacing w:after="120" w:line="276" w:lineRule="auto"/>
        <w:jc w:val="both"/>
        <w:rPr>
          <w:rFonts w:ascii="Palatino Linotype" w:hAnsi="Palatino Linotype"/>
          <w:i/>
          <w:sz w:val="22"/>
          <w:szCs w:val="22"/>
        </w:rPr>
      </w:pPr>
      <w:r w:rsidRPr="00577EF7">
        <w:rPr>
          <w:rFonts w:ascii="Palatino Linotype" w:hAnsi="Palatino Linotype"/>
          <w:i/>
          <w:sz w:val="22"/>
          <w:szCs w:val="22"/>
        </w:rPr>
        <w:t>1. Planificar el desarrollo cantonal y formular los correspondientes planes de ordenamiento territorial, de manera articulada con la planificación nacional, regional, provincial y parroquial, con el fin de regular el uso y la ocupación del suelo urbano y rural.</w:t>
      </w:r>
    </w:p>
    <w:p w:rsidR="00907ED5" w:rsidRPr="00577EF7" w:rsidRDefault="00907ED5" w:rsidP="00907ED5">
      <w:pPr>
        <w:pStyle w:val="Prrafodelista"/>
        <w:spacing w:after="120" w:line="276" w:lineRule="auto"/>
        <w:jc w:val="both"/>
        <w:rPr>
          <w:rFonts w:ascii="Palatino Linotype" w:hAnsi="Palatino Linotype"/>
          <w:b/>
          <w:bCs/>
          <w:i/>
          <w:sz w:val="22"/>
          <w:szCs w:val="22"/>
        </w:rPr>
      </w:pPr>
      <w:r w:rsidRPr="00577EF7">
        <w:rPr>
          <w:rFonts w:ascii="Palatino Linotype" w:hAnsi="Palatino Linotype"/>
          <w:i/>
          <w:sz w:val="22"/>
          <w:szCs w:val="22"/>
        </w:rPr>
        <w:t>2. Ejercer el control sobre el uso y ocupación del suelo en el cantón</w:t>
      </w:r>
      <w:r w:rsidRPr="00577EF7">
        <w:rPr>
          <w:rFonts w:ascii="Palatino Linotype" w:hAnsi="Palatino Linotype"/>
          <w:b/>
          <w:bCs/>
          <w:i/>
          <w:sz w:val="22"/>
          <w:szCs w:val="22"/>
        </w:rPr>
        <w:t>.</w:t>
      </w:r>
    </w:p>
    <w:p w:rsidR="00907ED5" w:rsidRPr="00577EF7" w:rsidRDefault="00907ED5" w:rsidP="00907ED5">
      <w:pPr>
        <w:pStyle w:val="Prrafodelista"/>
        <w:numPr>
          <w:ilvl w:val="0"/>
          <w:numId w:val="11"/>
        </w:numPr>
        <w:spacing w:after="120" w:line="276" w:lineRule="auto"/>
        <w:contextualSpacing/>
        <w:jc w:val="both"/>
        <w:rPr>
          <w:rFonts w:ascii="Palatino Linotype" w:hAnsi="Palatino Linotype"/>
          <w:b/>
          <w:bCs/>
          <w:i/>
          <w:sz w:val="22"/>
          <w:szCs w:val="22"/>
        </w:rPr>
      </w:pPr>
      <w:r w:rsidRPr="00577EF7">
        <w:rPr>
          <w:rFonts w:ascii="Palatino Linotype" w:hAnsi="Palatino Linotype"/>
          <w:bCs/>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577EF7">
        <w:rPr>
          <w:rFonts w:ascii="Palatino Linotype" w:hAnsi="Palatino Linotype"/>
          <w:b/>
          <w:bCs/>
          <w:i/>
          <w:sz w:val="22"/>
          <w:szCs w:val="22"/>
        </w:rPr>
        <w:t xml:space="preserve">Los gobiernos autónomos descentralizados municipales adoptarán obligatoriamente normas técnicas para la prevención y gestión de riesgos en sus territorios con el </w:t>
      </w:r>
      <w:r w:rsidRPr="00577EF7">
        <w:rPr>
          <w:rFonts w:ascii="Palatino Linotype" w:hAnsi="Palatino Linotype"/>
          <w:b/>
          <w:bCs/>
          <w:i/>
          <w:sz w:val="22"/>
          <w:szCs w:val="22"/>
        </w:rPr>
        <w:lastRenderedPageBreak/>
        <w:t>propósito de proteger las personas, colectividades y la naturaleza, en sus procesos de ordenamiento territorial”.</w:t>
      </w:r>
    </w:p>
    <w:p w:rsidR="00907ED5" w:rsidRPr="00577EF7" w:rsidRDefault="00907ED5" w:rsidP="00907ED5">
      <w:pPr>
        <w:pStyle w:val="Prrafodelista"/>
        <w:numPr>
          <w:ilvl w:val="0"/>
          <w:numId w:val="11"/>
        </w:numPr>
        <w:spacing w:after="120" w:line="276" w:lineRule="auto"/>
        <w:jc w:val="both"/>
        <w:rPr>
          <w:rFonts w:ascii="Palatino Linotype" w:hAnsi="Palatino Linotype"/>
          <w:bCs/>
          <w:i/>
          <w:sz w:val="22"/>
          <w:szCs w:val="22"/>
        </w:rPr>
      </w:pPr>
      <w:r w:rsidRPr="00577EF7">
        <w:rPr>
          <w:rFonts w:ascii="Palatino Linotype" w:hAnsi="Palatino Linotype"/>
          <w:bCs/>
          <w:i/>
          <w:sz w:val="22"/>
          <w:szCs w:val="22"/>
        </w:rPr>
        <w:t>Todos los procesos dentro del proyecto de regularización deben respetar la normativa vigente de las Ordenanzas Metropolitanas de: aprobación de los Planes Metropolitanos de Ord</w:t>
      </w:r>
      <w:r w:rsidR="004804CE">
        <w:rPr>
          <w:rFonts w:ascii="Palatino Linotype" w:hAnsi="Palatino Linotype"/>
          <w:bCs/>
          <w:i/>
          <w:sz w:val="22"/>
          <w:szCs w:val="22"/>
        </w:rPr>
        <w:t xml:space="preserve">enamiento Territorial, (PMOT), </w:t>
      </w:r>
      <w:r w:rsidRPr="00577EF7">
        <w:rPr>
          <w:rFonts w:ascii="Palatino Linotype" w:hAnsi="Palatino Linotype"/>
          <w:bCs/>
          <w:i/>
          <w:sz w:val="22"/>
          <w:szCs w:val="22"/>
        </w:rPr>
        <w:t xml:space="preserve">Uso y Ocupación del Suelo, (PUOS) y Régimen Administrativo del Suelo en el D.M.Q. (Ordenanzas Metropolitanas </w:t>
      </w:r>
      <w:r w:rsidRPr="00577EF7">
        <w:rPr>
          <w:rFonts w:ascii="Palatino Linotype" w:hAnsi="Palatino Linotype"/>
          <w:i/>
          <w:sz w:val="22"/>
          <w:szCs w:val="22"/>
        </w:rPr>
        <w:t>N°</w:t>
      </w:r>
      <w:r w:rsidRPr="00577EF7">
        <w:rPr>
          <w:rFonts w:ascii="Palatino Linotype" w:hAnsi="Palatino Linotype"/>
          <w:bCs/>
          <w:i/>
          <w:sz w:val="22"/>
          <w:szCs w:val="22"/>
        </w:rPr>
        <w:t xml:space="preserve">171 y </w:t>
      </w:r>
      <w:r w:rsidRPr="00577EF7">
        <w:rPr>
          <w:rFonts w:ascii="Palatino Linotype" w:hAnsi="Palatino Linotype"/>
          <w:i/>
          <w:sz w:val="22"/>
          <w:szCs w:val="22"/>
        </w:rPr>
        <w:t>N°</w:t>
      </w:r>
      <w:r w:rsidRPr="00577EF7">
        <w:rPr>
          <w:rFonts w:ascii="Palatino Linotype" w:hAnsi="Palatino Linotype"/>
          <w:bCs/>
          <w:i/>
          <w:sz w:val="22"/>
          <w:szCs w:val="22"/>
        </w:rPr>
        <w:t xml:space="preserve">172 del año 2011, y sus Reformatorias </w:t>
      </w:r>
      <w:r w:rsidRPr="00577EF7">
        <w:rPr>
          <w:rFonts w:ascii="Palatino Linotype" w:hAnsi="Palatino Linotype"/>
          <w:i/>
          <w:sz w:val="22"/>
          <w:szCs w:val="22"/>
        </w:rPr>
        <w:t>N°.</w:t>
      </w:r>
      <w:r w:rsidRPr="00577EF7">
        <w:rPr>
          <w:rFonts w:ascii="Palatino Linotype" w:hAnsi="Palatino Linotype"/>
          <w:bCs/>
          <w:i/>
          <w:sz w:val="22"/>
          <w:szCs w:val="22"/>
        </w:rPr>
        <w:t xml:space="preserve">447 y </w:t>
      </w:r>
      <w:r w:rsidRPr="00577EF7">
        <w:rPr>
          <w:rFonts w:ascii="Palatino Linotype" w:hAnsi="Palatino Linotype"/>
          <w:i/>
          <w:sz w:val="22"/>
          <w:szCs w:val="22"/>
        </w:rPr>
        <w:t>N°.</w:t>
      </w:r>
      <w:r w:rsidRPr="00577EF7">
        <w:rPr>
          <w:rFonts w:ascii="Palatino Linotype" w:hAnsi="Palatino Linotype"/>
          <w:bCs/>
          <w:i/>
          <w:sz w:val="22"/>
          <w:szCs w:val="22"/>
        </w:rPr>
        <w:t xml:space="preserve">432 del año 2013 y la Ordenanza </w:t>
      </w:r>
      <w:r w:rsidRPr="00577EF7">
        <w:rPr>
          <w:rFonts w:ascii="Palatino Linotype" w:hAnsi="Palatino Linotype"/>
          <w:i/>
          <w:sz w:val="22"/>
          <w:szCs w:val="22"/>
        </w:rPr>
        <w:t>N°</w:t>
      </w:r>
      <w:r w:rsidRPr="00577EF7">
        <w:rPr>
          <w:rFonts w:ascii="Palatino Linotype" w:hAnsi="Palatino Linotype"/>
          <w:bCs/>
          <w:i/>
          <w:sz w:val="22"/>
          <w:szCs w:val="22"/>
        </w:rPr>
        <w:t>127 del 25 de julio del 2016.</w:t>
      </w:r>
    </w:p>
    <w:p w:rsidR="00907ED5" w:rsidRPr="00577EF7" w:rsidRDefault="00907ED5" w:rsidP="00907ED5">
      <w:pPr>
        <w:pStyle w:val="Prrafodelista"/>
        <w:numPr>
          <w:ilvl w:val="0"/>
          <w:numId w:val="11"/>
        </w:numPr>
        <w:spacing w:after="120" w:line="276" w:lineRule="auto"/>
        <w:jc w:val="both"/>
        <w:rPr>
          <w:rFonts w:ascii="Palatino Linotype" w:hAnsi="Palatino Linotype"/>
          <w:bCs/>
          <w:i/>
          <w:sz w:val="22"/>
          <w:szCs w:val="22"/>
        </w:rPr>
      </w:pPr>
      <w:r w:rsidRPr="00577EF7">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907ED5" w:rsidRPr="00577EF7" w:rsidRDefault="00907ED5" w:rsidP="00907ED5">
      <w:pPr>
        <w:spacing w:after="120" w:line="276" w:lineRule="auto"/>
        <w:jc w:val="both"/>
        <w:rPr>
          <w:rFonts w:ascii="Palatino Linotype" w:hAnsi="Palatino Linotype"/>
          <w:b/>
          <w:bCs/>
          <w:i/>
          <w:sz w:val="22"/>
          <w:szCs w:val="22"/>
        </w:rPr>
      </w:pPr>
      <w:r w:rsidRPr="00577EF7">
        <w:rPr>
          <w:rFonts w:ascii="Palatino Linotype" w:hAnsi="Palatino Linotype"/>
          <w:b/>
          <w:bCs/>
          <w:i/>
          <w:sz w:val="22"/>
          <w:szCs w:val="22"/>
        </w:rPr>
        <w:t>PARA LAS CONSTRUCCIONES:</w:t>
      </w:r>
    </w:p>
    <w:p w:rsidR="00907ED5" w:rsidRPr="00577EF7" w:rsidRDefault="00907ED5" w:rsidP="00907ED5">
      <w:pPr>
        <w:pStyle w:val="Prrafodelista"/>
        <w:numPr>
          <w:ilvl w:val="0"/>
          <w:numId w:val="8"/>
        </w:numPr>
        <w:spacing w:after="120" w:line="276" w:lineRule="auto"/>
        <w:ind w:left="644"/>
        <w:jc w:val="both"/>
        <w:rPr>
          <w:rFonts w:ascii="Palatino Linotype" w:hAnsi="Palatino Linotype"/>
          <w:i/>
          <w:color w:val="000000"/>
          <w:sz w:val="22"/>
          <w:szCs w:val="22"/>
        </w:rPr>
      </w:pPr>
      <w:r w:rsidRPr="00577EF7">
        <w:rPr>
          <w:rFonts w:ascii="Palatino Linotype" w:hAnsi="Palatino Linotype"/>
          <w:bCs/>
          <w:i/>
          <w:sz w:val="22"/>
          <w:szCs w:val="22"/>
        </w:rPr>
        <w:t xml:space="preserve">Posterior a la regularización de AHHHYC en las </w:t>
      </w:r>
      <w:r w:rsidRPr="00577EF7">
        <w:rPr>
          <w:rFonts w:ascii="Palatino Linotype" w:hAnsi="Palatino Linotype"/>
          <w:i/>
          <w:sz w:val="22"/>
          <w:szCs w:val="22"/>
        </w:rPr>
        <w:t xml:space="preserve">edificaciones en proceso de construcción, aumento en planta o elevación y demás edificaciones dentro del área en análisis, que no dispongan de un diseño estructural o algún tipo de asesoría técnica, los propietarios deberán </w:t>
      </w:r>
      <w:r w:rsidRPr="00577EF7">
        <w:rPr>
          <w:rFonts w:ascii="Palatino Linotype" w:hAnsi="Palatino Linotype"/>
          <w:bCs/>
          <w:i/>
          <w:sz w:val="22"/>
          <w:szCs w:val="22"/>
        </w:rPr>
        <w:t>contratar a un especialista (</w:t>
      </w:r>
      <w:r w:rsidRPr="00577EF7">
        <w:rPr>
          <w:rFonts w:ascii="Palatino Linotype" w:hAnsi="Palatino Linotype"/>
          <w:i/>
          <w:sz w:val="22"/>
          <w:szCs w:val="22"/>
        </w:rPr>
        <w:t xml:space="preserve">Ingeniero Civil con experiencia en Estructuras), para que se realice un estudio estructural y  </w:t>
      </w:r>
      <w:r w:rsidRPr="00577EF7">
        <w:rPr>
          <w:rFonts w:ascii="Palatino Linotype" w:hAnsi="Palatino Linotype"/>
          <w:bCs/>
          <w:i/>
          <w:sz w:val="22"/>
          <w:szCs w:val="22"/>
        </w:rPr>
        <w:t xml:space="preserve">proponga una solución a cada caso, como puede ser un diseño estructural o un sistema de reforzamiento estructural en el caso de ameritarlo. </w:t>
      </w:r>
      <w:r w:rsidR="004804CE" w:rsidRPr="00577EF7">
        <w:rPr>
          <w:rFonts w:ascii="Palatino Linotype" w:hAnsi="Palatino Linotype"/>
          <w:i/>
          <w:color w:val="000000"/>
          <w:sz w:val="22"/>
          <w:szCs w:val="22"/>
        </w:rPr>
        <w:t>En especial</w:t>
      </w:r>
      <w:r w:rsidRPr="00577EF7">
        <w:rPr>
          <w:rFonts w:ascii="Palatino Linotype" w:hAnsi="Palatino Linotype"/>
          <w:bCs/>
          <w:i/>
          <w:sz w:val="22"/>
          <w:szCs w:val="22"/>
        </w:rPr>
        <w:t xml:space="preserve"> consideración de las viviendas construidas con bloque trabado. Las futuras edificaciones deberán ser construidas siguiendo la guía técnica de la Norma Ecuatoriana de la Construcción (NEC-SE-DS), sobretodo, lo que se refiere a diseños estructurales sismo-resistentes, para lo cual la Agencia Metropolitana de Control deberá hacer cumplir la normativa vigente.</w:t>
      </w:r>
    </w:p>
    <w:p w:rsidR="00907ED5" w:rsidRPr="00577EF7" w:rsidRDefault="00907ED5" w:rsidP="00907ED5">
      <w:pPr>
        <w:pStyle w:val="Prrafodelista"/>
        <w:numPr>
          <w:ilvl w:val="0"/>
          <w:numId w:val="8"/>
        </w:numPr>
        <w:spacing w:after="120" w:line="276" w:lineRule="auto"/>
        <w:ind w:left="644"/>
        <w:jc w:val="both"/>
        <w:rPr>
          <w:rFonts w:ascii="Palatino Linotype" w:hAnsi="Palatino Linotype"/>
          <w:i/>
          <w:color w:val="000000"/>
          <w:sz w:val="22"/>
          <w:szCs w:val="22"/>
        </w:rPr>
      </w:pPr>
      <w:r w:rsidRPr="00577EF7">
        <w:rPr>
          <w:rFonts w:ascii="Palatino Linotype" w:hAnsi="Palatino Linotype"/>
          <w:i/>
          <w:color w:val="000000"/>
          <w:sz w:val="22"/>
          <w:szCs w:val="22"/>
        </w:rPr>
        <w:t xml:space="preserve">Establecer el seguimiento adecuado para que se cumpla la normativa vigente con información y control coherente, con capacidad legal, administrativa y técnica, </w:t>
      </w:r>
      <w:r w:rsidR="004804CE" w:rsidRPr="00577EF7">
        <w:rPr>
          <w:rFonts w:ascii="Palatino Linotype" w:hAnsi="Palatino Linotype"/>
          <w:i/>
          <w:color w:val="000000"/>
          <w:sz w:val="22"/>
          <w:szCs w:val="22"/>
        </w:rPr>
        <w:t>definidas en</w:t>
      </w:r>
      <w:r w:rsidRPr="00577EF7">
        <w:rPr>
          <w:rFonts w:ascii="Palatino Linotype" w:hAnsi="Palatino Linotype"/>
          <w:i/>
          <w:color w:val="000000"/>
          <w:sz w:val="22"/>
          <w:szCs w:val="22"/>
        </w:rPr>
        <w:t xml:space="preserve"> la Ordenanza 147 y para cumplir con la planificación urbana, a fin de obtener la más eficiente integración de los servicios. En caso que no se cumplen con las condiciones necesarias e indispensables para la habilitación de suelo y construcción, la Administración zonal Eloy Alfaro que emiten los permisos de construcción, certificarán la prohibición correspondiente.</w:t>
      </w:r>
    </w:p>
    <w:p w:rsidR="00907ED5" w:rsidRPr="00577EF7" w:rsidRDefault="00907ED5" w:rsidP="00907ED5">
      <w:pPr>
        <w:pStyle w:val="Prrafodelista"/>
        <w:numPr>
          <w:ilvl w:val="0"/>
          <w:numId w:val="8"/>
        </w:numPr>
        <w:spacing w:after="120" w:line="276" w:lineRule="auto"/>
        <w:ind w:left="644"/>
        <w:jc w:val="both"/>
        <w:rPr>
          <w:rFonts w:ascii="Palatino Linotype" w:hAnsi="Palatino Linotype"/>
          <w:i/>
          <w:color w:val="000000"/>
          <w:sz w:val="22"/>
          <w:szCs w:val="22"/>
        </w:rPr>
      </w:pPr>
      <w:r w:rsidRPr="00577EF7">
        <w:rPr>
          <w:rFonts w:ascii="Palatino Linotype" w:hAnsi="Palatino Linotype"/>
          <w:i/>
          <w:color w:val="000000"/>
          <w:sz w:val="22"/>
          <w:szCs w:val="22"/>
        </w:rPr>
        <w:t xml:space="preserve">Durante el proceso de la regularización y para garantizar la seguridad de las edificaciones actuales y futuras se recomienda realizar </w:t>
      </w:r>
      <w:r w:rsidRPr="00577EF7">
        <w:rPr>
          <w:rFonts w:ascii="Palatino Linotype" w:hAnsi="Palatino Linotype"/>
          <w:b/>
          <w:i/>
          <w:color w:val="000000"/>
          <w:sz w:val="22"/>
          <w:szCs w:val="22"/>
        </w:rPr>
        <w:t>un estudio geológico y geotécnico</w:t>
      </w:r>
      <w:r w:rsidRPr="00577EF7">
        <w:rPr>
          <w:rFonts w:ascii="Palatino Linotype" w:hAnsi="Palatino Linotype"/>
          <w:i/>
          <w:color w:val="000000"/>
          <w:sz w:val="22"/>
          <w:szCs w:val="22"/>
        </w:rPr>
        <w:t xml:space="preserve"> que determine las medidas de mitigación frente a la amenaza o amenazas identificadas en el AHHYC, con los respectivos diseños estructurales de las obras planteadas, que deberán ser sustentadas mediante el estudio técnico de un profesional responsable o un por </w:t>
      </w:r>
      <w:r w:rsidRPr="00577EF7">
        <w:rPr>
          <w:rFonts w:ascii="Palatino Linotype" w:hAnsi="Palatino Linotype"/>
          <w:bCs/>
          <w:i/>
          <w:sz w:val="22"/>
          <w:szCs w:val="22"/>
        </w:rPr>
        <w:t xml:space="preserve">un especialista, </w:t>
      </w:r>
      <w:r w:rsidRPr="00577EF7">
        <w:rPr>
          <w:rFonts w:ascii="Palatino Linotype" w:hAnsi="Palatino Linotype"/>
          <w:i/>
          <w:color w:val="000000"/>
          <w:sz w:val="22"/>
          <w:szCs w:val="22"/>
        </w:rPr>
        <w:t>que posteriormente serán abalizados por la Dirección Metropolitana de Gestión de Riesgos;</w:t>
      </w:r>
    </w:p>
    <w:p w:rsidR="00907ED5" w:rsidRPr="00577EF7" w:rsidRDefault="00907ED5" w:rsidP="00907ED5">
      <w:pPr>
        <w:pStyle w:val="Prrafodelista"/>
        <w:numPr>
          <w:ilvl w:val="0"/>
          <w:numId w:val="8"/>
        </w:numPr>
        <w:spacing w:after="120" w:line="276" w:lineRule="auto"/>
        <w:contextualSpacing/>
        <w:jc w:val="both"/>
        <w:rPr>
          <w:rFonts w:ascii="Palatino Linotype" w:hAnsi="Palatino Linotype"/>
          <w:bCs/>
          <w:i/>
          <w:sz w:val="22"/>
          <w:szCs w:val="22"/>
        </w:rPr>
      </w:pPr>
      <w:r w:rsidRPr="00577EF7">
        <w:rPr>
          <w:rFonts w:ascii="Palatino Linotype" w:hAnsi="Palatino Linotype"/>
          <w:bCs/>
          <w:i/>
          <w:sz w:val="22"/>
          <w:szCs w:val="22"/>
        </w:rPr>
        <w:lastRenderedPageBreak/>
        <w:t>La Dirección Metropolitana de Gestión de Riesgos (DMGR) recomienda que en las edificaciones levantadas informalmente no se realice más ampliaciones verticales por cuanto se desconoce la capacidad portante del suelo y el sistema constructivo de cada una vivienda, ya que a futuro pueden tener problem</w:t>
      </w:r>
      <w:r w:rsidR="004804CE">
        <w:rPr>
          <w:rFonts w:ascii="Palatino Linotype" w:hAnsi="Palatino Linotype"/>
          <w:bCs/>
          <w:i/>
          <w:sz w:val="22"/>
          <w:szCs w:val="22"/>
        </w:rPr>
        <w:t xml:space="preserve">as de resistencia y seguridad, </w:t>
      </w:r>
      <w:r w:rsidRPr="00577EF7">
        <w:rPr>
          <w:rFonts w:ascii="Palatino Linotype" w:hAnsi="Palatino Linotype"/>
          <w:bCs/>
          <w:i/>
          <w:sz w:val="22"/>
          <w:szCs w:val="22"/>
        </w:rPr>
        <w:t>para lo cual la Agencia Metropolitana de Control deberá hacer cumplir la normativa vigente.</w:t>
      </w:r>
    </w:p>
    <w:p w:rsidR="00907ED5" w:rsidRPr="00577EF7" w:rsidRDefault="00907ED5" w:rsidP="00907ED5">
      <w:pPr>
        <w:spacing w:after="120" w:line="276" w:lineRule="auto"/>
        <w:jc w:val="both"/>
        <w:rPr>
          <w:rFonts w:ascii="Palatino Linotype" w:hAnsi="Palatino Linotype"/>
          <w:b/>
          <w:bCs/>
          <w:i/>
          <w:sz w:val="22"/>
          <w:szCs w:val="22"/>
        </w:rPr>
      </w:pPr>
      <w:r w:rsidRPr="00577EF7">
        <w:rPr>
          <w:rFonts w:ascii="Palatino Linotype" w:hAnsi="Palatino Linotype"/>
          <w:b/>
          <w:bCs/>
          <w:i/>
          <w:sz w:val="22"/>
          <w:szCs w:val="22"/>
        </w:rPr>
        <w:t>PARA LOS SUELOS O TERRENOS:</w:t>
      </w:r>
    </w:p>
    <w:p w:rsidR="00907ED5" w:rsidRPr="00577EF7" w:rsidRDefault="00907ED5" w:rsidP="00907ED5">
      <w:pPr>
        <w:pStyle w:val="Prrafodelista"/>
        <w:numPr>
          <w:ilvl w:val="0"/>
          <w:numId w:val="8"/>
        </w:numPr>
        <w:spacing w:after="120" w:line="276" w:lineRule="auto"/>
        <w:ind w:left="714" w:hanging="357"/>
        <w:jc w:val="both"/>
        <w:rPr>
          <w:rFonts w:ascii="Palatino Linotype" w:hAnsi="Palatino Linotype"/>
          <w:bCs/>
          <w:i/>
          <w:sz w:val="22"/>
          <w:szCs w:val="22"/>
        </w:rPr>
      </w:pPr>
      <w:r w:rsidRPr="00577EF7">
        <w:rPr>
          <w:rFonts w:ascii="Palatino Linotype" w:hAnsi="Palatino Linotype"/>
          <w:i/>
          <w:color w:val="000000"/>
          <w:sz w:val="22"/>
          <w:szCs w:val="22"/>
        </w:rPr>
        <w:t>La Dirección Metropolitana de Gestión de Riesgos (DMGR) recomienda cumplir con la Ordenanza Metropolitana No. 0127, de 25 de julio de 2016, y su </w:t>
      </w:r>
      <w:r w:rsidRPr="00577EF7">
        <w:rPr>
          <w:rFonts w:ascii="Palatino Linotype" w:hAnsi="Palatino Linotype"/>
          <w:i/>
          <w:iCs/>
          <w:color w:val="000000"/>
          <w:sz w:val="22"/>
          <w:szCs w:val="22"/>
        </w:rPr>
        <w:t>Anexo: Plan de Uso y Ocupación del Suelo (PUOS), sub numeral 1.3 RIESGOS.</w:t>
      </w:r>
    </w:p>
    <w:p w:rsidR="00907ED5" w:rsidRPr="00577EF7" w:rsidRDefault="00907ED5" w:rsidP="00907ED5">
      <w:pPr>
        <w:pStyle w:val="Prrafodelista"/>
        <w:numPr>
          <w:ilvl w:val="0"/>
          <w:numId w:val="8"/>
        </w:numPr>
        <w:spacing w:after="120" w:line="276" w:lineRule="auto"/>
        <w:ind w:left="714" w:hanging="357"/>
        <w:jc w:val="both"/>
        <w:rPr>
          <w:rFonts w:ascii="Palatino Linotype" w:hAnsi="Palatino Linotype"/>
          <w:bCs/>
          <w:i/>
          <w:sz w:val="22"/>
          <w:szCs w:val="22"/>
        </w:rPr>
      </w:pPr>
      <w:r w:rsidRPr="00577EF7">
        <w:rPr>
          <w:rFonts w:ascii="Palatino Linotype" w:hAnsi="Palatino Linotype"/>
          <w:bCs/>
          <w:i/>
          <w:sz w:val="22"/>
          <w:szCs w:val="22"/>
        </w:rPr>
        <w:t>La Dirección Metropolitana de Gestión de Riesgos (DMGR) recomienda que en el barrio “Santiago Alto etapa IV”, es necesario realizar un estudio geológico-geotécnico que determine la estabilidad de la ladera (en varios perfiles), para lo cual se deberá calcular el Factor de Seguridad, considerando cargas estáticas y dinámicas. Este estudio también deberá determinar la capacidad portante admisible del suelo (carga máxima que puede soportar sin que su estabilidad sea amenazada). También permitirá conocer las condiciones mecánicas del suelo que será validada posteriormente por la DMGR, debido a la característica litológica poco favorable que se observaron en varios sitios.</w:t>
      </w:r>
    </w:p>
    <w:p w:rsidR="00907ED5" w:rsidRPr="00577EF7" w:rsidRDefault="00907ED5" w:rsidP="00907ED5">
      <w:pPr>
        <w:pStyle w:val="Prrafodelista"/>
        <w:numPr>
          <w:ilvl w:val="0"/>
          <w:numId w:val="8"/>
        </w:numPr>
        <w:spacing w:after="120" w:line="276" w:lineRule="auto"/>
        <w:ind w:left="714" w:hanging="357"/>
        <w:jc w:val="both"/>
        <w:rPr>
          <w:rFonts w:ascii="Palatino Linotype" w:hAnsi="Palatino Linotype"/>
          <w:bCs/>
          <w:i/>
          <w:sz w:val="22"/>
          <w:szCs w:val="22"/>
        </w:rPr>
      </w:pPr>
      <w:r w:rsidRPr="00577EF7">
        <w:rPr>
          <w:rFonts w:ascii="Palatino Linotype" w:hAnsi="Palatino Linotype"/>
          <w:bCs/>
          <w:i/>
          <w:sz w:val="22"/>
          <w:szCs w:val="22"/>
        </w:rPr>
        <w:t>La topografía del terreno ha sido alterada al realizar cortes en sentido perpendicular (vías, caminos y construcciones)  formando taludes verticales de diferentes alturas, por lo que a futuro deberán ser recubiertos con cobertura vegetal o a  su vez realizar muros de protección o sostenimiento ejecutados con la responsabilidad de la comunidad y supervisados por un profesional competente, acciones de mitigación que servirán para evitar que  continúe el proceso erosivo de los taludes, los mismos que al estar desprotegidos, el agua y el viento puede ocasionar cárcavas que con el paso del tiempo son factores detonantes para un deslizamiento.</w:t>
      </w:r>
    </w:p>
    <w:p w:rsidR="00907ED5" w:rsidRPr="00577EF7" w:rsidRDefault="00907ED5" w:rsidP="00907ED5">
      <w:pPr>
        <w:pStyle w:val="Prrafodelista"/>
        <w:numPr>
          <w:ilvl w:val="0"/>
          <w:numId w:val="8"/>
        </w:numPr>
        <w:spacing w:after="120" w:line="276" w:lineRule="auto"/>
        <w:ind w:left="709" w:hanging="425"/>
        <w:jc w:val="both"/>
        <w:rPr>
          <w:rFonts w:ascii="Palatino Linotype" w:hAnsi="Palatino Linotype"/>
          <w:bCs/>
          <w:i/>
          <w:sz w:val="22"/>
          <w:szCs w:val="22"/>
        </w:rPr>
      </w:pPr>
      <w:r w:rsidRPr="00577EF7">
        <w:rPr>
          <w:rFonts w:ascii="Palatino Linotype" w:hAnsi="Palatino Linotype"/>
          <w:bCs/>
          <w:i/>
          <w:sz w:val="22"/>
          <w:szCs w:val="22"/>
        </w:rPr>
        <w:t xml:space="preserve">Posterior a la regularización del AHHYC y con trazado vial aprobado la EPMAPS podrá concluir en los pasajes el sistema de alcantarillado pluvial que evite la erosión del suelo por ser una zona que presenta una moderada inclinación, de esta forma </w:t>
      </w:r>
      <w:r w:rsidRPr="00577EF7">
        <w:rPr>
          <w:rFonts w:ascii="Palatino Linotype" w:hAnsi="Palatino Linotype"/>
          <w:i/>
          <w:color w:val="000000"/>
          <w:sz w:val="22"/>
          <w:szCs w:val="22"/>
        </w:rPr>
        <w:t>mejorar las condiciones de vida de la población mediante los servicios descritos.</w:t>
      </w:r>
      <w:r w:rsidRPr="00577EF7">
        <w:rPr>
          <w:rFonts w:ascii="Palatino Linotype" w:hAnsi="Palatino Linotype"/>
          <w:bCs/>
          <w:i/>
          <w:sz w:val="22"/>
          <w:szCs w:val="22"/>
        </w:rPr>
        <w:t xml:space="preserve"> Acciones que restringirán la erosión del suelo en época de lluvia ya que esta recorre </w:t>
      </w:r>
      <w:r w:rsidR="004804CE" w:rsidRPr="00577EF7">
        <w:rPr>
          <w:rFonts w:ascii="Palatino Linotype" w:hAnsi="Palatino Linotype"/>
          <w:bCs/>
          <w:i/>
          <w:sz w:val="22"/>
          <w:szCs w:val="22"/>
        </w:rPr>
        <w:t>a favor</w:t>
      </w:r>
      <w:r w:rsidRPr="00577EF7">
        <w:rPr>
          <w:rFonts w:ascii="Palatino Linotype" w:hAnsi="Palatino Linotype"/>
          <w:bCs/>
          <w:i/>
          <w:sz w:val="22"/>
          <w:szCs w:val="22"/>
        </w:rPr>
        <w:t xml:space="preserve"> de la pendiente generando infiltración al terreno.</w:t>
      </w:r>
    </w:p>
    <w:p w:rsidR="00907ED5" w:rsidRPr="00577EF7" w:rsidRDefault="00907ED5" w:rsidP="00907ED5">
      <w:pPr>
        <w:pStyle w:val="Prrafodelista"/>
        <w:numPr>
          <w:ilvl w:val="0"/>
          <w:numId w:val="8"/>
        </w:numPr>
        <w:spacing w:after="120" w:line="276" w:lineRule="auto"/>
        <w:ind w:left="709"/>
        <w:jc w:val="both"/>
        <w:rPr>
          <w:rFonts w:ascii="Palatino Linotype" w:hAnsi="Palatino Linotype"/>
          <w:bCs/>
          <w:i/>
          <w:color w:val="000000"/>
          <w:sz w:val="22"/>
          <w:szCs w:val="22"/>
        </w:rPr>
      </w:pPr>
      <w:r w:rsidRPr="00577EF7">
        <w:rPr>
          <w:rFonts w:ascii="Palatino Linotype" w:hAnsi="Palatino Linotype"/>
          <w:bCs/>
          <w:i/>
          <w:sz w:val="22"/>
          <w:szCs w:val="22"/>
        </w:rPr>
        <w:t xml:space="preserve">Por la evidencia de antiguos deslizamientos y flujos de materiales, es necesario que se coordinen actividades de mitigación entre la comunidad del asentamiento en análisis y la comunidad colindante con el fin de proponer alternativas que reduzcan el riesgo de movimientos en masa, y establecer un cronograma de trabajo como: limpieza de sumideros, </w:t>
      </w:r>
      <w:r w:rsidRPr="00577EF7">
        <w:rPr>
          <w:rFonts w:ascii="Palatino Linotype" w:hAnsi="Palatino Linotype"/>
          <w:bCs/>
          <w:i/>
          <w:sz w:val="22"/>
          <w:szCs w:val="22"/>
        </w:rPr>
        <w:lastRenderedPageBreak/>
        <w:t>mantenimiento de la cobertura vegetal de taludes, ya que por la carencia de los mismos pueden afectar a la comunidad en análisis o a los asentamientos de la parte baja.</w:t>
      </w:r>
    </w:p>
    <w:p w:rsidR="00907ED5" w:rsidRPr="00577EF7" w:rsidRDefault="00907ED5" w:rsidP="00907ED5">
      <w:pPr>
        <w:pStyle w:val="Prrafodelista"/>
        <w:numPr>
          <w:ilvl w:val="0"/>
          <w:numId w:val="8"/>
        </w:numPr>
        <w:spacing w:after="120" w:line="276" w:lineRule="auto"/>
        <w:ind w:left="714" w:hanging="357"/>
        <w:jc w:val="both"/>
        <w:rPr>
          <w:rFonts w:ascii="Palatino Linotype" w:hAnsi="Palatino Linotype"/>
          <w:bCs/>
          <w:i/>
          <w:sz w:val="22"/>
          <w:szCs w:val="22"/>
        </w:rPr>
      </w:pPr>
      <w:r w:rsidRPr="00577EF7">
        <w:rPr>
          <w:rFonts w:ascii="Palatino Linotype" w:hAnsi="Palatino Linotype"/>
          <w:bCs/>
          <w:i/>
          <w:sz w:val="22"/>
          <w:szCs w:val="22"/>
        </w:rPr>
        <w:t>En la inspección de campo se evidenció que los lotes 8 y 9 son baldíos, no poseen ningún tipo de recubrimiento, por lo que se recomienda colocar cobertura vegetal para evitar la erosión del suelo y por ende infiltración de agua.</w:t>
      </w:r>
    </w:p>
    <w:p w:rsidR="00907ED5" w:rsidRPr="00577EF7" w:rsidRDefault="00907ED5" w:rsidP="00907ED5">
      <w:pPr>
        <w:pStyle w:val="Prrafodelista"/>
        <w:numPr>
          <w:ilvl w:val="0"/>
          <w:numId w:val="8"/>
        </w:numPr>
        <w:spacing w:after="120" w:line="276" w:lineRule="auto"/>
        <w:ind w:left="714" w:hanging="357"/>
        <w:jc w:val="both"/>
        <w:rPr>
          <w:rFonts w:ascii="Palatino Linotype" w:hAnsi="Palatino Linotype"/>
          <w:bCs/>
          <w:i/>
          <w:sz w:val="22"/>
          <w:szCs w:val="22"/>
        </w:rPr>
      </w:pPr>
      <w:r w:rsidRPr="00577EF7">
        <w:rPr>
          <w:rFonts w:ascii="Palatino Linotype" w:hAnsi="Palatino Linotype"/>
          <w:bCs/>
          <w:i/>
          <w:sz w:val="22"/>
          <w:szCs w:val="22"/>
        </w:rPr>
        <w:t xml:space="preserve">La Unidad Regula Tu Barrio </w:t>
      </w:r>
      <w:r w:rsidR="004804CE" w:rsidRPr="00577EF7">
        <w:rPr>
          <w:rFonts w:ascii="Palatino Linotype" w:hAnsi="Palatino Linotype"/>
          <w:bCs/>
          <w:i/>
          <w:sz w:val="22"/>
          <w:szCs w:val="22"/>
        </w:rPr>
        <w:t>de la</w:t>
      </w:r>
      <w:r w:rsidRPr="00577EF7">
        <w:rPr>
          <w:rFonts w:ascii="Palatino Linotype" w:hAnsi="Palatino Linotype"/>
          <w:bCs/>
          <w:i/>
          <w:sz w:val="22"/>
          <w:szCs w:val="22"/>
        </w:rPr>
        <w:t xml:space="preserve"> Administración Zonal Quitumbe deberá informar a la comunidad asentada en el área de análisis sobre su exposición </w:t>
      </w:r>
      <w:proofErr w:type="gramStart"/>
      <w:r w:rsidRPr="00577EF7">
        <w:rPr>
          <w:rFonts w:ascii="Palatino Linotype" w:hAnsi="Palatino Linotype"/>
          <w:bCs/>
          <w:i/>
          <w:sz w:val="22"/>
          <w:szCs w:val="22"/>
        </w:rPr>
        <w:t>a  amenazas</w:t>
      </w:r>
      <w:proofErr w:type="gramEnd"/>
      <w:r w:rsidRPr="00577EF7">
        <w:rPr>
          <w:rFonts w:ascii="Palatino Linotype" w:hAnsi="Palatino Linotype"/>
          <w:bCs/>
          <w:i/>
          <w:sz w:val="22"/>
          <w:szCs w:val="22"/>
        </w:rPr>
        <w:t xml:space="preserve"> por eventos adversos (movimientos de masa, amenaza sísmica, amenaza volcánica); y las recomendaciones descritas en el presente informe para que los propietarios de los predios sean conscientes del nivel de riesgo al que están expuestos”.</w:t>
      </w:r>
    </w:p>
    <w:p w:rsidR="00907ED5" w:rsidRPr="00577EF7" w:rsidRDefault="00907ED5" w:rsidP="00907ED5">
      <w:pPr>
        <w:spacing w:after="120" w:line="276" w:lineRule="auto"/>
        <w:jc w:val="both"/>
        <w:rPr>
          <w:rFonts w:ascii="Palatino Linotype" w:hAnsi="Palatino Linotype"/>
          <w:bCs/>
          <w:i/>
          <w:sz w:val="22"/>
          <w:szCs w:val="22"/>
        </w:rPr>
      </w:pPr>
      <w:r w:rsidRPr="00577EF7">
        <w:rPr>
          <w:rFonts w:ascii="Palatino Linotype" w:hAnsi="Palatino Linotype"/>
          <w:color w:val="000000"/>
          <w:sz w:val="22"/>
          <w:szCs w:val="22"/>
          <w:lang w:val="es-EC" w:eastAsia="es-EC"/>
        </w:rPr>
        <w:t>La Secretaría de Territorio, Hábitat y Vivienda, a través de la instancia correspondiente y una vez sancionada la presente Ordenanza, deberá actualizar el Informe de Regulación Metropolitana (I.R.M.), de acuerdo con las observaciones o recomendaciones establecidas en el</w:t>
      </w:r>
      <w:r w:rsidRPr="00577EF7">
        <w:rPr>
          <w:rFonts w:ascii="Palatino Linotype" w:hAnsi="Palatino Linotype"/>
          <w:bCs/>
          <w:sz w:val="22"/>
          <w:szCs w:val="22"/>
        </w:rPr>
        <w:t xml:space="preserve"> Informe Técnico de Evaluación de Riesgos de la Secretaría General de Seguridad y Gobernabilidad, </w:t>
      </w:r>
      <w:r w:rsidR="004804CE" w:rsidRPr="00735921">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b/>
          <w:sz w:val="22"/>
          <w:szCs w:val="22"/>
        </w:rPr>
        <w:t>Articulo 6.-</w:t>
      </w:r>
      <w:r w:rsidRPr="00577EF7">
        <w:rPr>
          <w:rFonts w:ascii="Palatino Linotype" w:hAnsi="Palatino Linotype"/>
          <w:sz w:val="22"/>
          <w:szCs w:val="22"/>
        </w:rPr>
        <w:t xml:space="preserve"> </w:t>
      </w:r>
      <w:r w:rsidRPr="00577EF7">
        <w:rPr>
          <w:rFonts w:ascii="Palatino Linotype" w:hAnsi="Palatino Linotype"/>
          <w:b/>
          <w:bCs/>
          <w:sz w:val="22"/>
          <w:szCs w:val="22"/>
        </w:rPr>
        <w:t xml:space="preserve">De las vías y los </w:t>
      </w:r>
      <w:proofErr w:type="gramStart"/>
      <w:r w:rsidRPr="00577EF7">
        <w:rPr>
          <w:rFonts w:ascii="Palatino Linotype" w:hAnsi="Palatino Linotype"/>
          <w:b/>
          <w:bCs/>
          <w:sz w:val="22"/>
          <w:szCs w:val="22"/>
        </w:rPr>
        <w:t>pasajes.-</w:t>
      </w:r>
      <w:proofErr w:type="gramEnd"/>
      <w:r w:rsidRPr="00577EF7">
        <w:rPr>
          <w:rFonts w:ascii="Palatino Linotype" w:hAnsi="Palatino Linotype"/>
          <w:b/>
          <w:bCs/>
          <w:sz w:val="22"/>
          <w:szCs w:val="22"/>
        </w:rPr>
        <w:t xml:space="preserve"> </w:t>
      </w:r>
      <w:r w:rsidRPr="00577EF7">
        <w:rPr>
          <w:rFonts w:ascii="Palatino Linotype" w:hAnsi="Palatino Linotype"/>
          <w:sz w:val="22"/>
          <w:szCs w:val="22"/>
        </w:rPr>
        <w:t xml:space="preserve">El asentamiento </w:t>
      </w:r>
      <w:r w:rsidRPr="00577EF7">
        <w:rPr>
          <w:rFonts w:ascii="Palatino Linotype" w:hAnsi="Palatino Linotype"/>
          <w:bCs/>
          <w:iCs/>
          <w:sz w:val="22"/>
          <w:szCs w:val="22"/>
        </w:rPr>
        <w:t xml:space="preserve">humano de hecho y consolidado de interés social denominado </w:t>
      </w:r>
      <w:r w:rsidRPr="00577EF7">
        <w:rPr>
          <w:rFonts w:ascii="Palatino Linotype" w:hAnsi="Palatino Linotype"/>
          <w:sz w:val="22"/>
          <w:szCs w:val="22"/>
        </w:rPr>
        <w:t>“Santiago Alto Etapa IV”</w:t>
      </w:r>
      <w:r w:rsidR="004804CE">
        <w:rPr>
          <w:rFonts w:ascii="Palatino Linotype" w:hAnsi="Palatino Linotype"/>
          <w:sz w:val="22"/>
          <w:szCs w:val="22"/>
        </w:rPr>
        <w:t xml:space="preserve"> </w:t>
      </w:r>
      <w:r w:rsidRPr="00577EF7">
        <w:rPr>
          <w:rFonts w:ascii="Palatino Linotype" w:hAnsi="Palatino Linotype"/>
          <w:sz w:val="22"/>
          <w:szCs w:val="22"/>
        </w:rPr>
        <w:t xml:space="preserve">contempla un sistema vial de uso público, debido a que éste es un asentamiento humano de hecho y consolidado de interés social de 20 años de existencia, con 71,43% de consolidación de viviendas y se encuentra ejecutando obras de infraestructura, razón por la cual los anchos viales se sujetarán al plano adjunto a la presente </w:t>
      </w:r>
      <w:r w:rsidR="004804CE">
        <w:rPr>
          <w:rFonts w:ascii="Palatino Linotype" w:hAnsi="Palatino Linotype"/>
          <w:sz w:val="22"/>
          <w:szCs w:val="22"/>
        </w:rPr>
        <w:t>o</w:t>
      </w:r>
      <w:r w:rsidRPr="00577EF7">
        <w:rPr>
          <w:rFonts w:ascii="Palatino Linotype" w:hAnsi="Palatino Linotype"/>
          <w:sz w:val="22"/>
          <w:szCs w:val="22"/>
        </w:rPr>
        <w:t>rdenanza.</w:t>
      </w:r>
    </w:p>
    <w:p w:rsidR="004804CE" w:rsidRDefault="004804CE" w:rsidP="004804CE">
      <w:pPr>
        <w:spacing w:after="120" w:line="276" w:lineRule="auto"/>
        <w:jc w:val="both"/>
        <w:rPr>
          <w:rFonts w:ascii="Palatino Linotype" w:hAnsi="Palatino Linotype"/>
          <w:sz w:val="22"/>
          <w:szCs w:val="22"/>
        </w:rPr>
      </w:pPr>
      <w:r>
        <w:rPr>
          <w:rFonts w:ascii="Palatino Linotype" w:hAnsi="Palatino Linotype"/>
          <w:sz w:val="22"/>
          <w:szCs w:val="22"/>
        </w:rPr>
        <w:t xml:space="preserve">Se aprueban </w:t>
      </w:r>
      <w:r w:rsidR="00907ED5" w:rsidRPr="00577EF7">
        <w:rPr>
          <w:rFonts w:ascii="Palatino Linotype" w:hAnsi="Palatino Linotype"/>
          <w:sz w:val="22"/>
          <w:szCs w:val="22"/>
        </w:rPr>
        <w:t xml:space="preserve">las vías y pasajes con los siguientes anchos: </w:t>
      </w:r>
    </w:p>
    <w:p w:rsidR="004804CE" w:rsidRDefault="00907ED5" w:rsidP="004804CE">
      <w:pPr>
        <w:spacing w:after="120" w:line="276" w:lineRule="auto"/>
        <w:jc w:val="both"/>
        <w:rPr>
          <w:rFonts w:ascii="Palatino Linotype" w:hAnsi="Palatino Linotype"/>
          <w:sz w:val="22"/>
          <w:szCs w:val="22"/>
        </w:rPr>
      </w:pPr>
      <w:r w:rsidRPr="00577EF7">
        <w:rPr>
          <w:rFonts w:ascii="Palatino Linotype" w:hAnsi="Palatino Linotype"/>
          <w:sz w:val="22"/>
          <w:szCs w:val="22"/>
        </w:rPr>
        <w:t>Av. Oe9F Enrique Garcés Cabrera variable de 17,87</w:t>
      </w:r>
      <w:r w:rsidR="004804CE">
        <w:rPr>
          <w:rFonts w:ascii="Palatino Linotype" w:hAnsi="Palatino Linotype"/>
          <w:sz w:val="22"/>
          <w:szCs w:val="22"/>
        </w:rPr>
        <w:t xml:space="preserve"> </w:t>
      </w:r>
      <w:r w:rsidRPr="00577EF7">
        <w:rPr>
          <w:rFonts w:ascii="Palatino Linotype" w:hAnsi="Palatino Linotype"/>
          <w:sz w:val="22"/>
          <w:szCs w:val="22"/>
        </w:rPr>
        <w:t>m a 18,14</w:t>
      </w:r>
      <w:r w:rsidR="004804CE">
        <w:rPr>
          <w:rFonts w:ascii="Palatino Linotype" w:hAnsi="Palatino Linotype"/>
          <w:sz w:val="22"/>
          <w:szCs w:val="22"/>
        </w:rPr>
        <w:t xml:space="preserve"> </w:t>
      </w:r>
      <w:r w:rsidRPr="00577EF7">
        <w:rPr>
          <w:rFonts w:ascii="Palatino Linotype" w:hAnsi="Palatino Linotype"/>
          <w:sz w:val="22"/>
          <w:szCs w:val="22"/>
        </w:rPr>
        <w:t>m (Afectación al Eje de la Vía)</w:t>
      </w:r>
      <w:r w:rsidR="004804CE">
        <w:rPr>
          <w:rFonts w:ascii="Palatino Linotype" w:hAnsi="Palatino Linotype"/>
          <w:sz w:val="22"/>
          <w:szCs w:val="22"/>
        </w:rPr>
        <w:t>.</w:t>
      </w:r>
    </w:p>
    <w:p w:rsidR="004804CE" w:rsidRDefault="00907ED5" w:rsidP="004804CE">
      <w:pPr>
        <w:spacing w:after="120" w:line="276" w:lineRule="auto"/>
        <w:jc w:val="both"/>
        <w:rPr>
          <w:rFonts w:ascii="Palatino Linotype" w:hAnsi="Palatino Linotype"/>
          <w:sz w:val="22"/>
          <w:szCs w:val="22"/>
        </w:rPr>
      </w:pPr>
      <w:r w:rsidRPr="00577EF7">
        <w:rPr>
          <w:rFonts w:ascii="Palatino Linotype" w:hAnsi="Palatino Linotype"/>
          <w:sz w:val="22"/>
          <w:szCs w:val="22"/>
        </w:rPr>
        <w:t>Pasaje/Escalinata Oe9G variable de 3,00</w:t>
      </w:r>
      <w:r w:rsidR="004804CE">
        <w:rPr>
          <w:rFonts w:ascii="Palatino Linotype" w:hAnsi="Palatino Linotype"/>
          <w:sz w:val="22"/>
          <w:szCs w:val="22"/>
        </w:rPr>
        <w:t xml:space="preserve"> </w:t>
      </w:r>
      <w:r w:rsidRPr="00577EF7">
        <w:rPr>
          <w:rFonts w:ascii="Palatino Linotype" w:hAnsi="Palatino Linotype"/>
          <w:sz w:val="22"/>
          <w:szCs w:val="22"/>
        </w:rPr>
        <w:t>m a 3,71</w:t>
      </w:r>
      <w:r w:rsidR="004804CE">
        <w:rPr>
          <w:rFonts w:ascii="Palatino Linotype" w:hAnsi="Palatino Linotype"/>
          <w:sz w:val="22"/>
          <w:szCs w:val="22"/>
        </w:rPr>
        <w:t xml:space="preserve"> </w:t>
      </w:r>
      <w:r w:rsidRPr="00577EF7">
        <w:rPr>
          <w:rFonts w:ascii="Palatino Linotype" w:hAnsi="Palatino Linotype"/>
          <w:sz w:val="22"/>
          <w:szCs w:val="22"/>
        </w:rPr>
        <w:t>m</w:t>
      </w:r>
      <w:r w:rsidR="004804CE">
        <w:rPr>
          <w:rFonts w:ascii="Palatino Linotype" w:hAnsi="Palatino Linotype"/>
          <w:sz w:val="22"/>
          <w:szCs w:val="22"/>
        </w:rPr>
        <w:t>.</w:t>
      </w:r>
    </w:p>
    <w:p w:rsidR="00907ED5" w:rsidRPr="00577EF7" w:rsidRDefault="00907ED5" w:rsidP="004804CE">
      <w:pPr>
        <w:spacing w:after="120" w:line="276" w:lineRule="auto"/>
        <w:jc w:val="both"/>
        <w:rPr>
          <w:rFonts w:ascii="Palatino Linotype" w:hAnsi="Palatino Linotype"/>
          <w:sz w:val="22"/>
          <w:szCs w:val="22"/>
        </w:rPr>
      </w:pPr>
      <w:r w:rsidRPr="00577EF7">
        <w:rPr>
          <w:rFonts w:ascii="Palatino Linotype" w:hAnsi="Palatino Linotype"/>
          <w:sz w:val="22"/>
          <w:szCs w:val="22"/>
        </w:rPr>
        <w:t>Pasaje/Escalinata Oe9</w:t>
      </w:r>
      <w:proofErr w:type="gramStart"/>
      <w:r w:rsidRPr="00577EF7">
        <w:rPr>
          <w:rFonts w:ascii="Palatino Linotype" w:hAnsi="Palatino Linotype"/>
          <w:sz w:val="22"/>
          <w:szCs w:val="22"/>
        </w:rPr>
        <w:t>H  de</w:t>
      </w:r>
      <w:proofErr w:type="gramEnd"/>
      <w:r w:rsidRPr="00577EF7">
        <w:rPr>
          <w:rFonts w:ascii="Palatino Linotype" w:hAnsi="Palatino Linotype"/>
          <w:sz w:val="22"/>
          <w:szCs w:val="22"/>
        </w:rPr>
        <w:t xml:space="preserve"> 3,00</w:t>
      </w:r>
      <w:r w:rsidR="004804CE">
        <w:rPr>
          <w:rFonts w:ascii="Palatino Linotype" w:hAnsi="Palatino Linotype"/>
          <w:sz w:val="22"/>
          <w:szCs w:val="22"/>
        </w:rPr>
        <w:t xml:space="preserve"> </w:t>
      </w:r>
      <w:r w:rsidRPr="00577EF7">
        <w:rPr>
          <w:rFonts w:ascii="Palatino Linotype" w:hAnsi="Palatino Linotype"/>
          <w:sz w:val="22"/>
          <w:szCs w:val="22"/>
        </w:rPr>
        <w:t>m</w:t>
      </w:r>
      <w:r w:rsidR="004804CE">
        <w:rPr>
          <w:rFonts w:ascii="Palatino Linotype" w:hAnsi="Palatino Linotype"/>
          <w:sz w:val="22"/>
          <w:szCs w:val="22"/>
        </w:rPr>
        <w:t>.</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b/>
          <w:bCs/>
          <w:sz w:val="22"/>
          <w:szCs w:val="22"/>
        </w:rPr>
        <w:t>Artículo 7</w:t>
      </w:r>
      <w:r w:rsidR="004804CE">
        <w:rPr>
          <w:rFonts w:ascii="Palatino Linotype" w:hAnsi="Palatino Linotype"/>
          <w:b/>
          <w:bCs/>
          <w:sz w:val="22"/>
          <w:szCs w:val="22"/>
        </w:rPr>
        <w:t>.</w:t>
      </w:r>
      <w:r w:rsidRPr="00577EF7">
        <w:rPr>
          <w:rFonts w:ascii="Palatino Linotype" w:hAnsi="Palatino Linotype"/>
          <w:b/>
          <w:bCs/>
          <w:sz w:val="22"/>
          <w:szCs w:val="22"/>
        </w:rPr>
        <w:t xml:space="preserve">- De las obras a </w:t>
      </w:r>
      <w:proofErr w:type="gramStart"/>
      <w:r w:rsidRPr="00577EF7">
        <w:rPr>
          <w:rFonts w:ascii="Palatino Linotype" w:hAnsi="Palatino Linotype"/>
          <w:b/>
          <w:bCs/>
          <w:sz w:val="22"/>
          <w:szCs w:val="22"/>
        </w:rPr>
        <w:t>ejecutarse.-</w:t>
      </w:r>
      <w:proofErr w:type="gramEnd"/>
      <w:r w:rsidRPr="00577EF7">
        <w:rPr>
          <w:rFonts w:ascii="Palatino Linotype" w:hAnsi="Palatino Linotype"/>
          <w:b/>
          <w:bCs/>
          <w:sz w:val="22"/>
          <w:szCs w:val="22"/>
        </w:rPr>
        <w:t xml:space="preserve"> </w:t>
      </w:r>
      <w:r w:rsidRPr="00577EF7">
        <w:rPr>
          <w:rFonts w:ascii="Palatino Linotype" w:hAnsi="Palatino Linotype"/>
          <w:sz w:val="22"/>
          <w:szCs w:val="22"/>
        </w:rPr>
        <w:t xml:space="preserve">Las obras a ejecutarse en el asentamiento humano de hecho y consolidado de interés social, son las siguientes: </w:t>
      </w:r>
    </w:p>
    <w:p w:rsidR="00907ED5" w:rsidRPr="00577EF7" w:rsidRDefault="00907ED5" w:rsidP="00907ED5">
      <w:pPr>
        <w:spacing w:after="120" w:line="276" w:lineRule="auto"/>
        <w:jc w:val="both"/>
        <w:rPr>
          <w:rFonts w:ascii="Palatino Linotype" w:hAnsi="Palatino Linotype"/>
          <w:sz w:val="22"/>
          <w:szCs w:val="22"/>
        </w:rPr>
      </w:pPr>
      <w:r w:rsidRPr="00577EF7">
        <w:rPr>
          <w:rFonts w:ascii="Palatino Linotype" w:hAnsi="Palatino Linotype"/>
          <w:sz w:val="22"/>
          <w:szCs w:val="22"/>
        </w:rPr>
        <w:t xml:space="preserve">Calzadas       </w:t>
      </w:r>
      <w:r w:rsidR="004804CE">
        <w:rPr>
          <w:rFonts w:ascii="Palatino Linotype" w:hAnsi="Palatino Linotype"/>
          <w:sz w:val="22"/>
          <w:szCs w:val="22"/>
        </w:rPr>
        <w:tab/>
      </w:r>
      <w:r w:rsidRPr="00577EF7">
        <w:rPr>
          <w:rFonts w:ascii="Palatino Linotype" w:hAnsi="Palatino Linotype"/>
          <w:sz w:val="22"/>
          <w:szCs w:val="22"/>
        </w:rPr>
        <w:t>100%</w:t>
      </w:r>
      <w:r w:rsidR="004804CE">
        <w:rPr>
          <w:rFonts w:ascii="Palatino Linotype" w:hAnsi="Palatino Linotype"/>
          <w:sz w:val="22"/>
          <w:szCs w:val="22"/>
        </w:rPr>
        <w:tab/>
      </w:r>
      <w:r w:rsidR="004804CE">
        <w:rPr>
          <w:rFonts w:ascii="Palatino Linotype" w:hAnsi="Palatino Linotype"/>
          <w:sz w:val="22"/>
          <w:szCs w:val="22"/>
        </w:rPr>
        <w:tab/>
      </w:r>
      <w:r w:rsidR="004804CE">
        <w:rPr>
          <w:rFonts w:ascii="Palatino Linotype" w:hAnsi="Palatino Linotype"/>
          <w:sz w:val="22"/>
          <w:szCs w:val="22"/>
        </w:rPr>
        <w:tab/>
      </w:r>
      <w:r w:rsidR="004804CE">
        <w:rPr>
          <w:rFonts w:ascii="Palatino Linotype" w:hAnsi="Palatino Linotype"/>
          <w:sz w:val="22"/>
          <w:szCs w:val="22"/>
        </w:rPr>
        <w:tab/>
      </w:r>
      <w:r w:rsidR="004804CE">
        <w:rPr>
          <w:rFonts w:ascii="Palatino Linotype" w:hAnsi="Palatino Linotype"/>
          <w:sz w:val="22"/>
          <w:szCs w:val="22"/>
        </w:rPr>
        <w:tab/>
      </w:r>
      <w:r w:rsidRPr="00577EF7">
        <w:rPr>
          <w:rFonts w:ascii="Palatino Linotype" w:hAnsi="Palatino Linotype"/>
          <w:sz w:val="22"/>
          <w:szCs w:val="22"/>
        </w:rPr>
        <w:t>Aceras</w:t>
      </w:r>
      <w:r w:rsidRPr="00577EF7">
        <w:rPr>
          <w:rFonts w:ascii="Palatino Linotype" w:hAnsi="Palatino Linotype"/>
          <w:sz w:val="22"/>
          <w:szCs w:val="22"/>
        </w:rPr>
        <w:tab/>
        <w:t xml:space="preserve">         60%</w:t>
      </w:r>
    </w:p>
    <w:p w:rsidR="00907ED5" w:rsidRPr="00577EF7" w:rsidRDefault="00907ED5" w:rsidP="00907ED5">
      <w:pPr>
        <w:spacing w:after="120" w:line="276" w:lineRule="auto"/>
        <w:jc w:val="both"/>
        <w:rPr>
          <w:rFonts w:ascii="Palatino Linotype" w:hAnsi="Palatino Linotype"/>
          <w:iCs/>
          <w:sz w:val="22"/>
          <w:szCs w:val="22"/>
        </w:rPr>
      </w:pPr>
      <w:r w:rsidRPr="00577EF7">
        <w:rPr>
          <w:rFonts w:ascii="Palatino Linotype" w:hAnsi="Palatino Linotype"/>
          <w:sz w:val="22"/>
          <w:szCs w:val="22"/>
        </w:rPr>
        <w:lastRenderedPageBreak/>
        <w:t xml:space="preserve">Bordillos        </w:t>
      </w:r>
      <w:r w:rsidR="004804CE">
        <w:rPr>
          <w:rFonts w:ascii="Palatino Linotype" w:hAnsi="Palatino Linotype"/>
          <w:sz w:val="22"/>
          <w:szCs w:val="22"/>
        </w:rPr>
        <w:tab/>
      </w:r>
      <w:r w:rsidRPr="00577EF7">
        <w:rPr>
          <w:rFonts w:ascii="Palatino Linotype" w:hAnsi="Palatino Linotype"/>
          <w:sz w:val="22"/>
          <w:szCs w:val="22"/>
        </w:rPr>
        <w:t>60%</w:t>
      </w:r>
    </w:p>
    <w:p w:rsidR="00907ED5" w:rsidRPr="00577EF7" w:rsidRDefault="00907ED5" w:rsidP="00907ED5">
      <w:pPr>
        <w:spacing w:after="120" w:line="276" w:lineRule="auto"/>
        <w:jc w:val="both"/>
        <w:rPr>
          <w:rFonts w:ascii="Palatino Linotype" w:hAnsi="Palatino Linotype"/>
          <w:iCs/>
          <w:sz w:val="22"/>
          <w:szCs w:val="22"/>
        </w:rPr>
      </w:pPr>
      <w:r w:rsidRPr="00577EF7">
        <w:rPr>
          <w:rFonts w:ascii="Palatino Linotype" w:hAnsi="Palatino Linotype"/>
          <w:b/>
          <w:bCs/>
          <w:sz w:val="22"/>
          <w:szCs w:val="22"/>
        </w:rPr>
        <w:t xml:space="preserve">Artículo 8.- Del plazo de ejecución de las </w:t>
      </w:r>
      <w:proofErr w:type="gramStart"/>
      <w:r w:rsidRPr="00577EF7">
        <w:rPr>
          <w:rFonts w:ascii="Palatino Linotype" w:hAnsi="Palatino Linotype"/>
          <w:b/>
          <w:bCs/>
          <w:sz w:val="22"/>
          <w:szCs w:val="22"/>
        </w:rPr>
        <w:t>obras.-</w:t>
      </w:r>
      <w:proofErr w:type="gramEnd"/>
      <w:r w:rsidRPr="00577EF7">
        <w:rPr>
          <w:rFonts w:ascii="Palatino Linotype" w:hAnsi="Palatino Linotype"/>
          <w:sz w:val="22"/>
          <w:szCs w:val="22"/>
        </w:rPr>
        <w:t xml:space="preserve"> </w:t>
      </w:r>
      <w:r w:rsidRPr="00577EF7">
        <w:rPr>
          <w:rFonts w:ascii="Palatino Linotype" w:hAnsi="Palatino Linotype"/>
          <w:sz w:val="22"/>
          <w:szCs w:val="22"/>
          <w:lang w:val="es-EC"/>
        </w:rPr>
        <w:t xml:space="preserve">El plazo de ejecución de la totalidad de las obras civiles y de infraestructura, será de cinco (5) años, </w:t>
      </w:r>
      <w:r w:rsidRPr="00577EF7">
        <w:rPr>
          <w:rFonts w:ascii="Palatino Linotype" w:hAnsi="Palatino Linotype"/>
          <w:iCs/>
          <w:sz w:val="22"/>
          <w:szCs w:val="22"/>
        </w:rPr>
        <w:t xml:space="preserve">de conformidad al cronograma de obras presentado por </w:t>
      </w:r>
      <w:r w:rsidRPr="00577EF7">
        <w:rPr>
          <w:rFonts w:ascii="Palatino Linotype" w:hAnsi="Palatino Linotype"/>
          <w:color w:val="0D0D0D"/>
          <w:sz w:val="22"/>
          <w:szCs w:val="22"/>
        </w:rPr>
        <w:t xml:space="preserve">los copropietarios  del inmueble donde se ubica </w:t>
      </w:r>
      <w:r w:rsidRPr="00577EF7">
        <w:rPr>
          <w:rFonts w:ascii="Palatino Linotype" w:hAnsi="Palatino Linotype"/>
          <w:sz w:val="22"/>
          <w:szCs w:val="22"/>
        </w:rPr>
        <w:t>el asentamiento humano de hecho y consolidado de interés social</w:t>
      </w:r>
      <w:r w:rsidRPr="00577EF7">
        <w:rPr>
          <w:rFonts w:ascii="Palatino Linotype" w:hAnsi="Palatino Linotype"/>
          <w:b/>
          <w:sz w:val="22"/>
          <w:szCs w:val="22"/>
        </w:rPr>
        <w:t xml:space="preserve">, </w:t>
      </w:r>
      <w:r w:rsidRPr="00577EF7">
        <w:rPr>
          <w:rFonts w:ascii="Palatino Linotype" w:hAnsi="Palatino Linotype"/>
          <w:iCs/>
          <w:sz w:val="22"/>
          <w:szCs w:val="22"/>
        </w:rPr>
        <w:t xml:space="preserve">plazo que se contará a partir de la fecha de inscripción de la presente </w:t>
      </w:r>
      <w:r w:rsidR="004804CE">
        <w:rPr>
          <w:rFonts w:ascii="Palatino Linotype" w:hAnsi="Palatino Linotype"/>
          <w:iCs/>
          <w:sz w:val="22"/>
          <w:szCs w:val="22"/>
        </w:rPr>
        <w:t>o</w:t>
      </w:r>
      <w:r w:rsidRPr="00577EF7">
        <w:rPr>
          <w:rFonts w:ascii="Palatino Linotype" w:hAnsi="Palatino Linotype"/>
          <w:iCs/>
          <w:sz w:val="22"/>
          <w:szCs w:val="22"/>
        </w:rPr>
        <w:t>rdenanza en el Registro de la Propiedad del Distrito Metropolitano de Quito.</w:t>
      </w:r>
    </w:p>
    <w:p w:rsidR="00907ED5" w:rsidRPr="00577EF7" w:rsidRDefault="00907ED5" w:rsidP="00907ED5">
      <w:pPr>
        <w:spacing w:after="120" w:line="276" w:lineRule="auto"/>
        <w:jc w:val="both"/>
        <w:rPr>
          <w:rFonts w:ascii="Palatino Linotype" w:hAnsi="Palatino Linotype"/>
          <w:iCs/>
          <w:sz w:val="22"/>
          <w:szCs w:val="22"/>
        </w:rPr>
      </w:pPr>
      <w:r w:rsidRPr="00577EF7">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907ED5" w:rsidRPr="00577EF7" w:rsidRDefault="00907ED5" w:rsidP="00907ED5">
      <w:pPr>
        <w:spacing w:after="120" w:line="276" w:lineRule="auto"/>
        <w:jc w:val="both"/>
        <w:rPr>
          <w:rFonts w:ascii="Palatino Linotype" w:hAnsi="Palatino Linotype"/>
          <w:color w:val="2A2A2A"/>
          <w:sz w:val="22"/>
          <w:szCs w:val="22"/>
        </w:rPr>
      </w:pPr>
      <w:r w:rsidRPr="00577EF7">
        <w:rPr>
          <w:rFonts w:ascii="Palatino Linotype" w:hAnsi="Palatino Linotype"/>
          <w:b/>
          <w:bCs/>
          <w:sz w:val="22"/>
          <w:szCs w:val="22"/>
        </w:rPr>
        <w:t>Artículo 9</w:t>
      </w:r>
      <w:r w:rsidRPr="00577EF7">
        <w:rPr>
          <w:rFonts w:ascii="Palatino Linotype" w:hAnsi="Palatino Linotype"/>
          <w:b/>
          <w:bCs/>
          <w:sz w:val="22"/>
          <w:szCs w:val="22"/>
          <w:lang w:val="es-ES_tradnl"/>
        </w:rPr>
        <w:t xml:space="preserve">.- Del control de ejecución de las </w:t>
      </w:r>
      <w:proofErr w:type="gramStart"/>
      <w:r w:rsidRPr="00577EF7">
        <w:rPr>
          <w:rFonts w:ascii="Palatino Linotype" w:hAnsi="Palatino Linotype"/>
          <w:b/>
          <w:bCs/>
          <w:sz w:val="22"/>
          <w:szCs w:val="22"/>
          <w:lang w:val="es-ES_tradnl"/>
        </w:rPr>
        <w:t>obras.-</w:t>
      </w:r>
      <w:proofErr w:type="gramEnd"/>
      <w:r w:rsidRPr="00577EF7">
        <w:rPr>
          <w:rFonts w:ascii="Palatino Linotype" w:hAnsi="Palatino Linotype"/>
          <w:b/>
          <w:bCs/>
          <w:sz w:val="22"/>
          <w:szCs w:val="22"/>
          <w:lang w:val="es-ES_tradnl"/>
        </w:rPr>
        <w:t xml:space="preserve"> </w:t>
      </w:r>
      <w:r w:rsidRPr="00577EF7">
        <w:rPr>
          <w:rFonts w:ascii="Palatino Linotype" w:hAnsi="Palatino Linotype"/>
          <w:color w:val="2A2A2A"/>
          <w:sz w:val="22"/>
          <w:szCs w:val="22"/>
        </w:rPr>
        <w:t xml:space="preserve">La Administración Zonal Eloy Alfaro </w:t>
      </w:r>
      <w:r w:rsidRPr="00577EF7">
        <w:rPr>
          <w:rFonts w:ascii="Palatino Linotype" w:hAnsi="Palatino Linotype"/>
          <w:iCs/>
          <w:sz w:val="22"/>
          <w:szCs w:val="22"/>
          <w:lang w:val="es-EC"/>
        </w:rPr>
        <w:t>r</w:t>
      </w:r>
      <w:r w:rsidRPr="00577EF7">
        <w:rPr>
          <w:rFonts w:ascii="Palatino Linotype" w:hAnsi="Palatino Linotype"/>
          <w:sz w:val="22"/>
          <w:szCs w:val="22"/>
          <w:lang w:val="es-EC"/>
        </w:rPr>
        <w:t xml:space="preserve">ealizará el seguimiento en la ejecución y avance de las obras civiles y de infraestructura hasta la terminación de las mismas, </w:t>
      </w:r>
      <w:r w:rsidRPr="00577EF7">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577EF7">
        <w:rPr>
          <w:rFonts w:ascii="Palatino Linotype" w:hAnsi="Palatino Linotype"/>
          <w:color w:val="2A2A2A"/>
          <w:sz w:val="22"/>
          <w:szCs w:val="22"/>
        </w:rPr>
        <w:t>.</w:t>
      </w:r>
    </w:p>
    <w:p w:rsidR="00907ED5" w:rsidRPr="00577EF7" w:rsidRDefault="00907ED5" w:rsidP="00907ED5">
      <w:pPr>
        <w:shd w:val="clear" w:color="auto" w:fill="FFFFFF"/>
        <w:spacing w:after="120" w:line="276" w:lineRule="auto"/>
        <w:jc w:val="both"/>
        <w:rPr>
          <w:rFonts w:ascii="Palatino Linotype" w:hAnsi="Palatino Linotype"/>
          <w:sz w:val="22"/>
          <w:szCs w:val="22"/>
        </w:rPr>
      </w:pPr>
      <w:r w:rsidRPr="00577EF7">
        <w:rPr>
          <w:rFonts w:ascii="Palatino Linotype" w:hAnsi="Palatino Linotype"/>
          <w:b/>
          <w:bCs/>
          <w:sz w:val="22"/>
          <w:szCs w:val="22"/>
        </w:rPr>
        <w:t>Artículo</w:t>
      </w:r>
      <w:r w:rsidRPr="00577EF7">
        <w:rPr>
          <w:rFonts w:ascii="Palatino Linotype" w:hAnsi="Palatino Linotype"/>
          <w:b/>
          <w:bCs/>
          <w:sz w:val="22"/>
          <w:szCs w:val="22"/>
          <w:lang w:val="es-ES_tradnl"/>
        </w:rPr>
        <w:t xml:space="preserve"> 10.- De la multa por retraso en ejecución de </w:t>
      </w:r>
      <w:proofErr w:type="gramStart"/>
      <w:r w:rsidRPr="00577EF7">
        <w:rPr>
          <w:rFonts w:ascii="Palatino Linotype" w:hAnsi="Palatino Linotype"/>
          <w:b/>
          <w:bCs/>
          <w:sz w:val="22"/>
          <w:szCs w:val="22"/>
          <w:lang w:val="es-ES_tradnl"/>
        </w:rPr>
        <w:t>obras.-</w:t>
      </w:r>
      <w:proofErr w:type="gramEnd"/>
      <w:r w:rsidRPr="00577EF7">
        <w:rPr>
          <w:rFonts w:ascii="Palatino Linotype" w:hAnsi="Palatino Linotype"/>
          <w:b/>
          <w:bCs/>
          <w:sz w:val="22"/>
          <w:szCs w:val="22"/>
          <w:lang w:val="es-ES_tradnl"/>
        </w:rPr>
        <w:t xml:space="preserve"> </w:t>
      </w:r>
      <w:r w:rsidRPr="00577EF7">
        <w:rPr>
          <w:rFonts w:ascii="Palatino Linotype" w:hAnsi="Palatino Linotype"/>
          <w:sz w:val="22"/>
          <w:szCs w:val="22"/>
          <w:lang w:val="es-ES_tradnl"/>
        </w:rPr>
        <w:t xml:space="preserve">En caso de retraso en la ejecución de las obras </w:t>
      </w:r>
      <w:r w:rsidRPr="00577EF7">
        <w:rPr>
          <w:rFonts w:ascii="Palatino Linotype" w:hAnsi="Palatino Linotype"/>
          <w:sz w:val="22"/>
          <w:szCs w:val="22"/>
          <w:lang w:val="es-EC"/>
        </w:rPr>
        <w:t>civiles y de infraestructura</w:t>
      </w:r>
      <w:r w:rsidRPr="00577EF7">
        <w:rPr>
          <w:rFonts w:ascii="Palatino Linotype" w:hAnsi="Palatino Linotype"/>
          <w:sz w:val="22"/>
          <w:szCs w:val="22"/>
          <w:lang w:val="es-ES_tradnl"/>
        </w:rPr>
        <w:t>,</w:t>
      </w:r>
      <w:r w:rsidRPr="00577EF7">
        <w:rPr>
          <w:rFonts w:ascii="Palatino Linotype" w:hAnsi="Palatino Linotype"/>
          <w:color w:val="0D0D0D"/>
          <w:sz w:val="22"/>
          <w:szCs w:val="22"/>
        </w:rPr>
        <w:t xml:space="preserve"> los copropietarios del inmueble sobre el cual se ubica </w:t>
      </w:r>
      <w:r w:rsidRPr="00577EF7">
        <w:rPr>
          <w:rFonts w:ascii="Palatino Linotype" w:hAnsi="Palatino Linotype"/>
          <w:sz w:val="22"/>
          <w:szCs w:val="22"/>
        </w:rPr>
        <w:t xml:space="preserve">el Asentamiento Humano de hecho y Consolidado de Interés Social denominado  “Santiago Alto Etapa IV”  </w:t>
      </w:r>
      <w:r w:rsidRPr="00577EF7">
        <w:rPr>
          <w:rFonts w:ascii="Palatino Linotype" w:hAnsi="Palatino Linotype"/>
          <w:bCs/>
          <w:color w:val="000000"/>
          <w:sz w:val="22"/>
          <w:szCs w:val="22"/>
        </w:rPr>
        <w:t xml:space="preserve">se sujetará a las sanciones contempladas en el </w:t>
      </w:r>
      <w:r w:rsidR="004804CE" w:rsidRPr="00577EF7">
        <w:rPr>
          <w:rFonts w:ascii="Palatino Linotype" w:hAnsi="Palatino Linotype"/>
          <w:bCs/>
          <w:color w:val="000000"/>
          <w:sz w:val="22"/>
          <w:szCs w:val="22"/>
        </w:rPr>
        <w:t>ordenamiento jurídico nacional y metropolitano vigente</w:t>
      </w:r>
      <w:r w:rsidRPr="00577EF7">
        <w:rPr>
          <w:rFonts w:ascii="Palatino Linotype" w:hAnsi="Palatino Linotype"/>
          <w:bCs/>
          <w:color w:val="000000"/>
          <w:sz w:val="22"/>
          <w:szCs w:val="22"/>
        </w:rPr>
        <w:t>.</w:t>
      </w:r>
    </w:p>
    <w:p w:rsidR="00907ED5" w:rsidRPr="00577EF7" w:rsidRDefault="00907ED5" w:rsidP="00907ED5">
      <w:pPr>
        <w:pStyle w:val="Textoindependiente"/>
        <w:tabs>
          <w:tab w:val="left" w:pos="1306"/>
        </w:tabs>
        <w:spacing w:line="276" w:lineRule="auto"/>
        <w:jc w:val="both"/>
        <w:rPr>
          <w:rFonts w:ascii="Palatino Linotype" w:hAnsi="Palatino Linotype"/>
          <w:b/>
          <w:bCs/>
          <w:sz w:val="22"/>
          <w:szCs w:val="22"/>
        </w:rPr>
      </w:pPr>
      <w:r w:rsidRPr="00577EF7">
        <w:rPr>
          <w:rFonts w:ascii="Palatino Linotype" w:hAnsi="Palatino Linotype"/>
          <w:b/>
          <w:bCs/>
          <w:iCs/>
          <w:sz w:val="22"/>
          <w:szCs w:val="22"/>
        </w:rPr>
        <w:t xml:space="preserve">Artículo 11.- De la garantía de ejecución de las obras.- </w:t>
      </w:r>
      <w:r w:rsidRPr="00577EF7">
        <w:rPr>
          <w:rFonts w:ascii="Palatino Linotype" w:hAnsi="Palatino Linotype"/>
          <w:sz w:val="22"/>
          <w:szCs w:val="22"/>
        </w:rPr>
        <w:t xml:space="preserve">Los lotes producto de fraccionamiento donde se encuentra ubicado el asentamiento humano de hecho y consolidado de interés social denominado “Santiago Alto Etapa IV”, quedan gravados con segunda hipoteca a favor del Municipio del Distrito Metropolitano de Quito, gravamen que regirá una vez que se adjudiquen los lotes a sus respectivos beneficiarios y que subsistirá hasta la terminación de la ejecución de las obras </w:t>
      </w:r>
      <w:r w:rsidRPr="00577EF7">
        <w:rPr>
          <w:rFonts w:ascii="Palatino Linotype" w:hAnsi="Palatino Linotype"/>
          <w:sz w:val="22"/>
          <w:szCs w:val="22"/>
          <w:lang w:val="es-EC"/>
        </w:rPr>
        <w:t>civiles y de infraestructura.</w:t>
      </w:r>
      <w:r w:rsidRPr="00577EF7">
        <w:rPr>
          <w:rFonts w:ascii="Palatino Linotype" w:hAnsi="Palatino Linotype"/>
          <w:b/>
          <w:bCs/>
          <w:sz w:val="22"/>
          <w:szCs w:val="22"/>
        </w:rPr>
        <w:t xml:space="preserve"> </w:t>
      </w:r>
    </w:p>
    <w:p w:rsidR="00907ED5" w:rsidRPr="00577EF7" w:rsidRDefault="00907ED5" w:rsidP="00907ED5">
      <w:pPr>
        <w:pStyle w:val="Textoindependiente"/>
        <w:tabs>
          <w:tab w:val="left" w:pos="1306"/>
        </w:tabs>
        <w:spacing w:line="276" w:lineRule="auto"/>
        <w:jc w:val="both"/>
        <w:rPr>
          <w:rFonts w:ascii="Palatino Linotype" w:hAnsi="Palatino Linotype"/>
          <w:sz w:val="22"/>
          <w:szCs w:val="22"/>
          <w:lang w:val="es-ES_tradnl"/>
        </w:rPr>
      </w:pPr>
      <w:r w:rsidRPr="00577EF7">
        <w:rPr>
          <w:rFonts w:ascii="Palatino Linotype" w:hAnsi="Palatino Linotype"/>
          <w:b/>
          <w:bCs/>
          <w:sz w:val="22"/>
          <w:szCs w:val="22"/>
        </w:rPr>
        <w:t>Artículo</w:t>
      </w:r>
      <w:r w:rsidRPr="00577EF7">
        <w:rPr>
          <w:rFonts w:ascii="Palatino Linotype" w:hAnsi="Palatino Linotype"/>
          <w:b/>
          <w:bCs/>
          <w:sz w:val="22"/>
          <w:szCs w:val="22"/>
          <w:lang w:val="es-ES_tradnl"/>
        </w:rPr>
        <w:t xml:space="preserve"> 12.- De la </w:t>
      </w:r>
      <w:r w:rsidR="004804CE" w:rsidRPr="00577EF7">
        <w:rPr>
          <w:rFonts w:ascii="Palatino Linotype" w:hAnsi="Palatino Linotype"/>
          <w:b/>
          <w:bCs/>
          <w:sz w:val="22"/>
          <w:szCs w:val="22"/>
          <w:lang w:val="es-ES_tradnl"/>
        </w:rPr>
        <w:t xml:space="preserve">protocolización e inscripción de la </w:t>
      </w:r>
      <w:proofErr w:type="gramStart"/>
      <w:r w:rsidR="004804CE" w:rsidRPr="00577EF7">
        <w:rPr>
          <w:rFonts w:ascii="Palatino Linotype" w:hAnsi="Palatino Linotype"/>
          <w:b/>
          <w:bCs/>
          <w:sz w:val="22"/>
          <w:szCs w:val="22"/>
          <w:lang w:val="es-ES_tradnl"/>
        </w:rPr>
        <w:t>ordenanza</w:t>
      </w:r>
      <w:r w:rsidRPr="00577EF7">
        <w:rPr>
          <w:rFonts w:ascii="Palatino Linotype" w:hAnsi="Palatino Linotype"/>
          <w:b/>
          <w:bCs/>
          <w:sz w:val="22"/>
          <w:szCs w:val="22"/>
          <w:lang w:val="es-ES_tradnl"/>
        </w:rPr>
        <w:t>.-</w:t>
      </w:r>
      <w:proofErr w:type="gramEnd"/>
      <w:r w:rsidRPr="00577EF7">
        <w:rPr>
          <w:rFonts w:ascii="Palatino Linotype" w:hAnsi="Palatino Linotype"/>
          <w:b/>
          <w:bCs/>
          <w:sz w:val="22"/>
          <w:szCs w:val="22"/>
          <w:lang w:val="es-ES_tradnl"/>
        </w:rPr>
        <w:t xml:space="preserve">  </w:t>
      </w:r>
      <w:r w:rsidRPr="00577EF7">
        <w:rPr>
          <w:rFonts w:ascii="Palatino Linotype" w:hAnsi="Palatino Linotype"/>
          <w:sz w:val="22"/>
          <w:szCs w:val="22"/>
          <w:lang w:val="es-EC"/>
        </w:rPr>
        <w:t xml:space="preserve">Los copropietarios del predio del Asentamiento Humano de Hecho y Consolidado de Interés Social denominado </w:t>
      </w:r>
      <w:r w:rsidRPr="00577EF7">
        <w:rPr>
          <w:rFonts w:ascii="Palatino Linotype" w:hAnsi="Palatino Linotype"/>
          <w:sz w:val="22"/>
          <w:szCs w:val="22"/>
        </w:rPr>
        <w:t>“Santiago Alto Etapa IV”</w:t>
      </w:r>
      <w:r w:rsidRPr="00577EF7">
        <w:rPr>
          <w:rFonts w:ascii="Palatino Linotype" w:hAnsi="Palatino Linotype"/>
          <w:sz w:val="22"/>
          <w:szCs w:val="22"/>
          <w:lang w:val="es-EC"/>
        </w:rPr>
        <w:t xml:space="preserve">, </w:t>
      </w:r>
      <w:r w:rsidRPr="00577EF7">
        <w:rPr>
          <w:rFonts w:ascii="Palatino Linotype" w:hAnsi="Palatino Linotype"/>
          <w:sz w:val="22"/>
          <w:szCs w:val="22"/>
          <w:lang w:val="es-ES_tradnl"/>
        </w:rPr>
        <w:t xml:space="preserve"> deberán </w:t>
      </w:r>
      <w:r w:rsidRPr="00577EF7">
        <w:rPr>
          <w:rFonts w:ascii="Palatino Linotype" w:hAnsi="Palatino Linotype"/>
          <w:sz w:val="22"/>
          <w:szCs w:val="22"/>
          <w:lang w:val="es-EC"/>
        </w:rPr>
        <w:t xml:space="preserve">protocolizar la presente </w:t>
      </w:r>
      <w:r w:rsidR="004804CE">
        <w:rPr>
          <w:rFonts w:ascii="Palatino Linotype" w:hAnsi="Palatino Linotype"/>
          <w:sz w:val="22"/>
          <w:szCs w:val="22"/>
          <w:lang w:val="es-EC"/>
        </w:rPr>
        <w:t>o</w:t>
      </w:r>
      <w:r w:rsidRPr="00577EF7">
        <w:rPr>
          <w:rFonts w:ascii="Palatino Linotype" w:hAnsi="Palatino Linotype"/>
          <w:sz w:val="22"/>
          <w:szCs w:val="22"/>
          <w:lang w:val="es-EC"/>
        </w:rPr>
        <w:t xml:space="preserve">rdenanza ante Notario Público e inscribirla en el Registro de la Propiedad del Distrito Metropolitano de Quito, </w:t>
      </w:r>
      <w:r w:rsidRPr="00577EF7">
        <w:rPr>
          <w:rFonts w:ascii="Palatino Linotype" w:hAnsi="Palatino Linotype"/>
          <w:sz w:val="22"/>
          <w:szCs w:val="22"/>
          <w:lang w:val="es-ES_tradnl"/>
        </w:rPr>
        <w:t>con todos sus documentos habilitantes</w:t>
      </w:r>
      <w:r w:rsidRPr="00577EF7">
        <w:rPr>
          <w:rFonts w:ascii="Palatino Linotype" w:hAnsi="Palatino Linotype"/>
          <w:sz w:val="22"/>
          <w:szCs w:val="22"/>
          <w:lang w:val="es-EC"/>
        </w:rPr>
        <w:t>.</w:t>
      </w:r>
    </w:p>
    <w:p w:rsidR="00907ED5" w:rsidRPr="00577EF7" w:rsidRDefault="00907ED5" w:rsidP="00907ED5">
      <w:pPr>
        <w:spacing w:after="120" w:line="276" w:lineRule="auto"/>
        <w:ind w:left="1"/>
        <w:jc w:val="both"/>
        <w:rPr>
          <w:rFonts w:ascii="Palatino Linotype" w:hAnsi="Palatino Linotype"/>
          <w:bCs/>
          <w:sz w:val="22"/>
          <w:szCs w:val="22"/>
          <w:lang w:val="es-ES_tradnl"/>
        </w:rPr>
      </w:pPr>
      <w:r w:rsidRPr="00577EF7">
        <w:rPr>
          <w:rFonts w:ascii="Palatino Linotype" w:hAnsi="Palatino Linotype"/>
          <w:bCs/>
          <w:sz w:val="22"/>
          <w:szCs w:val="22"/>
          <w:lang w:val="es-ES_tradnl"/>
        </w:rPr>
        <w:t xml:space="preserve">En caso no legalizar la presente </w:t>
      </w:r>
      <w:r w:rsidR="004804CE">
        <w:rPr>
          <w:rFonts w:ascii="Palatino Linotype" w:hAnsi="Palatino Linotype"/>
          <w:bCs/>
          <w:sz w:val="22"/>
          <w:szCs w:val="22"/>
          <w:lang w:val="es-ES_tradnl"/>
        </w:rPr>
        <w:t>o</w:t>
      </w:r>
      <w:r w:rsidRPr="00577EF7">
        <w:rPr>
          <w:rFonts w:ascii="Palatino Linotype" w:hAnsi="Palatino Linotype"/>
          <w:bCs/>
          <w:sz w:val="22"/>
          <w:szCs w:val="22"/>
          <w:lang w:val="es-ES_tradnl"/>
        </w:rPr>
        <w:t>rdenanza, ésta caducará conforme lo determinado en la normativa nacional vigente.</w:t>
      </w:r>
    </w:p>
    <w:p w:rsidR="00907ED5" w:rsidRPr="00577EF7" w:rsidRDefault="00907ED5" w:rsidP="00907ED5">
      <w:pPr>
        <w:spacing w:after="120" w:line="276" w:lineRule="auto"/>
        <w:jc w:val="both"/>
        <w:rPr>
          <w:rFonts w:ascii="Palatino Linotype" w:hAnsi="Palatino Linotype"/>
          <w:sz w:val="22"/>
          <w:szCs w:val="22"/>
          <w:lang w:val="es-ES_tradnl"/>
        </w:rPr>
      </w:pPr>
    </w:p>
    <w:p w:rsidR="00907ED5" w:rsidRPr="00577EF7" w:rsidRDefault="00907ED5" w:rsidP="00907ED5">
      <w:pPr>
        <w:spacing w:after="120" w:line="276" w:lineRule="auto"/>
        <w:jc w:val="both"/>
        <w:rPr>
          <w:rFonts w:ascii="Palatino Linotype" w:hAnsi="Palatino Linotype"/>
          <w:sz w:val="22"/>
          <w:szCs w:val="22"/>
          <w:lang w:val="es-ES_tradnl"/>
        </w:rPr>
      </w:pPr>
      <w:r w:rsidRPr="00577EF7">
        <w:rPr>
          <w:rFonts w:ascii="Palatino Linotype" w:hAnsi="Palatino Linotype"/>
          <w:sz w:val="22"/>
          <w:szCs w:val="22"/>
          <w:lang w:val="es-ES_tradnl"/>
        </w:rPr>
        <w:lastRenderedPageBreak/>
        <w:t xml:space="preserve">La inscripción de la presente </w:t>
      </w:r>
      <w:r w:rsidR="004804CE">
        <w:rPr>
          <w:rFonts w:ascii="Palatino Linotype" w:hAnsi="Palatino Linotype"/>
          <w:sz w:val="22"/>
          <w:szCs w:val="22"/>
          <w:lang w:val="es-ES_tradnl"/>
        </w:rPr>
        <w:t>o</w:t>
      </w:r>
      <w:r w:rsidRPr="00577EF7">
        <w:rPr>
          <w:rFonts w:ascii="Palatino Linotype" w:hAnsi="Palatino Linotype"/>
          <w:sz w:val="22"/>
          <w:szCs w:val="22"/>
          <w:lang w:val="es-ES_tradnl"/>
        </w:rPr>
        <w:t>rdenanza servirá como título de dominio para efectos de la transferencia de áreas verdes, en caso de que existan.</w:t>
      </w:r>
    </w:p>
    <w:p w:rsidR="004804CE" w:rsidRDefault="00907ED5" w:rsidP="00907ED5">
      <w:pPr>
        <w:spacing w:after="120" w:line="276" w:lineRule="auto"/>
        <w:jc w:val="both"/>
        <w:rPr>
          <w:rFonts w:ascii="Palatino Linotype" w:hAnsi="Palatino Linotype"/>
          <w:sz w:val="22"/>
          <w:szCs w:val="22"/>
          <w:lang w:val="es-ES_tradnl"/>
        </w:rPr>
      </w:pPr>
      <w:r w:rsidRPr="00577EF7">
        <w:rPr>
          <w:rFonts w:ascii="Palatino Linotype" w:hAnsi="Palatino Linotype"/>
          <w:b/>
          <w:sz w:val="22"/>
          <w:szCs w:val="22"/>
          <w:lang w:val="es-ES_tradnl"/>
        </w:rPr>
        <w:t xml:space="preserve">Artículo 13.- De la partición y adjudicación, y de la entrega de escrituras </w:t>
      </w:r>
      <w:proofErr w:type="gramStart"/>
      <w:r w:rsidRPr="00577EF7">
        <w:rPr>
          <w:rFonts w:ascii="Palatino Linotype" w:hAnsi="Palatino Linotype"/>
          <w:b/>
          <w:sz w:val="22"/>
          <w:szCs w:val="22"/>
          <w:lang w:val="es-ES_tradnl"/>
        </w:rPr>
        <w:t>individuales.-</w:t>
      </w:r>
      <w:proofErr w:type="gramEnd"/>
      <w:r w:rsidRPr="00577EF7">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907ED5" w:rsidRPr="00577EF7" w:rsidRDefault="00907ED5" w:rsidP="00907ED5">
      <w:pPr>
        <w:spacing w:after="120" w:line="276" w:lineRule="auto"/>
        <w:jc w:val="both"/>
        <w:rPr>
          <w:rFonts w:ascii="Palatino Linotype" w:hAnsi="Palatino Linotype"/>
          <w:sz w:val="22"/>
          <w:szCs w:val="22"/>
          <w:lang w:val="es-ES_tradnl"/>
        </w:rPr>
      </w:pPr>
      <w:r w:rsidRPr="00577EF7">
        <w:rPr>
          <w:rFonts w:ascii="Palatino Linotype" w:hAnsi="Palatino Linotype"/>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577EF7">
        <w:rPr>
          <w:rFonts w:ascii="Palatino Linotype" w:hAnsi="Palatino Linotype"/>
          <w:sz w:val="22"/>
          <w:szCs w:val="22"/>
          <w:lang w:val="es-ES_tradnl"/>
        </w:rPr>
        <w:t>conocidas  y</w:t>
      </w:r>
      <w:proofErr w:type="gramEnd"/>
      <w:r w:rsidRPr="00577EF7">
        <w:rPr>
          <w:rFonts w:ascii="Palatino Linotype" w:hAnsi="Palatino Linotype"/>
          <w:sz w:val="22"/>
          <w:szCs w:val="22"/>
          <w:lang w:val="es-ES_tradnl"/>
        </w:rPr>
        <w:t xml:space="preserve"> resueltas por  el juez competente en juicio ordinario.  </w:t>
      </w:r>
    </w:p>
    <w:p w:rsidR="00907ED5" w:rsidRPr="00577EF7" w:rsidRDefault="00907ED5" w:rsidP="00907ED5">
      <w:pPr>
        <w:spacing w:after="120" w:line="276" w:lineRule="auto"/>
        <w:jc w:val="both"/>
        <w:rPr>
          <w:rFonts w:ascii="Palatino Linotype" w:hAnsi="Palatino Linotype"/>
          <w:bCs/>
          <w:sz w:val="22"/>
          <w:szCs w:val="22"/>
          <w:lang w:val="es-ES_tradnl"/>
        </w:rPr>
      </w:pPr>
      <w:r w:rsidRPr="00577EF7">
        <w:rPr>
          <w:rFonts w:ascii="Palatino Linotype" w:hAnsi="Palatino Linotype"/>
          <w:b/>
          <w:bCs/>
          <w:sz w:val="22"/>
          <w:szCs w:val="22"/>
          <w:lang w:val="es-ES_tradnl"/>
        </w:rPr>
        <w:t xml:space="preserve">Artículo 14.- Solicitudes de ampliación de </w:t>
      </w:r>
      <w:proofErr w:type="gramStart"/>
      <w:r w:rsidRPr="00577EF7">
        <w:rPr>
          <w:rFonts w:ascii="Palatino Linotype" w:hAnsi="Palatino Linotype"/>
          <w:b/>
          <w:bCs/>
          <w:sz w:val="22"/>
          <w:szCs w:val="22"/>
          <w:lang w:val="es-ES_tradnl"/>
        </w:rPr>
        <w:t>plazo.-</w:t>
      </w:r>
      <w:proofErr w:type="gramEnd"/>
      <w:r w:rsidRPr="00577EF7">
        <w:rPr>
          <w:rFonts w:ascii="Palatino Linotype" w:hAnsi="Palatino Linotype"/>
          <w:b/>
          <w:bCs/>
          <w:sz w:val="22"/>
          <w:szCs w:val="22"/>
          <w:lang w:val="es-ES_tradnl"/>
        </w:rPr>
        <w:t xml:space="preserve"> </w:t>
      </w:r>
      <w:r w:rsidRPr="00577EF7">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907ED5" w:rsidRDefault="00907ED5" w:rsidP="00907ED5">
      <w:pPr>
        <w:spacing w:after="120" w:line="276" w:lineRule="auto"/>
        <w:jc w:val="both"/>
        <w:rPr>
          <w:rFonts w:ascii="Palatino Linotype" w:hAnsi="Palatino Linotype"/>
          <w:b/>
          <w:sz w:val="22"/>
          <w:szCs w:val="22"/>
          <w:lang w:val="es-ES_tradnl"/>
        </w:rPr>
      </w:pPr>
      <w:r w:rsidRPr="00577EF7">
        <w:rPr>
          <w:rFonts w:ascii="Palatino Linotype" w:hAnsi="Palatino Linotype"/>
          <w:b/>
          <w:bCs/>
          <w:sz w:val="22"/>
          <w:szCs w:val="22"/>
          <w:lang w:val="es-ES_tradnl"/>
        </w:rPr>
        <w:t xml:space="preserve">Artículo 15.- Potestad de </w:t>
      </w:r>
      <w:proofErr w:type="gramStart"/>
      <w:r w:rsidRPr="00577EF7">
        <w:rPr>
          <w:rFonts w:ascii="Palatino Linotype" w:hAnsi="Palatino Linotype"/>
          <w:b/>
          <w:bCs/>
          <w:sz w:val="22"/>
          <w:szCs w:val="22"/>
          <w:lang w:val="es-ES_tradnl"/>
        </w:rPr>
        <w:t>ejecución.-</w:t>
      </w:r>
      <w:proofErr w:type="gramEnd"/>
      <w:r w:rsidRPr="00577EF7">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D621C0" w:rsidRDefault="00683507" w:rsidP="00BB2853">
      <w:pPr>
        <w:spacing w:after="120" w:line="276" w:lineRule="auto"/>
        <w:jc w:val="both"/>
        <w:rPr>
          <w:rFonts w:ascii="Palatino Linotype" w:hAnsi="Palatino Linotype"/>
          <w:i/>
          <w:sz w:val="22"/>
          <w:szCs w:val="22"/>
          <w:lang w:val="es-ES_tradnl"/>
        </w:rPr>
      </w:pPr>
      <w:r w:rsidRPr="00D621C0">
        <w:rPr>
          <w:rFonts w:ascii="Palatino Linotype" w:hAnsi="Palatino Linotype"/>
          <w:b/>
          <w:sz w:val="22"/>
          <w:szCs w:val="22"/>
          <w:lang w:val="es-ES_tradnl"/>
        </w:rPr>
        <w:t xml:space="preserve">Disposición </w:t>
      </w:r>
      <w:proofErr w:type="gramStart"/>
      <w:r w:rsidR="00C36EEF" w:rsidRPr="00D621C0">
        <w:rPr>
          <w:rFonts w:ascii="Palatino Linotype" w:hAnsi="Palatino Linotype"/>
          <w:b/>
          <w:sz w:val="22"/>
          <w:szCs w:val="22"/>
          <w:lang w:val="es-ES_tradnl"/>
        </w:rPr>
        <w:t>f</w:t>
      </w:r>
      <w:r w:rsidRPr="00D621C0">
        <w:rPr>
          <w:rFonts w:ascii="Palatino Linotype" w:hAnsi="Palatino Linotype"/>
          <w:b/>
          <w:sz w:val="22"/>
          <w:szCs w:val="22"/>
          <w:lang w:val="es-ES_tradnl"/>
        </w:rPr>
        <w:t>inal.-</w:t>
      </w:r>
      <w:proofErr w:type="gramEnd"/>
      <w:r w:rsidRPr="00D621C0">
        <w:rPr>
          <w:rFonts w:ascii="Palatino Linotype" w:hAnsi="Palatino Linotype"/>
          <w:b/>
          <w:sz w:val="22"/>
          <w:szCs w:val="22"/>
          <w:lang w:val="es-ES_tradnl"/>
        </w:rPr>
        <w:t xml:space="preserve"> </w:t>
      </w:r>
      <w:r w:rsidRPr="00D621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D621C0" w:rsidRDefault="00AF343E" w:rsidP="00D52745">
      <w:pPr>
        <w:spacing w:after="120" w:line="276" w:lineRule="auto"/>
        <w:jc w:val="both"/>
        <w:rPr>
          <w:rFonts w:ascii="Palatino Linotype" w:hAnsi="Palatino Linotype"/>
          <w:iCs/>
          <w:sz w:val="22"/>
          <w:szCs w:val="22"/>
        </w:rPr>
      </w:pPr>
      <w:r w:rsidRPr="00D621C0">
        <w:rPr>
          <w:rFonts w:ascii="Palatino Linotype" w:hAnsi="Palatino Linotype"/>
          <w:sz w:val="22"/>
          <w:szCs w:val="22"/>
        </w:rPr>
        <w:t xml:space="preserve">Dada, en la Sala de Sesiones del Concejo Metropolitano de Quito, el </w:t>
      </w:r>
      <w:r w:rsidR="000D77DB">
        <w:rPr>
          <w:rFonts w:ascii="Palatino Linotype" w:hAnsi="Palatino Linotype"/>
          <w:sz w:val="22"/>
          <w:szCs w:val="22"/>
        </w:rPr>
        <w:t>21</w:t>
      </w:r>
      <w:r w:rsidRPr="00D621C0">
        <w:rPr>
          <w:rFonts w:ascii="Palatino Linotype" w:hAnsi="Palatino Linotype"/>
          <w:sz w:val="22"/>
          <w:szCs w:val="22"/>
        </w:rPr>
        <w:t xml:space="preserve"> de </w:t>
      </w:r>
      <w:r w:rsidR="00224A70" w:rsidRPr="00D621C0">
        <w:rPr>
          <w:rFonts w:ascii="Palatino Linotype" w:hAnsi="Palatino Linotype"/>
          <w:sz w:val="22"/>
          <w:szCs w:val="22"/>
        </w:rPr>
        <w:t xml:space="preserve">febrero </w:t>
      </w:r>
      <w:r w:rsidR="00683507" w:rsidRPr="00D621C0">
        <w:rPr>
          <w:rFonts w:ascii="Palatino Linotype" w:hAnsi="Palatino Linotype"/>
          <w:sz w:val="22"/>
          <w:szCs w:val="22"/>
        </w:rPr>
        <w:t>de 2019</w:t>
      </w:r>
      <w:r w:rsidRPr="00D621C0">
        <w:rPr>
          <w:rFonts w:ascii="Palatino Linotype" w:hAnsi="Palatino Linotype"/>
          <w:sz w:val="22"/>
          <w:szCs w:val="22"/>
        </w:rPr>
        <w:t>.</w:t>
      </w:r>
    </w:p>
    <w:p w:rsidR="00823CB7" w:rsidRPr="00D621C0" w:rsidRDefault="00823CB7" w:rsidP="00AF343E">
      <w:pPr>
        <w:spacing w:after="240"/>
        <w:contextualSpacing/>
        <w:jc w:val="both"/>
        <w:rPr>
          <w:rFonts w:ascii="Palatino Linotype" w:hAnsi="Palatino Linotype"/>
          <w:sz w:val="22"/>
          <w:szCs w:val="22"/>
        </w:rPr>
      </w:pPr>
    </w:p>
    <w:p w:rsidR="001B5C35" w:rsidRPr="00D621C0" w:rsidRDefault="001B5C35" w:rsidP="00AF343E">
      <w:pPr>
        <w:spacing w:after="240"/>
        <w:contextualSpacing/>
        <w:jc w:val="both"/>
        <w:rPr>
          <w:rFonts w:ascii="Palatino Linotype" w:hAnsi="Palatino Linotype"/>
          <w:sz w:val="22"/>
          <w:szCs w:val="22"/>
        </w:rPr>
      </w:pPr>
    </w:p>
    <w:p w:rsidR="000B0F56" w:rsidRPr="00D621C0" w:rsidRDefault="000B0F56" w:rsidP="00AF343E">
      <w:pPr>
        <w:spacing w:after="240"/>
        <w:contextualSpacing/>
        <w:jc w:val="both"/>
        <w:rPr>
          <w:rFonts w:ascii="Palatino Linotype" w:hAnsi="Palatino Linotype"/>
          <w:sz w:val="22"/>
          <w:szCs w:val="22"/>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 xml:space="preserve">Abg. </w:t>
      </w:r>
      <w:r w:rsidR="002E19B1" w:rsidRPr="00D621C0">
        <w:rPr>
          <w:rFonts w:ascii="Palatino Linotype" w:eastAsia="MS Mincho" w:hAnsi="Palatino Linotype"/>
          <w:sz w:val="22"/>
          <w:szCs w:val="22"/>
          <w:lang w:val="es-EC"/>
        </w:rPr>
        <w:t>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4804CE" w:rsidRDefault="004804CE" w:rsidP="00AF343E">
      <w:pPr>
        <w:pStyle w:val="Textopredeterminado"/>
        <w:shd w:val="clear" w:color="auto" w:fill="FFFFFF"/>
        <w:jc w:val="both"/>
        <w:rPr>
          <w:rFonts w:ascii="Palatino Linotype" w:hAnsi="Palatino Linotype"/>
          <w:sz w:val="22"/>
          <w:szCs w:val="22"/>
          <w:lang w:val="es-ES"/>
        </w:rPr>
      </w:pPr>
    </w:p>
    <w:p w:rsidR="004804CE" w:rsidRPr="00D621C0" w:rsidRDefault="004804CE" w:rsidP="00AF343E">
      <w:pPr>
        <w:pStyle w:val="Textopredeterminado"/>
        <w:shd w:val="clear" w:color="auto" w:fill="FFFFFF"/>
        <w:jc w:val="both"/>
        <w:rPr>
          <w:rFonts w:ascii="Palatino Linotype" w:hAnsi="Palatino Linotype"/>
          <w:sz w:val="22"/>
          <w:szCs w:val="22"/>
          <w:lang w:val="es-ES"/>
        </w:rPr>
      </w:pPr>
    </w:p>
    <w:p w:rsidR="00AF343E" w:rsidRPr="00D621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D621C0">
        <w:rPr>
          <w:rFonts w:ascii="Palatino Linotype" w:eastAsia="MS Mincho" w:hAnsi="Palatino Linotype"/>
          <w:b/>
          <w:bCs/>
          <w:sz w:val="22"/>
          <w:szCs w:val="22"/>
        </w:rPr>
        <w:lastRenderedPageBreak/>
        <w:t>CERTIFICADO DE DISCUSIÓN</w:t>
      </w:r>
    </w:p>
    <w:p w:rsidR="00D52745" w:rsidRPr="00D621C0" w:rsidRDefault="00D52745" w:rsidP="00AF343E">
      <w:pPr>
        <w:pStyle w:val="Textosinformato"/>
        <w:jc w:val="both"/>
        <w:rPr>
          <w:rFonts w:ascii="Palatino Linotype" w:eastAsia="MS Mincho" w:hAnsi="Palatino Linotype"/>
          <w:sz w:val="22"/>
          <w:szCs w:val="22"/>
        </w:rPr>
      </w:pPr>
    </w:p>
    <w:p w:rsidR="00AF343E" w:rsidRPr="00D621C0" w:rsidRDefault="00AF343E" w:rsidP="00AF343E">
      <w:pPr>
        <w:pStyle w:val="Textosinformato"/>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El inf</w:t>
      </w:r>
      <w:r w:rsidR="00F112F0" w:rsidRPr="00D621C0">
        <w:rPr>
          <w:rFonts w:ascii="Palatino Linotype" w:eastAsia="MS Mincho" w:hAnsi="Palatino Linotype"/>
          <w:sz w:val="22"/>
          <w:szCs w:val="22"/>
          <w:lang w:val="es-EC"/>
        </w:rPr>
        <w:t xml:space="preserve">rascrito Secretario General </w:t>
      </w:r>
      <w:r w:rsidRPr="00D621C0">
        <w:rPr>
          <w:rFonts w:ascii="Palatino Linotype" w:eastAsia="MS Mincho" w:hAnsi="Palatino Linotype"/>
          <w:sz w:val="22"/>
          <w:szCs w:val="22"/>
          <w:lang w:val="es-EC"/>
        </w:rPr>
        <w:t>del Concejo Metropolitano de Quito, certifica que la presente ordenanza fue discutida y aprobada e</w:t>
      </w:r>
      <w:r w:rsidR="002E19B1" w:rsidRPr="00D621C0">
        <w:rPr>
          <w:rFonts w:ascii="Palatino Linotype" w:eastAsia="MS Mincho" w:hAnsi="Palatino Linotype"/>
          <w:sz w:val="22"/>
          <w:szCs w:val="22"/>
          <w:lang w:val="es-EC"/>
        </w:rPr>
        <w:t xml:space="preserve">n dos debates, en sesiones de </w:t>
      </w:r>
      <w:r w:rsidR="006F2F0C">
        <w:rPr>
          <w:rFonts w:ascii="Palatino Linotype" w:eastAsia="MS Mincho" w:hAnsi="Palatino Linotype"/>
          <w:sz w:val="22"/>
          <w:szCs w:val="22"/>
          <w:lang w:val="es-EC"/>
        </w:rPr>
        <w:t>31</w:t>
      </w:r>
      <w:r w:rsidR="009451C2"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de </w:t>
      </w:r>
      <w:r w:rsidR="006F2F0C">
        <w:rPr>
          <w:rFonts w:ascii="Palatino Linotype" w:eastAsia="MS Mincho" w:hAnsi="Palatino Linotype"/>
          <w:sz w:val="22"/>
          <w:szCs w:val="22"/>
          <w:lang w:val="es-EC"/>
        </w:rPr>
        <w:t xml:space="preserve">mayo </w:t>
      </w:r>
      <w:r w:rsidR="00683507" w:rsidRPr="00D621C0">
        <w:rPr>
          <w:rFonts w:ascii="Palatino Linotype" w:eastAsia="MS Mincho" w:hAnsi="Palatino Linotype"/>
          <w:sz w:val="22"/>
          <w:szCs w:val="22"/>
          <w:lang w:val="es-EC"/>
        </w:rPr>
        <w:t>de 201</w:t>
      </w:r>
      <w:r w:rsidR="006F2F0C">
        <w:rPr>
          <w:rFonts w:ascii="Palatino Linotype" w:eastAsia="MS Mincho" w:hAnsi="Palatino Linotype"/>
          <w:sz w:val="22"/>
          <w:szCs w:val="22"/>
          <w:lang w:val="es-EC"/>
        </w:rPr>
        <w:t>8</w:t>
      </w:r>
      <w:r w:rsidR="00683507"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y </w:t>
      </w:r>
      <w:r w:rsidR="000D77DB">
        <w:rPr>
          <w:rFonts w:ascii="Palatino Linotype" w:eastAsia="MS Mincho" w:hAnsi="Palatino Linotype"/>
          <w:sz w:val="22"/>
          <w:szCs w:val="22"/>
          <w:lang w:val="es-EC"/>
        </w:rPr>
        <w:t>21</w:t>
      </w:r>
      <w:r w:rsidRPr="00D621C0">
        <w:rPr>
          <w:rFonts w:ascii="Palatino Linotype" w:eastAsia="MS Mincho" w:hAnsi="Palatino Linotype"/>
          <w:sz w:val="22"/>
          <w:szCs w:val="22"/>
          <w:lang w:val="es-EC"/>
        </w:rPr>
        <w:t xml:space="preserve"> de </w:t>
      </w:r>
      <w:r w:rsidR="00FF775C" w:rsidRPr="00D621C0">
        <w:rPr>
          <w:rFonts w:ascii="Palatino Linotype" w:eastAsia="MS Mincho" w:hAnsi="Palatino Linotype"/>
          <w:sz w:val="22"/>
          <w:szCs w:val="22"/>
          <w:lang w:val="es-EC"/>
        </w:rPr>
        <w:t xml:space="preserve">febrero </w:t>
      </w:r>
      <w:r w:rsidR="00683507" w:rsidRPr="00D621C0">
        <w:rPr>
          <w:rFonts w:ascii="Palatino Linotype" w:eastAsia="MS Mincho" w:hAnsi="Palatino Linotype"/>
          <w:sz w:val="22"/>
          <w:szCs w:val="22"/>
          <w:lang w:val="es-EC"/>
        </w:rPr>
        <w:t>de 2019</w:t>
      </w:r>
      <w:r w:rsidRPr="00D621C0">
        <w:rPr>
          <w:rFonts w:ascii="Palatino Linotype" w:eastAsia="MS Mincho" w:hAnsi="Palatino Linotype"/>
          <w:sz w:val="22"/>
          <w:szCs w:val="22"/>
          <w:lang w:val="es-EC"/>
        </w:rPr>
        <w:t>.- Quito,</w:t>
      </w:r>
    </w:p>
    <w:p w:rsidR="00AF343E" w:rsidRPr="00D621C0" w:rsidRDefault="00AF343E" w:rsidP="00AF343E">
      <w:pPr>
        <w:pStyle w:val="Textosinformato"/>
        <w:jc w:val="both"/>
        <w:rPr>
          <w:rFonts w:ascii="Palatino Linotype" w:eastAsia="MS Mincho" w:hAnsi="Palatino Linotype"/>
          <w:sz w:val="22"/>
          <w:szCs w:val="22"/>
          <w:lang w:val="es-EC"/>
        </w:rPr>
      </w:pPr>
    </w:p>
    <w:p w:rsidR="001B5C35" w:rsidRPr="00D621C0" w:rsidRDefault="001B5C35" w:rsidP="00AF343E">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 xml:space="preserve">ALCALDÍA DEL DISTRITO METROPOLITANO DE </w:t>
      </w:r>
      <w:proofErr w:type="gramStart"/>
      <w:r w:rsidRPr="00D621C0">
        <w:rPr>
          <w:rFonts w:ascii="Palatino Linotype" w:eastAsia="MS Mincho" w:hAnsi="Palatino Linotype"/>
          <w:b/>
          <w:bCs/>
          <w:sz w:val="22"/>
          <w:szCs w:val="22"/>
          <w:lang w:val="es-EC"/>
        </w:rPr>
        <w:t>QUITO.-</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b/>
          <w:sz w:val="22"/>
          <w:szCs w:val="22"/>
          <w:lang w:val="es-EC"/>
        </w:rPr>
      </w:pPr>
      <w:r w:rsidRPr="00D621C0">
        <w:rPr>
          <w:rFonts w:ascii="Palatino Linotype" w:eastAsia="MS Mincho" w:hAnsi="Palatino Linotype"/>
          <w:b/>
          <w:sz w:val="22"/>
          <w:szCs w:val="22"/>
          <w:lang w:val="es-EC"/>
        </w:rPr>
        <w:t>EJECÚTESE:</w:t>
      </w:r>
    </w:p>
    <w:p w:rsidR="00F112F0" w:rsidRPr="00D621C0" w:rsidRDefault="00F112F0" w:rsidP="00F112F0">
      <w:pPr>
        <w:pStyle w:val="Textosinformato"/>
        <w:tabs>
          <w:tab w:val="left" w:pos="2655"/>
        </w:tabs>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BB2853" w:rsidRPr="00D621C0" w:rsidRDefault="00BB2853" w:rsidP="00F112F0">
      <w:pPr>
        <w:pStyle w:val="Textosinformato"/>
        <w:jc w:val="center"/>
        <w:rPr>
          <w:rFonts w:ascii="Palatino Linotype" w:eastAsia="MS Mincho" w:hAnsi="Palatino Linotype"/>
          <w:sz w:val="22"/>
          <w:szCs w:val="22"/>
          <w:lang w:val="es-EC"/>
        </w:rPr>
      </w:pPr>
    </w:p>
    <w:p w:rsidR="00CD6D82" w:rsidRPr="00D621C0" w:rsidRDefault="00CD6D82" w:rsidP="00F112F0">
      <w:pPr>
        <w:pStyle w:val="Textosinformato"/>
        <w:jc w:val="center"/>
        <w:rPr>
          <w:rFonts w:ascii="Palatino Linotype" w:eastAsia="MS Mincho" w:hAnsi="Palatino Linotype"/>
          <w:sz w:val="22"/>
          <w:szCs w:val="22"/>
          <w:lang w:val="es-EC"/>
        </w:rPr>
      </w:pPr>
    </w:p>
    <w:p w:rsidR="00F112F0" w:rsidRPr="00D621C0" w:rsidRDefault="00FC572F"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ALCALDE DEL DISTRITO METROPOLITANO DE QUITO</w:t>
      </w:r>
      <w:r w:rsidR="00FC572F">
        <w:rPr>
          <w:rFonts w:ascii="Palatino Linotype" w:eastAsia="MS Mincho" w:hAnsi="Palatino Linotype"/>
          <w:b/>
          <w:bCs/>
          <w:sz w:val="22"/>
          <w:szCs w:val="22"/>
          <w:lang w:val="es-EC"/>
        </w:rPr>
        <w:t xml:space="preserve"> (S)</w:t>
      </w:r>
    </w:p>
    <w:p w:rsidR="00532CEB" w:rsidRPr="00D621C0" w:rsidRDefault="00532CEB"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CERTIFICO,</w:t>
      </w:r>
      <w:r w:rsidRPr="00D621C0">
        <w:rPr>
          <w:rFonts w:ascii="Palatino Linotype" w:eastAsia="MS Mincho" w:hAnsi="Palatino Linotype"/>
          <w:sz w:val="22"/>
          <w:szCs w:val="22"/>
          <w:lang w:val="es-EC"/>
        </w:rPr>
        <w:t xml:space="preserve"> que la presente ordenanza fue sancionada por el </w:t>
      </w:r>
      <w:r w:rsidR="00FC572F">
        <w:rPr>
          <w:rFonts w:ascii="Palatino Linotype" w:eastAsia="MS Mincho" w:hAnsi="Palatino Linotype"/>
          <w:sz w:val="22"/>
          <w:szCs w:val="22"/>
          <w:lang w:val="es-EC"/>
        </w:rPr>
        <w:t>Abg. Eduardo Del Pozo</w:t>
      </w:r>
      <w:r w:rsidRPr="00D621C0">
        <w:rPr>
          <w:rFonts w:ascii="Palatino Linotype" w:eastAsia="MS Mincho" w:hAnsi="Palatino Linotype"/>
          <w:sz w:val="22"/>
          <w:szCs w:val="22"/>
          <w:lang w:val="es-EC"/>
        </w:rPr>
        <w:t>, Alcalde del Distrito Metropolitano de Quito</w:t>
      </w:r>
      <w:r w:rsidR="00FC572F">
        <w:rPr>
          <w:rFonts w:ascii="Palatino Linotype" w:eastAsia="MS Mincho" w:hAnsi="Palatino Linotype"/>
          <w:sz w:val="22"/>
          <w:szCs w:val="22"/>
          <w:lang w:val="es-EC"/>
        </w:rPr>
        <w:t xml:space="preserve"> (S)</w:t>
      </w:r>
      <w:r w:rsidRPr="00D621C0">
        <w:rPr>
          <w:rFonts w:ascii="Palatino Linotype" w:eastAsia="MS Mincho" w:hAnsi="Palatino Linotype"/>
          <w:sz w:val="22"/>
          <w:szCs w:val="22"/>
          <w:lang w:val="es-EC"/>
        </w:rPr>
        <w:t>, el</w:t>
      </w:r>
    </w:p>
    <w:p w:rsidR="00F112F0" w:rsidRPr="00D621C0"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D621C0">
        <w:rPr>
          <w:rFonts w:ascii="Palatino Linotype" w:eastAsia="MS Mincho" w:hAnsi="Palatino Linotype"/>
          <w:sz w:val="22"/>
          <w:szCs w:val="22"/>
          <w:lang w:val="es-EC"/>
        </w:rPr>
        <w:t>.-</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sz w:val="22"/>
          <w:szCs w:val="22"/>
          <w:lang w:val="es-EC"/>
        </w:rPr>
      </w:pPr>
    </w:p>
    <w:p w:rsidR="00823CB7" w:rsidRPr="00D621C0" w:rsidRDefault="00823CB7"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1B5C35" w:rsidRPr="00D621C0" w:rsidRDefault="001B5C35"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4804CE" w:rsidRDefault="00FC3E54" w:rsidP="00FC3E54">
      <w:pPr>
        <w:jc w:val="both"/>
        <w:rPr>
          <w:rFonts w:ascii="Palatino Linotype" w:eastAsia="MS Mincho" w:hAnsi="Palatino Linotype"/>
          <w:sz w:val="21"/>
          <w:szCs w:val="21"/>
        </w:rPr>
      </w:pPr>
      <w:r w:rsidRPr="00D621C0">
        <w:rPr>
          <w:rFonts w:ascii="Palatino Linotype" w:hAnsi="Palatino Linotype" w:cs="Arial"/>
          <w:sz w:val="16"/>
          <w:szCs w:val="16"/>
          <w:lang w:eastAsia="es-EC"/>
        </w:rPr>
        <w:t>DSCS</w:t>
      </w:r>
      <w:r w:rsidR="00BE247B" w:rsidRPr="00D621C0">
        <w:rPr>
          <w:rFonts w:ascii="Palatino Linotype" w:hAnsi="Palatino Linotype" w:cs="Arial"/>
          <w:sz w:val="16"/>
          <w:szCs w:val="16"/>
          <w:lang w:eastAsia="es-EC"/>
        </w:rPr>
        <w:t xml:space="preserve"> </w:t>
      </w: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Pr="004804CE" w:rsidRDefault="004804CE" w:rsidP="004804CE">
      <w:pPr>
        <w:rPr>
          <w:rFonts w:ascii="Palatino Linotype" w:eastAsia="MS Mincho" w:hAnsi="Palatino Linotype"/>
          <w:sz w:val="21"/>
          <w:szCs w:val="21"/>
        </w:rPr>
      </w:pPr>
    </w:p>
    <w:p w:rsidR="004804CE" w:rsidRDefault="004804CE" w:rsidP="004804CE">
      <w:pPr>
        <w:rPr>
          <w:rFonts w:ascii="Palatino Linotype" w:eastAsia="MS Mincho" w:hAnsi="Palatino Linotype"/>
          <w:sz w:val="21"/>
          <w:szCs w:val="21"/>
        </w:rPr>
      </w:pPr>
    </w:p>
    <w:p w:rsidR="00280C8E" w:rsidRPr="004804CE" w:rsidRDefault="00280C8E" w:rsidP="004804CE">
      <w:pPr>
        <w:jc w:val="right"/>
        <w:rPr>
          <w:rFonts w:ascii="Palatino Linotype" w:eastAsia="MS Mincho" w:hAnsi="Palatino Linotype"/>
          <w:sz w:val="21"/>
          <w:szCs w:val="21"/>
        </w:rPr>
      </w:pPr>
    </w:p>
    <w:sectPr w:rsidR="00280C8E" w:rsidRPr="004804C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1C" w:rsidRDefault="004C611C">
      <w:r>
        <w:separator/>
      </w:r>
    </w:p>
  </w:endnote>
  <w:endnote w:type="continuationSeparator" w:id="0">
    <w:p w:rsidR="004C611C" w:rsidRDefault="004C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Content>
      <w:sdt>
        <w:sdtPr>
          <w:id w:val="-214517341"/>
          <w:docPartObj>
            <w:docPartGallery w:val="Page Numbers (Top of Page)"/>
            <w:docPartUnique/>
          </w:docPartObj>
        </w:sdtPr>
        <w:sdtContent>
          <w:p w:rsidR="0012561D" w:rsidRDefault="0012561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4804CE">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Pr>
                <w:rFonts w:ascii="Palatino Linotype" w:hAnsi="Palatino Linotype"/>
                <w:b/>
                <w:bCs/>
                <w:sz w:val="22"/>
                <w:szCs w:val="22"/>
              </w:rPr>
              <w:t>1</w:t>
            </w:r>
            <w:r w:rsidR="004804CE">
              <w:rPr>
                <w:rFonts w:ascii="Palatino Linotype" w:hAnsi="Palatino Linotype"/>
                <w:b/>
                <w:bCs/>
                <w:sz w:val="22"/>
                <w:szCs w:val="22"/>
              </w:rPr>
              <w:t>3</w:t>
            </w:r>
          </w:p>
        </w:sdtContent>
      </w:sdt>
    </w:sdtContent>
  </w:sdt>
  <w:p w:rsidR="0012561D" w:rsidRDefault="0012561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Content>
      <w:sdt>
        <w:sdtPr>
          <w:id w:val="-1769616900"/>
          <w:docPartObj>
            <w:docPartGallery w:val="Page Numbers (Top of Page)"/>
            <w:docPartUnique/>
          </w:docPartObj>
        </w:sdtPr>
        <w:sdtContent>
          <w:p w:rsidR="0012561D" w:rsidRDefault="0012561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4804CE">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4804CE">
              <w:rPr>
                <w:rFonts w:ascii="Palatino Linotype" w:hAnsi="Palatino Linotype"/>
                <w:b/>
                <w:bCs/>
                <w:sz w:val="22"/>
                <w:szCs w:val="22"/>
              </w:rPr>
              <w:t>3</w:t>
            </w:r>
          </w:p>
        </w:sdtContent>
      </w:sdt>
    </w:sdtContent>
  </w:sdt>
  <w:p w:rsidR="0012561D" w:rsidRDefault="00125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1C" w:rsidRDefault="004C611C">
      <w:r>
        <w:separator/>
      </w:r>
    </w:p>
  </w:footnote>
  <w:footnote w:type="continuationSeparator" w:id="0">
    <w:p w:rsidR="004C611C" w:rsidRDefault="004C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1D" w:rsidRDefault="0012561D" w:rsidP="00D35EBE">
    <w:pPr>
      <w:pStyle w:val="a"/>
      <w:rPr>
        <w:rFonts w:ascii="Palatino Linotype" w:hAnsi="Palatino Linotype" w:cs="Arial"/>
        <w:sz w:val="22"/>
        <w:szCs w:val="22"/>
      </w:rPr>
    </w:pPr>
  </w:p>
  <w:p w:rsidR="0012561D" w:rsidRDefault="0012561D" w:rsidP="00D35EBE">
    <w:pPr>
      <w:pStyle w:val="a"/>
      <w:rPr>
        <w:rFonts w:ascii="Palatino Linotype" w:hAnsi="Palatino Linotype" w:cs="Arial"/>
        <w:sz w:val="22"/>
        <w:szCs w:val="22"/>
      </w:rPr>
    </w:pPr>
  </w:p>
  <w:p w:rsidR="0012561D" w:rsidRDefault="0012561D" w:rsidP="00D35EBE">
    <w:pPr>
      <w:pStyle w:val="a"/>
      <w:rPr>
        <w:rFonts w:ascii="Palatino Linotype" w:hAnsi="Palatino Linotype" w:cs="Arial"/>
        <w:sz w:val="22"/>
        <w:szCs w:val="22"/>
      </w:rPr>
    </w:pPr>
  </w:p>
  <w:p w:rsidR="0012561D" w:rsidRDefault="0012561D" w:rsidP="00D35EBE">
    <w:pPr>
      <w:pStyle w:val="a"/>
      <w:rPr>
        <w:rFonts w:ascii="Palatino Linotype" w:hAnsi="Palatino Linotype" w:cs="Arial"/>
        <w:sz w:val="22"/>
        <w:szCs w:val="22"/>
      </w:rPr>
    </w:pPr>
  </w:p>
  <w:p w:rsidR="0012561D" w:rsidRDefault="0012561D" w:rsidP="00A11D79">
    <w:pPr>
      <w:pStyle w:val="a"/>
      <w:jc w:val="left"/>
      <w:rPr>
        <w:rFonts w:ascii="Palatino Linotype" w:hAnsi="Palatino Linotype" w:cs="Arial"/>
        <w:sz w:val="22"/>
        <w:szCs w:val="22"/>
      </w:rPr>
    </w:pPr>
  </w:p>
  <w:p w:rsidR="0012561D" w:rsidRPr="00476B21" w:rsidRDefault="0012561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Pr="00BA3016" w:rsidRDefault="0012561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Pr="00BA3016" w:rsidRDefault="0012561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9"/>
  </w:num>
  <w:num w:numId="5">
    <w:abstractNumId w:val="15"/>
  </w:num>
  <w:num w:numId="6">
    <w:abstractNumId w:val="10"/>
  </w:num>
  <w:num w:numId="7">
    <w:abstractNumId w:val="16"/>
  </w:num>
  <w:num w:numId="8">
    <w:abstractNumId w:val="11"/>
  </w:num>
  <w:num w:numId="9">
    <w:abstractNumId w:val="7"/>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3"/>
  </w:num>
  <w:num w:numId="15">
    <w:abstractNumId w:val="5"/>
  </w:num>
  <w:num w:numId="16">
    <w:abstractNumId w:val="1"/>
  </w:num>
  <w:num w:numId="17">
    <w:abstractNumId w:val="14"/>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A78EF"/>
    <w:rsid w:val="000B0F56"/>
    <w:rsid w:val="000B17C2"/>
    <w:rsid w:val="000B7053"/>
    <w:rsid w:val="000B7409"/>
    <w:rsid w:val="000B773B"/>
    <w:rsid w:val="000C00CF"/>
    <w:rsid w:val="000C3741"/>
    <w:rsid w:val="000C5689"/>
    <w:rsid w:val="000D7099"/>
    <w:rsid w:val="000D747F"/>
    <w:rsid w:val="000D77DB"/>
    <w:rsid w:val="000E65FF"/>
    <w:rsid w:val="000E698E"/>
    <w:rsid w:val="000F22F0"/>
    <w:rsid w:val="000F3EE6"/>
    <w:rsid w:val="000F3EEA"/>
    <w:rsid w:val="00100762"/>
    <w:rsid w:val="00100D9A"/>
    <w:rsid w:val="00101BAE"/>
    <w:rsid w:val="0010639B"/>
    <w:rsid w:val="001068E9"/>
    <w:rsid w:val="00107B8D"/>
    <w:rsid w:val="00111697"/>
    <w:rsid w:val="0011199C"/>
    <w:rsid w:val="001143BF"/>
    <w:rsid w:val="00116A5A"/>
    <w:rsid w:val="00117528"/>
    <w:rsid w:val="00120CFF"/>
    <w:rsid w:val="0012561D"/>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B50BD"/>
    <w:rsid w:val="001B5C35"/>
    <w:rsid w:val="001C0B43"/>
    <w:rsid w:val="001C18BB"/>
    <w:rsid w:val="001C4F66"/>
    <w:rsid w:val="001C562E"/>
    <w:rsid w:val="001C7554"/>
    <w:rsid w:val="001D38BE"/>
    <w:rsid w:val="001D7068"/>
    <w:rsid w:val="001E3366"/>
    <w:rsid w:val="001E6302"/>
    <w:rsid w:val="002054D1"/>
    <w:rsid w:val="002067E2"/>
    <w:rsid w:val="00207851"/>
    <w:rsid w:val="002100B5"/>
    <w:rsid w:val="002127B7"/>
    <w:rsid w:val="00217555"/>
    <w:rsid w:val="00224A70"/>
    <w:rsid w:val="00226908"/>
    <w:rsid w:val="0023570F"/>
    <w:rsid w:val="00236471"/>
    <w:rsid w:val="00242301"/>
    <w:rsid w:val="0024357D"/>
    <w:rsid w:val="00246137"/>
    <w:rsid w:val="00254867"/>
    <w:rsid w:val="00260748"/>
    <w:rsid w:val="00260770"/>
    <w:rsid w:val="002608CA"/>
    <w:rsid w:val="0026636B"/>
    <w:rsid w:val="002709BC"/>
    <w:rsid w:val="002776A8"/>
    <w:rsid w:val="00280C8E"/>
    <w:rsid w:val="00281937"/>
    <w:rsid w:val="0028424B"/>
    <w:rsid w:val="00285962"/>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4F28"/>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620F8"/>
    <w:rsid w:val="00464AB9"/>
    <w:rsid w:val="00465CB6"/>
    <w:rsid w:val="004804CE"/>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C611C"/>
    <w:rsid w:val="004D35A7"/>
    <w:rsid w:val="004D44DB"/>
    <w:rsid w:val="004E186B"/>
    <w:rsid w:val="004E362F"/>
    <w:rsid w:val="004E38DE"/>
    <w:rsid w:val="004F1F3B"/>
    <w:rsid w:val="004F2BC9"/>
    <w:rsid w:val="004F333D"/>
    <w:rsid w:val="004F529C"/>
    <w:rsid w:val="004F74B2"/>
    <w:rsid w:val="005046F9"/>
    <w:rsid w:val="00506B01"/>
    <w:rsid w:val="005103AC"/>
    <w:rsid w:val="005159BA"/>
    <w:rsid w:val="0051624D"/>
    <w:rsid w:val="00525A91"/>
    <w:rsid w:val="00527DB8"/>
    <w:rsid w:val="00532CEB"/>
    <w:rsid w:val="00540D68"/>
    <w:rsid w:val="00542C2E"/>
    <w:rsid w:val="00543455"/>
    <w:rsid w:val="00543798"/>
    <w:rsid w:val="00545777"/>
    <w:rsid w:val="00546F26"/>
    <w:rsid w:val="00547E5B"/>
    <w:rsid w:val="0055517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D60D7"/>
    <w:rsid w:val="005E1913"/>
    <w:rsid w:val="005E2686"/>
    <w:rsid w:val="005E57E9"/>
    <w:rsid w:val="005E777E"/>
    <w:rsid w:val="005F59EE"/>
    <w:rsid w:val="006005A1"/>
    <w:rsid w:val="00606113"/>
    <w:rsid w:val="00610E7F"/>
    <w:rsid w:val="006215A0"/>
    <w:rsid w:val="006254B4"/>
    <w:rsid w:val="00640035"/>
    <w:rsid w:val="00641EB2"/>
    <w:rsid w:val="006422A2"/>
    <w:rsid w:val="00644D09"/>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2F0C"/>
    <w:rsid w:val="006F60F7"/>
    <w:rsid w:val="00700288"/>
    <w:rsid w:val="00700611"/>
    <w:rsid w:val="00701D67"/>
    <w:rsid w:val="00701FA6"/>
    <w:rsid w:val="00702A88"/>
    <w:rsid w:val="00706407"/>
    <w:rsid w:val="00706BA0"/>
    <w:rsid w:val="007129AF"/>
    <w:rsid w:val="00714C81"/>
    <w:rsid w:val="00716151"/>
    <w:rsid w:val="007203BC"/>
    <w:rsid w:val="00720C64"/>
    <w:rsid w:val="007215A0"/>
    <w:rsid w:val="00727EF6"/>
    <w:rsid w:val="007314E4"/>
    <w:rsid w:val="00731B62"/>
    <w:rsid w:val="007353C1"/>
    <w:rsid w:val="00735921"/>
    <w:rsid w:val="007359A3"/>
    <w:rsid w:val="0074414B"/>
    <w:rsid w:val="007458C1"/>
    <w:rsid w:val="007555EE"/>
    <w:rsid w:val="0075666E"/>
    <w:rsid w:val="0076432C"/>
    <w:rsid w:val="00764B6C"/>
    <w:rsid w:val="00765431"/>
    <w:rsid w:val="007730B0"/>
    <w:rsid w:val="007750DE"/>
    <w:rsid w:val="0078194D"/>
    <w:rsid w:val="00783C8A"/>
    <w:rsid w:val="00791271"/>
    <w:rsid w:val="00793402"/>
    <w:rsid w:val="007A2DE6"/>
    <w:rsid w:val="007A5259"/>
    <w:rsid w:val="007A714D"/>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42A9"/>
    <w:rsid w:val="00835B56"/>
    <w:rsid w:val="00841C5B"/>
    <w:rsid w:val="00843F21"/>
    <w:rsid w:val="0084658E"/>
    <w:rsid w:val="00855A7E"/>
    <w:rsid w:val="00856DB0"/>
    <w:rsid w:val="00857903"/>
    <w:rsid w:val="00860836"/>
    <w:rsid w:val="00865BDD"/>
    <w:rsid w:val="00874F69"/>
    <w:rsid w:val="008865E1"/>
    <w:rsid w:val="008A00A5"/>
    <w:rsid w:val="008B04A3"/>
    <w:rsid w:val="008B5C7E"/>
    <w:rsid w:val="008C46CF"/>
    <w:rsid w:val="008C7852"/>
    <w:rsid w:val="008C79DE"/>
    <w:rsid w:val="008D2E61"/>
    <w:rsid w:val="008D4A2E"/>
    <w:rsid w:val="008D59AF"/>
    <w:rsid w:val="008D5DAE"/>
    <w:rsid w:val="008D74FD"/>
    <w:rsid w:val="008E280D"/>
    <w:rsid w:val="008E58E3"/>
    <w:rsid w:val="008F2D62"/>
    <w:rsid w:val="00905AAC"/>
    <w:rsid w:val="00907ED5"/>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0AC5"/>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675DA"/>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405E8"/>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F78"/>
    <w:rsid w:val="00BA2411"/>
    <w:rsid w:val="00BA2845"/>
    <w:rsid w:val="00BA3016"/>
    <w:rsid w:val="00BA47F5"/>
    <w:rsid w:val="00BA638B"/>
    <w:rsid w:val="00BB0064"/>
    <w:rsid w:val="00BB2853"/>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15CE5"/>
    <w:rsid w:val="00D16771"/>
    <w:rsid w:val="00D16C4F"/>
    <w:rsid w:val="00D20396"/>
    <w:rsid w:val="00D22BD8"/>
    <w:rsid w:val="00D24622"/>
    <w:rsid w:val="00D2649F"/>
    <w:rsid w:val="00D30211"/>
    <w:rsid w:val="00D344A8"/>
    <w:rsid w:val="00D35EBE"/>
    <w:rsid w:val="00D44093"/>
    <w:rsid w:val="00D52745"/>
    <w:rsid w:val="00D551BB"/>
    <w:rsid w:val="00D61311"/>
    <w:rsid w:val="00D621C0"/>
    <w:rsid w:val="00D72902"/>
    <w:rsid w:val="00D826A1"/>
    <w:rsid w:val="00D840AD"/>
    <w:rsid w:val="00D86842"/>
    <w:rsid w:val="00DA4B8C"/>
    <w:rsid w:val="00DA4D4E"/>
    <w:rsid w:val="00DB21C4"/>
    <w:rsid w:val="00DB3496"/>
    <w:rsid w:val="00DB4771"/>
    <w:rsid w:val="00DB74F0"/>
    <w:rsid w:val="00DC31FD"/>
    <w:rsid w:val="00DC379E"/>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44553"/>
    <w:rsid w:val="00E50ABE"/>
    <w:rsid w:val="00E54283"/>
    <w:rsid w:val="00E60413"/>
    <w:rsid w:val="00E61408"/>
    <w:rsid w:val="00E62FDF"/>
    <w:rsid w:val="00E64141"/>
    <w:rsid w:val="00E71287"/>
    <w:rsid w:val="00E71513"/>
    <w:rsid w:val="00E72641"/>
    <w:rsid w:val="00E73349"/>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43E5D"/>
    <w:rsid w:val="00F45308"/>
    <w:rsid w:val="00F5600A"/>
    <w:rsid w:val="00F56D6F"/>
    <w:rsid w:val="00F643EC"/>
    <w:rsid w:val="00F64D90"/>
    <w:rsid w:val="00F65222"/>
    <w:rsid w:val="00F67CD0"/>
    <w:rsid w:val="00F777FF"/>
    <w:rsid w:val="00F9008F"/>
    <w:rsid w:val="00F974EC"/>
    <w:rsid w:val="00FA0EAF"/>
    <w:rsid w:val="00FA264E"/>
    <w:rsid w:val="00FA2919"/>
    <w:rsid w:val="00FA7B32"/>
    <w:rsid w:val="00FB0CB1"/>
    <w:rsid w:val="00FC0670"/>
    <w:rsid w:val="00FC29F6"/>
    <w:rsid w:val="00FC3E54"/>
    <w:rsid w:val="00FC413B"/>
    <w:rsid w:val="00FC572F"/>
    <w:rsid w:val="00FC7853"/>
    <w:rsid w:val="00FD56C4"/>
    <w:rsid w:val="00FE37F4"/>
    <w:rsid w:val="00FF333C"/>
    <w:rsid w:val="00FF3CDC"/>
    <w:rsid w:val="00FF4FF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4ADCA"/>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48E71-F1CF-465E-ADA6-D05E310C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5018</Words>
  <Characters>27605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3</cp:revision>
  <cp:lastPrinted>2019-02-25T20:02:00Z</cp:lastPrinted>
  <dcterms:created xsi:type="dcterms:W3CDTF">2019-02-25T20:20:00Z</dcterms:created>
  <dcterms:modified xsi:type="dcterms:W3CDTF">2019-02-25T21:03:00Z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