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4C" w:rsidRPr="00F56623" w:rsidRDefault="00E70B4C" w:rsidP="00F56623">
      <w:pPr>
        <w:pStyle w:val="Ttulo2"/>
        <w:numPr>
          <w:ilvl w:val="0"/>
          <w:numId w:val="0"/>
        </w:numPr>
        <w:spacing w:after="120" w:line="276" w:lineRule="auto"/>
        <w:rPr>
          <w:rFonts w:ascii="Palatino Linotype" w:hAnsi="Palatino Linotype"/>
          <w:iCs/>
          <w:sz w:val="22"/>
          <w:szCs w:val="22"/>
        </w:rPr>
      </w:pPr>
      <w:bookmarkStart w:id="0" w:name="_Toc215040300"/>
      <w:bookmarkStart w:id="1" w:name="_Toc215904668"/>
      <w:r w:rsidRPr="00F56623">
        <w:rPr>
          <w:rFonts w:ascii="Palatino Linotype" w:hAnsi="Palatino Linotype"/>
          <w:iCs/>
          <w:sz w:val="22"/>
          <w:szCs w:val="22"/>
          <w:u w:val="none"/>
        </w:rPr>
        <w:t>EXPOSICIÓN DE MOTIVOS</w:t>
      </w:r>
    </w:p>
    <w:p w:rsidR="001F7307" w:rsidRPr="00F56623" w:rsidRDefault="001F7307"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En la actualidad, es un reto para la municipalidad frente a la escasez de recursos financieros, ejecutar obras derivadas del inevitable crecimiento urbano, y la consecuente demanda de infraestructura, especialmente en la dotación de nuevas y mejoras vías</w:t>
      </w:r>
      <w:r w:rsidR="006D4429" w:rsidRPr="00F56623">
        <w:rPr>
          <w:rFonts w:ascii="Palatino Linotype" w:hAnsi="Palatino Linotype"/>
          <w:sz w:val="22"/>
          <w:szCs w:val="22"/>
        </w:rPr>
        <w:t xml:space="preserve"> </w:t>
      </w:r>
      <w:r w:rsidRPr="00F56623">
        <w:rPr>
          <w:rFonts w:ascii="Palatino Linotype" w:hAnsi="Palatino Linotype"/>
          <w:sz w:val="22"/>
          <w:szCs w:val="22"/>
        </w:rPr>
        <w:t>que faciliten el acceso y tránsito dentro del Distrito Metropolitano de Quito</w:t>
      </w:r>
      <w:r w:rsidR="005D03EF" w:rsidRPr="00F56623">
        <w:rPr>
          <w:rFonts w:ascii="Palatino Linotype" w:hAnsi="Palatino Linotype"/>
          <w:sz w:val="22"/>
          <w:szCs w:val="22"/>
        </w:rPr>
        <w:t xml:space="preserve">, </w:t>
      </w:r>
      <w:r w:rsidR="004A6E29" w:rsidRPr="00F56623">
        <w:rPr>
          <w:rFonts w:ascii="Palatino Linotype" w:hAnsi="Palatino Linotype"/>
          <w:sz w:val="22"/>
          <w:szCs w:val="22"/>
        </w:rPr>
        <w:t xml:space="preserve">pues la </w:t>
      </w:r>
      <w:r w:rsidR="005D03EF" w:rsidRPr="00F56623">
        <w:rPr>
          <w:rFonts w:ascii="Palatino Linotype" w:hAnsi="Palatino Linotype"/>
          <w:sz w:val="22"/>
          <w:szCs w:val="22"/>
        </w:rPr>
        <w:t xml:space="preserve">movilidad </w:t>
      </w:r>
      <w:r w:rsidR="004A6E29" w:rsidRPr="00F56623">
        <w:rPr>
          <w:rFonts w:ascii="Palatino Linotype" w:hAnsi="Palatino Linotype"/>
          <w:sz w:val="22"/>
          <w:szCs w:val="22"/>
        </w:rPr>
        <w:t xml:space="preserve">representa </w:t>
      </w:r>
      <w:r w:rsidR="005D03EF" w:rsidRPr="00F56623">
        <w:rPr>
          <w:rFonts w:ascii="Palatino Linotype" w:hAnsi="Palatino Linotype"/>
          <w:sz w:val="22"/>
          <w:szCs w:val="22"/>
        </w:rPr>
        <w:t>uno de los mayores problemas urbanos que merece especial atención, en la priorización de obras por parte del Municipio.</w:t>
      </w:r>
    </w:p>
    <w:p w:rsidR="006D4429" w:rsidRPr="00F56623" w:rsidRDefault="006D4429"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Las obras emblemáticas o de beneficio general que ejecuta la municipalidad tienen como fin proporcionar una mejor calidad de vida para todos los ciudadanos, lo cual a su vez incide directamente en la productividad y la economía, propiciando el desarrollo y crecimiento local, disminuyendo tiempos o trayectos, y dinamizando así las actividades cotidianas de los quiteños, como de quienes se encuentran de paso por el Distrito, lo que hace presumible precisamente, el beneficio para toda la ciudad.</w:t>
      </w:r>
    </w:p>
    <w:p w:rsidR="00705B09" w:rsidRPr="00F56623" w:rsidRDefault="006D4429"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En este orden de ideas, al tratarse de obras de gran dimensión o relevancia para el Distrito, que se ejecutan en beneficio general, evidentemente requieren también la asignación de grandes recursos, lo que conlleva a que por el elevado costo, estas no puedan ser absorbidas por el presupuesto municipal y tampoco </w:t>
      </w:r>
      <w:r w:rsidR="0097788D" w:rsidRPr="00F56623">
        <w:rPr>
          <w:rFonts w:ascii="Palatino Linotype" w:hAnsi="Palatino Linotype"/>
          <w:sz w:val="22"/>
          <w:szCs w:val="22"/>
        </w:rPr>
        <w:t>que pueda</w:t>
      </w:r>
      <w:r w:rsidRPr="00F56623">
        <w:rPr>
          <w:rFonts w:ascii="Palatino Linotype" w:hAnsi="Palatino Linotype"/>
          <w:sz w:val="22"/>
          <w:szCs w:val="22"/>
        </w:rPr>
        <w:t xml:space="preserve"> </w:t>
      </w:r>
      <w:r w:rsidR="000D11FF" w:rsidRPr="00F56623">
        <w:rPr>
          <w:rFonts w:ascii="Palatino Linotype" w:hAnsi="Palatino Linotype"/>
          <w:sz w:val="22"/>
          <w:szCs w:val="22"/>
        </w:rPr>
        <w:t xml:space="preserve">ser asumida por completo por </w:t>
      </w:r>
      <w:r w:rsidRPr="00F56623">
        <w:rPr>
          <w:rFonts w:ascii="Palatino Linotype" w:hAnsi="Palatino Linotype"/>
          <w:sz w:val="22"/>
          <w:szCs w:val="22"/>
        </w:rPr>
        <w:t>los</w:t>
      </w:r>
      <w:r w:rsidR="000D11FF" w:rsidRPr="00F56623">
        <w:rPr>
          <w:rFonts w:ascii="Palatino Linotype" w:hAnsi="Palatino Linotype"/>
          <w:sz w:val="22"/>
          <w:szCs w:val="22"/>
        </w:rPr>
        <w:t xml:space="preserve"> ciudada</w:t>
      </w:r>
      <w:r w:rsidR="00A70ECA" w:rsidRPr="00F56623">
        <w:rPr>
          <w:rFonts w:ascii="Palatino Linotype" w:hAnsi="Palatino Linotype"/>
          <w:sz w:val="22"/>
          <w:szCs w:val="22"/>
        </w:rPr>
        <w:t xml:space="preserve">nos, siendo por ello, necesario establecer un </w:t>
      </w:r>
      <w:proofErr w:type="gramStart"/>
      <w:r w:rsidR="00A70ECA" w:rsidRPr="00F56623">
        <w:rPr>
          <w:rFonts w:ascii="Palatino Linotype" w:hAnsi="Palatino Linotype"/>
          <w:sz w:val="22"/>
          <w:szCs w:val="22"/>
        </w:rPr>
        <w:t>mecanismo</w:t>
      </w:r>
      <w:proofErr w:type="gramEnd"/>
      <w:r w:rsidR="00A70ECA" w:rsidRPr="00F56623">
        <w:rPr>
          <w:rFonts w:ascii="Palatino Linotype" w:hAnsi="Palatino Linotype"/>
          <w:sz w:val="22"/>
          <w:szCs w:val="22"/>
        </w:rPr>
        <w:t xml:space="preserve"> de recuperación del costo de la obra mediante la aplicación de la Contribución Especial de Mejoras, conforme el ordenamiento jurídico vigente.</w:t>
      </w:r>
    </w:p>
    <w:p w:rsidR="00A70ECA" w:rsidRPr="00F56623" w:rsidRDefault="00A70ECA"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Si bien la Contribución Especial de Mejoras como instrumento tributario busca recuperar el beneficio marginal que obtiene la colectividad, generado por la inversión </w:t>
      </w:r>
      <w:proofErr w:type="gramStart"/>
      <w:r w:rsidRPr="00F56623">
        <w:rPr>
          <w:rFonts w:ascii="Palatino Linotype" w:hAnsi="Palatino Linotype"/>
          <w:sz w:val="22"/>
          <w:szCs w:val="22"/>
        </w:rPr>
        <w:t>pública</w:t>
      </w:r>
      <w:proofErr w:type="gramEnd"/>
      <w:r w:rsidRPr="00F56623">
        <w:rPr>
          <w:rFonts w:ascii="Palatino Linotype" w:hAnsi="Palatino Linotype"/>
          <w:sz w:val="22"/>
          <w:szCs w:val="22"/>
        </w:rPr>
        <w:t>, no pueden desatenderse los principios de capacidad contributiva, equidad, transpare</w:t>
      </w:r>
      <w:r w:rsidR="00E2297E" w:rsidRPr="00F56623">
        <w:rPr>
          <w:rFonts w:ascii="Palatino Linotype" w:hAnsi="Palatino Linotype"/>
          <w:sz w:val="22"/>
          <w:szCs w:val="22"/>
        </w:rPr>
        <w:t>ncia y suficiencia recaudatoria, así como</w:t>
      </w:r>
      <w:r w:rsidR="00A479C8" w:rsidRPr="00F56623">
        <w:rPr>
          <w:rFonts w:ascii="Palatino Linotype" w:hAnsi="Palatino Linotype"/>
          <w:sz w:val="22"/>
          <w:szCs w:val="22"/>
        </w:rPr>
        <w:t xml:space="preserve"> principios constitucionales sobre derechos de hábitat y vivienda.</w:t>
      </w:r>
    </w:p>
    <w:p w:rsidR="00705B09" w:rsidRPr="00F56623" w:rsidRDefault="00A479C8" w:rsidP="00F56623">
      <w:pPr>
        <w:autoSpaceDE w:val="0"/>
        <w:autoSpaceDN w:val="0"/>
        <w:adjustRightInd w:val="0"/>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E</w:t>
      </w:r>
      <w:r w:rsidR="001A4254" w:rsidRPr="00F56623">
        <w:rPr>
          <w:rFonts w:ascii="Palatino Linotype" w:hAnsi="Palatino Linotype"/>
          <w:sz w:val="22"/>
          <w:szCs w:val="22"/>
        </w:rPr>
        <w:t xml:space="preserve">l artículo 31 de la Constitución de la República del Ecuador, como parte del objetivo de la recuperación del carácter público de la intervención del </w:t>
      </w:r>
      <w:r w:rsidR="00F464BC" w:rsidRPr="00F56623">
        <w:rPr>
          <w:rFonts w:ascii="Palatino Linotype" w:hAnsi="Palatino Linotype"/>
          <w:sz w:val="22"/>
          <w:szCs w:val="22"/>
        </w:rPr>
        <w:t>E</w:t>
      </w:r>
      <w:r w:rsidR="001A4254" w:rsidRPr="00F56623">
        <w:rPr>
          <w:rFonts w:ascii="Palatino Linotype" w:hAnsi="Palatino Linotype"/>
          <w:sz w:val="22"/>
          <w:szCs w:val="22"/>
        </w:rPr>
        <w:t xml:space="preserve">stado, señala: </w:t>
      </w:r>
      <w:r w:rsidR="001A4254" w:rsidRPr="00F56623">
        <w:rPr>
          <w:rFonts w:ascii="Palatino Linotype" w:hAnsi="Palatino Linotype"/>
          <w:i/>
          <w:sz w:val="22"/>
          <w:szCs w:val="22"/>
        </w:rPr>
        <w:t>“</w:t>
      </w:r>
      <w:r w:rsidR="00F464BC" w:rsidRPr="00F56623">
        <w:rPr>
          <w:rFonts w:ascii="Palatino Linotype" w:hAnsi="Palatino Linotype"/>
          <w:i/>
          <w:sz w:val="22"/>
          <w:szCs w:val="22"/>
        </w:rPr>
        <w:t xml:space="preserve">Las personas tienen derecho al disfrute pleno de la ciudad y de sus espacios públicos, bajo los principios de sustentabilidad, justicia social, respeto a las diferentes culturas urbanas y equilibrio entre lo urbano y lo rural”, </w:t>
      </w:r>
      <w:r w:rsidR="00F464BC" w:rsidRPr="00F56623">
        <w:rPr>
          <w:rFonts w:ascii="Palatino Linotype" w:hAnsi="Palatino Linotype"/>
          <w:sz w:val="22"/>
          <w:szCs w:val="22"/>
        </w:rPr>
        <w:t xml:space="preserve">lo cual se </w:t>
      </w:r>
      <w:r w:rsidR="0097788D" w:rsidRPr="00F56623">
        <w:rPr>
          <w:rFonts w:ascii="Palatino Linotype" w:hAnsi="Palatino Linotype"/>
          <w:sz w:val="22"/>
          <w:szCs w:val="22"/>
        </w:rPr>
        <w:t>ha tornado evidente</w:t>
      </w:r>
      <w:r w:rsidR="00F464BC" w:rsidRPr="00F56623">
        <w:rPr>
          <w:rFonts w:ascii="Palatino Linotype" w:hAnsi="Palatino Linotype"/>
          <w:sz w:val="22"/>
          <w:szCs w:val="22"/>
        </w:rPr>
        <w:t xml:space="preserve"> en el hecho de que los recursos </w:t>
      </w:r>
      <w:r w:rsidR="0097788D" w:rsidRPr="00F56623">
        <w:rPr>
          <w:rFonts w:ascii="Palatino Linotype" w:hAnsi="Palatino Linotype"/>
          <w:sz w:val="22"/>
          <w:szCs w:val="22"/>
        </w:rPr>
        <w:t xml:space="preserve">estatales han sido </w:t>
      </w:r>
      <w:r w:rsidR="00F464BC" w:rsidRPr="00F56623">
        <w:rPr>
          <w:rFonts w:ascii="Palatino Linotype" w:hAnsi="Palatino Linotype"/>
          <w:sz w:val="22"/>
          <w:szCs w:val="22"/>
        </w:rPr>
        <w:t>aplicados a la ejecución</w:t>
      </w:r>
      <w:r w:rsidR="0097788D" w:rsidRPr="00F56623">
        <w:rPr>
          <w:rFonts w:ascii="Palatino Linotype" w:hAnsi="Palatino Linotype"/>
          <w:sz w:val="22"/>
          <w:szCs w:val="22"/>
        </w:rPr>
        <w:t xml:space="preserve"> de obra pública principalmente, en </w:t>
      </w:r>
      <w:r w:rsidR="00F464BC" w:rsidRPr="00F56623">
        <w:rPr>
          <w:rFonts w:ascii="Palatino Linotype" w:hAnsi="Palatino Linotype"/>
          <w:sz w:val="22"/>
          <w:szCs w:val="22"/>
        </w:rPr>
        <w:t>la edificación de vivienda social como incrementos en los subsidios en la demanda de vivienda.</w:t>
      </w:r>
    </w:p>
    <w:p w:rsidR="00A479C8" w:rsidRPr="00F56623" w:rsidRDefault="00A479C8" w:rsidP="00F56623">
      <w:pPr>
        <w:autoSpaceDE w:val="0"/>
        <w:autoSpaceDN w:val="0"/>
        <w:adjustRightInd w:val="0"/>
        <w:spacing w:after="120" w:line="276" w:lineRule="auto"/>
        <w:ind w:firstLine="708"/>
        <w:jc w:val="both"/>
        <w:rPr>
          <w:rFonts w:ascii="Palatino Linotype" w:hAnsi="Palatino Linotype"/>
          <w:i/>
          <w:sz w:val="22"/>
          <w:szCs w:val="22"/>
        </w:rPr>
      </w:pPr>
      <w:r w:rsidRPr="00F56623">
        <w:rPr>
          <w:rFonts w:ascii="Palatino Linotype" w:hAnsi="Palatino Linotype"/>
          <w:sz w:val="22"/>
          <w:szCs w:val="22"/>
        </w:rPr>
        <w:lastRenderedPageBreak/>
        <w:t>En concordancia, el artículo 147 del Código Orgánico de Organización Territorial, Autonomía y Descentralización</w:t>
      </w:r>
      <w:r w:rsidR="00C450BA" w:rsidRPr="00F56623">
        <w:rPr>
          <w:rFonts w:ascii="Palatino Linotype" w:hAnsi="Palatino Linotype"/>
          <w:sz w:val="22"/>
          <w:szCs w:val="22"/>
        </w:rPr>
        <w:t>, sobre la garantía de hábitat</w:t>
      </w:r>
      <w:r w:rsidRPr="00F56623">
        <w:rPr>
          <w:rFonts w:ascii="Palatino Linotype" w:hAnsi="Palatino Linotype"/>
          <w:sz w:val="22"/>
          <w:szCs w:val="22"/>
        </w:rPr>
        <w:t xml:space="preserve"> </w:t>
      </w:r>
      <w:r w:rsidR="00A763BB" w:rsidRPr="00F56623">
        <w:rPr>
          <w:rFonts w:ascii="Palatino Linotype" w:hAnsi="Palatino Linotype"/>
          <w:sz w:val="22"/>
          <w:szCs w:val="22"/>
        </w:rPr>
        <w:t xml:space="preserve">y vivienda, </w:t>
      </w:r>
      <w:r w:rsidRPr="00F56623">
        <w:rPr>
          <w:rFonts w:ascii="Palatino Linotype" w:hAnsi="Palatino Linotype"/>
          <w:sz w:val="22"/>
          <w:szCs w:val="22"/>
        </w:rPr>
        <w:t>establece que: “</w:t>
      </w:r>
      <w:r w:rsidR="00A167EF" w:rsidRPr="00F56623">
        <w:rPr>
          <w:rFonts w:ascii="Palatino Linotype" w:hAnsi="Palatino Linotype"/>
          <w:sz w:val="22"/>
          <w:szCs w:val="22"/>
        </w:rPr>
        <w:t xml:space="preserve"> (…) </w:t>
      </w:r>
      <w:r w:rsidRPr="00F56623">
        <w:rPr>
          <w:rFonts w:ascii="Palatino Linotype" w:hAnsi="Palatino Linotype"/>
          <w:i/>
          <w:sz w:val="22"/>
          <w:szCs w:val="22"/>
        </w:rPr>
        <w:t xml:space="preserve">El gobierno central a través del ministerio responsable dictará las políticas nacionales para garantizar el acceso universal a este derecho y mantendrá, en coordinación con los gobiernos autónomos descentralizados municipales, un catastro nacional integrado </w:t>
      </w:r>
      <w:proofErr w:type="spellStart"/>
      <w:r w:rsidRPr="00F56623">
        <w:rPr>
          <w:rFonts w:ascii="Palatino Linotype" w:hAnsi="Palatino Linotype"/>
          <w:i/>
          <w:sz w:val="22"/>
          <w:szCs w:val="22"/>
        </w:rPr>
        <w:t>georeferenciado</w:t>
      </w:r>
      <w:proofErr w:type="spellEnd"/>
      <w:r w:rsidRPr="00F56623">
        <w:rPr>
          <w:rFonts w:ascii="Palatino Linotype" w:hAnsi="Palatino Linotype"/>
          <w:i/>
          <w:sz w:val="22"/>
          <w:szCs w:val="22"/>
        </w:rPr>
        <w:t xml:space="preserve"> de hábitat y vivienda, </w:t>
      </w:r>
      <w:r w:rsidRPr="00F56623">
        <w:rPr>
          <w:rFonts w:ascii="Palatino Linotype" w:hAnsi="Palatino Linotype"/>
          <w:i/>
          <w:sz w:val="22"/>
          <w:szCs w:val="22"/>
          <w:u w:val="single"/>
        </w:rPr>
        <w:t>como información necesaria para que todos los niveles de gobierno diseñen estrategias y programas que integren las relaciones entre vivienda, servicios, espacio y transporte públicos, equipamiento, gestión del suelo y de riegos, a partir de los principios de universalidad, equidad, solidaridad e interculturalidad.</w:t>
      </w:r>
      <w:r w:rsidRPr="00F56623">
        <w:rPr>
          <w:rFonts w:ascii="Palatino Linotype" w:hAnsi="Palatino Linotype"/>
          <w:i/>
          <w:sz w:val="22"/>
          <w:szCs w:val="22"/>
        </w:rPr>
        <w:t xml:space="preserve">” </w:t>
      </w:r>
      <w:r w:rsidRPr="00F56623">
        <w:rPr>
          <w:rFonts w:ascii="Palatino Linotype" w:hAnsi="Palatino Linotype"/>
          <w:sz w:val="22"/>
          <w:szCs w:val="22"/>
        </w:rPr>
        <w:t>(</w:t>
      </w:r>
      <w:proofErr w:type="gramStart"/>
      <w:r w:rsidRPr="00F56623">
        <w:rPr>
          <w:rFonts w:ascii="Palatino Linotype" w:hAnsi="Palatino Linotype"/>
          <w:sz w:val="22"/>
          <w:szCs w:val="22"/>
        </w:rPr>
        <w:t>lo</w:t>
      </w:r>
      <w:proofErr w:type="gramEnd"/>
      <w:r w:rsidRPr="00F56623">
        <w:rPr>
          <w:rFonts w:ascii="Palatino Linotype" w:hAnsi="Palatino Linotype"/>
          <w:sz w:val="22"/>
          <w:szCs w:val="22"/>
        </w:rPr>
        <w:t xml:space="preserve"> subrayo)</w:t>
      </w:r>
    </w:p>
    <w:p w:rsidR="00A763BB" w:rsidRPr="00F56623" w:rsidRDefault="00A763BB"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Se citan estas normas porque visiblemente podemos decir que la población con mayor capacidad contributiva requiere menos intervención por parte del Estado para </w:t>
      </w:r>
      <w:proofErr w:type="gramStart"/>
      <w:r w:rsidRPr="00F56623">
        <w:rPr>
          <w:rFonts w:ascii="Palatino Linotype" w:hAnsi="Palatino Linotype"/>
          <w:sz w:val="22"/>
          <w:szCs w:val="22"/>
        </w:rPr>
        <w:t>ejecutar</w:t>
      </w:r>
      <w:proofErr w:type="gramEnd"/>
      <w:r w:rsidRPr="00F56623">
        <w:rPr>
          <w:rFonts w:ascii="Palatino Linotype" w:hAnsi="Palatino Linotype"/>
          <w:sz w:val="22"/>
          <w:szCs w:val="22"/>
        </w:rPr>
        <w:t xml:space="preserve"> obras de interés, siendo los estratos de menor capacidad contributiva los que más se benefician por esta intervención Estatal. Y esto se refleja precisamente en la vivienda, en la propiedad, siendo la base de cálculo de la CEM, el avalúo del predio. Corresponde el cobro de la CEM a todos los propietarios de bienes inmuebles en el Distrito Metropolitano de Quito, sin embargo, no se puede dejar de lado los principios anotados, como el hecho de mantener coherencia con las políticas públicas de acceso a la vivienda y hábitat garantizado en la Constitución.</w:t>
      </w:r>
    </w:p>
    <w:p w:rsidR="00933172" w:rsidRPr="00F56623" w:rsidRDefault="00933172" w:rsidP="00F56623">
      <w:pPr>
        <w:spacing w:after="120" w:line="276" w:lineRule="auto"/>
        <w:ind w:firstLine="708"/>
        <w:jc w:val="both"/>
        <w:rPr>
          <w:rFonts w:ascii="Palatino Linotype" w:hAnsi="Palatino Linotype"/>
          <w:color w:val="632423" w:themeColor="accent2" w:themeShade="80"/>
          <w:sz w:val="22"/>
          <w:szCs w:val="22"/>
        </w:rPr>
      </w:pPr>
      <w:r w:rsidRPr="00F56623">
        <w:rPr>
          <w:rFonts w:ascii="Palatino Linotype" w:hAnsi="Palatino Linotype"/>
          <w:sz w:val="22"/>
          <w:szCs w:val="22"/>
        </w:rPr>
        <w:t xml:space="preserve">El límite impositivo en el tributo será siempre la capacidad contributiva,  por ser el reflejo de la capacidad económica, que debe tomarse en cuenta al momento de la </w:t>
      </w:r>
      <w:proofErr w:type="gramStart"/>
      <w:r w:rsidRPr="00F56623">
        <w:rPr>
          <w:rFonts w:ascii="Palatino Linotype" w:hAnsi="Palatino Linotype"/>
          <w:sz w:val="22"/>
          <w:szCs w:val="22"/>
        </w:rPr>
        <w:t>distribución</w:t>
      </w:r>
      <w:proofErr w:type="gramEnd"/>
      <w:r w:rsidRPr="00F56623">
        <w:rPr>
          <w:rFonts w:ascii="Palatino Linotype" w:hAnsi="Palatino Linotype"/>
          <w:sz w:val="22"/>
          <w:szCs w:val="22"/>
        </w:rPr>
        <w:t xml:space="preserve"> de la carga tributaria en consideración de la contribución que debe soportar individualmente el sujeto obligado.</w:t>
      </w:r>
    </w:p>
    <w:p w:rsidR="00A763BB" w:rsidRPr="00F56623" w:rsidRDefault="00A763BB" w:rsidP="00F56623">
      <w:pPr>
        <w:spacing w:after="120" w:line="276" w:lineRule="auto"/>
        <w:ind w:firstLine="708"/>
        <w:jc w:val="both"/>
        <w:rPr>
          <w:rFonts w:ascii="Palatino Linotype" w:eastAsiaTheme="minorHAnsi" w:hAnsi="Palatino Linotype"/>
          <w:sz w:val="22"/>
          <w:szCs w:val="22"/>
          <w:lang w:val="es-EC" w:eastAsia="en-US"/>
        </w:rPr>
      </w:pPr>
      <w:r w:rsidRPr="00F56623">
        <w:rPr>
          <w:rFonts w:ascii="Palatino Linotype" w:hAnsi="Palatino Linotype"/>
          <w:sz w:val="22"/>
          <w:szCs w:val="22"/>
        </w:rPr>
        <w:t>La capacidad económica como criterio de distribución de la carga tributaria admite una diferenciación objetiva y subjetiva. La primera se basa en la función social de la propiedad y la segunda en el interés general</w:t>
      </w:r>
      <w:r w:rsidR="00933172" w:rsidRPr="00F56623">
        <w:rPr>
          <w:rStyle w:val="Refdenotaalpie"/>
          <w:rFonts w:ascii="Palatino Linotype" w:hAnsi="Palatino Linotype"/>
          <w:sz w:val="22"/>
          <w:szCs w:val="22"/>
        </w:rPr>
        <w:footnoteReference w:id="1"/>
      </w:r>
      <w:r w:rsidRPr="00F56623">
        <w:rPr>
          <w:rFonts w:ascii="Palatino Linotype" w:hAnsi="Palatino Linotype"/>
          <w:sz w:val="22"/>
          <w:szCs w:val="22"/>
        </w:rPr>
        <w:t>.</w:t>
      </w:r>
    </w:p>
    <w:p w:rsidR="00C46BCC" w:rsidRPr="00F56623" w:rsidRDefault="00C46BCC"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En las Políticas y lineamientos estratégicos establecidos en el Plan Nacional de Desarrollo para el buen vivir 2013-2017 (Objetivo No. 3 </w:t>
      </w:r>
      <w:proofErr w:type="spellStart"/>
      <w:r w:rsidRPr="00F56623">
        <w:rPr>
          <w:rFonts w:ascii="Palatino Linotype" w:hAnsi="Palatino Linotype"/>
          <w:sz w:val="22"/>
          <w:szCs w:val="22"/>
        </w:rPr>
        <w:t>num</w:t>
      </w:r>
      <w:proofErr w:type="spellEnd"/>
      <w:r w:rsidRPr="00F56623">
        <w:rPr>
          <w:rFonts w:ascii="Palatino Linotype" w:hAnsi="Palatino Linotype"/>
          <w:sz w:val="22"/>
          <w:szCs w:val="22"/>
        </w:rPr>
        <w:t xml:space="preserve"> 3.9), consta sobre hábitat y vivienda: </w:t>
      </w:r>
      <w:r w:rsidRPr="00F56623">
        <w:rPr>
          <w:rFonts w:ascii="Palatino Linotype" w:hAnsi="Palatino Linotype"/>
          <w:i/>
          <w:sz w:val="22"/>
          <w:szCs w:val="22"/>
        </w:rPr>
        <w:t>“Incentivar una oferta de vivienda social que cumpla con estándares de construcción y garantice la habitabilidad, la accesibilidad, la permanencia, la seguridad integral y el acceso a servicios básicos de los beneficiarios: transporte público, educación, salud, etc.</w:t>
      </w:r>
      <w:r w:rsidRPr="00F56623">
        <w:rPr>
          <w:rFonts w:ascii="Palatino Linotype" w:hAnsi="Palatino Linotype"/>
          <w:sz w:val="22"/>
          <w:szCs w:val="22"/>
        </w:rPr>
        <w:t>”</w:t>
      </w:r>
    </w:p>
    <w:p w:rsidR="00C46BCC" w:rsidRPr="00F56623" w:rsidRDefault="00C46BCC"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En este sentido, mediante Acuerdo Ministerial No. 027-15 expedido por </w:t>
      </w:r>
      <w:r w:rsidR="00CE27AE" w:rsidRPr="00F56623">
        <w:rPr>
          <w:rFonts w:ascii="Palatino Linotype" w:hAnsi="Palatino Linotype"/>
          <w:sz w:val="22"/>
          <w:szCs w:val="22"/>
        </w:rPr>
        <w:t xml:space="preserve">la Ministra </w:t>
      </w:r>
      <w:r w:rsidRPr="00F56623">
        <w:rPr>
          <w:rFonts w:ascii="Palatino Linotype" w:hAnsi="Palatino Linotype"/>
          <w:sz w:val="22"/>
          <w:szCs w:val="22"/>
        </w:rPr>
        <w:t xml:space="preserve">de </w:t>
      </w:r>
      <w:r w:rsidR="00CE27AE" w:rsidRPr="00F56623">
        <w:rPr>
          <w:rFonts w:ascii="Palatino Linotype" w:hAnsi="Palatino Linotype"/>
          <w:sz w:val="22"/>
          <w:szCs w:val="22"/>
        </w:rPr>
        <w:t xml:space="preserve">Desarrollo Urbano  y Vivienda, expide el Reglamento para la operación del </w:t>
      </w:r>
      <w:r w:rsidR="00CE27AE" w:rsidRPr="00F56623">
        <w:rPr>
          <w:rFonts w:ascii="Palatino Linotype" w:hAnsi="Palatino Linotype"/>
          <w:sz w:val="22"/>
          <w:szCs w:val="22"/>
        </w:rPr>
        <w:lastRenderedPageBreak/>
        <w:t xml:space="preserve">Sistema de Incentivos para la Vivienda –SIV, en el que se establecen las normas para la calificación de vivienda de interés social y define los grupos que de acuerdo al registro social, pueden acceder a bonos para la adquisición de este tipo de viviendas, cuyo precio de venta  es de hasta USD 40.000,00 (cuarenta mil dólares). </w:t>
      </w:r>
    </w:p>
    <w:p w:rsidR="00C46BCC" w:rsidRPr="00F56623" w:rsidRDefault="00CE27AE"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De igual manera, mediante Resolución No. 045-2015-F expedida por </w:t>
      </w:r>
      <w:r w:rsidR="00F56623">
        <w:rPr>
          <w:rFonts w:ascii="Palatino Linotype" w:hAnsi="Palatino Linotype"/>
          <w:sz w:val="22"/>
          <w:szCs w:val="22"/>
        </w:rPr>
        <w:t>l</w:t>
      </w:r>
      <w:r w:rsidR="00F56623" w:rsidRPr="00F56623">
        <w:rPr>
          <w:rFonts w:ascii="Palatino Linotype" w:hAnsi="Palatino Linotype"/>
          <w:sz w:val="22"/>
          <w:szCs w:val="22"/>
        </w:rPr>
        <w:t xml:space="preserve">a Junta </w:t>
      </w:r>
      <w:r w:rsidR="00F56623">
        <w:rPr>
          <w:rFonts w:ascii="Palatino Linotype" w:hAnsi="Palatino Linotype"/>
          <w:sz w:val="22"/>
          <w:szCs w:val="22"/>
        </w:rPr>
        <w:t>d</w:t>
      </w:r>
      <w:r w:rsidR="00F56623" w:rsidRPr="00F56623">
        <w:rPr>
          <w:rFonts w:ascii="Palatino Linotype" w:hAnsi="Palatino Linotype"/>
          <w:sz w:val="22"/>
          <w:szCs w:val="22"/>
        </w:rPr>
        <w:t xml:space="preserve">e Política </w:t>
      </w:r>
      <w:r w:rsidR="00F56623">
        <w:rPr>
          <w:rFonts w:ascii="Palatino Linotype" w:hAnsi="Palatino Linotype"/>
          <w:sz w:val="22"/>
          <w:szCs w:val="22"/>
        </w:rPr>
        <w:t>y</w:t>
      </w:r>
      <w:r w:rsidR="00F56623" w:rsidRPr="00F56623">
        <w:rPr>
          <w:rFonts w:ascii="Palatino Linotype" w:hAnsi="Palatino Linotype"/>
          <w:sz w:val="22"/>
          <w:szCs w:val="22"/>
        </w:rPr>
        <w:t xml:space="preserve"> Regulación Monetaria </w:t>
      </w:r>
      <w:r w:rsidR="00F56623">
        <w:rPr>
          <w:rFonts w:ascii="Palatino Linotype" w:hAnsi="Palatino Linotype"/>
          <w:sz w:val="22"/>
          <w:szCs w:val="22"/>
        </w:rPr>
        <w:t>y</w:t>
      </w:r>
      <w:r w:rsidR="00F56623" w:rsidRPr="00F56623">
        <w:rPr>
          <w:rFonts w:ascii="Palatino Linotype" w:hAnsi="Palatino Linotype"/>
          <w:sz w:val="22"/>
          <w:szCs w:val="22"/>
        </w:rPr>
        <w:t xml:space="preserve"> Financiera</w:t>
      </w:r>
      <w:r w:rsidR="001B54B6" w:rsidRPr="00F56623">
        <w:rPr>
          <w:rFonts w:ascii="Palatino Linotype" w:hAnsi="Palatino Linotype"/>
          <w:sz w:val="22"/>
          <w:szCs w:val="22"/>
        </w:rPr>
        <w:t>, amparada</w:t>
      </w:r>
      <w:r w:rsidRPr="00F56623">
        <w:rPr>
          <w:rFonts w:ascii="Palatino Linotype" w:hAnsi="Palatino Linotype"/>
          <w:sz w:val="22"/>
          <w:szCs w:val="22"/>
        </w:rPr>
        <w:t xml:space="preserve"> en el art</w:t>
      </w:r>
      <w:r w:rsidR="001B54B6" w:rsidRPr="00F56623">
        <w:rPr>
          <w:rFonts w:ascii="Palatino Linotype" w:hAnsi="Palatino Linotype"/>
          <w:sz w:val="22"/>
          <w:szCs w:val="22"/>
        </w:rPr>
        <w:t>í</w:t>
      </w:r>
      <w:r w:rsidRPr="00F56623">
        <w:rPr>
          <w:rFonts w:ascii="Palatino Linotype" w:hAnsi="Palatino Linotype"/>
          <w:sz w:val="22"/>
          <w:szCs w:val="22"/>
        </w:rPr>
        <w:t>culo 14, numerales</w:t>
      </w:r>
      <w:r w:rsidR="001B54B6" w:rsidRPr="00F56623">
        <w:rPr>
          <w:rFonts w:ascii="Palatino Linotype" w:hAnsi="Palatino Linotype"/>
          <w:sz w:val="22"/>
          <w:szCs w:val="22"/>
        </w:rPr>
        <w:t xml:space="preserve"> </w:t>
      </w:r>
      <w:r w:rsidRPr="00F56623">
        <w:rPr>
          <w:rFonts w:ascii="Palatino Linotype" w:hAnsi="Palatino Linotype"/>
          <w:sz w:val="22"/>
          <w:szCs w:val="22"/>
        </w:rPr>
        <w:t xml:space="preserve">1,8 y 11 letra g) del Código </w:t>
      </w:r>
      <w:r w:rsidR="001B54B6" w:rsidRPr="00F56623">
        <w:rPr>
          <w:rFonts w:ascii="Palatino Linotype" w:hAnsi="Palatino Linotype"/>
          <w:sz w:val="22"/>
          <w:szCs w:val="22"/>
        </w:rPr>
        <w:t xml:space="preserve">Orgánico Monetario y Financiero </w:t>
      </w:r>
      <w:r w:rsidRPr="00F56623">
        <w:rPr>
          <w:rFonts w:ascii="Palatino Linotype" w:hAnsi="Palatino Linotype"/>
          <w:sz w:val="22"/>
          <w:szCs w:val="22"/>
        </w:rPr>
        <w:t>le corresponde a</w:t>
      </w:r>
      <w:r w:rsidR="001B54B6" w:rsidRPr="00F56623">
        <w:rPr>
          <w:rFonts w:ascii="Palatino Linotype" w:hAnsi="Palatino Linotype"/>
          <w:sz w:val="22"/>
          <w:szCs w:val="22"/>
        </w:rPr>
        <w:t xml:space="preserve"> la Junta de Política y Regulación M</w:t>
      </w:r>
      <w:r w:rsidRPr="00F56623">
        <w:rPr>
          <w:rFonts w:ascii="Palatino Linotype" w:hAnsi="Palatino Linotype"/>
          <w:sz w:val="22"/>
          <w:szCs w:val="22"/>
        </w:rPr>
        <w:t>one</w:t>
      </w:r>
      <w:r w:rsidR="001B54B6" w:rsidRPr="00F56623">
        <w:rPr>
          <w:rFonts w:ascii="Palatino Linotype" w:hAnsi="Palatino Linotype"/>
          <w:sz w:val="22"/>
          <w:szCs w:val="22"/>
        </w:rPr>
        <w:t>taria y Financiera generar incenti</w:t>
      </w:r>
      <w:r w:rsidRPr="00F56623">
        <w:rPr>
          <w:rFonts w:ascii="Palatino Linotype" w:hAnsi="Palatino Linotype"/>
          <w:sz w:val="22"/>
          <w:szCs w:val="22"/>
        </w:rPr>
        <w:t>vos a las instituciones del sistema financiero para la creación de productos orientados a promover y facilitar la inclusión económica de grupos de atenc</w:t>
      </w:r>
      <w:r w:rsidR="001B54B6" w:rsidRPr="00F56623">
        <w:rPr>
          <w:rFonts w:ascii="Palatino Linotype" w:hAnsi="Palatino Linotype"/>
          <w:sz w:val="22"/>
          <w:szCs w:val="22"/>
        </w:rPr>
        <w:t>i</w:t>
      </w:r>
      <w:r w:rsidRPr="00F56623">
        <w:rPr>
          <w:rFonts w:ascii="Palatino Linotype" w:hAnsi="Palatino Linotype"/>
          <w:sz w:val="22"/>
          <w:szCs w:val="22"/>
        </w:rPr>
        <w:t>ón prioritaria tales como las personas en movilidad humana, con discap</w:t>
      </w:r>
      <w:r w:rsidR="001B54B6" w:rsidRPr="00F56623">
        <w:rPr>
          <w:rFonts w:ascii="Palatino Linotype" w:hAnsi="Palatino Linotype"/>
          <w:sz w:val="22"/>
          <w:szCs w:val="22"/>
        </w:rPr>
        <w:t>acidad</w:t>
      </w:r>
      <w:r w:rsidRPr="00F56623">
        <w:rPr>
          <w:rFonts w:ascii="Palatino Linotype" w:hAnsi="Palatino Linotype"/>
          <w:sz w:val="22"/>
          <w:szCs w:val="22"/>
        </w:rPr>
        <w:t xml:space="preserve"> jóvenes y madres solteras</w:t>
      </w:r>
      <w:r w:rsidR="001B54B6" w:rsidRPr="00F56623">
        <w:rPr>
          <w:rFonts w:ascii="Palatino Linotype" w:hAnsi="Palatino Linotype"/>
          <w:sz w:val="22"/>
          <w:szCs w:val="22"/>
        </w:rPr>
        <w:t>, y conforme la propuesta del Ministerio Coordinador de Política Económica orientada a generar incentivos para el financiamiento de vivienda de interés público</w:t>
      </w:r>
      <w:r w:rsidR="001B54B6" w:rsidRPr="00F56623">
        <w:rPr>
          <w:rStyle w:val="Refdenotaalpie"/>
          <w:rFonts w:ascii="Palatino Linotype" w:hAnsi="Palatino Linotype"/>
          <w:sz w:val="22"/>
          <w:szCs w:val="22"/>
        </w:rPr>
        <w:footnoteReference w:id="2"/>
      </w:r>
      <w:r w:rsidR="001B54B6" w:rsidRPr="00F56623">
        <w:rPr>
          <w:rFonts w:ascii="Palatino Linotype" w:hAnsi="Palatino Linotype"/>
          <w:sz w:val="22"/>
          <w:szCs w:val="22"/>
        </w:rPr>
        <w:t>, sobre el acceso al crédito de las personas y generar incentivos a las instituciones del sistema financiero para la creación de productos orientados a promover y facilitar la inclusión económica, dispone como créditos de vivienda elegibles y condiciones de crédito, el que se otorgue con garantía hipotecaria a personas naturales para la adquisición de vivienda única y de primer uso cuyo valor comercial sea igual o menor a USD 70.000,00 (setenta mil dólares) y el valor por metro cuadrado sea igual o menor a USD 890,00 (ochocientos noventa dólares).</w:t>
      </w:r>
    </w:p>
    <w:p w:rsidR="00B417A6" w:rsidRPr="00F56623" w:rsidRDefault="00B417A6" w:rsidP="00F56623">
      <w:pPr>
        <w:autoSpaceDE w:val="0"/>
        <w:autoSpaceDN w:val="0"/>
        <w:adjustRightInd w:val="0"/>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El Código Orgánico de Organización Territorial, Autonomía y Descentralización, sobre la Contribución Especial de Mejoras, en </w:t>
      </w:r>
      <w:r w:rsidR="000E14BE" w:rsidRPr="00F56623">
        <w:rPr>
          <w:rFonts w:ascii="Palatino Linotype" w:hAnsi="Palatino Linotype"/>
          <w:sz w:val="22"/>
          <w:szCs w:val="22"/>
        </w:rPr>
        <w:t>los</w:t>
      </w:r>
      <w:r w:rsidRPr="00F56623">
        <w:rPr>
          <w:rFonts w:ascii="Palatino Linotype" w:hAnsi="Palatino Linotype"/>
          <w:sz w:val="22"/>
          <w:szCs w:val="22"/>
        </w:rPr>
        <w:t xml:space="preserve"> artículo</w:t>
      </w:r>
      <w:r w:rsidR="000E14BE" w:rsidRPr="00F56623">
        <w:rPr>
          <w:rFonts w:ascii="Palatino Linotype" w:hAnsi="Palatino Linotype"/>
          <w:sz w:val="22"/>
          <w:szCs w:val="22"/>
        </w:rPr>
        <w:t>s 569 y</w:t>
      </w:r>
      <w:r w:rsidRPr="00F56623">
        <w:rPr>
          <w:rFonts w:ascii="Palatino Linotype" w:hAnsi="Palatino Linotype"/>
          <w:sz w:val="22"/>
          <w:szCs w:val="22"/>
        </w:rPr>
        <w:t xml:space="preserve"> 575 dispone</w:t>
      </w:r>
      <w:r w:rsidR="000E14BE" w:rsidRPr="00F56623">
        <w:rPr>
          <w:rFonts w:ascii="Palatino Linotype" w:hAnsi="Palatino Linotype"/>
          <w:sz w:val="22"/>
          <w:szCs w:val="22"/>
        </w:rPr>
        <w:t>n</w:t>
      </w:r>
      <w:r w:rsidRPr="00F56623">
        <w:rPr>
          <w:rFonts w:ascii="Palatino Linotype" w:hAnsi="Palatino Linotype"/>
          <w:sz w:val="22"/>
          <w:szCs w:val="22"/>
        </w:rPr>
        <w:t xml:space="preserve"> que </w:t>
      </w:r>
      <w:r w:rsidRPr="00F56623">
        <w:rPr>
          <w:rFonts w:ascii="Palatino Linotype" w:hAnsi="Palatino Linotype"/>
          <w:i/>
          <w:sz w:val="22"/>
          <w:szCs w:val="22"/>
        </w:rPr>
        <w:t xml:space="preserve">las municipalidades y distritos metropolitanos </w:t>
      </w:r>
      <w:proofErr w:type="gramStart"/>
      <w:r w:rsidRPr="00F56623">
        <w:rPr>
          <w:rFonts w:ascii="Palatino Linotype" w:hAnsi="Palatino Linotype"/>
          <w:i/>
          <w:sz w:val="22"/>
          <w:szCs w:val="22"/>
        </w:rPr>
        <w:t>podrán</w:t>
      </w:r>
      <w:proofErr w:type="gramEnd"/>
      <w:r w:rsidRPr="00F56623">
        <w:rPr>
          <w:rFonts w:ascii="Palatino Linotype" w:hAnsi="Palatino Linotype"/>
          <w:i/>
          <w:sz w:val="22"/>
          <w:szCs w:val="22"/>
        </w:rPr>
        <w:t xml:space="preserve"> absorber con cargo a su presupuesto de egresos, el importe de las exenciones que por razones de orden público, económico o social se establezcan mediante ordenanza</w:t>
      </w:r>
      <w:r w:rsidRPr="00F56623">
        <w:rPr>
          <w:rFonts w:ascii="Palatino Linotype" w:hAnsi="Palatino Linotype"/>
          <w:sz w:val="22"/>
          <w:szCs w:val="22"/>
        </w:rPr>
        <w:t>.</w:t>
      </w:r>
    </w:p>
    <w:p w:rsidR="00B417A6" w:rsidRPr="00F56623" w:rsidRDefault="00B417A6" w:rsidP="00F56623">
      <w:pPr>
        <w:autoSpaceDE w:val="0"/>
        <w:autoSpaceDN w:val="0"/>
        <w:adjustRightInd w:val="0"/>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La Ordenanza Metropolitana No. 154 sancionada el 14 de diciembre de 2011, establece el régimen de cálculo de</w:t>
      </w:r>
      <w:r w:rsidR="00CF58E3" w:rsidRPr="00F56623">
        <w:rPr>
          <w:rFonts w:ascii="Palatino Linotype" w:hAnsi="Palatino Linotype"/>
          <w:sz w:val="22"/>
          <w:szCs w:val="22"/>
        </w:rPr>
        <w:t xml:space="preserve"> </w:t>
      </w:r>
      <w:r w:rsidRPr="00F56623">
        <w:rPr>
          <w:rFonts w:ascii="Palatino Linotype" w:hAnsi="Palatino Linotype"/>
          <w:sz w:val="22"/>
          <w:szCs w:val="22"/>
        </w:rPr>
        <w:t xml:space="preserve">la contribución especial de mejoras de alcance distrital, </w:t>
      </w:r>
      <w:r w:rsidR="00CF58E3" w:rsidRPr="00F56623">
        <w:rPr>
          <w:rFonts w:ascii="Palatino Linotype" w:hAnsi="Palatino Linotype"/>
          <w:sz w:val="22"/>
          <w:szCs w:val="22"/>
        </w:rPr>
        <w:t>la cual conforme los cambios que han operado en las políticas públicas, amerita un nuevo cuerpo normativo que permita su cobro conforme los principios constitucionales y tributarios anotado</w:t>
      </w:r>
      <w:r w:rsidR="00316628" w:rsidRPr="00F56623">
        <w:rPr>
          <w:rFonts w:ascii="Palatino Linotype" w:hAnsi="Palatino Linotype"/>
          <w:sz w:val="22"/>
          <w:szCs w:val="22"/>
        </w:rPr>
        <w:t>s, y aplicación del límite que para el cobro establece el artículo 593 del COOTAD.</w:t>
      </w:r>
    </w:p>
    <w:p w:rsidR="00B417A6" w:rsidRDefault="00CF58E3" w:rsidP="00F56623">
      <w:pPr>
        <w:spacing w:after="120" w:line="276" w:lineRule="auto"/>
        <w:ind w:firstLine="708"/>
        <w:jc w:val="both"/>
        <w:rPr>
          <w:rFonts w:ascii="Palatino Linotype" w:hAnsi="Palatino Linotype"/>
          <w:sz w:val="22"/>
          <w:szCs w:val="22"/>
        </w:rPr>
      </w:pPr>
      <w:r w:rsidRPr="00F56623">
        <w:rPr>
          <w:rFonts w:ascii="Palatino Linotype" w:hAnsi="Palatino Linotype"/>
          <w:sz w:val="22"/>
          <w:szCs w:val="22"/>
        </w:rPr>
        <w:t xml:space="preserve">Conforme lo expuesto, se plantea el presente cuerpo normativo con la finalidad de establecer el importe y cargas tributarias por Contribución Especial de Mejoras de </w:t>
      </w:r>
      <w:r w:rsidRPr="00F56623">
        <w:rPr>
          <w:rFonts w:ascii="Palatino Linotype" w:hAnsi="Palatino Linotype"/>
          <w:sz w:val="22"/>
          <w:szCs w:val="22"/>
        </w:rPr>
        <w:lastRenderedPageBreak/>
        <w:t>alcance distrital, considerando exenciones para personas naturales cuyas propiedades no superen un avalúo de USD 70.000,00 (setenta mil dólares),  basados en la capacidad contributiva</w:t>
      </w:r>
      <w:r w:rsidR="00406E06" w:rsidRPr="00F56623">
        <w:rPr>
          <w:rFonts w:ascii="Palatino Linotype" w:hAnsi="Palatino Linotype"/>
          <w:sz w:val="22"/>
          <w:szCs w:val="22"/>
        </w:rPr>
        <w:t>,</w:t>
      </w:r>
      <w:r w:rsidRPr="00F56623">
        <w:rPr>
          <w:rFonts w:ascii="Palatino Linotype" w:hAnsi="Palatino Linotype"/>
          <w:sz w:val="22"/>
          <w:szCs w:val="22"/>
        </w:rPr>
        <w:t xml:space="preserve"> definida por las condiciones que se han </w:t>
      </w:r>
      <w:r w:rsidR="00406E06" w:rsidRPr="00F56623">
        <w:rPr>
          <w:rFonts w:ascii="Palatino Linotype" w:hAnsi="Palatino Linotype"/>
          <w:sz w:val="22"/>
          <w:szCs w:val="22"/>
        </w:rPr>
        <w:t>establecido</w:t>
      </w:r>
      <w:r w:rsidRPr="00F56623">
        <w:rPr>
          <w:rFonts w:ascii="Palatino Linotype" w:hAnsi="Palatino Linotype"/>
          <w:sz w:val="22"/>
          <w:szCs w:val="22"/>
        </w:rPr>
        <w:t xml:space="preserve"> por parte del Estado para </w:t>
      </w:r>
      <w:r w:rsidR="000D1C47" w:rsidRPr="00F56623">
        <w:rPr>
          <w:rFonts w:ascii="Palatino Linotype" w:hAnsi="Palatino Linotype"/>
          <w:sz w:val="22"/>
          <w:szCs w:val="22"/>
        </w:rPr>
        <w:t>garantizar el acceso a vivienda</w:t>
      </w:r>
      <w:r w:rsidR="00406E06" w:rsidRPr="00F56623">
        <w:rPr>
          <w:rFonts w:ascii="Palatino Linotype" w:hAnsi="Palatino Linotype"/>
          <w:sz w:val="22"/>
          <w:szCs w:val="22"/>
        </w:rPr>
        <w:t>,</w:t>
      </w:r>
      <w:r w:rsidR="000D1C47" w:rsidRPr="00F56623">
        <w:rPr>
          <w:rFonts w:ascii="Palatino Linotype" w:hAnsi="Palatino Linotype"/>
          <w:sz w:val="22"/>
          <w:szCs w:val="22"/>
        </w:rPr>
        <w:t xml:space="preserve"> atendiendo el interés público, social y económico.</w:t>
      </w:r>
    </w:p>
    <w:p w:rsidR="00F56623" w:rsidRDefault="00F56623" w:rsidP="00F56623">
      <w:pPr>
        <w:spacing w:after="120" w:line="276" w:lineRule="auto"/>
        <w:ind w:firstLine="708"/>
        <w:jc w:val="both"/>
        <w:rPr>
          <w:rFonts w:ascii="Palatino Linotype" w:hAnsi="Palatino Linotype"/>
          <w:sz w:val="22"/>
          <w:szCs w:val="22"/>
        </w:rPr>
        <w:sectPr w:rsidR="00F56623" w:rsidSect="001137E4">
          <w:headerReference w:type="default" r:id="rId9"/>
          <w:pgSz w:w="11906" w:h="16838"/>
          <w:pgMar w:top="2127" w:right="1701" w:bottom="1417" w:left="1701" w:header="708" w:footer="708" w:gutter="0"/>
          <w:cols w:space="708"/>
          <w:docGrid w:linePitch="360"/>
        </w:sectPr>
      </w:pPr>
    </w:p>
    <w:p w:rsidR="00E70B4C" w:rsidRPr="00F56623" w:rsidRDefault="00E70B4C" w:rsidP="00F56623">
      <w:pPr>
        <w:autoSpaceDE w:val="0"/>
        <w:autoSpaceDN w:val="0"/>
        <w:adjustRightInd w:val="0"/>
        <w:spacing w:after="120" w:line="276" w:lineRule="auto"/>
        <w:jc w:val="center"/>
        <w:rPr>
          <w:rFonts w:ascii="Palatino Linotype" w:eastAsiaTheme="minorHAnsi" w:hAnsi="Palatino Linotype" w:cs="Arial"/>
          <w:b/>
          <w:bCs/>
          <w:color w:val="000000"/>
          <w:sz w:val="22"/>
          <w:szCs w:val="22"/>
        </w:rPr>
      </w:pPr>
      <w:r w:rsidRPr="00F56623">
        <w:rPr>
          <w:rFonts w:ascii="Palatino Linotype" w:eastAsiaTheme="minorHAnsi" w:hAnsi="Palatino Linotype" w:cs="Arial"/>
          <w:b/>
          <w:bCs/>
          <w:color w:val="000000"/>
          <w:sz w:val="22"/>
          <w:szCs w:val="22"/>
        </w:rPr>
        <w:lastRenderedPageBreak/>
        <w:t>EL CONCEJO METROPOLITANO DE QUITO</w:t>
      </w:r>
    </w:p>
    <w:p w:rsidR="00F56623" w:rsidRPr="00E11B44" w:rsidRDefault="00F56623" w:rsidP="00F56623">
      <w:pPr>
        <w:pStyle w:val="Sinespaciado"/>
        <w:spacing w:after="120" w:line="276" w:lineRule="auto"/>
        <w:jc w:val="both"/>
        <w:rPr>
          <w:rFonts w:ascii="Palatino Linotype" w:hAnsi="Palatino Linotype"/>
        </w:rPr>
      </w:pPr>
      <w:r>
        <w:rPr>
          <w:rFonts w:ascii="Palatino Linotype" w:hAnsi="Palatino Linotype"/>
        </w:rPr>
        <w:t xml:space="preserve">Visto el Informe No. </w:t>
      </w:r>
      <w:proofErr w:type="spellStart"/>
      <w:r>
        <w:rPr>
          <w:rFonts w:ascii="Palatino Linotype" w:hAnsi="Palatino Linotype"/>
        </w:rPr>
        <w:t>IC</w:t>
      </w:r>
      <w:proofErr w:type="spellEnd"/>
      <w:r>
        <w:rPr>
          <w:rFonts w:ascii="Palatino Linotype" w:hAnsi="Palatino Linotype"/>
        </w:rPr>
        <w:t>-O-2017-28</w:t>
      </w:r>
      <w:r>
        <w:rPr>
          <w:rFonts w:ascii="Palatino Linotype" w:hAnsi="Palatino Linotype"/>
        </w:rPr>
        <w:t>4</w:t>
      </w:r>
      <w:r>
        <w:rPr>
          <w:rFonts w:ascii="Palatino Linotype" w:hAnsi="Palatino Linotype"/>
        </w:rPr>
        <w:t>, de 11 de diciembre de 2017, emitido por la Comisión de Presupuesto, Finanzas y Tributación.</w:t>
      </w:r>
    </w:p>
    <w:p w:rsidR="00E70B4C" w:rsidRPr="00F56623" w:rsidRDefault="00F56623" w:rsidP="00F56623">
      <w:pPr>
        <w:pStyle w:val="Default"/>
        <w:spacing w:after="120" w:line="276" w:lineRule="auto"/>
        <w:jc w:val="center"/>
        <w:rPr>
          <w:rFonts w:ascii="Palatino Linotype" w:eastAsia="Calibri" w:hAnsi="Palatino Linotype" w:cs="Times New Roman"/>
          <w:b/>
          <w:color w:val="auto"/>
          <w:sz w:val="22"/>
          <w:szCs w:val="22"/>
        </w:rPr>
      </w:pPr>
      <w:r w:rsidRPr="00F56623">
        <w:rPr>
          <w:rFonts w:ascii="Palatino Linotype" w:eastAsia="Calibri" w:hAnsi="Palatino Linotype" w:cs="Times New Roman"/>
          <w:b/>
          <w:color w:val="auto"/>
          <w:sz w:val="22"/>
          <w:szCs w:val="22"/>
        </w:rPr>
        <w:t>CONSIDERANDO:</w:t>
      </w:r>
    </w:p>
    <w:p w:rsidR="00F56623" w:rsidRDefault="00726F28" w:rsidP="00F56623">
      <w:pPr>
        <w:autoSpaceDE w:val="0"/>
        <w:autoSpaceDN w:val="0"/>
        <w:adjustRightInd w:val="0"/>
        <w:spacing w:after="120" w:line="276" w:lineRule="auto"/>
        <w:ind w:left="705" w:hanging="705"/>
        <w:jc w:val="both"/>
        <w:rPr>
          <w:rFonts w:ascii="Palatino Linotype" w:hAnsi="Palatino Linotype"/>
          <w:sz w:val="22"/>
          <w:szCs w:val="22"/>
        </w:rPr>
      </w:pPr>
      <w:r w:rsidRPr="00F56623">
        <w:rPr>
          <w:rFonts w:ascii="Palatino Linotype" w:hAnsi="Palatino Linotype"/>
          <w:b/>
          <w:sz w:val="22"/>
          <w:szCs w:val="22"/>
        </w:rPr>
        <w:t xml:space="preserve">Que, </w:t>
      </w:r>
      <w:r w:rsidR="00F56623" w:rsidRPr="00F56623">
        <w:rPr>
          <w:rFonts w:ascii="Palatino Linotype" w:hAnsi="Palatino Linotype"/>
          <w:b/>
          <w:sz w:val="22"/>
          <w:szCs w:val="22"/>
        </w:rPr>
        <w:tab/>
      </w:r>
      <w:r w:rsidRPr="00F56623">
        <w:rPr>
          <w:rFonts w:ascii="Palatino Linotype" w:hAnsi="Palatino Linotype"/>
          <w:sz w:val="22"/>
          <w:szCs w:val="22"/>
        </w:rPr>
        <w:t>los artículos 37 y 47 de la Constitución de la República del Ecuador, ampara el derecho de  grupos vulnerables mediante la aplicación de exenciones en el régimen tributario;</w:t>
      </w:r>
    </w:p>
    <w:p w:rsidR="00E70B4C" w:rsidRPr="00F56623" w:rsidRDefault="00E70B4C" w:rsidP="00F56623">
      <w:pPr>
        <w:autoSpaceDE w:val="0"/>
        <w:autoSpaceDN w:val="0"/>
        <w:adjustRightInd w:val="0"/>
        <w:spacing w:after="120" w:line="276" w:lineRule="auto"/>
        <w:ind w:left="705" w:hanging="705"/>
        <w:jc w:val="both"/>
        <w:rPr>
          <w:rFonts w:ascii="Palatino Linotype" w:hAnsi="Palatino Linotype"/>
          <w:sz w:val="22"/>
          <w:szCs w:val="22"/>
        </w:rPr>
      </w:pPr>
      <w:r w:rsidRPr="00F56623">
        <w:rPr>
          <w:rFonts w:ascii="Palatino Linotype" w:hAnsi="Palatino Linotype"/>
          <w:b/>
          <w:sz w:val="22"/>
          <w:szCs w:val="22"/>
        </w:rPr>
        <w:t>Que,</w:t>
      </w:r>
      <w:r w:rsidRPr="00F56623">
        <w:rPr>
          <w:rFonts w:ascii="Palatino Linotype" w:hAnsi="Palatino Linotype"/>
          <w:sz w:val="22"/>
          <w:szCs w:val="22"/>
        </w:rPr>
        <w:t xml:space="preserve"> </w:t>
      </w:r>
      <w:r w:rsidR="00F56623">
        <w:rPr>
          <w:rFonts w:ascii="Palatino Linotype" w:hAnsi="Palatino Linotype"/>
          <w:sz w:val="22"/>
          <w:szCs w:val="22"/>
        </w:rPr>
        <w:tab/>
      </w:r>
      <w:r w:rsidRPr="00F56623">
        <w:rPr>
          <w:rFonts w:ascii="Palatino Linotype" w:hAnsi="Palatino Linotype"/>
          <w:sz w:val="22"/>
          <w:szCs w:val="22"/>
        </w:rPr>
        <w:t>el artículo 238</w:t>
      </w:r>
      <w:r w:rsidR="00726F28" w:rsidRPr="00F56623">
        <w:rPr>
          <w:rFonts w:ascii="Palatino Linotype" w:hAnsi="Palatino Linotype"/>
          <w:sz w:val="22"/>
          <w:szCs w:val="22"/>
        </w:rPr>
        <w:t xml:space="preserve"> de la norma constitucional</w:t>
      </w:r>
      <w:r w:rsidRPr="00F56623">
        <w:rPr>
          <w:rFonts w:ascii="Palatino Linotype" w:hAnsi="Palatino Linotype"/>
          <w:sz w:val="22"/>
          <w:szCs w:val="22"/>
        </w:rPr>
        <w:t xml:space="preserve"> reconoce y garantiza la autonomía política, administrativa y financiera de los gobiernos autónomos descentralizados, la misma que es definida en los artículos 5 y 6 del Código Orgánico de Organización Territorial, Autonomía y Descentralización</w:t>
      </w:r>
      <w:r w:rsidR="00F56623">
        <w:rPr>
          <w:rFonts w:ascii="Palatino Linotype" w:hAnsi="Palatino Linotype"/>
          <w:sz w:val="22"/>
          <w:szCs w:val="22"/>
        </w:rPr>
        <w:t>;</w:t>
      </w:r>
    </w:p>
    <w:p w:rsidR="00E70B4C" w:rsidRPr="00F56623" w:rsidRDefault="00E70B4C" w:rsidP="00F56623">
      <w:pPr>
        <w:autoSpaceDE w:val="0"/>
        <w:autoSpaceDN w:val="0"/>
        <w:adjustRightInd w:val="0"/>
        <w:spacing w:after="120" w:line="276" w:lineRule="auto"/>
        <w:ind w:left="705" w:hanging="705"/>
        <w:jc w:val="both"/>
        <w:rPr>
          <w:rFonts w:ascii="Palatino Linotype" w:hAnsi="Palatino Linotype"/>
          <w:sz w:val="22"/>
          <w:szCs w:val="22"/>
        </w:rPr>
      </w:pPr>
      <w:r w:rsidRPr="00F56623">
        <w:rPr>
          <w:rFonts w:ascii="Palatino Linotype" w:hAnsi="Palatino Linotype"/>
          <w:b/>
          <w:sz w:val="22"/>
          <w:szCs w:val="22"/>
        </w:rPr>
        <w:t>Que,</w:t>
      </w:r>
      <w:r w:rsidRPr="00F56623">
        <w:rPr>
          <w:rFonts w:ascii="Palatino Linotype" w:hAnsi="Palatino Linotype"/>
          <w:sz w:val="22"/>
          <w:szCs w:val="22"/>
        </w:rPr>
        <w:t xml:space="preserve"> </w:t>
      </w:r>
      <w:r w:rsidR="00F56623">
        <w:rPr>
          <w:rFonts w:ascii="Palatino Linotype" w:hAnsi="Palatino Linotype"/>
          <w:sz w:val="22"/>
          <w:szCs w:val="22"/>
        </w:rPr>
        <w:tab/>
      </w:r>
      <w:r w:rsidRPr="00F56623">
        <w:rPr>
          <w:rFonts w:ascii="Palatino Linotype" w:hAnsi="Palatino Linotype"/>
          <w:sz w:val="22"/>
          <w:szCs w:val="22"/>
        </w:rPr>
        <w:t>el artículo 240 de la Constitución de la República del Ecuador reconoce la facultad legislativa de los Gobiernos Autónomos Descentralizados en el ámbito de sus competencias y jurisdicciones territoriales, facultando el artículo 264 del cuerpo del leyes citado, a los gobiernos municipales expedir ordenanzas cantonales, en el ámbito d</w:t>
      </w:r>
      <w:r w:rsidR="00F56623">
        <w:rPr>
          <w:rFonts w:ascii="Palatino Linotype" w:hAnsi="Palatino Linotype"/>
          <w:sz w:val="22"/>
          <w:szCs w:val="22"/>
        </w:rPr>
        <w:t>e sus competencias y territorio;</w:t>
      </w:r>
    </w:p>
    <w:p w:rsidR="00485484" w:rsidRPr="00F56623" w:rsidRDefault="00485484" w:rsidP="00F56623">
      <w:pPr>
        <w:autoSpaceDE w:val="0"/>
        <w:autoSpaceDN w:val="0"/>
        <w:adjustRightInd w:val="0"/>
        <w:spacing w:after="120" w:line="276" w:lineRule="auto"/>
        <w:ind w:left="705" w:hanging="705"/>
        <w:jc w:val="both"/>
        <w:rPr>
          <w:rFonts w:ascii="Palatino Linotype" w:hAnsi="Palatino Linotype"/>
          <w:sz w:val="22"/>
          <w:szCs w:val="22"/>
        </w:rPr>
      </w:pPr>
      <w:r w:rsidRPr="00F56623">
        <w:rPr>
          <w:rFonts w:ascii="Palatino Linotype" w:hAnsi="Palatino Linotype"/>
          <w:b/>
          <w:sz w:val="22"/>
          <w:szCs w:val="22"/>
        </w:rPr>
        <w:t>Que,</w:t>
      </w:r>
      <w:r w:rsidRPr="00F56623">
        <w:rPr>
          <w:rFonts w:ascii="Palatino Linotype" w:hAnsi="Palatino Linotype"/>
          <w:sz w:val="22"/>
          <w:szCs w:val="22"/>
        </w:rPr>
        <w:t xml:space="preserve"> </w:t>
      </w:r>
      <w:r w:rsidR="00F56623">
        <w:rPr>
          <w:rFonts w:ascii="Palatino Linotype" w:hAnsi="Palatino Linotype"/>
          <w:sz w:val="22"/>
          <w:szCs w:val="22"/>
        </w:rPr>
        <w:tab/>
      </w:r>
      <w:r w:rsidRPr="00F56623">
        <w:rPr>
          <w:rFonts w:ascii="Palatino Linotype" w:hAnsi="Palatino Linotype"/>
          <w:sz w:val="22"/>
          <w:szCs w:val="22"/>
        </w:rPr>
        <w:t>el numeral 5 del artículo 264 de la norma supra determina que los gobiernos municipales tienen como competencia exclusiva, entre otras, crear, modificar o suprimir mediante ordenanza, contribuciones especiales de mejora;</w:t>
      </w:r>
    </w:p>
    <w:p w:rsidR="00E70B4C" w:rsidRPr="00F56623" w:rsidRDefault="00E70B4C" w:rsidP="00F56623">
      <w:pPr>
        <w:autoSpaceDE w:val="0"/>
        <w:autoSpaceDN w:val="0"/>
        <w:adjustRightInd w:val="0"/>
        <w:spacing w:after="120" w:line="276" w:lineRule="auto"/>
        <w:ind w:left="705" w:hanging="705"/>
        <w:jc w:val="both"/>
        <w:rPr>
          <w:rFonts w:ascii="Palatino Linotype" w:hAnsi="Palatino Linotype"/>
          <w:sz w:val="22"/>
          <w:szCs w:val="22"/>
        </w:rPr>
      </w:pPr>
      <w:r w:rsidRPr="00F56623">
        <w:rPr>
          <w:rFonts w:ascii="Palatino Linotype" w:hAnsi="Palatino Linotype"/>
          <w:b/>
          <w:sz w:val="22"/>
          <w:szCs w:val="22"/>
        </w:rPr>
        <w:t>Que,</w:t>
      </w:r>
      <w:r w:rsidRPr="00F56623">
        <w:rPr>
          <w:rFonts w:ascii="Palatino Linotype" w:hAnsi="Palatino Linotype"/>
          <w:sz w:val="22"/>
          <w:szCs w:val="22"/>
        </w:rPr>
        <w:t xml:space="preserve"> </w:t>
      </w:r>
      <w:r w:rsidR="00F56623">
        <w:rPr>
          <w:rFonts w:ascii="Palatino Linotype" w:hAnsi="Palatino Linotype"/>
          <w:sz w:val="22"/>
          <w:szCs w:val="22"/>
        </w:rPr>
        <w:tab/>
      </w:r>
      <w:r w:rsidRPr="00F56623">
        <w:rPr>
          <w:rFonts w:ascii="Palatino Linotype" w:hAnsi="Palatino Linotype"/>
          <w:sz w:val="22"/>
          <w:szCs w:val="22"/>
        </w:rPr>
        <w:t xml:space="preserve">el artículo 300 del cuerpo constitucional señala que el régimen tributario se regirá </w:t>
      </w:r>
      <w:r w:rsidR="00485484" w:rsidRPr="00F56623">
        <w:rPr>
          <w:rFonts w:ascii="Palatino Linotype" w:hAnsi="Palatino Linotype"/>
          <w:sz w:val="22"/>
          <w:szCs w:val="22"/>
        </w:rPr>
        <w:t>por los principios de generalidad, progresividad, eficiencia, simplicidad administrativa, irretroactividad, equidad, transparencia y suficiencia recaudatoria;</w:t>
      </w:r>
    </w:p>
    <w:p w:rsidR="00485484" w:rsidRPr="00F56623" w:rsidRDefault="00485484" w:rsidP="00F56623">
      <w:pPr>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el artículo 186 del Código Orgánico de Organización Territorial, Autonomía y Descentralización COOTAD, dispone que los gobiernos autónomos descentralizados municipales y distritos metropolitanos mediante ordenanza podrán crear, modificar, exonerar o suprimir contribuciones especiales de mejoras generales en razón de las obras que ejecuten dentro del ámbito de sus competencias y circunscripción;</w:t>
      </w:r>
    </w:p>
    <w:p w:rsidR="00E70B4C" w:rsidRPr="00F56623" w:rsidRDefault="00E70B4C" w:rsidP="00F56623">
      <w:pPr>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el artículo 492 del Código Orgánico de Organización Territorial, Autonomía y Descentralización COOTAD, faculta a los Distritos Metropolit</w:t>
      </w:r>
      <w:r w:rsidR="00485484" w:rsidRPr="00F56623">
        <w:rPr>
          <w:rFonts w:ascii="Palatino Linotype" w:eastAsia="Calibri" w:hAnsi="Palatino Linotype"/>
          <w:sz w:val="22"/>
          <w:szCs w:val="22"/>
        </w:rPr>
        <w:t xml:space="preserve">anos a reglamentar por medio de </w:t>
      </w:r>
      <w:r w:rsidRPr="00F56623">
        <w:rPr>
          <w:rFonts w:ascii="Palatino Linotype" w:eastAsia="Calibri" w:hAnsi="Palatino Linotype"/>
          <w:sz w:val="22"/>
          <w:szCs w:val="22"/>
        </w:rPr>
        <w:t>ordenanzas, el cobro de sus tributos;</w:t>
      </w:r>
    </w:p>
    <w:p w:rsidR="00E70B4C" w:rsidRDefault="00E70B4C" w:rsidP="00F56623">
      <w:pPr>
        <w:autoSpaceDE w:val="0"/>
        <w:autoSpaceDN w:val="0"/>
        <w:adjustRightInd w:val="0"/>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lastRenderedPageBreak/>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el a</w:t>
      </w:r>
      <w:r w:rsidR="007927F9" w:rsidRPr="00F56623">
        <w:rPr>
          <w:rFonts w:ascii="Palatino Linotype" w:eastAsia="Calibri" w:hAnsi="Palatino Linotype"/>
          <w:sz w:val="22"/>
          <w:szCs w:val="22"/>
        </w:rPr>
        <w:t xml:space="preserve">rtículo 569, ibídem, establece que </w:t>
      </w:r>
      <w:r w:rsidR="00485484" w:rsidRPr="00F56623">
        <w:rPr>
          <w:rFonts w:ascii="Palatino Linotype" w:eastAsia="Calibri" w:hAnsi="Palatino Linotype"/>
          <w:sz w:val="22"/>
          <w:szCs w:val="22"/>
        </w:rPr>
        <w:t>l</w:t>
      </w:r>
      <w:r w:rsidR="007927F9" w:rsidRPr="00F56623">
        <w:rPr>
          <w:rFonts w:ascii="Palatino Linotype" w:eastAsia="Calibri" w:hAnsi="Palatino Linotype"/>
          <w:sz w:val="22"/>
          <w:szCs w:val="22"/>
        </w:rPr>
        <w:t>os concejos municipales o distritales podrán disminuir o exonerar el pago de la contribución especial de mejoras en consideración de la situación social y económica de los contribuyentes;</w:t>
      </w:r>
    </w:p>
    <w:p w:rsidR="0034792F" w:rsidRPr="0034792F" w:rsidRDefault="0034792F" w:rsidP="0034792F">
      <w:pPr>
        <w:autoSpaceDE w:val="0"/>
        <w:autoSpaceDN w:val="0"/>
        <w:adjustRightInd w:val="0"/>
        <w:spacing w:after="120" w:line="276" w:lineRule="auto"/>
        <w:ind w:left="705" w:hanging="705"/>
        <w:jc w:val="both"/>
        <w:rPr>
          <w:rFonts w:ascii="Palatino Linotype" w:eastAsia="Calibri" w:hAnsi="Palatino Linotype"/>
          <w:i/>
          <w:sz w:val="22"/>
          <w:szCs w:val="22"/>
        </w:rPr>
      </w:pPr>
      <w:r>
        <w:rPr>
          <w:rFonts w:ascii="Palatino Linotype" w:eastAsia="Calibri" w:hAnsi="Palatino Linotype"/>
          <w:b/>
          <w:sz w:val="22"/>
          <w:szCs w:val="22"/>
        </w:rPr>
        <w:t xml:space="preserve">Que, </w:t>
      </w:r>
      <w:r>
        <w:rPr>
          <w:rFonts w:ascii="Palatino Linotype" w:eastAsia="Calibri" w:hAnsi="Palatino Linotype"/>
          <w:b/>
          <w:sz w:val="22"/>
          <w:szCs w:val="22"/>
        </w:rPr>
        <w:tab/>
      </w:r>
      <w:r>
        <w:rPr>
          <w:rFonts w:ascii="Palatino Linotype" w:eastAsia="Calibri" w:hAnsi="Palatino Linotype"/>
          <w:sz w:val="22"/>
          <w:szCs w:val="22"/>
        </w:rPr>
        <w:t>el artículo 570 del COOTAD, en lo relacionado al desarrollo de proyectos de servicios básicos, establece: “</w:t>
      </w:r>
      <w:r w:rsidRPr="0034792F">
        <w:rPr>
          <w:rFonts w:ascii="Palatino Linotype" w:eastAsiaTheme="minorHAnsi" w:hAnsi="Palatino Linotype" w:cs="Arial"/>
          <w:b/>
          <w:bCs/>
          <w:i/>
          <w:sz w:val="22"/>
          <w:szCs w:val="22"/>
          <w:lang w:val="es-EC" w:eastAsia="en-US"/>
        </w:rPr>
        <w:t>Art. 570</w:t>
      </w:r>
      <w:r w:rsidRPr="0034792F">
        <w:rPr>
          <w:rFonts w:ascii="Palatino Linotype" w:eastAsiaTheme="minorHAnsi" w:hAnsi="Palatino Linotype" w:cs="Arial"/>
          <w:i/>
          <w:sz w:val="22"/>
          <w:szCs w:val="22"/>
          <w:lang w:val="es-EC" w:eastAsia="en-US"/>
        </w:rPr>
        <w:t>.- Exención por participación monetaria o en especie.- Los gobiernos autónomos</w:t>
      </w:r>
      <w:r>
        <w:rPr>
          <w:rFonts w:ascii="Palatino Linotype" w:eastAsiaTheme="minorHAnsi" w:hAnsi="Palatino Linotype" w:cs="Arial"/>
          <w:i/>
          <w:sz w:val="22"/>
          <w:szCs w:val="22"/>
          <w:lang w:val="es-EC" w:eastAsia="en-US"/>
        </w:rPr>
        <w:t xml:space="preserve"> </w:t>
      </w:r>
      <w:r w:rsidRPr="0034792F">
        <w:rPr>
          <w:rFonts w:ascii="Palatino Linotype" w:eastAsiaTheme="minorHAnsi" w:hAnsi="Palatino Linotype" w:cs="Arial"/>
          <w:i/>
          <w:sz w:val="22"/>
          <w:szCs w:val="22"/>
          <w:lang w:val="es-EC" w:eastAsia="en-US"/>
        </w:rPr>
        <w:t>descentralizados municipales y metropolitanos podrán desarrollar proyectos de servicios básicos con</w:t>
      </w:r>
      <w:r>
        <w:rPr>
          <w:rFonts w:ascii="Palatino Linotype" w:eastAsiaTheme="minorHAnsi" w:hAnsi="Palatino Linotype" w:cs="Arial"/>
          <w:i/>
          <w:sz w:val="22"/>
          <w:szCs w:val="22"/>
          <w:lang w:val="es-EC" w:eastAsia="en-US"/>
        </w:rPr>
        <w:t xml:space="preserve"> </w:t>
      </w:r>
      <w:r w:rsidRPr="0034792F">
        <w:rPr>
          <w:rFonts w:ascii="Palatino Linotype" w:eastAsiaTheme="minorHAnsi" w:hAnsi="Palatino Linotype" w:cs="Arial"/>
          <w:i/>
          <w:sz w:val="22"/>
          <w:szCs w:val="22"/>
          <w:lang w:val="es-EC" w:eastAsia="en-US"/>
        </w:rPr>
        <w:t>la participación pecuniaria o aportación de trabajo de las comunidades organizadas, en cuyo caso</w:t>
      </w:r>
      <w:r>
        <w:rPr>
          <w:rFonts w:ascii="Palatino Linotype" w:eastAsiaTheme="minorHAnsi" w:hAnsi="Palatino Linotype" w:cs="Arial"/>
          <w:i/>
          <w:sz w:val="22"/>
          <w:szCs w:val="22"/>
          <w:lang w:val="es-EC" w:eastAsia="en-US"/>
        </w:rPr>
        <w:t xml:space="preserve"> </w:t>
      </w:r>
      <w:r w:rsidRPr="0034792F">
        <w:rPr>
          <w:rFonts w:ascii="Palatino Linotype" w:eastAsiaTheme="minorHAnsi" w:hAnsi="Palatino Linotype" w:cs="Arial"/>
          <w:i/>
          <w:sz w:val="22"/>
          <w:szCs w:val="22"/>
          <w:lang w:val="es-EC" w:eastAsia="en-US"/>
        </w:rPr>
        <w:t>éstas no pagarán contribución de mejoras.</w:t>
      </w:r>
      <w:r>
        <w:rPr>
          <w:rFonts w:ascii="Palatino Linotype" w:eastAsia="Calibri" w:hAnsi="Palatino Linotype"/>
          <w:sz w:val="22"/>
          <w:szCs w:val="22"/>
        </w:rPr>
        <w:t>”</w:t>
      </w:r>
      <w:r>
        <w:rPr>
          <w:rFonts w:ascii="Palatino Linotype" w:eastAsia="Calibri" w:hAnsi="Palatino Linotype"/>
          <w:i/>
          <w:sz w:val="22"/>
          <w:szCs w:val="22"/>
        </w:rPr>
        <w:t>;</w:t>
      </w:r>
    </w:p>
    <w:p w:rsidR="007927F9" w:rsidRPr="00F56623" w:rsidRDefault="00485484" w:rsidP="00F56623">
      <w:pPr>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 xml:space="preserve">el artículo 572 de norma precedente establece que la </w:t>
      </w:r>
      <w:r w:rsidR="003E4AD4" w:rsidRPr="00F56623">
        <w:rPr>
          <w:rFonts w:ascii="Palatino Linotype" w:eastAsia="Calibri" w:hAnsi="Palatino Linotype"/>
          <w:sz w:val="22"/>
          <w:szCs w:val="22"/>
        </w:rPr>
        <w:t>construcción de vías conectoras y avenidas principales generarán contribución por mejoras</w:t>
      </w:r>
      <w:r w:rsidRPr="00F56623">
        <w:rPr>
          <w:rFonts w:ascii="Palatino Linotype" w:eastAsia="Calibri" w:hAnsi="Palatino Linotype"/>
          <w:sz w:val="22"/>
          <w:szCs w:val="22"/>
        </w:rPr>
        <w:t xml:space="preserve"> </w:t>
      </w:r>
      <w:r w:rsidR="003E4AD4" w:rsidRPr="00F56623">
        <w:rPr>
          <w:rFonts w:ascii="Palatino Linotype" w:eastAsia="Calibri" w:hAnsi="Palatino Linotype"/>
          <w:sz w:val="22"/>
          <w:szCs w:val="22"/>
        </w:rPr>
        <w:t>para el conjunto de la zona o de la ciudad, segú</w:t>
      </w:r>
      <w:r w:rsidRPr="00F56623">
        <w:rPr>
          <w:rFonts w:ascii="Palatino Linotype" w:eastAsia="Calibri" w:hAnsi="Palatino Linotype"/>
          <w:sz w:val="22"/>
          <w:szCs w:val="22"/>
        </w:rPr>
        <w:t>n sea el caso;</w:t>
      </w:r>
    </w:p>
    <w:p w:rsidR="00D1683D" w:rsidRPr="00F56623" w:rsidRDefault="00D1683D" w:rsidP="00F56623">
      <w:pPr>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el artículo 575 del Código Orgánico de Organización Territorial, Autonomía y Descentralización COOTAD señala que son sujetos pasivos de la contribución especial los propietarios de los inmuebles beneficiados por la ejecución de la obra pública. Las municipalidades y distritos metropolitanos podrán absorber con cargo a su presupuesto de egresos, el importe de las exenciones que por razones de orden público, económico o social se establezcan mediante ordenanza, cuya iniciativa privativa le corresponde al Alcalde de conformidad con este Código;</w:t>
      </w:r>
    </w:p>
    <w:p w:rsidR="00485484" w:rsidRPr="00F56623" w:rsidRDefault="00485484" w:rsidP="00F56623">
      <w:pPr>
        <w:autoSpaceDE w:val="0"/>
        <w:autoSpaceDN w:val="0"/>
        <w:adjustRightInd w:val="0"/>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009B6F6A" w:rsidRPr="00F56623">
        <w:rPr>
          <w:rFonts w:ascii="Palatino Linotype" w:eastAsia="Calibri" w:hAnsi="Palatino Linotype"/>
          <w:sz w:val="22"/>
          <w:szCs w:val="22"/>
        </w:rPr>
        <w:t xml:space="preserve">de acuerdo con </w:t>
      </w:r>
      <w:r w:rsidR="00B70766" w:rsidRPr="00F56623">
        <w:rPr>
          <w:rFonts w:ascii="Palatino Linotype" w:eastAsia="Calibri" w:hAnsi="Palatino Linotype"/>
          <w:sz w:val="22"/>
          <w:szCs w:val="22"/>
        </w:rPr>
        <w:t xml:space="preserve">los </w:t>
      </w:r>
      <w:r w:rsidR="009B6F6A" w:rsidRPr="00F56623">
        <w:rPr>
          <w:rFonts w:ascii="Palatino Linotype" w:eastAsia="Calibri" w:hAnsi="Palatino Linotype"/>
          <w:sz w:val="22"/>
          <w:szCs w:val="22"/>
        </w:rPr>
        <w:t>artículo 578</w:t>
      </w:r>
      <w:r w:rsidR="00B70766" w:rsidRPr="00F56623">
        <w:rPr>
          <w:rFonts w:ascii="Palatino Linotype" w:eastAsia="Calibri" w:hAnsi="Palatino Linotype"/>
          <w:sz w:val="22"/>
          <w:szCs w:val="22"/>
        </w:rPr>
        <w:t>, 591 y 592</w:t>
      </w:r>
      <w:r w:rsidR="00726F28" w:rsidRPr="00F56623">
        <w:rPr>
          <w:rFonts w:ascii="Palatino Linotype" w:eastAsia="Calibri" w:hAnsi="Palatino Linotype"/>
          <w:sz w:val="22"/>
          <w:szCs w:val="22"/>
        </w:rPr>
        <w:t xml:space="preserve"> del referido cuerpo legal</w:t>
      </w:r>
      <w:r w:rsidR="009B6F6A" w:rsidRPr="00F56623">
        <w:rPr>
          <w:rFonts w:ascii="Palatino Linotype" w:eastAsia="Calibri" w:hAnsi="Palatino Linotype"/>
          <w:sz w:val="22"/>
          <w:szCs w:val="22"/>
        </w:rPr>
        <w:t>, la base del tributo será el costo de la obra respectiva, prorrateado entre</w:t>
      </w:r>
      <w:r w:rsidR="00B70766" w:rsidRPr="00F56623">
        <w:rPr>
          <w:rFonts w:ascii="Palatino Linotype" w:eastAsia="Calibri" w:hAnsi="Palatino Linotype"/>
          <w:sz w:val="22"/>
          <w:szCs w:val="22"/>
        </w:rPr>
        <w:t xml:space="preserve"> todas </w:t>
      </w:r>
      <w:r w:rsidR="009B6F6A" w:rsidRPr="00F56623">
        <w:rPr>
          <w:rFonts w:ascii="Palatino Linotype" w:eastAsia="Calibri" w:hAnsi="Palatino Linotype"/>
          <w:sz w:val="22"/>
          <w:szCs w:val="22"/>
        </w:rPr>
        <w:t>las propiedades beneficiadas, en la forma</w:t>
      </w:r>
      <w:r w:rsidR="00B70766" w:rsidRPr="00F56623">
        <w:rPr>
          <w:rFonts w:ascii="Palatino Linotype" w:eastAsia="Calibri" w:hAnsi="Palatino Linotype"/>
          <w:sz w:val="22"/>
          <w:szCs w:val="22"/>
        </w:rPr>
        <w:t>, proporción</w:t>
      </w:r>
      <w:r w:rsidR="009B6F6A" w:rsidRPr="00F56623">
        <w:rPr>
          <w:rFonts w:ascii="Palatino Linotype" w:eastAsia="Calibri" w:hAnsi="Palatino Linotype"/>
          <w:sz w:val="22"/>
          <w:szCs w:val="22"/>
        </w:rPr>
        <w:t xml:space="preserve"> y</w:t>
      </w:r>
      <w:r w:rsidR="00B70766" w:rsidRPr="00F56623">
        <w:rPr>
          <w:rFonts w:ascii="Palatino Linotype" w:eastAsia="Calibri" w:hAnsi="Palatino Linotype"/>
          <w:sz w:val="22"/>
          <w:szCs w:val="22"/>
        </w:rPr>
        <w:t xml:space="preserve"> plazo en que los contribuyentes pagarán la deuda por la contribución especial de mejoras que les corresponde, conforme</w:t>
      </w:r>
      <w:r w:rsidR="009B6F6A" w:rsidRPr="00F56623">
        <w:rPr>
          <w:rFonts w:ascii="Palatino Linotype" w:eastAsia="Calibri" w:hAnsi="Palatino Linotype"/>
          <w:sz w:val="22"/>
          <w:szCs w:val="22"/>
        </w:rPr>
        <w:t xml:space="preserve"> se establezca en las respectivas ordenanzas</w:t>
      </w:r>
      <w:r w:rsidR="00B70766" w:rsidRPr="00F56623">
        <w:rPr>
          <w:rFonts w:ascii="Palatino Linotype" w:eastAsia="Calibri" w:hAnsi="Palatino Linotype"/>
          <w:sz w:val="22"/>
          <w:szCs w:val="22"/>
        </w:rPr>
        <w:t>; y, las exenciones establecidas por el órgano normativo competente serán de cargo de las municipalidades o distritos metropolitanos respectivos;</w:t>
      </w:r>
    </w:p>
    <w:p w:rsidR="009B6F6A" w:rsidRDefault="009B6F6A" w:rsidP="00F56623">
      <w:pPr>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 xml:space="preserve">la Ordenanza Metropolitana No. 154 publicada en el Suplemento del Registro Oficial No. 599 el 19 de diciembre de 2011, </w:t>
      </w:r>
      <w:r w:rsidR="008D3085" w:rsidRPr="00F56623">
        <w:rPr>
          <w:rFonts w:ascii="Palatino Linotype" w:eastAsia="Calibri" w:hAnsi="Palatino Linotype"/>
          <w:sz w:val="22"/>
          <w:szCs w:val="22"/>
        </w:rPr>
        <w:t>racionaliza el cobro de la contribución especial de mejoras de alcance distrital</w:t>
      </w:r>
      <w:r w:rsidRPr="00F56623">
        <w:rPr>
          <w:rFonts w:ascii="Palatino Linotype" w:eastAsia="Calibri" w:hAnsi="Palatino Linotype"/>
          <w:sz w:val="22"/>
          <w:szCs w:val="22"/>
        </w:rPr>
        <w:t xml:space="preserve">; </w:t>
      </w:r>
    </w:p>
    <w:p w:rsidR="002E2F80" w:rsidRDefault="002E2F80" w:rsidP="00F56623">
      <w:pPr>
        <w:spacing w:after="120" w:line="276" w:lineRule="auto"/>
        <w:ind w:left="705" w:hanging="705"/>
        <w:jc w:val="both"/>
        <w:rPr>
          <w:rFonts w:ascii="Palatino Linotype" w:eastAsia="Calibri" w:hAnsi="Palatino Linotype"/>
          <w:i/>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el numeral 1 del artículo 147</w:t>
      </w:r>
      <w:r w:rsidR="001D6635" w:rsidRPr="00F56623">
        <w:rPr>
          <w:rFonts w:ascii="Palatino Linotype" w:eastAsia="Calibri" w:hAnsi="Palatino Linotype"/>
          <w:sz w:val="22"/>
          <w:szCs w:val="22"/>
        </w:rPr>
        <w:t xml:space="preserve"> de la Ordenanza Metropolitana No. 0092 de 22 de julio de 2003 que regula la Contribución Especial de Mejoras, establece que para toda obra vial, para el cálculo de contribución especial de mejoras, se determinará su zona de influencia y se cobrará por cada uno de los proyectos </w:t>
      </w:r>
      <w:r w:rsidR="001D6635" w:rsidRPr="00F56623">
        <w:rPr>
          <w:rFonts w:ascii="Palatino Linotype" w:eastAsia="Calibri" w:hAnsi="Palatino Linotype"/>
          <w:sz w:val="22"/>
          <w:szCs w:val="22"/>
        </w:rPr>
        <w:lastRenderedPageBreak/>
        <w:t xml:space="preserve">de la siguiente manera: </w:t>
      </w:r>
      <w:r w:rsidR="001D6635" w:rsidRPr="00F56623">
        <w:rPr>
          <w:rFonts w:ascii="Palatino Linotype" w:eastAsia="Calibri" w:hAnsi="Palatino Linotype"/>
          <w:i/>
          <w:sz w:val="22"/>
          <w:szCs w:val="22"/>
        </w:rPr>
        <w:t>“1. En las vías principales, su zona de influencia será toda el área del Distrito Metropolitano de Quito (…)”;</w:t>
      </w:r>
    </w:p>
    <w:p w:rsidR="0064353C" w:rsidRPr="0064353C" w:rsidRDefault="0064353C" w:rsidP="0064353C">
      <w:pPr>
        <w:spacing w:after="120" w:line="276" w:lineRule="auto"/>
        <w:ind w:left="705" w:hanging="705"/>
        <w:jc w:val="both"/>
        <w:rPr>
          <w:rFonts w:ascii="Palatino Linotype" w:eastAsia="Calibri" w:hAnsi="Palatino Linotype"/>
          <w:sz w:val="22"/>
          <w:szCs w:val="22"/>
        </w:rPr>
      </w:pPr>
      <w:r>
        <w:rPr>
          <w:rFonts w:ascii="Palatino Linotype" w:eastAsia="Calibri" w:hAnsi="Palatino Linotype"/>
          <w:b/>
          <w:sz w:val="22"/>
          <w:szCs w:val="22"/>
        </w:rPr>
        <w:t>Que,</w:t>
      </w:r>
      <w:r>
        <w:rPr>
          <w:rFonts w:ascii="Palatino Linotype" w:eastAsia="Calibri" w:hAnsi="Palatino Linotype"/>
          <w:sz w:val="22"/>
          <w:szCs w:val="22"/>
        </w:rPr>
        <w:tab/>
        <w:t xml:space="preserve">el inciso final del artículo 31 de la Ordenanza Metropolitana No. 102, de 3 de marzo de 2016, respecto de la gestión compartida / corresponsabilidad, establece: “(…) </w:t>
      </w:r>
      <w:r w:rsidRPr="0064353C">
        <w:rPr>
          <w:rFonts w:ascii="Palatino Linotype" w:hAnsi="Palatino Linotype"/>
          <w:i/>
          <w:sz w:val="22"/>
          <w:szCs w:val="22"/>
        </w:rPr>
        <w:t>Las obras que se realicen bajo esta modalidad no se considerarán en el cálculo del cobro de la contribución especial de mejoras.</w:t>
      </w:r>
      <w:r>
        <w:rPr>
          <w:rFonts w:ascii="Palatino Linotype" w:hAnsi="Palatino Linotype"/>
          <w:i/>
          <w:sz w:val="22"/>
          <w:szCs w:val="22"/>
        </w:rPr>
        <w:t xml:space="preserve"> (…)”</w:t>
      </w:r>
      <w:r>
        <w:rPr>
          <w:rFonts w:ascii="Palatino Linotype" w:hAnsi="Palatino Linotype"/>
          <w:sz w:val="22"/>
          <w:szCs w:val="22"/>
        </w:rPr>
        <w:t>;</w:t>
      </w:r>
    </w:p>
    <w:p w:rsidR="0062677A" w:rsidRPr="00F56623" w:rsidRDefault="0062677A" w:rsidP="00F56623">
      <w:pPr>
        <w:autoSpaceDE w:val="0"/>
        <w:autoSpaceDN w:val="0"/>
        <w:adjustRightInd w:val="0"/>
        <w:spacing w:after="120" w:line="276" w:lineRule="auto"/>
        <w:ind w:left="708"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 xml:space="preserve">la Contribución Especial de Mejoras por la construcción de vías conectoras y avenidas principales se genera para la ciudad, atendiendo el beneficio general que esta actividad pública le reporta a la colectividad; </w:t>
      </w:r>
    </w:p>
    <w:p w:rsidR="0062677A" w:rsidRPr="00F56623" w:rsidRDefault="0062677A" w:rsidP="00F56623">
      <w:pPr>
        <w:autoSpaceDE w:val="0"/>
        <w:autoSpaceDN w:val="0"/>
        <w:adjustRightInd w:val="0"/>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 xml:space="preserve">la construcción de este tributo debe atender principios tributarios como el de </w:t>
      </w:r>
      <w:r w:rsidR="004623DD" w:rsidRPr="00F56623">
        <w:rPr>
          <w:rFonts w:ascii="Palatino Linotype" w:eastAsia="Calibri" w:hAnsi="Palatino Linotype"/>
          <w:sz w:val="22"/>
          <w:szCs w:val="22"/>
        </w:rPr>
        <w:t xml:space="preserve">no confiscación que se manifiesta con la capacidad contributiva del sujeto pasivo, </w:t>
      </w:r>
      <w:r w:rsidR="006F2577" w:rsidRPr="00F56623">
        <w:rPr>
          <w:rFonts w:ascii="Palatino Linotype" w:eastAsia="Calibri" w:hAnsi="Palatino Linotype"/>
          <w:sz w:val="22"/>
          <w:szCs w:val="22"/>
        </w:rPr>
        <w:t>evitando el incremento desmedido de este tributo</w:t>
      </w:r>
      <w:r w:rsidRPr="00F56623">
        <w:rPr>
          <w:rFonts w:ascii="Palatino Linotype" w:eastAsia="Calibri" w:hAnsi="Palatino Linotype"/>
          <w:sz w:val="22"/>
          <w:szCs w:val="22"/>
        </w:rPr>
        <w:t xml:space="preserve">; </w:t>
      </w:r>
    </w:p>
    <w:p w:rsidR="008D3085" w:rsidRPr="00F56623" w:rsidRDefault="008D3085" w:rsidP="00F56623">
      <w:pPr>
        <w:spacing w:after="120" w:line="276" w:lineRule="auto"/>
        <w:ind w:left="705" w:hanging="705"/>
        <w:jc w:val="both"/>
        <w:rPr>
          <w:rFonts w:ascii="Palatino Linotype" w:eastAsia="Calibri" w:hAnsi="Palatino Linotype"/>
          <w:sz w:val="22"/>
          <w:szCs w:val="22"/>
        </w:rPr>
      </w:pPr>
      <w:r w:rsidRPr="00F56623">
        <w:rPr>
          <w:rFonts w:ascii="Palatino Linotype" w:eastAsia="Calibri" w:hAnsi="Palatino Linotype"/>
          <w:b/>
          <w:sz w:val="22"/>
          <w:szCs w:val="22"/>
        </w:rPr>
        <w:t>Que</w:t>
      </w:r>
      <w:r w:rsidRPr="00F56623">
        <w:rPr>
          <w:rFonts w:ascii="Palatino Linotype" w:eastAsia="Calibri" w:hAnsi="Palatino Linotype"/>
          <w:sz w:val="22"/>
          <w:szCs w:val="22"/>
        </w:rPr>
        <w:t xml:space="preserve">, </w:t>
      </w:r>
      <w:r w:rsidR="00F56623">
        <w:rPr>
          <w:rFonts w:ascii="Palatino Linotype" w:eastAsia="Calibri" w:hAnsi="Palatino Linotype"/>
          <w:sz w:val="22"/>
          <w:szCs w:val="22"/>
        </w:rPr>
        <w:tab/>
      </w:r>
      <w:r w:rsidRPr="00F56623">
        <w:rPr>
          <w:rFonts w:ascii="Palatino Linotype" w:eastAsia="Calibri" w:hAnsi="Palatino Linotype"/>
          <w:sz w:val="22"/>
          <w:szCs w:val="22"/>
        </w:rPr>
        <w:t>es necesario efectuar la actualización normativa para el cálculo de la contribución especial de mejoras de alcance distrital, atendiendo principios tributarios, dentro del marco jurídico que regula este tributo;</w:t>
      </w:r>
    </w:p>
    <w:p w:rsidR="00F56623" w:rsidRDefault="008D3085" w:rsidP="00F56623">
      <w:pPr>
        <w:tabs>
          <w:tab w:val="left" w:pos="1461"/>
        </w:tabs>
        <w:spacing w:after="120" w:line="276" w:lineRule="auto"/>
        <w:jc w:val="both"/>
        <w:rPr>
          <w:rFonts w:ascii="Palatino Linotype" w:eastAsia="Calibri" w:hAnsi="Palatino Linotype"/>
          <w:b/>
          <w:sz w:val="22"/>
          <w:szCs w:val="22"/>
        </w:rPr>
      </w:pPr>
      <w:r w:rsidRPr="00F56623">
        <w:rPr>
          <w:rFonts w:ascii="Palatino Linotype" w:eastAsia="Calibri" w:hAnsi="Palatino Linotype"/>
          <w:b/>
          <w:sz w:val="22"/>
          <w:szCs w:val="22"/>
        </w:rPr>
        <w:t xml:space="preserve">En ejercicio de las competencias establecidas en los artículos 7 y 87 literales a) y b), del Código Orgánico de Organización Territorial, Autonomía y Descentralización COOTAD, y numeral 4 del artículo 8 de la Ley de Régimen para el Distrito Metropolitano de Quito, </w:t>
      </w:r>
    </w:p>
    <w:p w:rsidR="008D3085" w:rsidRPr="00F56623" w:rsidRDefault="00F56623" w:rsidP="00F56623">
      <w:pPr>
        <w:tabs>
          <w:tab w:val="left" w:pos="1461"/>
        </w:tabs>
        <w:spacing w:after="120" w:line="276" w:lineRule="auto"/>
        <w:jc w:val="center"/>
        <w:rPr>
          <w:rFonts w:ascii="Palatino Linotype" w:eastAsia="Calibri" w:hAnsi="Palatino Linotype"/>
          <w:b/>
          <w:sz w:val="22"/>
          <w:szCs w:val="22"/>
        </w:rPr>
      </w:pPr>
      <w:r w:rsidRPr="00F56623">
        <w:rPr>
          <w:rFonts w:ascii="Palatino Linotype" w:eastAsia="Calibri" w:hAnsi="Palatino Linotype"/>
          <w:b/>
          <w:sz w:val="22"/>
          <w:szCs w:val="22"/>
        </w:rPr>
        <w:t>EXPIDE LA SIGUIENTE:</w:t>
      </w:r>
    </w:p>
    <w:p w:rsidR="00704D35" w:rsidRPr="00F56623" w:rsidRDefault="008D3085" w:rsidP="00F56623">
      <w:pPr>
        <w:spacing w:after="120" w:line="276" w:lineRule="auto"/>
        <w:jc w:val="center"/>
        <w:rPr>
          <w:rFonts w:ascii="Palatino Linotype" w:eastAsia="Calibri" w:hAnsi="Palatino Linotype"/>
          <w:b/>
          <w:sz w:val="22"/>
          <w:szCs w:val="22"/>
        </w:rPr>
      </w:pPr>
      <w:r w:rsidRPr="00F56623">
        <w:rPr>
          <w:rFonts w:ascii="Palatino Linotype" w:hAnsi="Palatino Linotype"/>
          <w:b/>
          <w:iCs/>
          <w:sz w:val="22"/>
          <w:szCs w:val="22"/>
        </w:rPr>
        <w:t xml:space="preserve">ORDENANZA </w:t>
      </w:r>
      <w:r w:rsidR="00C91DCC" w:rsidRPr="00F56623">
        <w:rPr>
          <w:rFonts w:ascii="Palatino Linotype" w:hAnsi="Palatino Linotype"/>
          <w:b/>
          <w:iCs/>
          <w:sz w:val="22"/>
          <w:szCs w:val="22"/>
        </w:rPr>
        <w:t xml:space="preserve">SUSTITUTIVA DE LA ORDENANZA </w:t>
      </w:r>
      <w:r w:rsidR="003F19BD" w:rsidRPr="00F56623">
        <w:rPr>
          <w:rFonts w:ascii="Palatino Linotype" w:hAnsi="Palatino Linotype"/>
          <w:b/>
          <w:iCs/>
          <w:sz w:val="22"/>
          <w:szCs w:val="22"/>
        </w:rPr>
        <w:t xml:space="preserve">METROPOLITANA </w:t>
      </w:r>
      <w:r w:rsidR="00C91DCC" w:rsidRPr="00F56623">
        <w:rPr>
          <w:rFonts w:ascii="Palatino Linotype" w:hAnsi="Palatino Linotype"/>
          <w:b/>
          <w:iCs/>
          <w:sz w:val="22"/>
          <w:szCs w:val="22"/>
        </w:rPr>
        <w:t xml:space="preserve">No. 154 </w:t>
      </w:r>
      <w:r w:rsidRPr="00F56623">
        <w:rPr>
          <w:rFonts w:ascii="Palatino Linotype" w:hAnsi="Palatino Linotype"/>
          <w:b/>
          <w:iCs/>
          <w:sz w:val="22"/>
          <w:szCs w:val="22"/>
        </w:rPr>
        <w:t>QUE REGULA LA DETERMINACIÓN Y COBRO DE LA CONTRIBUCIÓN ESPECIAL DE MEJORAS POR OBRAS PÚBLICAS DE ALCANCE DISTRITAL</w:t>
      </w:r>
      <w:r w:rsidR="00A43738" w:rsidRPr="00F56623">
        <w:rPr>
          <w:rFonts w:ascii="Palatino Linotype" w:hAnsi="Palatino Linotype"/>
          <w:b/>
          <w:iCs/>
          <w:sz w:val="22"/>
          <w:szCs w:val="22"/>
        </w:rPr>
        <w:t xml:space="preserve"> EN </w:t>
      </w:r>
      <w:r w:rsidRPr="00F56623">
        <w:rPr>
          <w:rFonts w:ascii="Palatino Linotype" w:hAnsi="Palatino Linotype"/>
          <w:b/>
          <w:iCs/>
          <w:sz w:val="22"/>
          <w:szCs w:val="22"/>
        </w:rPr>
        <w:t>EL DISTRITO METROPOLITANO DE QUITO</w:t>
      </w:r>
    </w:p>
    <w:p w:rsidR="00052543" w:rsidRPr="00F56623" w:rsidRDefault="00052543" w:rsidP="00F56623">
      <w:pPr>
        <w:tabs>
          <w:tab w:val="left" w:pos="708"/>
          <w:tab w:val="left" w:pos="1416"/>
          <w:tab w:val="left" w:pos="2124"/>
          <w:tab w:val="left" w:pos="3735"/>
        </w:tabs>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 xml:space="preserve">Artículo </w:t>
      </w:r>
      <w:proofErr w:type="spellStart"/>
      <w:r w:rsidRPr="00F56623">
        <w:rPr>
          <w:rFonts w:ascii="Palatino Linotype" w:eastAsia="Calibri" w:hAnsi="Palatino Linotype"/>
          <w:b/>
          <w:sz w:val="22"/>
          <w:szCs w:val="22"/>
        </w:rPr>
        <w:t>innumerado</w:t>
      </w:r>
      <w:proofErr w:type="spellEnd"/>
      <w:r w:rsidRPr="00F56623">
        <w:rPr>
          <w:rFonts w:ascii="Palatino Linotype" w:eastAsia="Calibri" w:hAnsi="Palatino Linotype"/>
          <w:b/>
          <w:sz w:val="22"/>
          <w:szCs w:val="22"/>
        </w:rPr>
        <w:t>.-</w:t>
      </w:r>
      <w:r w:rsidR="00F56623">
        <w:rPr>
          <w:rFonts w:ascii="Palatino Linotype" w:eastAsia="Calibri" w:hAnsi="Palatino Linotype"/>
          <w:sz w:val="22"/>
          <w:szCs w:val="22"/>
        </w:rPr>
        <w:t xml:space="preserve"> Agréguense</w:t>
      </w:r>
      <w:r w:rsidRPr="00F56623">
        <w:rPr>
          <w:rFonts w:ascii="Palatino Linotype" w:eastAsia="Calibri" w:hAnsi="Palatino Linotype"/>
          <w:sz w:val="22"/>
          <w:szCs w:val="22"/>
        </w:rPr>
        <w:t xml:space="preserve"> las disposiciones de la presente ordenanza a continuación del capítulo IV del Título III del Libro III del Código Municipal para el Distrito Metropolitano de Quito</w:t>
      </w:r>
      <w:r w:rsidR="00F56623">
        <w:rPr>
          <w:rFonts w:ascii="Palatino Linotype" w:eastAsia="Calibri" w:hAnsi="Palatino Linotype"/>
          <w:sz w:val="22"/>
          <w:szCs w:val="22"/>
        </w:rPr>
        <w:t>, al tenor del siguiente texto:</w:t>
      </w:r>
    </w:p>
    <w:p w:rsidR="0034792F" w:rsidRDefault="0034792F" w:rsidP="0034792F">
      <w:pPr>
        <w:spacing w:after="120" w:line="276" w:lineRule="auto"/>
        <w:jc w:val="both"/>
        <w:rPr>
          <w:rFonts w:ascii="Palatino Linotype" w:eastAsia="Calibri" w:hAnsi="Palatino Linotype"/>
          <w:sz w:val="22"/>
          <w:szCs w:val="22"/>
        </w:rPr>
      </w:pPr>
      <w:r w:rsidRPr="0034792F">
        <w:rPr>
          <w:rFonts w:ascii="Palatino Linotype" w:eastAsia="Calibri" w:hAnsi="Palatino Linotype"/>
          <w:b/>
          <w:sz w:val="22"/>
          <w:szCs w:val="22"/>
        </w:rPr>
        <w:t xml:space="preserve">Artículo 1.- Objeto.- </w:t>
      </w:r>
      <w:r w:rsidRPr="0034792F">
        <w:rPr>
          <w:rFonts w:ascii="Palatino Linotype" w:eastAsia="Calibri" w:hAnsi="Palatino Linotype"/>
          <w:sz w:val="22"/>
          <w:szCs w:val="22"/>
        </w:rPr>
        <w:t>La presente ordenanza tiene por objeto reglamentar la aplicación, cobro y exenciones de las contribución especial de mejoras de alcance distrital, por la construcción y mantenimiento de vías expresas, vías arteriales y vías colectoras principales en el Distrito Metropolitano de Quito</w:t>
      </w:r>
      <w:r w:rsidRPr="0034792F">
        <w:rPr>
          <w:rFonts w:ascii="Palatino Linotype" w:eastAsia="Calibri" w:hAnsi="Palatino Linotype"/>
          <w:sz w:val="22"/>
          <w:szCs w:val="22"/>
        </w:rPr>
        <w:t>.</w:t>
      </w:r>
    </w:p>
    <w:p w:rsidR="0034792F" w:rsidRDefault="0034792F" w:rsidP="0034792F">
      <w:pPr>
        <w:spacing w:after="120" w:line="276" w:lineRule="auto"/>
        <w:jc w:val="both"/>
        <w:rPr>
          <w:rFonts w:ascii="Palatino Linotype" w:eastAsia="Calibri" w:hAnsi="Palatino Linotype"/>
          <w:sz w:val="22"/>
          <w:szCs w:val="22"/>
        </w:rPr>
      </w:pPr>
      <w:r w:rsidRPr="0034792F">
        <w:rPr>
          <w:rFonts w:ascii="Palatino Linotype" w:eastAsia="Calibri" w:hAnsi="Palatino Linotype"/>
          <w:b/>
          <w:sz w:val="22"/>
          <w:szCs w:val="22"/>
        </w:rPr>
        <w:lastRenderedPageBreak/>
        <w:t xml:space="preserve">Artículo 2.- Obras de alcance distrital o de beneficio general.- </w:t>
      </w:r>
      <w:r w:rsidRPr="0034792F">
        <w:rPr>
          <w:rFonts w:ascii="Palatino Linotype" w:eastAsia="Calibri" w:hAnsi="Palatino Linotype"/>
          <w:sz w:val="22"/>
          <w:szCs w:val="22"/>
        </w:rPr>
        <w:t>Se consideran obras de alcance distrital aquellas que realiza el Municipio del Distrito Metropolitano de Quito o sus empresas púbicas en el marco de sus competencias, para promover el desarrollo de la ciudad mediante la construcción y mantenimiento de  vías expresas, vías arteriales y vías colectoras principales, de evidente interés y beneficio para la ciudad.</w:t>
      </w:r>
    </w:p>
    <w:p w:rsidR="00CD5243" w:rsidRDefault="00CD5243" w:rsidP="00F56623">
      <w:pPr>
        <w:spacing w:after="120" w:line="276" w:lineRule="auto"/>
        <w:jc w:val="both"/>
        <w:rPr>
          <w:rFonts w:ascii="Palatino Linotype" w:hAnsi="Palatino Linotype"/>
          <w:sz w:val="22"/>
          <w:szCs w:val="22"/>
        </w:rPr>
      </w:pPr>
      <w:r w:rsidRPr="00CD5243">
        <w:rPr>
          <w:rFonts w:ascii="Palatino Linotype" w:hAnsi="Palatino Linotype"/>
          <w:b/>
          <w:sz w:val="22"/>
          <w:szCs w:val="22"/>
        </w:rPr>
        <w:t>Artículo 3.- Exenciones.-</w:t>
      </w:r>
      <w:r w:rsidRPr="00CD5243">
        <w:rPr>
          <w:rFonts w:ascii="Palatino Linotype" w:hAnsi="Palatino Linotype"/>
          <w:sz w:val="22"/>
          <w:szCs w:val="22"/>
        </w:rPr>
        <w:t xml:space="preserve">  Se encuentran exentas del pago por contribución especial de mejoras por obras de alcance distrital cuyo cobro inicie a partir de la vigencia de la presente ordenanza, las personas naturales cuyo valor de propiedad global sea de hasta setenta mil dólares de los Estados Unidos de América (USD 70.000,</w:t>
      </w:r>
      <w:r w:rsidR="00483DF6">
        <w:rPr>
          <w:rFonts w:ascii="Palatino Linotype" w:hAnsi="Palatino Linotype"/>
          <w:sz w:val="22"/>
          <w:szCs w:val="22"/>
        </w:rPr>
        <w:t>00), por el lapso de cinco años</w:t>
      </w:r>
      <w:r w:rsidRPr="00CD5243">
        <w:rPr>
          <w:rFonts w:ascii="Palatino Linotype" w:hAnsi="Palatino Linotype"/>
          <w:sz w:val="22"/>
          <w:szCs w:val="22"/>
        </w:rPr>
        <w:t>.</w:t>
      </w:r>
    </w:p>
    <w:p w:rsidR="00CD5243" w:rsidRDefault="00CD5243" w:rsidP="00F56623">
      <w:pPr>
        <w:spacing w:after="120" w:line="276" w:lineRule="auto"/>
        <w:jc w:val="both"/>
        <w:rPr>
          <w:rFonts w:ascii="Palatino Linotype" w:hAnsi="Palatino Linotype"/>
          <w:sz w:val="22"/>
          <w:szCs w:val="22"/>
        </w:rPr>
      </w:pPr>
      <w:r>
        <w:rPr>
          <w:rFonts w:ascii="Palatino Linotype" w:hAnsi="Palatino Linotype"/>
          <w:sz w:val="22"/>
          <w:szCs w:val="22"/>
        </w:rPr>
        <w:t xml:space="preserve">Esta exención se aplicará únicamente a los predios cuya valoración de hasta </w:t>
      </w:r>
      <w:r w:rsidRPr="00CD5243">
        <w:rPr>
          <w:rFonts w:ascii="Palatino Linotype" w:hAnsi="Palatino Linotype"/>
          <w:sz w:val="22"/>
          <w:szCs w:val="22"/>
        </w:rPr>
        <w:t>setenta mil dólares de los Estados Unidos de América (USD 70.000,00</w:t>
      </w:r>
      <w:r>
        <w:rPr>
          <w:rFonts w:ascii="Palatino Linotype" w:hAnsi="Palatino Linotype"/>
          <w:sz w:val="22"/>
          <w:szCs w:val="22"/>
        </w:rPr>
        <w:t>), comprende el valor de la tierra, construcciones y adicionales constructivos o especiales, de tal forma que no estarán exentos de pago de la contribución especial de mejoras, los predios baldíos o sin construcción.</w:t>
      </w:r>
    </w:p>
    <w:p w:rsidR="00CD5243" w:rsidRPr="00CD5243" w:rsidRDefault="00CD5243" w:rsidP="00F56623">
      <w:pPr>
        <w:spacing w:after="120" w:line="276" w:lineRule="auto"/>
        <w:jc w:val="both"/>
        <w:rPr>
          <w:rFonts w:ascii="Palatino Linotype" w:eastAsia="Calibri" w:hAnsi="Palatino Linotype"/>
          <w:b/>
          <w:sz w:val="22"/>
          <w:szCs w:val="22"/>
        </w:rPr>
      </w:pPr>
      <w:r>
        <w:rPr>
          <w:rFonts w:ascii="Palatino Linotype" w:hAnsi="Palatino Linotype"/>
          <w:sz w:val="22"/>
          <w:szCs w:val="22"/>
        </w:rPr>
        <w:t xml:space="preserve">Cuando un contribuyente posea varios predios, para aplicar la exención se sumarán los avalúos de los distintos predios, incluidos la propiedad individual, copropiedad y en derechos y acciones, si sumados estos valores supera los </w:t>
      </w:r>
      <w:r w:rsidRPr="00CD5243">
        <w:rPr>
          <w:rFonts w:ascii="Palatino Linotype" w:hAnsi="Palatino Linotype"/>
          <w:sz w:val="22"/>
          <w:szCs w:val="22"/>
        </w:rPr>
        <w:t>setenta mil dólares de los Estados Unidos de América (USD 70.000,00</w:t>
      </w:r>
      <w:r>
        <w:rPr>
          <w:rFonts w:ascii="Palatino Linotype" w:hAnsi="Palatino Linotype"/>
          <w:sz w:val="22"/>
          <w:szCs w:val="22"/>
        </w:rPr>
        <w:t>), determinado en esta Ordenanza, no habrá lugar a exención alguna.</w:t>
      </w:r>
    </w:p>
    <w:p w:rsidR="009C22F9" w:rsidRPr="00F56623" w:rsidRDefault="0067435C"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 xml:space="preserve">Artículo </w:t>
      </w:r>
      <w:r w:rsidR="000A2780" w:rsidRPr="00F56623">
        <w:rPr>
          <w:rFonts w:ascii="Palatino Linotype" w:eastAsia="Calibri" w:hAnsi="Palatino Linotype"/>
          <w:b/>
          <w:sz w:val="22"/>
          <w:szCs w:val="22"/>
        </w:rPr>
        <w:t xml:space="preserve"> </w:t>
      </w:r>
      <w:r w:rsidR="003A0090" w:rsidRPr="00F56623">
        <w:rPr>
          <w:rFonts w:ascii="Palatino Linotype" w:eastAsia="Calibri" w:hAnsi="Palatino Linotype"/>
          <w:b/>
          <w:sz w:val="22"/>
          <w:szCs w:val="22"/>
        </w:rPr>
        <w:t>4</w:t>
      </w:r>
      <w:r w:rsidRPr="00F56623">
        <w:rPr>
          <w:rFonts w:ascii="Palatino Linotype" w:eastAsia="Calibri" w:hAnsi="Palatino Linotype"/>
          <w:b/>
          <w:sz w:val="22"/>
          <w:szCs w:val="22"/>
        </w:rPr>
        <w:t xml:space="preserve">.- Liquidación del tributo.- </w:t>
      </w:r>
      <w:r w:rsidR="00647BC0" w:rsidRPr="00F56623">
        <w:rPr>
          <w:rFonts w:ascii="Palatino Linotype" w:eastAsia="Calibri" w:hAnsi="Palatino Linotype"/>
          <w:sz w:val="22"/>
          <w:szCs w:val="22"/>
        </w:rPr>
        <w:t xml:space="preserve">La base de cálculo será el costo </w:t>
      </w:r>
      <w:r w:rsidR="006656F4" w:rsidRPr="00F56623">
        <w:rPr>
          <w:rFonts w:ascii="Palatino Linotype" w:eastAsia="Calibri" w:hAnsi="Palatino Linotype"/>
          <w:sz w:val="22"/>
          <w:szCs w:val="22"/>
        </w:rPr>
        <w:t>anual</w:t>
      </w:r>
      <w:r w:rsidR="00B80EDF" w:rsidRPr="00F56623">
        <w:rPr>
          <w:rFonts w:ascii="Palatino Linotype" w:eastAsia="Calibri" w:hAnsi="Palatino Linotype"/>
          <w:sz w:val="22"/>
          <w:szCs w:val="22"/>
        </w:rPr>
        <w:t xml:space="preserve"> </w:t>
      </w:r>
      <w:r w:rsidR="00647BC0" w:rsidRPr="00F56623">
        <w:rPr>
          <w:rFonts w:ascii="Palatino Linotype" w:eastAsia="Calibri" w:hAnsi="Palatino Linotype"/>
          <w:sz w:val="22"/>
          <w:szCs w:val="22"/>
        </w:rPr>
        <w:t>de la</w:t>
      </w:r>
      <w:r w:rsidR="006656F4" w:rsidRPr="00F56623">
        <w:rPr>
          <w:rFonts w:ascii="Palatino Linotype" w:eastAsia="Calibri" w:hAnsi="Palatino Linotype"/>
          <w:sz w:val="22"/>
          <w:szCs w:val="22"/>
        </w:rPr>
        <w:t>s</w:t>
      </w:r>
      <w:r w:rsidR="00647BC0" w:rsidRPr="00F56623">
        <w:rPr>
          <w:rFonts w:ascii="Palatino Linotype" w:eastAsia="Calibri" w:hAnsi="Palatino Linotype"/>
          <w:sz w:val="22"/>
          <w:szCs w:val="22"/>
        </w:rPr>
        <w:t xml:space="preserve"> obra</w:t>
      </w:r>
      <w:r w:rsidR="006656F4" w:rsidRPr="00F56623">
        <w:rPr>
          <w:rFonts w:ascii="Palatino Linotype" w:eastAsia="Calibri" w:hAnsi="Palatino Linotype"/>
          <w:sz w:val="22"/>
          <w:szCs w:val="22"/>
        </w:rPr>
        <w:t>s</w:t>
      </w:r>
      <w:r w:rsidR="00647BC0" w:rsidRPr="00F56623">
        <w:rPr>
          <w:rFonts w:ascii="Palatino Linotype" w:eastAsia="Calibri" w:hAnsi="Palatino Linotype"/>
          <w:sz w:val="22"/>
          <w:szCs w:val="22"/>
        </w:rPr>
        <w:t xml:space="preserve">, prorrateado entre </w:t>
      </w:r>
      <w:r w:rsidR="00B80EDF" w:rsidRPr="00F56623">
        <w:rPr>
          <w:rFonts w:ascii="Palatino Linotype" w:eastAsia="Calibri" w:hAnsi="Palatino Linotype"/>
          <w:sz w:val="22"/>
          <w:szCs w:val="22"/>
        </w:rPr>
        <w:t xml:space="preserve">todas las propiedades del Distrito Metropolitano de Quito, </w:t>
      </w:r>
      <w:r w:rsidR="00C55CAC" w:rsidRPr="00F56623">
        <w:rPr>
          <w:rFonts w:ascii="Palatino Linotype" w:eastAsia="Calibri" w:hAnsi="Palatino Linotype"/>
          <w:sz w:val="22"/>
          <w:szCs w:val="22"/>
        </w:rPr>
        <w:t xml:space="preserve">en función </w:t>
      </w:r>
      <w:r w:rsidR="00791EA8" w:rsidRPr="00F56623">
        <w:rPr>
          <w:rFonts w:ascii="Palatino Linotype" w:eastAsia="Calibri" w:hAnsi="Palatino Linotype"/>
          <w:sz w:val="22"/>
          <w:szCs w:val="22"/>
        </w:rPr>
        <w:t>del valor de propiedad d</w:t>
      </w:r>
      <w:r w:rsidR="005F044B" w:rsidRPr="00F56623">
        <w:rPr>
          <w:rFonts w:ascii="Palatino Linotype" w:eastAsia="Calibri" w:hAnsi="Palatino Linotype"/>
          <w:sz w:val="22"/>
          <w:szCs w:val="22"/>
        </w:rPr>
        <w:t>e cada predio</w:t>
      </w:r>
      <w:r w:rsidR="00622B65" w:rsidRPr="00F56623">
        <w:rPr>
          <w:rFonts w:ascii="Palatino Linotype" w:eastAsia="Calibri" w:hAnsi="Palatino Linotype"/>
          <w:sz w:val="22"/>
          <w:szCs w:val="22"/>
        </w:rPr>
        <w:t xml:space="preserve">, vigente </w:t>
      </w:r>
      <w:r w:rsidR="003A0090" w:rsidRPr="00F56623">
        <w:rPr>
          <w:rFonts w:ascii="Palatino Linotype" w:eastAsia="Calibri" w:hAnsi="Palatino Linotype"/>
          <w:sz w:val="22"/>
          <w:szCs w:val="22"/>
        </w:rPr>
        <w:t>a la fecha de emisión del Impuesto Predial</w:t>
      </w:r>
      <w:r w:rsidR="00C55CAC" w:rsidRPr="00F56623">
        <w:rPr>
          <w:rFonts w:ascii="Palatino Linotype" w:eastAsia="Calibri" w:hAnsi="Palatino Linotype"/>
          <w:sz w:val="22"/>
          <w:szCs w:val="22"/>
        </w:rPr>
        <w:t xml:space="preserve"> según</w:t>
      </w:r>
      <w:r w:rsidR="00647BC0" w:rsidRPr="00F56623">
        <w:rPr>
          <w:rFonts w:ascii="Palatino Linotype" w:eastAsia="Calibri" w:hAnsi="Palatino Linotype"/>
          <w:sz w:val="22"/>
          <w:szCs w:val="22"/>
        </w:rPr>
        <w:t xml:space="preserve"> los registros catastrales del Municipio del Distrito Metropolitano de Quito, mediante </w:t>
      </w:r>
      <w:r w:rsidRPr="00F56623">
        <w:rPr>
          <w:rFonts w:ascii="Palatino Linotype" w:eastAsia="Calibri" w:hAnsi="Palatino Linotype"/>
          <w:sz w:val="22"/>
          <w:szCs w:val="22"/>
        </w:rPr>
        <w:t xml:space="preserve">la siguiente fórmula: </w:t>
      </w:r>
    </w:p>
    <w:p w:rsidR="00791EA8" w:rsidRPr="00F56623" w:rsidRDefault="007736FC" w:rsidP="00F56623">
      <w:pPr>
        <w:spacing w:after="120" w:line="276" w:lineRule="auto"/>
        <w:jc w:val="center"/>
        <w:rPr>
          <w:rFonts w:ascii="Palatino Linotype" w:eastAsia="Calibri" w:hAnsi="Palatino Linotype"/>
          <w:sz w:val="22"/>
          <w:szCs w:val="22"/>
        </w:rPr>
      </w:pPr>
      <w:r w:rsidRPr="00F56623">
        <w:rPr>
          <w:rFonts w:ascii="Palatino Linotype" w:eastAsia="Calibri" w:hAnsi="Palatino Linotype"/>
          <w:noProof/>
          <w:sz w:val="22"/>
          <w:szCs w:val="22"/>
          <w:lang w:val="es-EC" w:eastAsia="es-EC"/>
        </w:rPr>
        <w:drawing>
          <wp:inline distT="0" distB="0" distL="0" distR="0" wp14:anchorId="61C73730" wp14:editId="329D1783">
            <wp:extent cx="5401339" cy="1073889"/>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073631"/>
                    </a:xfrm>
                    <a:prstGeom prst="rect">
                      <a:avLst/>
                    </a:prstGeom>
                    <a:noFill/>
                    <a:ln>
                      <a:noFill/>
                    </a:ln>
                  </pic:spPr>
                </pic:pic>
              </a:graphicData>
            </a:graphic>
          </wp:inline>
        </w:drawing>
      </w:r>
    </w:p>
    <w:p w:rsidR="00D31372" w:rsidRPr="00F56623" w:rsidRDefault="00D31372"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t>Cuando existan varios propietarios en un solo predio,  el tributo se repartirá en función del porcentaje de participación que conste en la ficha de copropietarios, a nombre de cada propietario.</w:t>
      </w:r>
    </w:p>
    <w:p w:rsidR="00E81376" w:rsidRPr="00F56623" w:rsidRDefault="0069446C"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lastRenderedPageBreak/>
        <w:t>A</w:t>
      </w:r>
      <w:r w:rsidR="008B1FF1" w:rsidRPr="00F56623">
        <w:rPr>
          <w:rFonts w:ascii="Palatino Linotype" w:eastAsia="Calibri" w:hAnsi="Palatino Linotype"/>
          <w:b/>
          <w:sz w:val="22"/>
          <w:szCs w:val="22"/>
        </w:rPr>
        <w:t xml:space="preserve">rtículo </w:t>
      </w:r>
      <w:r w:rsidR="00AE672E" w:rsidRPr="00F56623">
        <w:rPr>
          <w:rFonts w:ascii="Palatino Linotype" w:eastAsia="Calibri" w:hAnsi="Palatino Linotype"/>
          <w:b/>
          <w:sz w:val="22"/>
          <w:szCs w:val="22"/>
        </w:rPr>
        <w:t>5</w:t>
      </w:r>
      <w:r w:rsidR="00672E82" w:rsidRPr="00F56623">
        <w:rPr>
          <w:rFonts w:ascii="Palatino Linotype" w:eastAsia="Calibri" w:hAnsi="Palatino Linotype"/>
          <w:b/>
          <w:sz w:val="22"/>
          <w:szCs w:val="22"/>
        </w:rPr>
        <w:t>.- Límite tributo.-</w:t>
      </w:r>
      <w:r w:rsidR="00672E82" w:rsidRPr="00F56623">
        <w:rPr>
          <w:rFonts w:ascii="Palatino Linotype" w:eastAsia="Calibri" w:hAnsi="Palatino Linotype"/>
          <w:sz w:val="22"/>
          <w:szCs w:val="22"/>
        </w:rPr>
        <w:t xml:space="preserve"> </w:t>
      </w:r>
      <w:r w:rsidR="003651D3" w:rsidRPr="00F56623">
        <w:rPr>
          <w:rFonts w:ascii="Palatino Linotype" w:eastAsia="Calibri" w:hAnsi="Palatino Linotype"/>
          <w:sz w:val="22"/>
          <w:szCs w:val="22"/>
        </w:rPr>
        <w:t xml:space="preserve"> </w:t>
      </w:r>
      <w:r w:rsidRPr="00F56623">
        <w:rPr>
          <w:rFonts w:ascii="Palatino Linotype" w:eastAsia="Calibri" w:hAnsi="Palatino Linotype"/>
          <w:sz w:val="22"/>
          <w:szCs w:val="22"/>
        </w:rPr>
        <w:t>E</w:t>
      </w:r>
      <w:r w:rsidR="00E81376" w:rsidRPr="00F56623">
        <w:rPr>
          <w:rFonts w:ascii="Palatino Linotype" w:eastAsia="Calibri" w:hAnsi="Palatino Linotype"/>
          <w:sz w:val="22"/>
          <w:szCs w:val="22"/>
        </w:rPr>
        <w:t>l valor anual de la C</w:t>
      </w:r>
      <w:r w:rsidR="00FB306A" w:rsidRPr="00F56623">
        <w:rPr>
          <w:rFonts w:ascii="Palatino Linotype" w:eastAsia="Calibri" w:hAnsi="Palatino Linotype"/>
          <w:sz w:val="22"/>
          <w:szCs w:val="22"/>
        </w:rPr>
        <w:t>ontribución Especial de Mejoras</w:t>
      </w:r>
      <w:r w:rsidR="00672E82" w:rsidRPr="00F56623">
        <w:rPr>
          <w:rFonts w:ascii="Palatino Linotype" w:eastAsia="Calibri" w:hAnsi="Palatino Linotype"/>
          <w:sz w:val="22"/>
          <w:szCs w:val="22"/>
        </w:rPr>
        <w:t xml:space="preserve"> </w:t>
      </w:r>
      <w:r w:rsidR="00A46FC2" w:rsidRPr="00F56623">
        <w:rPr>
          <w:rFonts w:ascii="Palatino Linotype" w:eastAsia="Calibri" w:hAnsi="Palatino Linotype"/>
          <w:sz w:val="22"/>
          <w:szCs w:val="22"/>
        </w:rPr>
        <w:t xml:space="preserve">por </w:t>
      </w:r>
      <w:r w:rsidRPr="00F56623">
        <w:rPr>
          <w:rFonts w:ascii="Palatino Linotype" w:eastAsia="Calibri" w:hAnsi="Palatino Linotype"/>
          <w:sz w:val="22"/>
          <w:szCs w:val="22"/>
        </w:rPr>
        <w:t>obras distritales</w:t>
      </w:r>
      <w:r w:rsidR="004D0C42" w:rsidRPr="00F56623">
        <w:rPr>
          <w:rFonts w:ascii="Palatino Linotype" w:eastAsia="Calibri" w:hAnsi="Palatino Linotype"/>
          <w:sz w:val="22"/>
          <w:szCs w:val="22"/>
        </w:rPr>
        <w:t xml:space="preserve">, </w:t>
      </w:r>
      <w:r w:rsidR="00A46FC2" w:rsidRPr="00F56623">
        <w:rPr>
          <w:rFonts w:ascii="Palatino Linotype" w:eastAsia="Calibri" w:hAnsi="Palatino Linotype"/>
          <w:sz w:val="22"/>
          <w:szCs w:val="22"/>
        </w:rPr>
        <w:t xml:space="preserve">que inicien su plazo de recuperación </w:t>
      </w:r>
      <w:r w:rsidRPr="00F56623">
        <w:rPr>
          <w:rFonts w:ascii="Palatino Linotype" w:eastAsia="Calibri" w:hAnsi="Palatino Linotype"/>
          <w:sz w:val="22"/>
          <w:szCs w:val="22"/>
        </w:rPr>
        <w:t xml:space="preserve">a partir de la vigencia de la presente ordenanza, </w:t>
      </w:r>
      <w:r w:rsidR="00E81376" w:rsidRPr="00F56623">
        <w:rPr>
          <w:rFonts w:ascii="Palatino Linotype" w:eastAsia="Calibri" w:hAnsi="Palatino Linotype"/>
          <w:sz w:val="22"/>
          <w:szCs w:val="22"/>
        </w:rPr>
        <w:t xml:space="preserve">en ningún caso podrá superar el valor que resulte de aplicar </w:t>
      </w:r>
      <w:r w:rsidR="004D0C42" w:rsidRPr="00F56623">
        <w:rPr>
          <w:rFonts w:ascii="Palatino Linotype" w:eastAsia="Calibri" w:hAnsi="Palatino Linotype"/>
          <w:sz w:val="22"/>
          <w:szCs w:val="22"/>
        </w:rPr>
        <w:t xml:space="preserve">al valor de la propiedad </w:t>
      </w:r>
      <w:r w:rsidR="00D31372" w:rsidRPr="00F56623">
        <w:rPr>
          <w:rFonts w:ascii="Palatino Linotype" w:eastAsia="Calibri" w:hAnsi="Palatino Linotype"/>
          <w:sz w:val="22"/>
          <w:szCs w:val="22"/>
        </w:rPr>
        <w:t>global</w:t>
      </w:r>
      <w:r w:rsidR="004D0C42" w:rsidRPr="00F56623">
        <w:rPr>
          <w:rFonts w:ascii="Palatino Linotype" w:eastAsia="Calibri" w:hAnsi="Palatino Linotype"/>
          <w:sz w:val="22"/>
          <w:szCs w:val="22"/>
        </w:rPr>
        <w:t xml:space="preserve">, </w:t>
      </w:r>
      <w:r w:rsidR="00E81376" w:rsidRPr="00F56623">
        <w:rPr>
          <w:rFonts w:ascii="Palatino Linotype" w:eastAsia="Calibri" w:hAnsi="Palatino Linotype"/>
          <w:sz w:val="22"/>
          <w:szCs w:val="22"/>
        </w:rPr>
        <w:t>los porcentajes establecidos en la siguiente tabla</w:t>
      </w:r>
      <w:r w:rsidR="003047E4" w:rsidRPr="00F56623">
        <w:rPr>
          <w:rFonts w:ascii="Palatino Linotype" w:eastAsia="Calibri" w:hAnsi="Palatino Linotype"/>
          <w:sz w:val="22"/>
          <w:szCs w:val="22"/>
        </w:rPr>
        <w:t>:</w:t>
      </w:r>
    </w:p>
    <w:p w:rsidR="00672E82" w:rsidRPr="00F56623" w:rsidRDefault="00263718" w:rsidP="00F56623">
      <w:pPr>
        <w:spacing w:after="120" w:line="276" w:lineRule="auto"/>
        <w:jc w:val="center"/>
        <w:rPr>
          <w:rFonts w:ascii="Palatino Linotype" w:eastAsia="Calibri" w:hAnsi="Palatino Linotype"/>
          <w:color w:val="948A54" w:themeColor="background2" w:themeShade="80"/>
          <w:sz w:val="22"/>
          <w:szCs w:val="22"/>
        </w:rPr>
      </w:pPr>
      <w:r w:rsidRPr="00F56623">
        <w:rPr>
          <w:rFonts w:ascii="Palatino Linotype" w:eastAsia="Calibri" w:hAnsi="Palatino Linotype"/>
          <w:noProof/>
          <w:sz w:val="22"/>
          <w:szCs w:val="22"/>
          <w:lang w:val="es-EC" w:eastAsia="es-EC"/>
        </w:rPr>
        <w:drawing>
          <wp:inline distT="0" distB="0" distL="0" distR="0" wp14:anchorId="4F9BC5B8" wp14:editId="25FD0879">
            <wp:extent cx="3057910" cy="1807535"/>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4890" cy="1811661"/>
                    </a:xfrm>
                    <a:prstGeom prst="rect">
                      <a:avLst/>
                    </a:prstGeom>
                    <a:noFill/>
                    <a:ln>
                      <a:noFill/>
                    </a:ln>
                  </pic:spPr>
                </pic:pic>
              </a:graphicData>
            </a:graphic>
          </wp:inline>
        </w:drawing>
      </w:r>
    </w:p>
    <w:p w:rsidR="00DE6A15" w:rsidRPr="00F56623" w:rsidRDefault="00DE6A15" w:rsidP="00A65810">
      <w:pPr>
        <w:spacing w:after="120" w:line="276" w:lineRule="auto"/>
        <w:jc w:val="center"/>
        <w:rPr>
          <w:rFonts w:ascii="Palatino Linotype" w:eastAsia="Calibri" w:hAnsi="Palatino Linotype"/>
          <w:sz w:val="18"/>
          <w:szCs w:val="18"/>
        </w:rPr>
      </w:pPr>
      <w:r w:rsidRPr="00F56623">
        <w:rPr>
          <w:rFonts w:ascii="Palatino Linotype" w:eastAsia="Calibri" w:hAnsi="Palatino Linotype"/>
          <w:sz w:val="22"/>
          <w:szCs w:val="22"/>
        </w:rPr>
        <w:t>*</w:t>
      </w:r>
      <w:r w:rsidR="00263718" w:rsidRPr="00F56623">
        <w:rPr>
          <w:rFonts w:ascii="Palatino Linotype" w:eastAsia="Arial Unicode MS" w:hAnsi="Palatino Linotype" w:cs="Arial Unicode MS"/>
          <w:sz w:val="18"/>
          <w:szCs w:val="18"/>
        </w:rPr>
        <w:t>Valor de Propiedad Global</w:t>
      </w:r>
      <w:r w:rsidRPr="00F56623">
        <w:rPr>
          <w:rFonts w:ascii="Palatino Linotype" w:eastAsia="Arial Unicode MS" w:hAnsi="Palatino Linotype" w:cs="Arial Unicode MS"/>
          <w:sz w:val="18"/>
          <w:szCs w:val="18"/>
        </w:rPr>
        <w:t xml:space="preserve">: Suma </w:t>
      </w:r>
      <w:r w:rsidR="006E1F25" w:rsidRPr="00F56623">
        <w:rPr>
          <w:rFonts w:ascii="Palatino Linotype" w:eastAsia="Arial Unicode MS" w:hAnsi="Palatino Linotype" w:cs="Arial Unicode MS"/>
          <w:sz w:val="18"/>
          <w:szCs w:val="18"/>
        </w:rPr>
        <w:t>del valor</w:t>
      </w:r>
      <w:r w:rsidR="00263718" w:rsidRPr="00F56623">
        <w:rPr>
          <w:rFonts w:ascii="Palatino Linotype" w:eastAsia="Arial Unicode MS" w:hAnsi="Palatino Linotype" w:cs="Arial Unicode MS"/>
          <w:sz w:val="18"/>
          <w:szCs w:val="18"/>
        </w:rPr>
        <w:t xml:space="preserve"> de la propiedad de los</w:t>
      </w:r>
      <w:r w:rsidRPr="00F56623">
        <w:rPr>
          <w:rFonts w:ascii="Palatino Linotype" w:eastAsia="Arial Unicode MS" w:hAnsi="Palatino Linotype" w:cs="Arial Unicode MS"/>
          <w:sz w:val="18"/>
          <w:szCs w:val="18"/>
        </w:rPr>
        <w:t xml:space="preserve"> distintos</w:t>
      </w:r>
      <w:r w:rsidR="00A43738" w:rsidRPr="00F56623">
        <w:rPr>
          <w:rFonts w:ascii="Palatino Linotype" w:eastAsia="Arial Unicode MS" w:hAnsi="Palatino Linotype" w:cs="Arial Unicode MS"/>
          <w:sz w:val="18"/>
          <w:szCs w:val="18"/>
        </w:rPr>
        <w:t xml:space="preserve"> </w:t>
      </w:r>
      <w:r w:rsidRPr="00F56623">
        <w:rPr>
          <w:rFonts w:ascii="Palatino Linotype" w:eastAsia="Arial Unicode MS" w:hAnsi="Palatino Linotype" w:cs="Arial Unicode MS"/>
          <w:sz w:val="18"/>
          <w:szCs w:val="18"/>
        </w:rPr>
        <w:t>predios</w:t>
      </w:r>
      <w:r w:rsidR="00D31372" w:rsidRPr="00F56623">
        <w:rPr>
          <w:rFonts w:ascii="Palatino Linotype" w:eastAsia="Arial Unicode MS" w:hAnsi="Palatino Linotype" w:cs="Arial Unicode MS"/>
          <w:sz w:val="18"/>
          <w:szCs w:val="18"/>
        </w:rPr>
        <w:t>,</w:t>
      </w:r>
      <w:r w:rsidR="00F56623">
        <w:rPr>
          <w:rFonts w:ascii="Palatino Linotype" w:eastAsia="Arial Unicode MS" w:hAnsi="Palatino Linotype" w:cs="Arial Unicode MS"/>
          <w:sz w:val="18"/>
          <w:szCs w:val="18"/>
        </w:rPr>
        <w:t xml:space="preserve"> </w:t>
      </w:r>
      <w:r w:rsidR="00D31372" w:rsidRPr="00F56623">
        <w:rPr>
          <w:rFonts w:ascii="Palatino Linotype" w:eastAsia="Calibri" w:hAnsi="Palatino Linotype"/>
          <w:sz w:val="18"/>
          <w:szCs w:val="18"/>
        </w:rPr>
        <w:t xml:space="preserve">incluidos los derechos en uno o más predios,  </w:t>
      </w:r>
      <w:r w:rsidR="00D31372" w:rsidRPr="00F56623">
        <w:rPr>
          <w:rFonts w:ascii="Palatino Linotype" w:eastAsia="Arial Unicode MS" w:hAnsi="Palatino Linotype" w:cs="Arial Unicode MS"/>
          <w:sz w:val="18"/>
          <w:szCs w:val="18"/>
        </w:rPr>
        <w:t>que posea un mismo propietario</w:t>
      </w:r>
      <w:r w:rsidR="00D31372" w:rsidRPr="00F56623">
        <w:rPr>
          <w:rFonts w:ascii="Palatino Linotype" w:eastAsia="Calibri" w:hAnsi="Palatino Linotype"/>
          <w:sz w:val="18"/>
          <w:szCs w:val="18"/>
        </w:rPr>
        <w:t xml:space="preserve"> e</w:t>
      </w:r>
      <w:r w:rsidRPr="00F56623">
        <w:rPr>
          <w:rFonts w:ascii="Palatino Linotype" w:eastAsia="Arial Unicode MS" w:hAnsi="Palatino Linotype" w:cs="Arial Unicode MS"/>
          <w:sz w:val="18"/>
          <w:szCs w:val="18"/>
        </w:rPr>
        <w:t>n el Distrito Metropolitano</w:t>
      </w:r>
      <w:r w:rsidR="00D31372" w:rsidRPr="00F56623">
        <w:rPr>
          <w:rFonts w:ascii="Palatino Linotype" w:eastAsia="Arial Unicode MS" w:hAnsi="Palatino Linotype" w:cs="Arial Unicode MS"/>
          <w:sz w:val="18"/>
          <w:szCs w:val="18"/>
        </w:rPr>
        <w:t xml:space="preserve"> </w:t>
      </w:r>
      <w:r w:rsidRPr="00F56623">
        <w:rPr>
          <w:rFonts w:ascii="Palatino Linotype" w:eastAsia="Arial Unicode MS" w:hAnsi="Palatino Linotype" w:cs="Arial Unicode MS"/>
          <w:sz w:val="18"/>
          <w:szCs w:val="18"/>
        </w:rPr>
        <w:t>de Quito</w:t>
      </w:r>
      <w:r w:rsidR="00A65810">
        <w:rPr>
          <w:rFonts w:ascii="Palatino Linotype" w:eastAsia="Arial Unicode MS" w:hAnsi="Palatino Linotype" w:cs="Arial Unicode MS"/>
          <w:sz w:val="18"/>
          <w:szCs w:val="18"/>
        </w:rPr>
        <w:t>.</w:t>
      </w:r>
    </w:p>
    <w:p w:rsidR="003651D3" w:rsidRPr="00F56623" w:rsidRDefault="004D0C42"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t>E</w:t>
      </w:r>
      <w:r w:rsidR="003047E4" w:rsidRPr="00F56623">
        <w:rPr>
          <w:rFonts w:ascii="Palatino Linotype" w:eastAsia="Calibri" w:hAnsi="Palatino Linotype"/>
          <w:sz w:val="22"/>
          <w:szCs w:val="22"/>
        </w:rPr>
        <w:t xml:space="preserve">l límite de crecimiento </w:t>
      </w:r>
      <w:r w:rsidR="00A46FC2" w:rsidRPr="00F56623">
        <w:rPr>
          <w:rFonts w:ascii="Palatino Linotype" w:eastAsia="Calibri" w:hAnsi="Palatino Linotype"/>
          <w:sz w:val="22"/>
          <w:szCs w:val="22"/>
        </w:rPr>
        <w:t xml:space="preserve">establecido en este artículo </w:t>
      </w:r>
      <w:r w:rsidR="003047E4" w:rsidRPr="00F56623">
        <w:rPr>
          <w:rFonts w:ascii="Palatino Linotype" w:eastAsia="Calibri" w:hAnsi="Palatino Linotype"/>
          <w:sz w:val="22"/>
          <w:szCs w:val="22"/>
        </w:rPr>
        <w:t>se ap</w:t>
      </w:r>
      <w:r w:rsidR="00DE6A15" w:rsidRPr="00F56623">
        <w:rPr>
          <w:rFonts w:ascii="Palatino Linotype" w:eastAsia="Calibri" w:hAnsi="Palatino Linotype"/>
          <w:sz w:val="22"/>
          <w:szCs w:val="22"/>
        </w:rPr>
        <w:t>licará</w:t>
      </w:r>
      <w:r w:rsidR="00DD51B7" w:rsidRPr="00F56623">
        <w:rPr>
          <w:rFonts w:ascii="Palatino Linotype" w:eastAsia="Calibri" w:hAnsi="Palatino Linotype"/>
          <w:sz w:val="22"/>
          <w:szCs w:val="22"/>
        </w:rPr>
        <w:t xml:space="preserve"> </w:t>
      </w:r>
      <w:r w:rsidR="00A46FC2" w:rsidRPr="00F56623">
        <w:rPr>
          <w:rFonts w:ascii="Palatino Linotype" w:eastAsia="Calibri" w:hAnsi="Palatino Linotype"/>
          <w:sz w:val="22"/>
          <w:szCs w:val="22"/>
        </w:rPr>
        <w:t xml:space="preserve">únicamente durante los años 2018 y 2019, </w:t>
      </w:r>
      <w:r w:rsidR="00DE6A15" w:rsidRPr="00F56623">
        <w:rPr>
          <w:rFonts w:ascii="Palatino Linotype" w:eastAsia="Calibri" w:hAnsi="Palatino Linotype"/>
          <w:sz w:val="22"/>
          <w:szCs w:val="22"/>
        </w:rPr>
        <w:t xml:space="preserve">sobre el </w:t>
      </w:r>
      <w:r w:rsidR="006505E8" w:rsidRPr="00F56623">
        <w:rPr>
          <w:rFonts w:ascii="Palatino Linotype" w:eastAsia="Calibri" w:hAnsi="Palatino Linotype"/>
          <w:sz w:val="22"/>
          <w:szCs w:val="22"/>
        </w:rPr>
        <w:t xml:space="preserve">valor </w:t>
      </w:r>
      <w:r w:rsidR="00DE6A15" w:rsidRPr="00F56623">
        <w:rPr>
          <w:rFonts w:ascii="Palatino Linotype" w:eastAsia="Calibri" w:hAnsi="Palatino Linotype"/>
          <w:sz w:val="22"/>
          <w:szCs w:val="22"/>
        </w:rPr>
        <w:t>anual del total de obras</w:t>
      </w:r>
      <w:r w:rsidR="003047E4" w:rsidRPr="00F56623">
        <w:rPr>
          <w:rFonts w:ascii="Palatino Linotype" w:eastAsia="Calibri" w:hAnsi="Palatino Linotype"/>
          <w:sz w:val="22"/>
          <w:szCs w:val="22"/>
        </w:rPr>
        <w:t xml:space="preserve"> </w:t>
      </w:r>
      <w:r w:rsidRPr="00F56623">
        <w:rPr>
          <w:rFonts w:ascii="Palatino Linotype" w:eastAsia="Calibri" w:hAnsi="Palatino Linotype"/>
          <w:sz w:val="22"/>
          <w:szCs w:val="22"/>
        </w:rPr>
        <w:t>distritales</w:t>
      </w:r>
      <w:r w:rsidR="00A46FC2" w:rsidRPr="00F56623">
        <w:rPr>
          <w:rFonts w:ascii="Palatino Linotype" w:eastAsia="Calibri" w:hAnsi="Palatino Linotype"/>
          <w:sz w:val="22"/>
          <w:szCs w:val="22"/>
        </w:rPr>
        <w:t xml:space="preserve"> que inicien su plazo de recuperación a partir de la vigencia de la presente ordenanza.</w:t>
      </w:r>
    </w:p>
    <w:p w:rsidR="00B452E3" w:rsidRPr="00F56623" w:rsidRDefault="00647BC0"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A</w:t>
      </w:r>
      <w:r w:rsidR="0067435C" w:rsidRPr="00F56623">
        <w:rPr>
          <w:rFonts w:ascii="Palatino Linotype" w:eastAsia="Calibri" w:hAnsi="Palatino Linotype"/>
          <w:b/>
          <w:sz w:val="22"/>
          <w:szCs w:val="22"/>
        </w:rPr>
        <w:t xml:space="preserve">rtículo </w:t>
      </w:r>
      <w:r w:rsidR="0087611E" w:rsidRPr="00F56623">
        <w:rPr>
          <w:rFonts w:ascii="Palatino Linotype" w:eastAsia="Calibri" w:hAnsi="Palatino Linotype"/>
          <w:b/>
          <w:sz w:val="22"/>
          <w:szCs w:val="22"/>
        </w:rPr>
        <w:t>6</w:t>
      </w:r>
      <w:r w:rsidR="0067435C" w:rsidRPr="00F56623">
        <w:rPr>
          <w:rFonts w:ascii="Palatino Linotype" w:eastAsia="Calibri" w:hAnsi="Palatino Linotype"/>
          <w:b/>
          <w:sz w:val="22"/>
          <w:szCs w:val="22"/>
        </w:rPr>
        <w:t>.-</w:t>
      </w:r>
      <w:r w:rsidR="0067435C" w:rsidRPr="00F56623">
        <w:rPr>
          <w:rFonts w:ascii="Palatino Linotype" w:eastAsia="Calibri" w:hAnsi="Palatino Linotype"/>
          <w:sz w:val="22"/>
          <w:szCs w:val="22"/>
        </w:rPr>
        <w:t xml:space="preserve"> </w:t>
      </w:r>
      <w:r w:rsidRPr="00F56623">
        <w:rPr>
          <w:rFonts w:ascii="Palatino Linotype" w:eastAsia="Calibri" w:hAnsi="Palatino Linotype"/>
          <w:b/>
          <w:sz w:val="22"/>
          <w:szCs w:val="22"/>
        </w:rPr>
        <w:t>Entidad responsable de la determinación de la Contribución Especial de Mejoras.-</w:t>
      </w:r>
      <w:r w:rsidRPr="00F56623">
        <w:rPr>
          <w:rFonts w:ascii="Palatino Linotype" w:eastAsia="Calibri" w:hAnsi="Palatino Linotype"/>
          <w:sz w:val="22"/>
          <w:szCs w:val="22"/>
        </w:rPr>
        <w:t xml:space="preserve"> </w:t>
      </w:r>
      <w:r w:rsidR="00B80EDF" w:rsidRPr="00F56623">
        <w:rPr>
          <w:rFonts w:ascii="Palatino Linotype" w:eastAsia="Calibri" w:hAnsi="Palatino Linotype"/>
          <w:sz w:val="22"/>
          <w:szCs w:val="22"/>
        </w:rPr>
        <w:t xml:space="preserve">La </w:t>
      </w:r>
      <w:r w:rsidR="00C03F43" w:rsidRPr="00F56623">
        <w:rPr>
          <w:rFonts w:ascii="Palatino Linotype" w:eastAsia="Calibri" w:hAnsi="Palatino Linotype"/>
          <w:sz w:val="22"/>
          <w:szCs w:val="22"/>
        </w:rPr>
        <w:t xml:space="preserve">Empresa </w:t>
      </w:r>
      <w:r w:rsidR="0051677F" w:rsidRPr="00F56623">
        <w:rPr>
          <w:rFonts w:ascii="Palatino Linotype" w:eastAsia="Calibri" w:hAnsi="Palatino Linotype"/>
          <w:sz w:val="22"/>
          <w:szCs w:val="22"/>
        </w:rPr>
        <w:t xml:space="preserve">Pública </w:t>
      </w:r>
      <w:r w:rsidR="00C03F43" w:rsidRPr="00F56623">
        <w:rPr>
          <w:rFonts w:ascii="Palatino Linotype" w:eastAsia="Calibri" w:hAnsi="Palatino Linotype"/>
          <w:sz w:val="22"/>
          <w:szCs w:val="22"/>
        </w:rPr>
        <w:t>Metropolitana de Movilidad y Obras Públicas,</w:t>
      </w:r>
      <w:r w:rsidR="00B452E3" w:rsidRPr="00F56623">
        <w:rPr>
          <w:rFonts w:ascii="Palatino Linotype" w:eastAsia="Calibri" w:hAnsi="Palatino Linotype"/>
          <w:sz w:val="22"/>
          <w:szCs w:val="22"/>
        </w:rPr>
        <w:t xml:space="preserve"> realizará la distribución del costo de la obra pública, con la determinación </w:t>
      </w:r>
      <w:r w:rsidR="00E81376" w:rsidRPr="00F56623">
        <w:rPr>
          <w:rFonts w:ascii="Palatino Linotype" w:eastAsia="Calibri" w:hAnsi="Palatino Linotype"/>
          <w:sz w:val="22"/>
          <w:szCs w:val="22"/>
        </w:rPr>
        <w:t xml:space="preserve">de </w:t>
      </w:r>
      <w:r w:rsidR="00B452E3" w:rsidRPr="00F56623">
        <w:rPr>
          <w:rFonts w:ascii="Palatino Linotype" w:eastAsia="Calibri" w:hAnsi="Palatino Linotype"/>
          <w:sz w:val="22"/>
          <w:szCs w:val="22"/>
        </w:rPr>
        <w:t>los montos por predio, para la emisión de las obligacione</w:t>
      </w:r>
      <w:r w:rsidR="00624550" w:rsidRPr="00F56623">
        <w:rPr>
          <w:rFonts w:ascii="Palatino Linotype" w:eastAsia="Calibri" w:hAnsi="Palatino Linotype"/>
          <w:sz w:val="22"/>
          <w:szCs w:val="22"/>
        </w:rPr>
        <w:t xml:space="preserve">s tributarias correspondientes, siendo responsable </w:t>
      </w:r>
      <w:r w:rsidR="00E81376" w:rsidRPr="00F56623">
        <w:rPr>
          <w:rFonts w:ascii="Palatino Linotype" w:eastAsia="Calibri" w:hAnsi="Palatino Linotype"/>
          <w:sz w:val="22"/>
          <w:szCs w:val="22"/>
        </w:rPr>
        <w:t xml:space="preserve">para todos los efectos </w:t>
      </w:r>
      <w:r w:rsidR="00721A41" w:rsidRPr="00F56623">
        <w:rPr>
          <w:rFonts w:ascii="Palatino Linotype" w:eastAsia="Calibri" w:hAnsi="Palatino Linotype"/>
          <w:sz w:val="22"/>
          <w:szCs w:val="22"/>
        </w:rPr>
        <w:t>de la determinación de este tributo</w:t>
      </w:r>
      <w:r w:rsidR="006F14C2" w:rsidRPr="00F56623">
        <w:rPr>
          <w:rFonts w:ascii="Palatino Linotype" w:eastAsia="Calibri" w:hAnsi="Palatino Linotype"/>
          <w:sz w:val="22"/>
          <w:szCs w:val="22"/>
        </w:rPr>
        <w:t xml:space="preserve"> y </w:t>
      </w:r>
      <w:r w:rsidR="00A021B4" w:rsidRPr="00F56623">
        <w:rPr>
          <w:rFonts w:ascii="Palatino Linotype" w:eastAsia="Calibri" w:hAnsi="Palatino Linotype"/>
          <w:sz w:val="22"/>
          <w:szCs w:val="22"/>
        </w:rPr>
        <w:t>del envío de</w:t>
      </w:r>
      <w:r w:rsidR="006F14C2" w:rsidRPr="00F56623">
        <w:rPr>
          <w:rFonts w:ascii="Palatino Linotype" w:eastAsia="Calibri" w:hAnsi="Palatino Linotype"/>
          <w:sz w:val="22"/>
          <w:szCs w:val="22"/>
        </w:rPr>
        <w:t xml:space="preserve"> </w:t>
      </w:r>
      <w:r w:rsidR="00E81376" w:rsidRPr="00F56623">
        <w:rPr>
          <w:rFonts w:ascii="Palatino Linotype" w:eastAsia="Calibri" w:hAnsi="Palatino Linotype"/>
          <w:sz w:val="22"/>
          <w:szCs w:val="22"/>
        </w:rPr>
        <w:t xml:space="preserve">la </w:t>
      </w:r>
      <w:r w:rsidR="006F14C2" w:rsidRPr="00F56623">
        <w:rPr>
          <w:rFonts w:ascii="Palatino Linotype" w:eastAsia="Calibri" w:hAnsi="Palatino Linotype"/>
          <w:sz w:val="22"/>
          <w:szCs w:val="22"/>
        </w:rPr>
        <w:t xml:space="preserve">información </w:t>
      </w:r>
      <w:r w:rsidR="00E81376" w:rsidRPr="00F56623">
        <w:rPr>
          <w:rFonts w:ascii="Palatino Linotype" w:eastAsia="Calibri" w:hAnsi="Palatino Linotype"/>
          <w:sz w:val="22"/>
          <w:szCs w:val="22"/>
        </w:rPr>
        <w:t>a la Dirección Metropolitana Tributaria.</w:t>
      </w:r>
    </w:p>
    <w:p w:rsidR="00C03F43" w:rsidRPr="00F56623" w:rsidRDefault="00B452E3"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t>C</w:t>
      </w:r>
      <w:r w:rsidR="00B80EDF" w:rsidRPr="00F56623">
        <w:rPr>
          <w:rFonts w:ascii="Palatino Linotype" w:eastAsia="Calibri" w:hAnsi="Palatino Linotype"/>
          <w:sz w:val="22"/>
          <w:szCs w:val="22"/>
        </w:rPr>
        <w:t xml:space="preserve">uando sea del caso, será la encargada de recopilar la información respectiva de las obras de alcance distrital que realizaren otras dependencias o entidades del Municipio de Quito, </w:t>
      </w:r>
      <w:r w:rsidRPr="00F56623">
        <w:rPr>
          <w:rFonts w:ascii="Palatino Linotype" w:eastAsia="Calibri" w:hAnsi="Palatino Linotype"/>
          <w:sz w:val="22"/>
          <w:szCs w:val="22"/>
        </w:rPr>
        <w:t xml:space="preserve">quienes </w:t>
      </w:r>
      <w:r w:rsidR="00B80EDF" w:rsidRPr="00F56623">
        <w:rPr>
          <w:rFonts w:ascii="Palatino Linotype" w:eastAsia="Calibri" w:hAnsi="Palatino Linotype"/>
          <w:sz w:val="22"/>
          <w:szCs w:val="22"/>
        </w:rPr>
        <w:t xml:space="preserve">una  vez terminada la obra, remitirán obligatoriamente </w:t>
      </w:r>
      <w:r w:rsidR="00C03F43" w:rsidRPr="00F56623">
        <w:rPr>
          <w:rFonts w:ascii="Palatino Linotype" w:eastAsia="Calibri" w:hAnsi="Palatino Linotype"/>
          <w:sz w:val="22"/>
          <w:szCs w:val="22"/>
        </w:rPr>
        <w:t xml:space="preserve">una copia de las actas de </w:t>
      </w:r>
      <w:r w:rsidR="00EE6CD2" w:rsidRPr="00F56623">
        <w:rPr>
          <w:rFonts w:ascii="Palatino Linotype" w:eastAsia="Calibri" w:hAnsi="Palatino Linotype"/>
          <w:sz w:val="22"/>
          <w:szCs w:val="22"/>
        </w:rPr>
        <w:t>recepción parcial, provisional o</w:t>
      </w:r>
      <w:r w:rsidR="00C03F43" w:rsidRPr="00F56623">
        <w:rPr>
          <w:rFonts w:ascii="Palatino Linotype" w:eastAsia="Calibri" w:hAnsi="Palatino Linotype"/>
          <w:sz w:val="22"/>
          <w:szCs w:val="22"/>
        </w:rPr>
        <w:t xml:space="preserve"> definitiva de las obras ejecutadas</w:t>
      </w:r>
      <w:r w:rsidR="00B64E8E" w:rsidRPr="00F56623">
        <w:rPr>
          <w:rFonts w:ascii="Palatino Linotype" w:eastAsia="Calibri" w:hAnsi="Palatino Linotype"/>
          <w:color w:val="943634" w:themeColor="accent2" w:themeShade="BF"/>
          <w:sz w:val="22"/>
          <w:szCs w:val="22"/>
        </w:rPr>
        <w:t xml:space="preserve">, </w:t>
      </w:r>
      <w:r w:rsidR="00B64E8E" w:rsidRPr="00F56623">
        <w:rPr>
          <w:rFonts w:ascii="Palatino Linotype" w:eastAsia="Calibri" w:hAnsi="Palatino Linotype"/>
          <w:sz w:val="22"/>
          <w:szCs w:val="22"/>
        </w:rPr>
        <w:t xml:space="preserve"> </w:t>
      </w:r>
      <w:r w:rsidR="00B80EDF" w:rsidRPr="00F56623">
        <w:rPr>
          <w:rFonts w:ascii="Palatino Linotype" w:eastAsia="Calibri" w:hAnsi="Palatino Linotype"/>
          <w:sz w:val="22"/>
          <w:szCs w:val="22"/>
        </w:rPr>
        <w:t xml:space="preserve">dentro de los sesenta días hábiles, </w:t>
      </w:r>
      <w:r w:rsidR="00C03F43" w:rsidRPr="00F56623">
        <w:rPr>
          <w:rFonts w:ascii="Palatino Linotype" w:eastAsia="Calibri" w:hAnsi="Palatino Linotype"/>
          <w:sz w:val="22"/>
          <w:szCs w:val="22"/>
        </w:rPr>
        <w:t>a partir de la suscripción del acta.</w:t>
      </w:r>
    </w:p>
    <w:p w:rsidR="0067435C" w:rsidRPr="00F56623" w:rsidRDefault="00B452E3"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t>L</w:t>
      </w:r>
      <w:r w:rsidR="00647BC0" w:rsidRPr="00F56623">
        <w:rPr>
          <w:rFonts w:ascii="Palatino Linotype" w:eastAsia="Calibri" w:hAnsi="Palatino Linotype"/>
          <w:sz w:val="22"/>
          <w:szCs w:val="22"/>
        </w:rPr>
        <w:t xml:space="preserve">a </w:t>
      </w:r>
      <w:r w:rsidR="00B06A11" w:rsidRPr="00F56623">
        <w:rPr>
          <w:rFonts w:ascii="Palatino Linotype" w:eastAsia="Calibri" w:hAnsi="Palatino Linotype"/>
          <w:sz w:val="22"/>
          <w:szCs w:val="22"/>
        </w:rPr>
        <w:t>Empresa Pública Metropolitana de Movilidad y Obras Públicas</w:t>
      </w:r>
      <w:r w:rsidR="00647BC0" w:rsidRPr="00F56623">
        <w:rPr>
          <w:rFonts w:ascii="Palatino Linotype" w:eastAsia="Calibri" w:hAnsi="Palatino Linotype"/>
          <w:sz w:val="22"/>
          <w:szCs w:val="22"/>
        </w:rPr>
        <w:t>, pro</w:t>
      </w:r>
      <w:r w:rsidR="00636921" w:rsidRPr="00F56623">
        <w:rPr>
          <w:rFonts w:ascii="Palatino Linotype" w:eastAsia="Calibri" w:hAnsi="Palatino Linotype"/>
          <w:sz w:val="22"/>
          <w:szCs w:val="22"/>
        </w:rPr>
        <w:t>cederá</w:t>
      </w:r>
      <w:r w:rsidR="00647BC0" w:rsidRPr="00F56623">
        <w:rPr>
          <w:rFonts w:ascii="Palatino Linotype" w:eastAsia="Calibri" w:hAnsi="Palatino Linotype"/>
          <w:sz w:val="22"/>
          <w:szCs w:val="22"/>
        </w:rPr>
        <w:t xml:space="preserve"> a determinar la Contribución Especial de Mejoras de alcance distrital para todos los predios </w:t>
      </w:r>
      <w:r w:rsidR="00C03F43" w:rsidRPr="00F56623">
        <w:rPr>
          <w:rFonts w:ascii="Palatino Linotype" w:eastAsia="Calibri" w:hAnsi="Palatino Linotype"/>
          <w:sz w:val="22"/>
          <w:szCs w:val="22"/>
        </w:rPr>
        <w:t>d</w:t>
      </w:r>
      <w:r w:rsidR="00647BC0" w:rsidRPr="00F56623">
        <w:rPr>
          <w:rFonts w:ascii="Palatino Linotype" w:eastAsia="Calibri" w:hAnsi="Palatino Linotype"/>
          <w:sz w:val="22"/>
          <w:szCs w:val="22"/>
        </w:rPr>
        <w:t xml:space="preserve">el Distrito Metropolitano de Quito, conforme el cálculo establecido en </w:t>
      </w:r>
      <w:r w:rsidR="00935A81" w:rsidRPr="00F56623">
        <w:rPr>
          <w:rFonts w:ascii="Palatino Linotype" w:eastAsia="Calibri" w:hAnsi="Palatino Linotype"/>
          <w:sz w:val="22"/>
          <w:szCs w:val="22"/>
        </w:rPr>
        <w:t>la presente ordenanza</w:t>
      </w:r>
      <w:r w:rsidR="00647BC0" w:rsidRPr="00F56623">
        <w:rPr>
          <w:rFonts w:ascii="Palatino Linotype" w:eastAsia="Calibri" w:hAnsi="Palatino Linotype"/>
          <w:sz w:val="22"/>
          <w:szCs w:val="22"/>
        </w:rPr>
        <w:t xml:space="preserve">, cuyos valores se remitirán </w:t>
      </w:r>
      <w:r w:rsidR="00BD358C" w:rsidRPr="00F56623">
        <w:rPr>
          <w:rFonts w:ascii="Palatino Linotype" w:eastAsia="Calibri" w:hAnsi="Palatino Linotype"/>
          <w:sz w:val="22"/>
          <w:szCs w:val="22"/>
        </w:rPr>
        <w:t xml:space="preserve">con la debida anticipación para que la Dirección Metropolitana Tributaria </w:t>
      </w:r>
      <w:r w:rsidR="00647BC0" w:rsidRPr="00F56623">
        <w:rPr>
          <w:rFonts w:ascii="Palatino Linotype" w:eastAsia="Calibri" w:hAnsi="Palatino Linotype"/>
          <w:sz w:val="22"/>
          <w:szCs w:val="22"/>
        </w:rPr>
        <w:t xml:space="preserve">proceda a la emisión de las </w:t>
      </w:r>
      <w:r w:rsidRPr="00F56623">
        <w:rPr>
          <w:rFonts w:ascii="Palatino Linotype" w:eastAsia="Calibri" w:hAnsi="Palatino Linotype"/>
          <w:sz w:val="22"/>
          <w:szCs w:val="22"/>
        </w:rPr>
        <w:t>órdenes de cobro</w:t>
      </w:r>
      <w:r w:rsidR="00726F28" w:rsidRPr="00F56623">
        <w:rPr>
          <w:rFonts w:ascii="Palatino Linotype" w:eastAsia="Calibri" w:hAnsi="Palatino Linotype"/>
          <w:sz w:val="22"/>
          <w:szCs w:val="22"/>
        </w:rPr>
        <w:t>, conforme lo dispuesto en la presente ordenanza.</w:t>
      </w:r>
    </w:p>
    <w:p w:rsidR="00B80EDF" w:rsidRPr="00F56623" w:rsidRDefault="00647BC0"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lastRenderedPageBreak/>
        <w:t>La información que no fuere entregada dentro de los plazos señalados</w:t>
      </w:r>
      <w:r w:rsidR="00E25011" w:rsidRPr="00F56623">
        <w:rPr>
          <w:rFonts w:ascii="Palatino Linotype" w:eastAsia="Calibri" w:hAnsi="Palatino Linotype"/>
          <w:sz w:val="22"/>
          <w:szCs w:val="22"/>
        </w:rPr>
        <w:t xml:space="preserve"> o </w:t>
      </w:r>
      <w:r w:rsidR="00B80EDF" w:rsidRPr="00F56623">
        <w:rPr>
          <w:rFonts w:ascii="Palatino Linotype" w:eastAsia="Calibri" w:hAnsi="Palatino Linotype"/>
          <w:sz w:val="22"/>
          <w:szCs w:val="22"/>
        </w:rPr>
        <w:t xml:space="preserve">no sea actualizada </w:t>
      </w:r>
      <w:r w:rsidR="00721A41" w:rsidRPr="00F56623">
        <w:rPr>
          <w:rFonts w:ascii="Palatino Linotype" w:eastAsia="Calibri" w:hAnsi="Palatino Linotype"/>
          <w:sz w:val="22"/>
          <w:szCs w:val="22"/>
        </w:rPr>
        <w:t>oportunamente</w:t>
      </w:r>
      <w:r w:rsidRPr="00F56623">
        <w:rPr>
          <w:rFonts w:ascii="Palatino Linotype" w:eastAsia="Calibri" w:hAnsi="Palatino Linotype"/>
          <w:sz w:val="22"/>
          <w:szCs w:val="22"/>
        </w:rPr>
        <w:t>, acarreará responsabilidad</w:t>
      </w:r>
      <w:r w:rsidR="00E25011" w:rsidRPr="00F56623">
        <w:rPr>
          <w:rFonts w:ascii="Palatino Linotype" w:eastAsia="Calibri" w:hAnsi="Palatino Linotype"/>
          <w:sz w:val="22"/>
          <w:szCs w:val="22"/>
        </w:rPr>
        <w:t>es legales</w:t>
      </w:r>
      <w:r w:rsidRPr="00F56623">
        <w:rPr>
          <w:rFonts w:ascii="Palatino Linotype" w:eastAsia="Calibri" w:hAnsi="Palatino Linotype"/>
          <w:sz w:val="22"/>
          <w:szCs w:val="22"/>
        </w:rPr>
        <w:t xml:space="preserve"> para el titular de la </w:t>
      </w:r>
      <w:r w:rsidR="00721A41" w:rsidRPr="00F56623">
        <w:rPr>
          <w:rFonts w:ascii="Palatino Linotype" w:eastAsia="Calibri" w:hAnsi="Palatino Linotype"/>
          <w:sz w:val="22"/>
          <w:szCs w:val="22"/>
        </w:rPr>
        <w:t>u</w:t>
      </w:r>
      <w:r w:rsidRPr="00F56623">
        <w:rPr>
          <w:rFonts w:ascii="Palatino Linotype" w:eastAsia="Calibri" w:hAnsi="Palatino Linotype"/>
          <w:sz w:val="22"/>
          <w:szCs w:val="22"/>
        </w:rPr>
        <w:t xml:space="preserve">nidad o dependencia ejecutora, así como para los responsables de </w:t>
      </w:r>
      <w:r w:rsidR="00624550" w:rsidRPr="00F56623">
        <w:rPr>
          <w:rFonts w:ascii="Palatino Linotype" w:eastAsia="Calibri" w:hAnsi="Palatino Linotype"/>
          <w:sz w:val="22"/>
          <w:szCs w:val="22"/>
        </w:rPr>
        <w:t xml:space="preserve">proporcionar </w:t>
      </w:r>
      <w:r w:rsidR="00721A41" w:rsidRPr="00F56623">
        <w:rPr>
          <w:rFonts w:ascii="Palatino Linotype" w:eastAsia="Calibri" w:hAnsi="Palatino Linotype"/>
          <w:sz w:val="22"/>
          <w:szCs w:val="22"/>
        </w:rPr>
        <w:t>los valores determinados para la emisión de la Contribución Especial de Mejoras</w:t>
      </w:r>
      <w:r w:rsidRPr="00F56623">
        <w:rPr>
          <w:rFonts w:ascii="Palatino Linotype" w:eastAsia="Calibri" w:hAnsi="Palatino Linotype"/>
          <w:sz w:val="22"/>
          <w:szCs w:val="22"/>
        </w:rPr>
        <w:t>.</w:t>
      </w:r>
      <w:r w:rsidR="007B3C07" w:rsidRPr="00F56623">
        <w:rPr>
          <w:rFonts w:ascii="Palatino Linotype" w:eastAsia="Calibri" w:hAnsi="Palatino Linotype"/>
          <w:sz w:val="22"/>
          <w:szCs w:val="22"/>
        </w:rPr>
        <w:t xml:space="preserve"> </w:t>
      </w:r>
    </w:p>
    <w:p w:rsidR="00933EDC" w:rsidRPr="00F56623" w:rsidRDefault="00C03F43" w:rsidP="00F56623">
      <w:pPr>
        <w:tabs>
          <w:tab w:val="left" w:pos="1080"/>
        </w:tabs>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 xml:space="preserve">Artículo </w:t>
      </w:r>
      <w:r w:rsidR="0087611E" w:rsidRPr="00F56623">
        <w:rPr>
          <w:rFonts w:ascii="Palatino Linotype" w:eastAsia="Calibri" w:hAnsi="Palatino Linotype"/>
          <w:b/>
          <w:sz w:val="22"/>
          <w:szCs w:val="22"/>
        </w:rPr>
        <w:t>7</w:t>
      </w:r>
      <w:r w:rsidRPr="00F56623">
        <w:rPr>
          <w:rFonts w:ascii="Palatino Linotype" w:eastAsia="Calibri" w:hAnsi="Palatino Linotype"/>
          <w:b/>
          <w:sz w:val="22"/>
          <w:szCs w:val="22"/>
        </w:rPr>
        <w:t>.- Fecha de E</w:t>
      </w:r>
      <w:r w:rsidR="00933EDC" w:rsidRPr="00F56623">
        <w:rPr>
          <w:rFonts w:ascii="Palatino Linotype" w:eastAsia="Calibri" w:hAnsi="Palatino Linotype"/>
          <w:b/>
          <w:sz w:val="22"/>
          <w:szCs w:val="22"/>
        </w:rPr>
        <w:t>xigibilidad y Período de Pago.-</w:t>
      </w:r>
      <w:r w:rsidR="006B5AD5">
        <w:rPr>
          <w:rFonts w:ascii="Palatino Linotype" w:eastAsia="Calibri" w:hAnsi="Palatino Linotype"/>
          <w:b/>
          <w:sz w:val="22"/>
          <w:szCs w:val="22"/>
        </w:rPr>
        <w:t xml:space="preserve"> </w:t>
      </w:r>
      <w:r w:rsidR="00933EDC" w:rsidRPr="00F56623">
        <w:rPr>
          <w:rFonts w:ascii="Palatino Linotype" w:eastAsia="Calibri" w:hAnsi="Palatino Linotype"/>
          <w:sz w:val="22"/>
          <w:szCs w:val="22"/>
        </w:rPr>
        <w:t xml:space="preserve">Las contribuciones especiales </w:t>
      </w:r>
      <w:r w:rsidR="008223E7" w:rsidRPr="00F56623">
        <w:rPr>
          <w:rFonts w:ascii="Palatino Linotype" w:eastAsia="Calibri" w:hAnsi="Palatino Linotype"/>
          <w:sz w:val="22"/>
          <w:szCs w:val="22"/>
        </w:rPr>
        <w:t xml:space="preserve">de mejora por obras de alcance distrital, </w:t>
      </w:r>
      <w:r w:rsidR="00933EDC" w:rsidRPr="00F56623">
        <w:rPr>
          <w:rFonts w:ascii="Palatino Linotype" w:eastAsia="Calibri" w:hAnsi="Palatino Linotype"/>
          <w:sz w:val="22"/>
          <w:szCs w:val="22"/>
        </w:rPr>
        <w:t>podrá</w:t>
      </w:r>
      <w:r w:rsidR="008223E7" w:rsidRPr="00F56623">
        <w:rPr>
          <w:rFonts w:ascii="Palatino Linotype" w:eastAsia="Calibri" w:hAnsi="Palatino Linotype"/>
          <w:sz w:val="22"/>
          <w:szCs w:val="22"/>
        </w:rPr>
        <w:t xml:space="preserve">n cobrarse </w:t>
      </w:r>
      <w:r w:rsidR="00933EDC" w:rsidRPr="00F56623">
        <w:rPr>
          <w:rFonts w:ascii="Palatino Linotype" w:eastAsia="Calibri" w:hAnsi="Palatino Linotype"/>
          <w:sz w:val="22"/>
          <w:szCs w:val="22"/>
        </w:rPr>
        <w:t>fraccionando la obra a medida que vaya terminá</w:t>
      </w:r>
      <w:r w:rsidR="00305352" w:rsidRPr="00F56623">
        <w:rPr>
          <w:rFonts w:ascii="Palatino Linotype" w:eastAsia="Calibri" w:hAnsi="Palatino Linotype"/>
          <w:sz w:val="22"/>
          <w:szCs w:val="22"/>
        </w:rPr>
        <w:t>ndose por tramos o partes.</w:t>
      </w:r>
      <w:r w:rsidR="008223E7" w:rsidRPr="00F56623">
        <w:rPr>
          <w:rFonts w:ascii="Palatino Linotype" w:eastAsia="Calibri" w:hAnsi="Palatino Linotype"/>
          <w:sz w:val="22"/>
          <w:szCs w:val="22"/>
        </w:rPr>
        <w:t xml:space="preserve"> El </w:t>
      </w:r>
      <w:r w:rsidR="00933EDC" w:rsidRPr="00F56623">
        <w:rPr>
          <w:rFonts w:ascii="Palatino Linotype" w:eastAsia="Calibri" w:hAnsi="Palatino Linotype"/>
          <w:sz w:val="22"/>
          <w:szCs w:val="22"/>
        </w:rPr>
        <w:t xml:space="preserve">cobro del tributo </w:t>
      </w:r>
      <w:r w:rsidR="00AE4637" w:rsidRPr="00F56623">
        <w:rPr>
          <w:rFonts w:ascii="Palatino Linotype" w:eastAsia="Calibri" w:hAnsi="Palatino Linotype"/>
          <w:sz w:val="22"/>
          <w:szCs w:val="22"/>
        </w:rPr>
        <w:t xml:space="preserve">será prorrateado a </w:t>
      </w:r>
      <w:r w:rsidR="00933EDC" w:rsidRPr="00F56623">
        <w:rPr>
          <w:rFonts w:ascii="Palatino Linotype" w:eastAsia="Calibri" w:hAnsi="Palatino Linotype"/>
          <w:sz w:val="22"/>
          <w:szCs w:val="22"/>
        </w:rPr>
        <w:t xml:space="preserve">diez años o al plazo </w:t>
      </w:r>
      <w:r w:rsidR="008D38D5" w:rsidRPr="00F56623">
        <w:rPr>
          <w:rFonts w:ascii="Palatino Linotype" w:eastAsia="Calibri" w:hAnsi="Palatino Linotype"/>
          <w:sz w:val="22"/>
          <w:szCs w:val="22"/>
        </w:rPr>
        <w:t xml:space="preserve">establecido en el caso </w:t>
      </w:r>
      <w:r w:rsidR="00933EDC" w:rsidRPr="00F56623">
        <w:rPr>
          <w:rFonts w:ascii="Palatino Linotype" w:eastAsia="Calibri" w:hAnsi="Palatino Linotype"/>
          <w:sz w:val="22"/>
          <w:szCs w:val="22"/>
        </w:rPr>
        <w:t>d</w:t>
      </w:r>
      <w:r w:rsidR="008D38D5" w:rsidRPr="00F56623">
        <w:rPr>
          <w:rFonts w:ascii="Palatino Linotype" w:eastAsia="Calibri" w:hAnsi="Palatino Linotype"/>
          <w:sz w:val="22"/>
          <w:szCs w:val="22"/>
        </w:rPr>
        <w:t>e</w:t>
      </w:r>
      <w:r w:rsidR="008223E7" w:rsidRPr="00F56623">
        <w:rPr>
          <w:rFonts w:ascii="Palatino Linotype" w:eastAsia="Calibri" w:hAnsi="Palatino Linotype"/>
          <w:sz w:val="22"/>
          <w:szCs w:val="22"/>
        </w:rPr>
        <w:t xml:space="preserve"> cr</w:t>
      </w:r>
      <w:r w:rsidR="00E04C99" w:rsidRPr="00F56623">
        <w:rPr>
          <w:rFonts w:ascii="Palatino Linotype" w:eastAsia="Calibri" w:hAnsi="Palatino Linotype"/>
          <w:sz w:val="22"/>
          <w:szCs w:val="22"/>
        </w:rPr>
        <w:t xml:space="preserve">édito público </w:t>
      </w:r>
      <w:r w:rsidR="008D38D5" w:rsidRPr="00F56623">
        <w:rPr>
          <w:rFonts w:ascii="Palatino Linotype" w:eastAsia="Calibri" w:hAnsi="Palatino Linotype"/>
          <w:sz w:val="22"/>
          <w:szCs w:val="22"/>
        </w:rPr>
        <w:t xml:space="preserve">reembolsable, sea </w:t>
      </w:r>
      <w:r w:rsidR="00E04C99" w:rsidRPr="00F56623">
        <w:rPr>
          <w:rFonts w:ascii="Palatino Linotype" w:eastAsia="Calibri" w:hAnsi="Palatino Linotype"/>
          <w:sz w:val="22"/>
          <w:szCs w:val="22"/>
        </w:rPr>
        <w:t xml:space="preserve">interno o externo, </w:t>
      </w:r>
      <w:r w:rsidR="00407E2B" w:rsidRPr="00F56623">
        <w:rPr>
          <w:rFonts w:ascii="Palatino Linotype" w:eastAsia="Calibri" w:hAnsi="Palatino Linotype"/>
          <w:sz w:val="22"/>
          <w:szCs w:val="22"/>
        </w:rPr>
        <w:t xml:space="preserve">el que sea mayor, </w:t>
      </w:r>
      <w:r w:rsidR="00E04C99" w:rsidRPr="00F56623">
        <w:rPr>
          <w:rFonts w:ascii="Palatino Linotype" w:eastAsia="Calibri" w:hAnsi="Palatino Linotype"/>
          <w:sz w:val="22"/>
          <w:szCs w:val="22"/>
        </w:rPr>
        <w:t>desde el año siguiente a aquel en que se haya entregado la obra.</w:t>
      </w:r>
    </w:p>
    <w:p w:rsidR="00317D70" w:rsidRPr="00F56623" w:rsidRDefault="00317D70" w:rsidP="00F56623">
      <w:pPr>
        <w:tabs>
          <w:tab w:val="left" w:pos="1080"/>
        </w:tabs>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t xml:space="preserve">Los pagos que correspondan por contribución especial de mejoras podrán </w:t>
      </w:r>
      <w:r w:rsidR="00E04C99" w:rsidRPr="00F56623">
        <w:rPr>
          <w:rFonts w:ascii="Palatino Linotype" w:eastAsia="Calibri" w:hAnsi="Palatino Linotype"/>
          <w:sz w:val="22"/>
          <w:szCs w:val="22"/>
        </w:rPr>
        <w:t>realizarse</w:t>
      </w:r>
      <w:r w:rsidRPr="00F56623">
        <w:rPr>
          <w:rFonts w:ascii="Palatino Linotype" w:eastAsia="Calibri" w:hAnsi="Palatino Linotype"/>
          <w:sz w:val="22"/>
          <w:szCs w:val="22"/>
        </w:rPr>
        <w:t xml:space="preserve"> desde el primer</w:t>
      </w:r>
      <w:r w:rsidR="00EA6912" w:rsidRPr="00F56623">
        <w:rPr>
          <w:rFonts w:ascii="Palatino Linotype" w:eastAsia="Calibri" w:hAnsi="Palatino Linotype"/>
          <w:sz w:val="22"/>
          <w:szCs w:val="22"/>
        </w:rPr>
        <w:t xml:space="preserve">o de </w:t>
      </w:r>
      <w:r w:rsidRPr="00F56623">
        <w:rPr>
          <w:rFonts w:ascii="Palatino Linotype" w:eastAsia="Calibri" w:hAnsi="Palatino Linotype"/>
          <w:sz w:val="22"/>
          <w:szCs w:val="22"/>
        </w:rPr>
        <w:t xml:space="preserve"> </w:t>
      </w:r>
      <w:r w:rsidR="00EA6912" w:rsidRPr="00F56623">
        <w:rPr>
          <w:rFonts w:ascii="Palatino Linotype" w:eastAsia="Calibri" w:hAnsi="Palatino Linotype"/>
          <w:sz w:val="22"/>
          <w:szCs w:val="22"/>
        </w:rPr>
        <w:t>enero</w:t>
      </w:r>
      <w:r w:rsidRPr="00F56623">
        <w:rPr>
          <w:rFonts w:ascii="Palatino Linotype" w:eastAsia="Calibri" w:hAnsi="Palatino Linotype"/>
          <w:sz w:val="22"/>
          <w:szCs w:val="22"/>
        </w:rPr>
        <w:t xml:space="preserve"> hasta el 31 de diciembre.</w:t>
      </w:r>
    </w:p>
    <w:p w:rsidR="0039339A" w:rsidRPr="00F56623" w:rsidRDefault="0039339A" w:rsidP="00F56623">
      <w:pPr>
        <w:tabs>
          <w:tab w:val="left" w:pos="1080"/>
        </w:tabs>
        <w:spacing w:after="120" w:line="276" w:lineRule="auto"/>
        <w:jc w:val="both"/>
        <w:rPr>
          <w:rFonts w:ascii="Palatino Linotype" w:eastAsia="Calibri" w:hAnsi="Palatino Linotype"/>
          <w:sz w:val="22"/>
          <w:szCs w:val="22"/>
        </w:rPr>
      </w:pPr>
      <w:r w:rsidRPr="00F56623">
        <w:rPr>
          <w:rFonts w:ascii="Palatino Linotype" w:eastAsia="Calibri" w:hAnsi="Palatino Linotype"/>
          <w:sz w:val="22"/>
          <w:szCs w:val="22"/>
        </w:rPr>
        <w:t xml:space="preserve">Cada dividendo será exigible individualmente, por tanto, vencido el plazo previsto </w:t>
      </w:r>
      <w:r w:rsidR="00317D70" w:rsidRPr="00F56623">
        <w:rPr>
          <w:rFonts w:ascii="Palatino Linotype" w:eastAsia="Calibri" w:hAnsi="Palatino Linotype"/>
          <w:sz w:val="22"/>
          <w:szCs w:val="22"/>
        </w:rPr>
        <w:t>anteriormente</w:t>
      </w:r>
      <w:r w:rsidRPr="00F56623">
        <w:rPr>
          <w:rFonts w:ascii="Palatino Linotype" w:eastAsia="Calibri" w:hAnsi="Palatino Linotype"/>
          <w:sz w:val="22"/>
          <w:szCs w:val="22"/>
        </w:rPr>
        <w:t xml:space="preserve">, </w:t>
      </w:r>
      <w:r w:rsidR="00317D70" w:rsidRPr="00F56623">
        <w:rPr>
          <w:rFonts w:ascii="Palatino Linotype" w:eastAsia="Calibri" w:hAnsi="Palatino Linotype"/>
          <w:sz w:val="22"/>
          <w:szCs w:val="22"/>
        </w:rPr>
        <w:t>se generarán</w:t>
      </w:r>
      <w:r w:rsidRPr="00F56623">
        <w:rPr>
          <w:rFonts w:ascii="Palatino Linotype" w:eastAsia="Calibri" w:hAnsi="Palatino Linotype"/>
          <w:sz w:val="22"/>
          <w:szCs w:val="22"/>
        </w:rPr>
        <w:t xml:space="preserve"> los intereses previstos en el artículo 21 del Código Orgánico </w:t>
      </w:r>
      <w:r w:rsidR="00371393" w:rsidRPr="00F56623">
        <w:rPr>
          <w:rFonts w:ascii="Palatino Linotype" w:eastAsia="Calibri" w:hAnsi="Palatino Linotype"/>
          <w:sz w:val="22"/>
          <w:szCs w:val="22"/>
        </w:rPr>
        <w:t xml:space="preserve">Tributario, </w:t>
      </w:r>
      <w:r w:rsidR="005E3AC6" w:rsidRPr="00F56623">
        <w:rPr>
          <w:rFonts w:ascii="Palatino Linotype" w:eastAsia="Calibri" w:hAnsi="Palatino Linotype"/>
          <w:sz w:val="22"/>
          <w:szCs w:val="22"/>
        </w:rPr>
        <w:t>y se dará</w:t>
      </w:r>
      <w:r w:rsidR="00317D70" w:rsidRPr="00F56623">
        <w:rPr>
          <w:rFonts w:ascii="Palatino Linotype" w:eastAsia="Calibri" w:hAnsi="Palatino Linotype"/>
          <w:sz w:val="22"/>
          <w:szCs w:val="22"/>
        </w:rPr>
        <w:t xml:space="preserve"> </w:t>
      </w:r>
      <w:r w:rsidR="005E3AC6" w:rsidRPr="00F56623">
        <w:rPr>
          <w:rFonts w:ascii="Palatino Linotype" w:eastAsia="Calibri" w:hAnsi="Palatino Linotype"/>
          <w:sz w:val="22"/>
          <w:szCs w:val="22"/>
        </w:rPr>
        <w:t xml:space="preserve">inicio a </w:t>
      </w:r>
      <w:r w:rsidR="007A56A8" w:rsidRPr="00F56623">
        <w:rPr>
          <w:rFonts w:ascii="Palatino Linotype" w:eastAsia="Calibri" w:hAnsi="Palatino Linotype"/>
          <w:sz w:val="22"/>
          <w:szCs w:val="22"/>
        </w:rPr>
        <w:t>la acción coactiva.</w:t>
      </w:r>
    </w:p>
    <w:p w:rsidR="00967E11" w:rsidRPr="00F56623" w:rsidRDefault="0039339A" w:rsidP="00F56623">
      <w:pPr>
        <w:autoSpaceDE w:val="0"/>
        <w:autoSpaceDN w:val="0"/>
        <w:adjustRightInd w:val="0"/>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 xml:space="preserve">Artículo </w:t>
      </w:r>
      <w:r w:rsidR="0087611E" w:rsidRPr="00F56623">
        <w:rPr>
          <w:rFonts w:ascii="Palatino Linotype" w:eastAsia="Calibri" w:hAnsi="Palatino Linotype"/>
          <w:b/>
          <w:sz w:val="22"/>
          <w:szCs w:val="22"/>
        </w:rPr>
        <w:t>8</w:t>
      </w:r>
      <w:r w:rsidRPr="00F56623">
        <w:rPr>
          <w:rFonts w:ascii="Palatino Linotype" w:eastAsia="Calibri" w:hAnsi="Palatino Linotype"/>
          <w:b/>
          <w:sz w:val="22"/>
          <w:szCs w:val="22"/>
        </w:rPr>
        <w:t>.- Orden de Cobro.-</w:t>
      </w:r>
      <w:r w:rsidRPr="00F56623">
        <w:rPr>
          <w:rFonts w:ascii="Palatino Linotype" w:eastAsia="Calibri" w:hAnsi="Palatino Linotype"/>
          <w:sz w:val="22"/>
          <w:szCs w:val="22"/>
        </w:rPr>
        <w:t xml:space="preserve"> </w:t>
      </w:r>
      <w:r w:rsidR="00967E11" w:rsidRPr="00F56623">
        <w:rPr>
          <w:rFonts w:ascii="Palatino Linotype" w:eastAsia="Calibri" w:hAnsi="Palatino Linotype"/>
          <w:sz w:val="22"/>
          <w:szCs w:val="22"/>
        </w:rPr>
        <w:t xml:space="preserve">La Contribución Especial de Mejoras se emitirá </w:t>
      </w:r>
      <w:r w:rsidR="005E3AC6" w:rsidRPr="00F56623">
        <w:rPr>
          <w:rFonts w:ascii="Palatino Linotype" w:eastAsia="Calibri" w:hAnsi="Palatino Linotype"/>
          <w:sz w:val="22"/>
          <w:szCs w:val="22"/>
        </w:rPr>
        <w:t>anualmente</w:t>
      </w:r>
      <w:r w:rsidR="00967E11" w:rsidRPr="00F56623">
        <w:rPr>
          <w:rFonts w:ascii="Palatino Linotype" w:eastAsia="Calibri" w:hAnsi="Palatino Linotype"/>
          <w:sz w:val="22"/>
          <w:szCs w:val="22"/>
        </w:rPr>
        <w:t xml:space="preserve">, </w:t>
      </w:r>
      <w:r w:rsidRPr="00F56623">
        <w:rPr>
          <w:rFonts w:ascii="Palatino Linotype" w:eastAsia="Calibri" w:hAnsi="Palatino Linotype"/>
          <w:sz w:val="22"/>
          <w:szCs w:val="22"/>
        </w:rPr>
        <w:t xml:space="preserve">sin necesidad de que la tesorería notifique esta obligación, rigiéndose </w:t>
      </w:r>
      <w:r w:rsidR="00967E11" w:rsidRPr="00F56623">
        <w:rPr>
          <w:rFonts w:ascii="Palatino Linotype" w:eastAsia="Calibri" w:hAnsi="Palatino Linotype"/>
          <w:sz w:val="22"/>
          <w:szCs w:val="22"/>
        </w:rPr>
        <w:t xml:space="preserve">bajo las mismas condiciones de cobro que para el Impuesto Predial establece el Código Orgánico de Organización Territorial, Autonomía y Descentralización, y la Ordenanza Metropolitana No. 141, cuando corresponda.  En consecuencia, no requiere la emisión y notificación de </w:t>
      </w:r>
      <w:r w:rsidR="007B3C07" w:rsidRPr="00F56623">
        <w:rPr>
          <w:rFonts w:ascii="Palatino Linotype" w:eastAsia="Calibri" w:hAnsi="Palatino Linotype"/>
          <w:sz w:val="22"/>
          <w:szCs w:val="22"/>
        </w:rPr>
        <w:t>títulos de crédito</w:t>
      </w:r>
      <w:r w:rsidR="00967E11" w:rsidRPr="00F56623">
        <w:rPr>
          <w:rFonts w:ascii="Palatino Linotype" w:eastAsia="Calibri" w:hAnsi="Palatino Linotype"/>
          <w:sz w:val="22"/>
          <w:szCs w:val="22"/>
        </w:rPr>
        <w:t xml:space="preserve"> para el ejercicio de la acción coactiva</w:t>
      </w:r>
      <w:r w:rsidRPr="00F56623">
        <w:rPr>
          <w:rFonts w:ascii="Palatino Linotype" w:eastAsia="Calibri" w:hAnsi="Palatino Linotype"/>
          <w:sz w:val="22"/>
          <w:szCs w:val="22"/>
        </w:rPr>
        <w:t>.</w:t>
      </w:r>
    </w:p>
    <w:p w:rsidR="00BB746D" w:rsidRPr="00F56623" w:rsidRDefault="00465E55" w:rsidP="00F56623">
      <w:pPr>
        <w:tabs>
          <w:tab w:val="left" w:pos="1080"/>
        </w:tabs>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 xml:space="preserve">Artículo </w:t>
      </w:r>
      <w:r w:rsidR="0087611E" w:rsidRPr="00F56623">
        <w:rPr>
          <w:rFonts w:ascii="Palatino Linotype" w:eastAsia="Calibri" w:hAnsi="Palatino Linotype"/>
          <w:b/>
          <w:sz w:val="22"/>
          <w:szCs w:val="22"/>
        </w:rPr>
        <w:t>9</w:t>
      </w:r>
      <w:r w:rsidRPr="00F56623">
        <w:rPr>
          <w:rFonts w:ascii="Palatino Linotype" w:eastAsia="Calibri" w:hAnsi="Palatino Linotype"/>
          <w:b/>
          <w:sz w:val="22"/>
          <w:szCs w:val="22"/>
        </w:rPr>
        <w:t>.-</w:t>
      </w:r>
      <w:bookmarkStart w:id="2" w:name="_Toc215904694"/>
      <w:r w:rsidRPr="00F56623">
        <w:rPr>
          <w:rFonts w:ascii="Palatino Linotype" w:hAnsi="Palatino Linotype"/>
          <w:sz w:val="22"/>
          <w:szCs w:val="22"/>
        </w:rPr>
        <w:t xml:space="preserve"> </w:t>
      </w:r>
      <w:r w:rsidR="00BB746D" w:rsidRPr="00F56623">
        <w:rPr>
          <w:rFonts w:ascii="Palatino Linotype" w:eastAsia="Calibri" w:hAnsi="Palatino Linotype"/>
          <w:b/>
          <w:sz w:val="22"/>
          <w:szCs w:val="22"/>
        </w:rPr>
        <w:t>Transferencia de dominio.-</w:t>
      </w:r>
      <w:bookmarkEnd w:id="2"/>
      <w:r w:rsidR="00BB746D" w:rsidRPr="00F56623">
        <w:rPr>
          <w:rFonts w:ascii="Palatino Linotype" w:eastAsia="Calibri" w:hAnsi="Palatino Linotype"/>
          <w:sz w:val="22"/>
          <w:szCs w:val="22"/>
        </w:rPr>
        <w:t xml:space="preserve"> Si el propietario de un predio obligado a cumplir con el pago de la contribución especial de mejoras, vendiere dicho predio o el dominio de éste pasare por cualquier motivo a otra, deberá pagar la totalidad del saldo adeudado por la contribución especial de mejoras</w:t>
      </w:r>
      <w:r w:rsidR="00844D6F" w:rsidRPr="00F56623">
        <w:rPr>
          <w:rFonts w:ascii="Palatino Linotype" w:eastAsia="Calibri" w:hAnsi="Palatino Linotype"/>
          <w:sz w:val="22"/>
          <w:szCs w:val="22"/>
        </w:rPr>
        <w:t>.</w:t>
      </w:r>
    </w:p>
    <w:p w:rsidR="00BB746D" w:rsidRPr="00F56623" w:rsidRDefault="00BB746D" w:rsidP="00F56623">
      <w:pPr>
        <w:spacing w:after="120" w:line="276" w:lineRule="auto"/>
        <w:jc w:val="both"/>
        <w:rPr>
          <w:rFonts w:ascii="Palatino Linotype" w:eastAsia="Calibri" w:hAnsi="Palatino Linotype"/>
          <w:sz w:val="22"/>
          <w:szCs w:val="22"/>
        </w:rPr>
      </w:pPr>
      <w:bookmarkStart w:id="3" w:name="_Toc215904695"/>
      <w:r w:rsidRPr="00F56623">
        <w:rPr>
          <w:rFonts w:ascii="Palatino Linotype" w:eastAsia="Calibri" w:hAnsi="Palatino Linotype"/>
          <w:b/>
          <w:sz w:val="22"/>
          <w:szCs w:val="22"/>
        </w:rPr>
        <w:t>Art</w:t>
      </w:r>
      <w:r w:rsidR="00BF1E87" w:rsidRPr="00F56623">
        <w:rPr>
          <w:rFonts w:ascii="Palatino Linotype" w:eastAsia="Calibri" w:hAnsi="Palatino Linotype"/>
          <w:b/>
          <w:sz w:val="22"/>
          <w:szCs w:val="22"/>
        </w:rPr>
        <w:t>ículo 1</w:t>
      </w:r>
      <w:r w:rsidR="0087611E" w:rsidRPr="00F56623">
        <w:rPr>
          <w:rFonts w:ascii="Palatino Linotype" w:eastAsia="Calibri" w:hAnsi="Palatino Linotype"/>
          <w:b/>
          <w:sz w:val="22"/>
          <w:szCs w:val="22"/>
        </w:rPr>
        <w:t>0</w:t>
      </w:r>
      <w:r w:rsidRPr="00F56623">
        <w:rPr>
          <w:rFonts w:ascii="Palatino Linotype" w:eastAsia="Calibri" w:hAnsi="Palatino Linotype"/>
          <w:b/>
          <w:sz w:val="22"/>
          <w:szCs w:val="22"/>
        </w:rPr>
        <w:t>.</w:t>
      </w:r>
      <w:r w:rsidR="00BF1E87" w:rsidRPr="00F56623">
        <w:rPr>
          <w:rFonts w:ascii="Palatino Linotype" w:eastAsia="Calibri" w:hAnsi="Palatino Linotype"/>
          <w:b/>
          <w:sz w:val="22"/>
          <w:szCs w:val="22"/>
        </w:rPr>
        <w:t>-</w:t>
      </w:r>
      <w:r w:rsidR="00F56623">
        <w:rPr>
          <w:rFonts w:ascii="Palatino Linotype" w:eastAsia="Calibri" w:hAnsi="Palatino Linotype"/>
          <w:b/>
          <w:sz w:val="22"/>
          <w:szCs w:val="22"/>
        </w:rPr>
        <w:t xml:space="preserve"> </w:t>
      </w:r>
      <w:r w:rsidRPr="00F56623">
        <w:rPr>
          <w:rFonts w:ascii="Palatino Linotype" w:eastAsia="Calibri" w:hAnsi="Palatino Linotype"/>
          <w:b/>
          <w:sz w:val="22"/>
          <w:szCs w:val="22"/>
        </w:rPr>
        <w:t>División de la deuda por Contribución Especial de Mejoras.-</w:t>
      </w:r>
      <w:bookmarkEnd w:id="3"/>
      <w:r w:rsidRPr="00F56623">
        <w:rPr>
          <w:rFonts w:ascii="Palatino Linotype" w:eastAsia="Calibri" w:hAnsi="Palatino Linotype"/>
          <w:sz w:val="22"/>
          <w:szCs w:val="22"/>
        </w:rPr>
        <w:t xml:space="preserve"> En el caso de fraccionamiento de propiedades, urbanizaciones, declaración de propiedad horizontal y de cualquier otra forma que subdivida el tributo por contribución especial de mejoras, </w:t>
      </w:r>
      <w:r w:rsidR="00BF1E87" w:rsidRPr="00F56623">
        <w:rPr>
          <w:rFonts w:ascii="Palatino Linotype" w:eastAsia="Calibri" w:hAnsi="Palatino Linotype"/>
          <w:sz w:val="22"/>
          <w:szCs w:val="22"/>
        </w:rPr>
        <w:t xml:space="preserve">la división proporcional de la deuda se cargará a los propietarios de cada predio dividido o </w:t>
      </w:r>
      <w:r w:rsidR="005F044B" w:rsidRPr="00F56623">
        <w:rPr>
          <w:rFonts w:ascii="Palatino Linotype" w:eastAsia="Calibri" w:hAnsi="Palatino Linotype"/>
          <w:sz w:val="22"/>
          <w:szCs w:val="22"/>
        </w:rPr>
        <w:t>fraccionado</w:t>
      </w:r>
      <w:r w:rsidR="00BF1E87" w:rsidRPr="00F56623">
        <w:rPr>
          <w:rFonts w:ascii="Palatino Linotype" w:eastAsia="Calibri" w:hAnsi="Palatino Linotype"/>
          <w:sz w:val="22"/>
          <w:szCs w:val="22"/>
        </w:rPr>
        <w:t xml:space="preserve">, previo informe de la Dirección Metropolitana de Catastro. </w:t>
      </w:r>
      <w:r w:rsidRPr="00F56623">
        <w:rPr>
          <w:rFonts w:ascii="Palatino Linotype" w:eastAsia="Calibri" w:hAnsi="Palatino Linotype"/>
          <w:sz w:val="22"/>
          <w:szCs w:val="22"/>
        </w:rPr>
        <w:t xml:space="preserve">   </w:t>
      </w:r>
    </w:p>
    <w:p w:rsidR="00FB7177" w:rsidRPr="00F56623" w:rsidRDefault="00BF1E87" w:rsidP="00F56623">
      <w:pPr>
        <w:tabs>
          <w:tab w:val="left" w:pos="1080"/>
        </w:tabs>
        <w:spacing w:after="120" w:line="276" w:lineRule="auto"/>
        <w:jc w:val="both"/>
        <w:rPr>
          <w:rFonts w:ascii="Palatino Linotype" w:eastAsia="Calibri" w:hAnsi="Palatino Linotype"/>
          <w:sz w:val="22"/>
          <w:szCs w:val="22"/>
        </w:rPr>
      </w:pPr>
      <w:bookmarkStart w:id="4" w:name="_Toc215904705"/>
      <w:bookmarkEnd w:id="0"/>
      <w:bookmarkEnd w:id="1"/>
      <w:r w:rsidRPr="00F56623">
        <w:rPr>
          <w:rFonts w:ascii="Palatino Linotype" w:eastAsia="Calibri" w:hAnsi="Palatino Linotype"/>
          <w:b/>
          <w:sz w:val="22"/>
          <w:szCs w:val="22"/>
        </w:rPr>
        <w:t>Artículo 1</w:t>
      </w:r>
      <w:r w:rsidR="0087611E" w:rsidRPr="00F56623">
        <w:rPr>
          <w:rFonts w:ascii="Palatino Linotype" w:eastAsia="Calibri" w:hAnsi="Palatino Linotype"/>
          <w:b/>
          <w:sz w:val="22"/>
          <w:szCs w:val="22"/>
        </w:rPr>
        <w:t>1</w:t>
      </w:r>
      <w:r w:rsidRPr="00F56623">
        <w:rPr>
          <w:rFonts w:ascii="Palatino Linotype" w:eastAsia="Calibri" w:hAnsi="Palatino Linotype"/>
          <w:b/>
          <w:sz w:val="22"/>
          <w:szCs w:val="22"/>
        </w:rPr>
        <w:t>.-</w:t>
      </w:r>
      <w:r w:rsidR="00AC3CFA">
        <w:rPr>
          <w:rFonts w:ascii="Palatino Linotype" w:eastAsia="Calibri" w:hAnsi="Palatino Linotype"/>
          <w:b/>
          <w:sz w:val="22"/>
          <w:szCs w:val="22"/>
        </w:rPr>
        <w:t xml:space="preserve"> </w:t>
      </w:r>
      <w:r w:rsidR="00FB7177" w:rsidRPr="00F56623">
        <w:rPr>
          <w:rFonts w:ascii="Palatino Linotype" w:eastAsia="Calibri" w:hAnsi="Palatino Linotype"/>
          <w:b/>
          <w:sz w:val="22"/>
          <w:szCs w:val="22"/>
        </w:rPr>
        <w:t>Reposición de obra.-</w:t>
      </w:r>
      <w:bookmarkEnd w:id="4"/>
      <w:r w:rsidR="00FB7177" w:rsidRPr="00F56623">
        <w:rPr>
          <w:rFonts w:ascii="Palatino Linotype" w:eastAsia="Calibri" w:hAnsi="Palatino Linotype"/>
          <w:sz w:val="22"/>
          <w:szCs w:val="22"/>
        </w:rPr>
        <w:t xml:space="preserve"> En caso de destrucción que obligue a la reposición de la obra y que el beneficiario haya pagado la contribución especial de mejoras, ésta se</w:t>
      </w:r>
      <w:r w:rsidR="00413273" w:rsidRPr="00F56623">
        <w:rPr>
          <w:rFonts w:ascii="Palatino Linotype" w:eastAsia="Calibri" w:hAnsi="Palatino Linotype"/>
          <w:sz w:val="22"/>
          <w:szCs w:val="22"/>
        </w:rPr>
        <w:t xml:space="preserve">rá asumida por la Municipalidad, siempre y cuando esta destrucción sea producto </w:t>
      </w:r>
      <w:r w:rsidR="00413273" w:rsidRPr="00F56623">
        <w:rPr>
          <w:rFonts w:ascii="Palatino Linotype" w:eastAsia="Calibri" w:hAnsi="Palatino Linotype"/>
          <w:sz w:val="22"/>
          <w:szCs w:val="22"/>
        </w:rPr>
        <w:lastRenderedPageBreak/>
        <w:t>del deterioro normal de la obra o cuando haya existido causas en la ejecución de la obra, atribuibles a la municipalidad.</w:t>
      </w:r>
      <w:r w:rsidR="006B5AD5">
        <w:rPr>
          <w:rFonts w:ascii="Palatino Linotype" w:eastAsia="Calibri" w:hAnsi="Palatino Linotype"/>
          <w:sz w:val="22"/>
          <w:szCs w:val="22"/>
        </w:rPr>
        <w:t>”</w:t>
      </w:r>
    </w:p>
    <w:p w:rsidR="00FB7177" w:rsidRPr="00F56623" w:rsidRDefault="00F56623" w:rsidP="00F56623">
      <w:pPr>
        <w:spacing w:after="120" w:line="276" w:lineRule="auto"/>
        <w:jc w:val="both"/>
        <w:rPr>
          <w:rFonts w:ascii="Palatino Linotype" w:eastAsia="Calibri" w:hAnsi="Palatino Linotype"/>
          <w:b/>
          <w:sz w:val="22"/>
          <w:szCs w:val="22"/>
        </w:rPr>
      </w:pPr>
      <w:r w:rsidRPr="00F56623">
        <w:rPr>
          <w:rFonts w:ascii="Palatino Linotype" w:eastAsia="Calibri" w:hAnsi="Palatino Linotype"/>
          <w:b/>
          <w:sz w:val="22"/>
          <w:szCs w:val="22"/>
        </w:rPr>
        <w:t>Disposiciones generales.-</w:t>
      </w:r>
    </w:p>
    <w:p w:rsidR="00BF1E87" w:rsidRPr="00F56623" w:rsidRDefault="00F56623" w:rsidP="00F56623">
      <w:pPr>
        <w:spacing w:after="120" w:line="276" w:lineRule="auto"/>
        <w:jc w:val="both"/>
        <w:rPr>
          <w:rFonts w:ascii="Palatino Linotype" w:eastAsia="Calibri" w:hAnsi="Palatino Linotype"/>
          <w:sz w:val="22"/>
          <w:szCs w:val="22"/>
        </w:rPr>
      </w:pPr>
      <w:r>
        <w:rPr>
          <w:rFonts w:ascii="Palatino Linotype" w:eastAsia="Calibri" w:hAnsi="Palatino Linotype"/>
          <w:b/>
          <w:sz w:val="22"/>
          <w:szCs w:val="22"/>
        </w:rPr>
        <w:t>Primera</w:t>
      </w:r>
      <w:r w:rsidR="0039339A" w:rsidRPr="00F56623">
        <w:rPr>
          <w:rFonts w:ascii="Palatino Linotype" w:eastAsia="Calibri" w:hAnsi="Palatino Linotype"/>
          <w:b/>
          <w:sz w:val="22"/>
          <w:szCs w:val="22"/>
        </w:rPr>
        <w:t xml:space="preserve">.- </w:t>
      </w:r>
      <w:r w:rsidR="00726F28" w:rsidRPr="00F56623">
        <w:rPr>
          <w:rFonts w:ascii="Palatino Linotype" w:eastAsia="Calibri" w:hAnsi="Palatino Linotype"/>
          <w:sz w:val="22"/>
          <w:szCs w:val="22"/>
        </w:rPr>
        <w:t>Las exenciones y beneficios tributarios</w:t>
      </w:r>
      <w:r w:rsidR="00BF1E87" w:rsidRPr="00F56623">
        <w:rPr>
          <w:rFonts w:ascii="Palatino Linotype" w:eastAsia="Calibri" w:hAnsi="Palatino Linotype"/>
          <w:sz w:val="22"/>
          <w:szCs w:val="22"/>
        </w:rPr>
        <w:t xml:space="preserve"> fijados en la presente ordenanza, serán absorbidos con cargo al presupuesto del Municipio del Distrito Metropolitano de Quito.</w:t>
      </w:r>
    </w:p>
    <w:p w:rsidR="0039339A" w:rsidRPr="00F56623" w:rsidRDefault="0039339A"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S</w:t>
      </w:r>
      <w:r w:rsidR="00F56623">
        <w:rPr>
          <w:rFonts w:ascii="Palatino Linotype" w:eastAsia="Calibri" w:hAnsi="Palatino Linotype"/>
          <w:b/>
          <w:sz w:val="22"/>
          <w:szCs w:val="22"/>
        </w:rPr>
        <w:t>egunda</w:t>
      </w:r>
      <w:r w:rsidRPr="00F56623">
        <w:rPr>
          <w:rFonts w:ascii="Palatino Linotype" w:eastAsia="Calibri" w:hAnsi="Palatino Linotype"/>
          <w:b/>
          <w:sz w:val="22"/>
          <w:szCs w:val="22"/>
        </w:rPr>
        <w:t xml:space="preserve">.- </w:t>
      </w:r>
      <w:r w:rsidR="00BF1E87" w:rsidRPr="00F56623">
        <w:rPr>
          <w:rFonts w:ascii="Palatino Linotype" w:eastAsia="Calibri" w:hAnsi="Palatino Linotype"/>
          <w:sz w:val="22"/>
          <w:szCs w:val="22"/>
        </w:rPr>
        <w:t xml:space="preserve">La disposición contenida en el artículo </w:t>
      </w:r>
      <w:r w:rsidR="005619D2">
        <w:rPr>
          <w:rFonts w:ascii="Palatino Linotype" w:eastAsia="Calibri" w:hAnsi="Palatino Linotype"/>
          <w:sz w:val="22"/>
          <w:szCs w:val="22"/>
        </w:rPr>
        <w:t>8</w:t>
      </w:r>
      <w:r w:rsidR="00B329A7" w:rsidRPr="00F56623">
        <w:rPr>
          <w:rFonts w:ascii="Palatino Linotype" w:eastAsia="Calibri" w:hAnsi="Palatino Linotype"/>
          <w:sz w:val="22"/>
          <w:szCs w:val="22"/>
        </w:rPr>
        <w:t xml:space="preserve"> </w:t>
      </w:r>
      <w:r w:rsidR="00BF1E87" w:rsidRPr="00F56623">
        <w:rPr>
          <w:rFonts w:ascii="Palatino Linotype" w:eastAsia="Calibri" w:hAnsi="Palatino Linotype"/>
          <w:sz w:val="22"/>
          <w:szCs w:val="22"/>
        </w:rPr>
        <w:t xml:space="preserve">de la presente ordenanza, será  aplicable </w:t>
      </w:r>
      <w:r w:rsidR="00ED0108" w:rsidRPr="00F56623">
        <w:rPr>
          <w:rFonts w:ascii="Palatino Linotype" w:eastAsia="Calibri" w:hAnsi="Palatino Linotype"/>
          <w:sz w:val="22"/>
          <w:szCs w:val="22"/>
        </w:rPr>
        <w:t>también a la</w:t>
      </w:r>
      <w:r w:rsidR="00BF1E87" w:rsidRPr="00F56623">
        <w:rPr>
          <w:rFonts w:ascii="Palatino Linotype" w:eastAsia="Calibri" w:hAnsi="Palatino Linotype"/>
          <w:sz w:val="22"/>
          <w:szCs w:val="22"/>
        </w:rPr>
        <w:t xml:space="preserve"> </w:t>
      </w:r>
      <w:r w:rsidRPr="00F56623">
        <w:rPr>
          <w:rFonts w:ascii="Palatino Linotype" w:eastAsia="Calibri" w:hAnsi="Palatino Linotype"/>
          <w:sz w:val="22"/>
          <w:szCs w:val="22"/>
        </w:rPr>
        <w:t xml:space="preserve">Contribución Especial de Mejoras </w:t>
      </w:r>
      <w:r w:rsidR="00ED0108" w:rsidRPr="00F56623">
        <w:rPr>
          <w:rFonts w:ascii="Palatino Linotype" w:eastAsia="Calibri" w:hAnsi="Palatino Linotype"/>
          <w:sz w:val="22"/>
          <w:szCs w:val="22"/>
        </w:rPr>
        <w:t xml:space="preserve">que se genere por obras </w:t>
      </w:r>
      <w:r w:rsidRPr="00F56623">
        <w:rPr>
          <w:rFonts w:ascii="Palatino Linotype" w:eastAsia="Calibri" w:hAnsi="Palatino Linotype"/>
          <w:sz w:val="22"/>
          <w:szCs w:val="22"/>
        </w:rPr>
        <w:t>de carácter local o específico.</w:t>
      </w:r>
    </w:p>
    <w:p w:rsidR="0007079F" w:rsidRDefault="00407E2B"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T</w:t>
      </w:r>
      <w:r w:rsidR="00F56623">
        <w:rPr>
          <w:rFonts w:ascii="Palatino Linotype" w:eastAsia="Calibri" w:hAnsi="Palatino Linotype"/>
          <w:b/>
          <w:sz w:val="22"/>
          <w:szCs w:val="22"/>
        </w:rPr>
        <w:t>ercera</w:t>
      </w:r>
      <w:r w:rsidR="0007079F" w:rsidRPr="00F56623">
        <w:rPr>
          <w:rFonts w:ascii="Palatino Linotype" w:eastAsia="Calibri" w:hAnsi="Palatino Linotype"/>
          <w:b/>
          <w:sz w:val="22"/>
          <w:szCs w:val="22"/>
        </w:rPr>
        <w:t>.-</w:t>
      </w:r>
      <w:r w:rsidR="0007079F" w:rsidRPr="00F56623">
        <w:rPr>
          <w:rFonts w:ascii="Palatino Linotype" w:eastAsia="Calibri" w:hAnsi="Palatino Linotype"/>
          <w:sz w:val="22"/>
          <w:szCs w:val="22"/>
        </w:rPr>
        <w:t xml:space="preserve"> Para la determinación de obras locales, se aplicará el procedimie</w:t>
      </w:r>
      <w:r w:rsidR="005619D2">
        <w:rPr>
          <w:rFonts w:ascii="Palatino Linotype" w:eastAsia="Calibri" w:hAnsi="Palatino Linotype"/>
          <w:sz w:val="22"/>
          <w:szCs w:val="22"/>
        </w:rPr>
        <w:t>nto establecido en el artículo 6</w:t>
      </w:r>
      <w:r w:rsidR="0007079F" w:rsidRPr="00F56623">
        <w:rPr>
          <w:rFonts w:ascii="Palatino Linotype" w:eastAsia="Calibri" w:hAnsi="Palatino Linotype"/>
          <w:sz w:val="22"/>
          <w:szCs w:val="22"/>
        </w:rPr>
        <w:t xml:space="preserve"> de la presente ordenanza, para lo cual las unidades ejecutoras deberán remitir las actas parcial, provisional o definitiva de las obras ejecutadas, </w:t>
      </w:r>
      <w:r w:rsidR="0051677F" w:rsidRPr="00F56623">
        <w:rPr>
          <w:rFonts w:ascii="Palatino Linotype" w:eastAsia="Calibri" w:hAnsi="Palatino Linotype"/>
          <w:sz w:val="22"/>
          <w:szCs w:val="22"/>
        </w:rPr>
        <w:t xml:space="preserve">a la Empresa Pública Metropolitana de Movilidad y Obras Públicas, </w:t>
      </w:r>
      <w:r w:rsidR="0007079F" w:rsidRPr="00F56623">
        <w:rPr>
          <w:rFonts w:ascii="Palatino Linotype" w:eastAsia="Calibri" w:hAnsi="Palatino Linotype"/>
          <w:sz w:val="22"/>
          <w:szCs w:val="22"/>
        </w:rPr>
        <w:t>hasta el 30 de agosto de cada año.</w:t>
      </w:r>
      <w:r w:rsidR="0051677F" w:rsidRPr="00F56623">
        <w:rPr>
          <w:rFonts w:ascii="Palatino Linotype" w:eastAsia="Calibri" w:hAnsi="Palatino Linotype"/>
          <w:sz w:val="22"/>
          <w:szCs w:val="22"/>
        </w:rPr>
        <w:t xml:space="preserve">  Los funcionarios que incumplan con los plazos señalados,  serán sancionados conforme las disposiciones legales vigentes.</w:t>
      </w:r>
    </w:p>
    <w:p w:rsidR="0034792F" w:rsidRPr="00F56623" w:rsidRDefault="00F519E7" w:rsidP="00F56623">
      <w:pPr>
        <w:spacing w:after="120" w:line="276" w:lineRule="auto"/>
        <w:jc w:val="both"/>
        <w:rPr>
          <w:rFonts w:ascii="Palatino Linotype" w:eastAsia="Calibri" w:hAnsi="Palatino Linotype"/>
          <w:sz w:val="22"/>
          <w:szCs w:val="22"/>
        </w:rPr>
      </w:pPr>
      <w:r>
        <w:rPr>
          <w:rFonts w:ascii="Palatino Linotype" w:eastAsia="Calibri" w:hAnsi="Palatino Linotype"/>
          <w:sz w:val="22"/>
          <w:szCs w:val="22"/>
        </w:rPr>
        <w:t>En las obras locales que cuentan con participación de la comunidad, sea en aportación económica, materiales o mano de obra; previa a la suscripción de un convenio de cogestión, los aportantes tendrán derecho a la exención del pago de la contribución especial de mejoras</w:t>
      </w:r>
      <w:r w:rsidR="005619D2">
        <w:rPr>
          <w:rFonts w:ascii="Palatino Linotype" w:eastAsia="Calibri" w:hAnsi="Palatino Linotype"/>
          <w:sz w:val="22"/>
          <w:szCs w:val="22"/>
        </w:rPr>
        <w:t>.</w:t>
      </w:r>
    </w:p>
    <w:p w:rsidR="00AC3CFA" w:rsidRPr="0034792F" w:rsidRDefault="00AC3CFA" w:rsidP="00AC3CFA">
      <w:pPr>
        <w:pStyle w:val="Sinespaciado"/>
        <w:spacing w:after="120" w:line="276" w:lineRule="auto"/>
        <w:jc w:val="both"/>
        <w:rPr>
          <w:rFonts w:ascii="Palatino Linotype" w:hAnsi="Palatino Linotype"/>
        </w:rPr>
      </w:pPr>
      <w:r w:rsidRPr="0034792F">
        <w:rPr>
          <w:rFonts w:ascii="Palatino Linotype" w:hAnsi="Palatino Linotype"/>
          <w:b/>
        </w:rPr>
        <w:t>Disposición transitoria</w:t>
      </w:r>
      <w:r w:rsidR="00583F98">
        <w:rPr>
          <w:rFonts w:ascii="Palatino Linotype" w:hAnsi="Palatino Linotype"/>
          <w:b/>
        </w:rPr>
        <w:t xml:space="preserve"> única</w:t>
      </w:r>
      <w:r w:rsidRPr="0034792F">
        <w:rPr>
          <w:rFonts w:ascii="Palatino Linotype" w:hAnsi="Palatino Linotype"/>
          <w:b/>
        </w:rPr>
        <w:t xml:space="preserve">.- </w:t>
      </w:r>
      <w:r w:rsidRPr="0034792F">
        <w:rPr>
          <w:rFonts w:ascii="Palatino Linotype" w:hAnsi="Palatino Linotype"/>
        </w:rPr>
        <w:t>En el caso de la con</w:t>
      </w:r>
      <w:r w:rsidRPr="0034792F">
        <w:rPr>
          <w:rFonts w:ascii="Palatino Linotype" w:hAnsi="Palatino Linotype"/>
        </w:rPr>
        <w:t xml:space="preserve">strucción de la Ruta Viva, solamente por el año 2018 se contemplará su inclusión en el cálculo del costo anual por obras distritales en un monto equivalente al 5% del valor total. Para los siguientes años, esta inversión se recuperará a través de un sistema de peajes, para lo cual la Empresa Pública Metropolitana de Movilidad y Obras Públicas – </w:t>
      </w:r>
      <w:proofErr w:type="spellStart"/>
      <w:r w:rsidRPr="0034792F">
        <w:rPr>
          <w:rFonts w:ascii="Palatino Linotype" w:hAnsi="Palatino Linotype"/>
        </w:rPr>
        <w:t>EPMMOP</w:t>
      </w:r>
      <w:proofErr w:type="spellEnd"/>
      <w:r w:rsidRPr="0034792F">
        <w:rPr>
          <w:rFonts w:ascii="Palatino Linotype" w:hAnsi="Palatino Linotype"/>
        </w:rPr>
        <w:t>, deberá observar el siguiente cronograma:</w:t>
      </w:r>
    </w:p>
    <w:p w:rsidR="00AC3CFA" w:rsidRPr="0034792F" w:rsidRDefault="00AC3CFA" w:rsidP="00AC3CFA">
      <w:pPr>
        <w:pStyle w:val="Sinespaciado"/>
        <w:numPr>
          <w:ilvl w:val="0"/>
          <w:numId w:val="14"/>
        </w:numPr>
        <w:spacing w:after="120" w:line="276" w:lineRule="auto"/>
        <w:jc w:val="both"/>
        <w:rPr>
          <w:rFonts w:ascii="Palatino Linotype" w:hAnsi="Palatino Linotype"/>
        </w:rPr>
      </w:pPr>
      <w:r w:rsidRPr="0034792F">
        <w:rPr>
          <w:rFonts w:ascii="Palatino Linotype" w:hAnsi="Palatino Linotype"/>
        </w:rPr>
        <w:t xml:space="preserve">Entrega al Concejo Metropolitano de Quito del modelo financiero y modelo de negocio: dentro de un plazo máximo de sesenta (60) días a partir de la </w:t>
      </w:r>
      <w:r w:rsidR="00DF481C" w:rsidRPr="0034792F">
        <w:rPr>
          <w:rFonts w:ascii="Palatino Linotype" w:hAnsi="Palatino Linotype"/>
        </w:rPr>
        <w:t xml:space="preserve">sanción </w:t>
      </w:r>
      <w:r w:rsidRPr="0034792F">
        <w:rPr>
          <w:rFonts w:ascii="Palatino Linotype" w:hAnsi="Palatino Linotype"/>
        </w:rPr>
        <w:t>de la presente Ordenanza.</w:t>
      </w:r>
    </w:p>
    <w:p w:rsidR="00AC3CFA" w:rsidRPr="0034792F" w:rsidRDefault="00AC3CFA" w:rsidP="00AC3CFA">
      <w:pPr>
        <w:pStyle w:val="Sinespaciado"/>
        <w:numPr>
          <w:ilvl w:val="0"/>
          <w:numId w:val="14"/>
        </w:numPr>
        <w:spacing w:after="120" w:line="276" w:lineRule="auto"/>
        <w:jc w:val="both"/>
        <w:rPr>
          <w:rFonts w:ascii="Palatino Linotype" w:hAnsi="Palatino Linotype"/>
        </w:rPr>
      </w:pPr>
      <w:r w:rsidRPr="0034792F">
        <w:rPr>
          <w:rFonts w:ascii="Palatino Linotype" w:hAnsi="Palatino Linotype"/>
        </w:rPr>
        <w:t xml:space="preserve">Notificación al Concejo Metropolitano de Quito sobre el inicio del proceso de contratación pública de los equipos / sistemas o servicios (según corresponda): dentro de un plazo máximo de ciento veinte (120) días a partir de la </w:t>
      </w:r>
      <w:r w:rsidR="00DF481C" w:rsidRPr="0034792F">
        <w:rPr>
          <w:rFonts w:ascii="Palatino Linotype" w:hAnsi="Palatino Linotype"/>
        </w:rPr>
        <w:t xml:space="preserve">sanción </w:t>
      </w:r>
      <w:r w:rsidRPr="0034792F">
        <w:rPr>
          <w:rFonts w:ascii="Palatino Linotype" w:hAnsi="Palatino Linotype"/>
        </w:rPr>
        <w:t>de la presente Ordenanza.</w:t>
      </w:r>
    </w:p>
    <w:p w:rsidR="0051677F" w:rsidRPr="00F56623" w:rsidRDefault="00F56623"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lastRenderedPageBreak/>
        <w:t>Disposici</w:t>
      </w:r>
      <w:r>
        <w:rPr>
          <w:rFonts w:ascii="Palatino Linotype" w:eastAsia="Calibri" w:hAnsi="Palatino Linotype"/>
          <w:b/>
          <w:sz w:val="22"/>
          <w:szCs w:val="22"/>
        </w:rPr>
        <w:t>ó</w:t>
      </w:r>
      <w:r w:rsidRPr="00F56623">
        <w:rPr>
          <w:rFonts w:ascii="Palatino Linotype" w:eastAsia="Calibri" w:hAnsi="Palatino Linotype"/>
          <w:b/>
          <w:sz w:val="22"/>
          <w:szCs w:val="22"/>
        </w:rPr>
        <w:t>n reformatoria</w:t>
      </w:r>
      <w:r w:rsidR="0051677F" w:rsidRPr="00F56623">
        <w:rPr>
          <w:rFonts w:ascii="Palatino Linotype" w:eastAsia="Calibri" w:hAnsi="Palatino Linotype"/>
          <w:b/>
          <w:sz w:val="22"/>
          <w:szCs w:val="22"/>
        </w:rPr>
        <w:t xml:space="preserve">.- </w:t>
      </w:r>
      <w:r w:rsidR="0051677F" w:rsidRPr="00F56623">
        <w:rPr>
          <w:rFonts w:ascii="Palatino Linotype" w:eastAsia="Calibri" w:hAnsi="Palatino Linotype"/>
          <w:sz w:val="22"/>
          <w:szCs w:val="22"/>
        </w:rPr>
        <w:t xml:space="preserve">Refórmese la Ordenanza No. 0092 de 22 de julio de 2003 que regula la Contribución Especial de Mejoras, </w:t>
      </w:r>
      <w:r w:rsidR="00D75CAA" w:rsidRPr="00F56623">
        <w:rPr>
          <w:rFonts w:ascii="Palatino Linotype" w:eastAsia="Calibri" w:hAnsi="Palatino Linotype"/>
          <w:sz w:val="22"/>
          <w:szCs w:val="22"/>
        </w:rPr>
        <w:t xml:space="preserve">en </w:t>
      </w:r>
      <w:r w:rsidR="0051677F" w:rsidRPr="00F56623">
        <w:rPr>
          <w:rFonts w:ascii="Palatino Linotype" w:eastAsia="Calibri" w:hAnsi="Palatino Linotype"/>
          <w:sz w:val="22"/>
          <w:szCs w:val="22"/>
        </w:rPr>
        <w:t>lo siguiente:</w:t>
      </w:r>
    </w:p>
    <w:p w:rsidR="00583F98" w:rsidRDefault="00583F98" w:rsidP="00583F98">
      <w:pPr>
        <w:spacing w:after="120" w:line="276" w:lineRule="auto"/>
        <w:jc w:val="both"/>
        <w:rPr>
          <w:rFonts w:ascii="Palatino Linotype" w:eastAsia="Calibri" w:hAnsi="Palatino Linotype"/>
          <w:sz w:val="22"/>
          <w:szCs w:val="22"/>
        </w:rPr>
      </w:pPr>
      <w:r w:rsidRPr="00583F98">
        <w:rPr>
          <w:rFonts w:ascii="Palatino Linotype" w:eastAsia="Calibri" w:hAnsi="Palatino Linotype"/>
          <w:b/>
          <w:sz w:val="22"/>
          <w:szCs w:val="22"/>
        </w:rPr>
        <w:t>1.</w:t>
      </w:r>
      <w:r>
        <w:rPr>
          <w:rFonts w:ascii="Palatino Linotype" w:eastAsia="Calibri" w:hAnsi="Palatino Linotype"/>
          <w:sz w:val="22"/>
          <w:szCs w:val="22"/>
        </w:rPr>
        <w:t xml:space="preserve"> Al final</w:t>
      </w:r>
      <w:r w:rsidRPr="00583F98">
        <w:rPr>
          <w:rFonts w:ascii="Palatino Linotype" w:eastAsia="Calibri" w:hAnsi="Palatino Linotype"/>
          <w:sz w:val="22"/>
          <w:szCs w:val="22"/>
        </w:rPr>
        <w:t xml:space="preserve"> </w:t>
      </w:r>
      <w:r>
        <w:rPr>
          <w:rFonts w:ascii="Palatino Linotype" w:eastAsia="Calibri" w:hAnsi="Palatino Linotype"/>
          <w:sz w:val="22"/>
          <w:szCs w:val="22"/>
        </w:rPr>
        <w:t>d</w:t>
      </w:r>
      <w:r w:rsidRPr="00583F98">
        <w:rPr>
          <w:rFonts w:ascii="Palatino Linotype" w:eastAsia="Calibri" w:hAnsi="Palatino Linotype"/>
          <w:sz w:val="22"/>
          <w:szCs w:val="22"/>
        </w:rPr>
        <w:t xml:space="preserve">el artículo </w:t>
      </w:r>
      <w:proofErr w:type="spellStart"/>
      <w:r w:rsidRPr="00583F98">
        <w:rPr>
          <w:rFonts w:ascii="Palatino Linotype" w:eastAsia="Calibri" w:hAnsi="Palatino Linotype"/>
          <w:sz w:val="22"/>
          <w:szCs w:val="22"/>
        </w:rPr>
        <w:t>III.147</w:t>
      </w:r>
      <w:proofErr w:type="spellEnd"/>
      <w:r w:rsidRPr="00583F98">
        <w:rPr>
          <w:rFonts w:ascii="Palatino Linotype" w:eastAsia="Calibri" w:hAnsi="Palatino Linotype"/>
          <w:sz w:val="22"/>
          <w:szCs w:val="22"/>
        </w:rPr>
        <w:t>, inclúyase</w:t>
      </w:r>
      <w:r>
        <w:rPr>
          <w:rFonts w:ascii="Palatino Linotype" w:eastAsia="Calibri" w:hAnsi="Palatino Linotype"/>
          <w:sz w:val="22"/>
          <w:szCs w:val="22"/>
        </w:rPr>
        <w:t xml:space="preserve"> el siguiente texto: </w:t>
      </w:r>
    </w:p>
    <w:p w:rsidR="00583F98" w:rsidRPr="00583F98" w:rsidRDefault="00583F98" w:rsidP="00583F98">
      <w:pPr>
        <w:spacing w:after="120" w:line="276" w:lineRule="auto"/>
        <w:ind w:left="708"/>
        <w:jc w:val="both"/>
        <w:rPr>
          <w:rFonts w:ascii="Palatino Linotype" w:hAnsi="Palatino Linotype"/>
          <w:sz w:val="22"/>
          <w:szCs w:val="22"/>
        </w:rPr>
      </w:pPr>
      <w:r w:rsidRPr="00D46497">
        <w:rPr>
          <w:rFonts w:ascii="Palatino Linotype" w:hAnsi="Palatino Linotype"/>
          <w:i/>
          <w:sz w:val="22"/>
          <w:szCs w:val="22"/>
        </w:rPr>
        <w:t>“</w:t>
      </w:r>
      <w:r w:rsidR="00D46497" w:rsidRPr="00D46497">
        <w:rPr>
          <w:rFonts w:ascii="Palatino Linotype" w:hAnsi="Palatino Linotype"/>
          <w:i/>
          <w:sz w:val="22"/>
          <w:szCs w:val="22"/>
        </w:rPr>
        <w:t>P</w:t>
      </w:r>
      <w:r w:rsidR="00D46497">
        <w:rPr>
          <w:rFonts w:ascii="Palatino Linotype" w:hAnsi="Palatino Linotype"/>
          <w:i/>
          <w:sz w:val="22"/>
          <w:szCs w:val="22"/>
        </w:rPr>
        <w:t>ara el cálculo de obras distritales o locales, según corresponda</w:t>
      </w:r>
      <w:r w:rsidR="00D46497">
        <w:rPr>
          <w:rFonts w:ascii="Palatino Linotype" w:hAnsi="Palatino Linotype"/>
          <w:i/>
          <w:sz w:val="22"/>
          <w:szCs w:val="22"/>
        </w:rPr>
        <w:t>, para el</w:t>
      </w:r>
      <w:r w:rsidRPr="00583F98">
        <w:rPr>
          <w:rFonts w:ascii="Palatino Linotype" w:hAnsi="Palatino Linotype"/>
          <w:i/>
          <w:sz w:val="22"/>
          <w:szCs w:val="22"/>
        </w:rPr>
        <w:t xml:space="preserve"> caso de  tierras comunitarias, el frente a la vía se considerará únicamente aquel qu</w:t>
      </w:r>
      <w:r>
        <w:rPr>
          <w:rFonts w:ascii="Palatino Linotype" w:hAnsi="Palatino Linotype"/>
          <w:i/>
          <w:sz w:val="22"/>
          <w:szCs w:val="22"/>
        </w:rPr>
        <w:t xml:space="preserve">e permite el acceso a la comuna, y </w:t>
      </w:r>
      <w:r w:rsidR="005619D2">
        <w:rPr>
          <w:rFonts w:ascii="Palatino Linotype" w:hAnsi="Palatino Linotype"/>
          <w:i/>
          <w:sz w:val="22"/>
          <w:szCs w:val="22"/>
        </w:rPr>
        <w:t>el</w:t>
      </w:r>
      <w:r w:rsidRPr="00583F98">
        <w:rPr>
          <w:rFonts w:ascii="Palatino Linotype" w:hAnsi="Palatino Linotype"/>
          <w:i/>
          <w:sz w:val="22"/>
          <w:szCs w:val="22"/>
        </w:rPr>
        <w:t xml:space="preserve"> avalúo </w:t>
      </w:r>
      <w:r w:rsidR="00D46497">
        <w:rPr>
          <w:rFonts w:ascii="Palatino Linotype" w:hAnsi="Palatino Linotype"/>
          <w:i/>
          <w:sz w:val="22"/>
          <w:szCs w:val="22"/>
        </w:rPr>
        <w:t xml:space="preserve">del inmueble </w:t>
      </w:r>
      <w:r w:rsidR="005619D2">
        <w:rPr>
          <w:rFonts w:ascii="Palatino Linotype" w:hAnsi="Palatino Linotype"/>
          <w:i/>
          <w:sz w:val="22"/>
          <w:szCs w:val="22"/>
        </w:rPr>
        <w:t xml:space="preserve">será el </w:t>
      </w:r>
      <w:r w:rsidRPr="00583F98">
        <w:rPr>
          <w:rFonts w:ascii="Palatino Linotype" w:hAnsi="Palatino Linotype"/>
          <w:i/>
          <w:sz w:val="22"/>
          <w:szCs w:val="22"/>
        </w:rPr>
        <w:t>proporcional al área habitada.</w:t>
      </w:r>
      <w:r w:rsidRPr="00583F98">
        <w:rPr>
          <w:rFonts w:ascii="Palatino Linotype" w:hAnsi="Palatino Linotype"/>
          <w:sz w:val="22"/>
          <w:szCs w:val="22"/>
        </w:rPr>
        <w:t>”</w:t>
      </w:r>
    </w:p>
    <w:p w:rsidR="00583F98" w:rsidRPr="00583F98" w:rsidRDefault="00583F98" w:rsidP="00583F98">
      <w:pPr>
        <w:spacing w:after="120" w:line="276" w:lineRule="auto"/>
        <w:jc w:val="both"/>
        <w:rPr>
          <w:rFonts w:ascii="Palatino Linotype" w:eastAsia="Calibri" w:hAnsi="Palatino Linotype"/>
          <w:sz w:val="22"/>
          <w:szCs w:val="22"/>
        </w:rPr>
      </w:pPr>
      <w:r w:rsidRPr="00583F98">
        <w:rPr>
          <w:rFonts w:ascii="Palatino Linotype" w:eastAsia="Calibri" w:hAnsi="Palatino Linotype"/>
          <w:b/>
          <w:sz w:val="22"/>
          <w:szCs w:val="22"/>
        </w:rPr>
        <w:t>2.</w:t>
      </w:r>
      <w:r w:rsidRPr="00583F98">
        <w:rPr>
          <w:rFonts w:ascii="Palatino Linotype" w:eastAsia="Calibri" w:hAnsi="Palatino Linotype"/>
          <w:sz w:val="22"/>
          <w:szCs w:val="22"/>
        </w:rPr>
        <w:t xml:space="preserve"> En el numeral 2 del artículo </w:t>
      </w:r>
      <w:proofErr w:type="spellStart"/>
      <w:r w:rsidRPr="00583F98">
        <w:rPr>
          <w:rFonts w:ascii="Palatino Linotype" w:eastAsia="Calibri" w:hAnsi="Palatino Linotype"/>
          <w:sz w:val="22"/>
          <w:szCs w:val="22"/>
        </w:rPr>
        <w:t>III.147</w:t>
      </w:r>
      <w:proofErr w:type="spellEnd"/>
      <w:r w:rsidRPr="00583F98">
        <w:rPr>
          <w:rFonts w:ascii="Palatino Linotype" w:eastAsia="Calibri" w:hAnsi="Palatino Linotype"/>
          <w:sz w:val="22"/>
          <w:szCs w:val="22"/>
        </w:rPr>
        <w:t>, inclúyase luego de la frase “</w:t>
      </w:r>
      <w:r w:rsidRPr="00583F98">
        <w:rPr>
          <w:rFonts w:ascii="Palatino Linotype" w:eastAsia="Calibri" w:hAnsi="Palatino Linotype"/>
          <w:i/>
          <w:sz w:val="22"/>
          <w:szCs w:val="22"/>
        </w:rPr>
        <w:t xml:space="preserve">y el 60% restante, será cobrado prorrateando la obligación entre todos los predios”, </w:t>
      </w:r>
      <w:r w:rsidRPr="00583F98">
        <w:rPr>
          <w:rFonts w:ascii="Palatino Linotype" w:eastAsia="Calibri" w:hAnsi="Palatino Linotype"/>
          <w:sz w:val="22"/>
          <w:szCs w:val="22"/>
        </w:rPr>
        <w:t>la palabra “</w:t>
      </w:r>
      <w:r w:rsidRPr="00583F98">
        <w:rPr>
          <w:rFonts w:ascii="Palatino Linotype" w:eastAsia="Calibri" w:hAnsi="Palatino Linotype"/>
          <w:i/>
          <w:sz w:val="22"/>
          <w:szCs w:val="22"/>
        </w:rPr>
        <w:t>frentistas</w:t>
      </w:r>
      <w:r w:rsidRPr="00583F98">
        <w:rPr>
          <w:rFonts w:ascii="Palatino Linotype" w:eastAsia="Calibri" w:hAnsi="Palatino Linotype"/>
          <w:sz w:val="22"/>
          <w:szCs w:val="22"/>
        </w:rPr>
        <w:t>”</w:t>
      </w:r>
      <w:r w:rsidR="002E7DA1">
        <w:rPr>
          <w:rFonts w:ascii="Palatino Linotype" w:eastAsia="Calibri" w:hAnsi="Palatino Linotype"/>
          <w:sz w:val="22"/>
          <w:szCs w:val="22"/>
        </w:rPr>
        <w:t>.</w:t>
      </w:r>
      <w:r w:rsidRPr="00583F98">
        <w:rPr>
          <w:rFonts w:ascii="Palatino Linotype" w:eastAsia="Calibri" w:hAnsi="Palatino Linotype"/>
          <w:sz w:val="22"/>
          <w:szCs w:val="22"/>
        </w:rPr>
        <w:t xml:space="preserve"> </w:t>
      </w:r>
    </w:p>
    <w:p w:rsidR="0051677F" w:rsidRPr="00F56623" w:rsidRDefault="00583F98" w:rsidP="00F56623">
      <w:pPr>
        <w:spacing w:after="120" w:line="276" w:lineRule="auto"/>
        <w:jc w:val="both"/>
        <w:rPr>
          <w:rFonts w:ascii="Palatino Linotype" w:eastAsia="Calibri" w:hAnsi="Palatino Linotype"/>
          <w:sz w:val="22"/>
          <w:szCs w:val="22"/>
        </w:rPr>
      </w:pPr>
      <w:r>
        <w:rPr>
          <w:rFonts w:ascii="Palatino Linotype" w:eastAsia="Calibri" w:hAnsi="Palatino Linotype"/>
          <w:b/>
          <w:sz w:val="22"/>
          <w:szCs w:val="22"/>
        </w:rPr>
        <w:t>3</w:t>
      </w:r>
      <w:r w:rsidR="00D75CAA" w:rsidRPr="00F56623">
        <w:rPr>
          <w:rFonts w:ascii="Palatino Linotype" w:eastAsia="Calibri" w:hAnsi="Palatino Linotype"/>
          <w:b/>
          <w:sz w:val="22"/>
          <w:szCs w:val="22"/>
        </w:rPr>
        <w:t>.</w:t>
      </w:r>
      <w:r w:rsidR="00D75CAA" w:rsidRPr="00F56623">
        <w:rPr>
          <w:rFonts w:ascii="Palatino Linotype" w:eastAsia="Calibri" w:hAnsi="Palatino Linotype"/>
          <w:sz w:val="22"/>
          <w:szCs w:val="22"/>
        </w:rPr>
        <w:t xml:space="preserve"> Elimíne</w:t>
      </w:r>
      <w:r w:rsidR="00DD51B7" w:rsidRPr="00F56623">
        <w:rPr>
          <w:rFonts w:ascii="Palatino Linotype" w:eastAsia="Calibri" w:hAnsi="Palatino Linotype"/>
          <w:sz w:val="22"/>
          <w:szCs w:val="22"/>
        </w:rPr>
        <w:t>se el</w:t>
      </w:r>
      <w:r w:rsidR="00D75CAA" w:rsidRPr="00F56623">
        <w:rPr>
          <w:rFonts w:ascii="Palatino Linotype" w:eastAsia="Calibri" w:hAnsi="Palatino Linotype"/>
          <w:sz w:val="22"/>
          <w:szCs w:val="22"/>
        </w:rPr>
        <w:t xml:space="preserve"> artículo</w:t>
      </w:r>
      <w:r w:rsidR="00DD51B7" w:rsidRPr="00F56623">
        <w:rPr>
          <w:rFonts w:ascii="Palatino Linotype" w:eastAsia="Calibri" w:hAnsi="Palatino Linotype"/>
          <w:sz w:val="22"/>
          <w:szCs w:val="22"/>
        </w:rPr>
        <w:t>s</w:t>
      </w:r>
      <w:r w:rsidR="00D75CAA" w:rsidRPr="00F56623">
        <w:rPr>
          <w:rFonts w:ascii="Palatino Linotype" w:eastAsia="Calibri" w:hAnsi="Palatino Linotype"/>
          <w:sz w:val="22"/>
          <w:szCs w:val="22"/>
        </w:rPr>
        <w:t xml:space="preserve"> III.132; </w:t>
      </w:r>
      <w:r w:rsidR="003B51B1" w:rsidRPr="00F56623">
        <w:rPr>
          <w:rFonts w:ascii="Palatino Linotype" w:eastAsia="Calibri" w:hAnsi="Palatino Linotype"/>
          <w:sz w:val="22"/>
          <w:szCs w:val="22"/>
        </w:rPr>
        <w:t xml:space="preserve">el </w:t>
      </w:r>
      <w:r w:rsidR="00D75CAA" w:rsidRPr="00F56623">
        <w:rPr>
          <w:rFonts w:ascii="Palatino Linotype" w:eastAsia="Calibri" w:hAnsi="Palatino Linotype"/>
          <w:sz w:val="22"/>
          <w:szCs w:val="22"/>
        </w:rPr>
        <w:t xml:space="preserve">segundo inciso del artículo III.140; </w:t>
      </w:r>
      <w:r w:rsidR="003B51B1" w:rsidRPr="00F56623">
        <w:rPr>
          <w:rFonts w:ascii="Palatino Linotype" w:eastAsia="Calibri" w:hAnsi="Palatino Linotype"/>
          <w:sz w:val="22"/>
          <w:szCs w:val="22"/>
        </w:rPr>
        <w:t xml:space="preserve">el </w:t>
      </w:r>
      <w:r w:rsidR="00D75CAA" w:rsidRPr="00F56623">
        <w:rPr>
          <w:rFonts w:ascii="Palatino Linotype" w:eastAsia="Calibri" w:hAnsi="Palatino Linotype"/>
          <w:sz w:val="22"/>
          <w:szCs w:val="22"/>
        </w:rPr>
        <w:t>inciso cuarto del artículo III.141, y; los incisos segundo y tercero del artículo III.144</w:t>
      </w:r>
      <w:r w:rsidR="00DD51B7" w:rsidRPr="00F56623">
        <w:rPr>
          <w:rFonts w:ascii="Palatino Linotype" w:eastAsia="Calibri" w:hAnsi="Palatino Linotype"/>
          <w:sz w:val="22"/>
          <w:szCs w:val="22"/>
        </w:rPr>
        <w:t>.</w:t>
      </w:r>
    </w:p>
    <w:p w:rsidR="00C55CAC" w:rsidRPr="00F56623" w:rsidRDefault="00F56623"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Disposición derogatoria</w:t>
      </w:r>
      <w:r w:rsidR="00846298" w:rsidRPr="00F56623">
        <w:rPr>
          <w:rFonts w:ascii="Palatino Linotype" w:eastAsia="Calibri" w:hAnsi="Palatino Linotype"/>
          <w:b/>
          <w:sz w:val="22"/>
          <w:szCs w:val="22"/>
        </w:rPr>
        <w:t xml:space="preserve">.- </w:t>
      </w:r>
      <w:r w:rsidR="00846298" w:rsidRPr="00F56623">
        <w:rPr>
          <w:rFonts w:ascii="Palatino Linotype" w:eastAsia="Calibri" w:hAnsi="Palatino Linotype"/>
          <w:sz w:val="22"/>
          <w:szCs w:val="22"/>
        </w:rPr>
        <w:t>Se deroga la Ordenanza Metropolitana No. 154 sancio</w:t>
      </w:r>
      <w:r w:rsidR="007A64FB" w:rsidRPr="00F56623">
        <w:rPr>
          <w:rFonts w:ascii="Palatino Linotype" w:eastAsia="Calibri" w:hAnsi="Palatino Linotype"/>
          <w:sz w:val="22"/>
          <w:szCs w:val="22"/>
        </w:rPr>
        <w:t>nada el 14 de diciembre de 2011 que racionaliza el cobro de la Contribución Especial de Mejoras</w:t>
      </w:r>
      <w:r w:rsidR="0051677F" w:rsidRPr="00F56623">
        <w:rPr>
          <w:rFonts w:ascii="Palatino Linotype" w:eastAsia="Calibri" w:hAnsi="Palatino Linotype"/>
          <w:sz w:val="22"/>
          <w:szCs w:val="22"/>
        </w:rPr>
        <w:t xml:space="preserve">, la Ordenanza No. 167 de </w:t>
      </w:r>
      <w:r w:rsidR="00395394" w:rsidRPr="00F56623">
        <w:rPr>
          <w:rFonts w:ascii="Palatino Linotype" w:eastAsia="Calibri" w:hAnsi="Palatino Linotype"/>
          <w:sz w:val="22"/>
          <w:szCs w:val="22"/>
        </w:rPr>
        <w:t xml:space="preserve">20 de diciembre de 2005, </w:t>
      </w:r>
      <w:r w:rsidR="0051677F" w:rsidRPr="00F56623">
        <w:rPr>
          <w:rFonts w:ascii="Palatino Linotype" w:eastAsia="Calibri" w:hAnsi="Palatino Linotype"/>
          <w:sz w:val="22"/>
          <w:szCs w:val="22"/>
        </w:rPr>
        <w:t>y 228 de</w:t>
      </w:r>
      <w:r w:rsidR="00395394" w:rsidRPr="00F56623">
        <w:rPr>
          <w:rFonts w:ascii="Palatino Linotype" w:eastAsia="Calibri" w:hAnsi="Palatino Linotype"/>
          <w:sz w:val="22"/>
          <w:szCs w:val="22"/>
        </w:rPr>
        <w:t xml:space="preserve"> 27 de septiembre de 2007</w:t>
      </w:r>
      <w:r w:rsidR="0051677F" w:rsidRPr="00F56623">
        <w:rPr>
          <w:rFonts w:ascii="Palatino Linotype" w:eastAsia="Calibri" w:hAnsi="Palatino Linotype"/>
          <w:sz w:val="22"/>
          <w:szCs w:val="22"/>
        </w:rPr>
        <w:t>, que regulan</w:t>
      </w:r>
      <w:r w:rsidR="00674348" w:rsidRPr="00F56623">
        <w:rPr>
          <w:rFonts w:ascii="Palatino Linotype" w:eastAsia="Calibri" w:hAnsi="Palatino Linotype"/>
          <w:sz w:val="22"/>
          <w:szCs w:val="22"/>
        </w:rPr>
        <w:t xml:space="preserve"> el cobro de</w:t>
      </w:r>
      <w:r w:rsidR="0051677F" w:rsidRPr="00F56623">
        <w:rPr>
          <w:rFonts w:ascii="Palatino Linotype" w:eastAsia="Calibri" w:hAnsi="Palatino Linotype"/>
          <w:sz w:val="22"/>
          <w:szCs w:val="22"/>
        </w:rPr>
        <w:t xml:space="preserve"> la </w:t>
      </w:r>
      <w:r w:rsidR="00674348" w:rsidRPr="00F56623">
        <w:rPr>
          <w:rFonts w:ascii="Palatino Linotype" w:eastAsia="Calibri" w:hAnsi="Palatino Linotype"/>
          <w:sz w:val="22"/>
          <w:szCs w:val="22"/>
        </w:rPr>
        <w:t>C</w:t>
      </w:r>
      <w:r w:rsidR="0051677F" w:rsidRPr="00F56623">
        <w:rPr>
          <w:rFonts w:ascii="Palatino Linotype" w:eastAsia="Calibri" w:hAnsi="Palatino Linotype"/>
          <w:sz w:val="22"/>
          <w:szCs w:val="22"/>
        </w:rPr>
        <w:t xml:space="preserve">ontribución </w:t>
      </w:r>
      <w:r w:rsidR="00674348" w:rsidRPr="00F56623">
        <w:rPr>
          <w:rFonts w:ascii="Palatino Linotype" w:eastAsia="Calibri" w:hAnsi="Palatino Linotype"/>
          <w:sz w:val="22"/>
          <w:szCs w:val="22"/>
        </w:rPr>
        <w:t xml:space="preserve">Adicional para </w:t>
      </w:r>
      <w:r w:rsidR="00395394" w:rsidRPr="00F56623">
        <w:rPr>
          <w:rFonts w:ascii="Palatino Linotype" w:eastAsia="Calibri" w:hAnsi="Palatino Linotype"/>
          <w:sz w:val="22"/>
          <w:szCs w:val="22"/>
        </w:rPr>
        <w:t xml:space="preserve">la construcción y mantenimiento de </w:t>
      </w:r>
      <w:r w:rsidR="0051677F" w:rsidRPr="00F56623">
        <w:rPr>
          <w:rFonts w:ascii="Palatino Linotype" w:eastAsia="Calibri" w:hAnsi="Palatino Linotype"/>
          <w:sz w:val="22"/>
          <w:szCs w:val="22"/>
        </w:rPr>
        <w:t xml:space="preserve">obras </w:t>
      </w:r>
      <w:r w:rsidR="00395394" w:rsidRPr="00F56623">
        <w:rPr>
          <w:rFonts w:ascii="Palatino Linotype" w:eastAsia="Calibri" w:hAnsi="Palatino Linotype"/>
          <w:sz w:val="22"/>
          <w:szCs w:val="22"/>
        </w:rPr>
        <w:t xml:space="preserve">viales ejecutadas por la </w:t>
      </w:r>
      <w:r w:rsidR="00674348" w:rsidRPr="00F56623">
        <w:rPr>
          <w:rFonts w:ascii="Palatino Linotype" w:eastAsia="Calibri" w:hAnsi="Palatino Linotype"/>
          <w:sz w:val="22"/>
          <w:szCs w:val="22"/>
        </w:rPr>
        <w:t>Empresa Metropolitana de Obras Públicas</w:t>
      </w:r>
      <w:r w:rsidR="00395394" w:rsidRPr="00F56623">
        <w:rPr>
          <w:rFonts w:ascii="Palatino Linotype" w:eastAsia="Calibri" w:hAnsi="Palatino Linotype"/>
          <w:sz w:val="22"/>
          <w:szCs w:val="22"/>
        </w:rPr>
        <w:t>.</w:t>
      </w:r>
    </w:p>
    <w:p w:rsidR="00846298" w:rsidRDefault="00F56623" w:rsidP="00F56623">
      <w:pPr>
        <w:spacing w:after="120" w:line="276" w:lineRule="auto"/>
        <w:jc w:val="both"/>
        <w:rPr>
          <w:rFonts w:ascii="Palatino Linotype" w:eastAsia="Calibri" w:hAnsi="Palatino Linotype"/>
          <w:sz w:val="22"/>
          <w:szCs w:val="22"/>
        </w:rPr>
      </w:pPr>
      <w:r w:rsidRPr="00F56623">
        <w:rPr>
          <w:rFonts w:ascii="Palatino Linotype" w:eastAsia="Calibri" w:hAnsi="Palatino Linotype"/>
          <w:b/>
          <w:sz w:val="22"/>
          <w:szCs w:val="22"/>
        </w:rPr>
        <w:t>Disposición final</w:t>
      </w:r>
      <w:r w:rsidR="00846298" w:rsidRPr="00F56623">
        <w:rPr>
          <w:rFonts w:ascii="Palatino Linotype" w:eastAsia="Calibri" w:hAnsi="Palatino Linotype"/>
          <w:b/>
          <w:sz w:val="22"/>
          <w:szCs w:val="22"/>
        </w:rPr>
        <w:t>.-</w:t>
      </w:r>
      <w:r w:rsidR="00846298" w:rsidRPr="00F56623">
        <w:rPr>
          <w:rFonts w:ascii="Palatino Linotype" w:eastAsia="Calibri" w:hAnsi="Palatino Linotype"/>
          <w:sz w:val="22"/>
          <w:szCs w:val="22"/>
        </w:rPr>
        <w:t xml:space="preserve"> La</w:t>
      </w:r>
      <w:r w:rsidR="00F87754" w:rsidRPr="00F56623">
        <w:rPr>
          <w:rFonts w:ascii="Palatino Linotype" w:eastAsia="Calibri" w:hAnsi="Palatino Linotype"/>
          <w:sz w:val="22"/>
          <w:szCs w:val="22"/>
        </w:rPr>
        <w:t>s disposiciones de la presente Ordenanza prevalecerán sobre otras de igual o menor jerarquía que se le opongan.  La</w:t>
      </w:r>
      <w:r w:rsidR="00846298" w:rsidRPr="00F56623">
        <w:rPr>
          <w:rFonts w:ascii="Palatino Linotype" w:eastAsia="Calibri" w:hAnsi="Palatino Linotype"/>
          <w:sz w:val="22"/>
          <w:szCs w:val="22"/>
        </w:rPr>
        <w:t xml:space="preserve"> presente Ordenanza entrará en vigencia desde el 1 de </w:t>
      </w:r>
      <w:r w:rsidR="00350630">
        <w:rPr>
          <w:rFonts w:ascii="Palatino Linotype" w:eastAsia="Calibri" w:hAnsi="Palatino Linotype"/>
          <w:sz w:val="22"/>
          <w:szCs w:val="22"/>
        </w:rPr>
        <w:t>e</w:t>
      </w:r>
      <w:r w:rsidR="00846298" w:rsidRPr="00F56623">
        <w:rPr>
          <w:rFonts w:ascii="Palatino Linotype" w:eastAsia="Calibri" w:hAnsi="Palatino Linotype"/>
          <w:sz w:val="22"/>
          <w:szCs w:val="22"/>
        </w:rPr>
        <w:t>nero de 2018, sin perjuicio de su publicación en el Registro Oficial.</w:t>
      </w:r>
    </w:p>
    <w:p w:rsidR="00F56623" w:rsidRPr="002915A2" w:rsidRDefault="00F56623" w:rsidP="00F56623">
      <w:pPr>
        <w:spacing w:after="120"/>
        <w:jc w:val="both"/>
        <w:rPr>
          <w:rFonts w:ascii="Palatino Linotype" w:hAnsi="Palatino Linotype"/>
          <w:sz w:val="22"/>
          <w:szCs w:val="22"/>
          <w:lang w:val="es-EC"/>
        </w:rPr>
      </w:pPr>
      <w:r w:rsidRPr="002915A2">
        <w:rPr>
          <w:rFonts w:ascii="Palatino Linotype" w:hAnsi="Palatino Linotype"/>
          <w:sz w:val="22"/>
          <w:szCs w:val="22"/>
          <w:lang w:val="es-EC"/>
        </w:rPr>
        <w:t>Dada, en la Sala de Sesiones del Concejo Metropolitano de Quito, el 2</w:t>
      </w:r>
      <w:r>
        <w:rPr>
          <w:rFonts w:ascii="Palatino Linotype" w:hAnsi="Palatino Linotype"/>
          <w:sz w:val="22"/>
          <w:szCs w:val="22"/>
          <w:lang w:val="es-EC"/>
        </w:rPr>
        <w:t>2</w:t>
      </w:r>
      <w:r w:rsidRPr="002915A2">
        <w:rPr>
          <w:rFonts w:ascii="Palatino Linotype" w:hAnsi="Palatino Linotype"/>
          <w:sz w:val="22"/>
          <w:szCs w:val="22"/>
          <w:lang w:val="es-EC"/>
        </w:rPr>
        <w:t xml:space="preserve"> de diciembre de 2017.</w:t>
      </w:r>
    </w:p>
    <w:p w:rsidR="00F56623" w:rsidRPr="002915A2" w:rsidRDefault="00F56623"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F56623" w:rsidRPr="002915A2"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F56623" w:rsidRDefault="00F56623" w:rsidP="00F56623">
      <w:pPr>
        <w:pStyle w:val="Textopredeterminado"/>
        <w:shd w:val="clear" w:color="auto" w:fill="FFFFFF"/>
        <w:jc w:val="both"/>
        <w:rPr>
          <w:rFonts w:ascii="Palatino Linotype" w:hAnsi="Palatino Linotype"/>
          <w:sz w:val="22"/>
          <w:szCs w:val="22"/>
          <w:lang w:val="es-EC"/>
        </w:rPr>
      </w:pPr>
    </w:p>
    <w:p w:rsidR="0011653F" w:rsidRDefault="0011653F" w:rsidP="00F56623">
      <w:pPr>
        <w:pStyle w:val="Textopredeterminado"/>
        <w:shd w:val="clear" w:color="auto" w:fill="FFFFFF"/>
        <w:jc w:val="both"/>
        <w:rPr>
          <w:rFonts w:ascii="Palatino Linotype" w:hAnsi="Palatino Linotype"/>
          <w:sz w:val="22"/>
          <w:szCs w:val="22"/>
          <w:lang w:val="es-EC"/>
        </w:rPr>
      </w:pPr>
    </w:p>
    <w:p w:rsidR="00350630" w:rsidRDefault="00350630" w:rsidP="00F56623">
      <w:pPr>
        <w:pStyle w:val="Textopredeterminado"/>
        <w:shd w:val="clear" w:color="auto" w:fill="FFFFFF"/>
        <w:jc w:val="both"/>
        <w:rPr>
          <w:rFonts w:ascii="Palatino Linotype" w:hAnsi="Palatino Linotype"/>
          <w:sz w:val="22"/>
          <w:szCs w:val="22"/>
          <w:lang w:val="es-EC"/>
        </w:rPr>
      </w:pPr>
    </w:p>
    <w:p w:rsidR="00350630" w:rsidRDefault="00350630" w:rsidP="00F56623">
      <w:pPr>
        <w:pStyle w:val="Textopredeterminado"/>
        <w:shd w:val="clear" w:color="auto" w:fill="FFFFFF"/>
        <w:jc w:val="both"/>
        <w:rPr>
          <w:rFonts w:ascii="Palatino Linotype" w:hAnsi="Palatino Linotype"/>
          <w:sz w:val="22"/>
          <w:szCs w:val="22"/>
          <w:lang w:val="es-EC"/>
        </w:rPr>
      </w:pPr>
    </w:p>
    <w:p w:rsidR="00350630" w:rsidRDefault="00350630" w:rsidP="00F56623">
      <w:pPr>
        <w:pStyle w:val="Textopredeterminado"/>
        <w:shd w:val="clear" w:color="auto" w:fill="FFFFFF"/>
        <w:jc w:val="both"/>
        <w:rPr>
          <w:rFonts w:ascii="Palatino Linotype" w:hAnsi="Palatino Linotype"/>
          <w:sz w:val="22"/>
          <w:szCs w:val="22"/>
          <w:lang w:val="es-EC"/>
        </w:rPr>
      </w:pPr>
    </w:p>
    <w:p w:rsidR="00350630" w:rsidRDefault="00350630" w:rsidP="00F56623">
      <w:pPr>
        <w:pStyle w:val="Textopredeterminado"/>
        <w:shd w:val="clear" w:color="auto" w:fill="FFFFFF"/>
        <w:jc w:val="both"/>
        <w:rPr>
          <w:rFonts w:ascii="Palatino Linotype" w:hAnsi="Palatino Linotype"/>
          <w:sz w:val="22"/>
          <w:szCs w:val="22"/>
          <w:lang w:val="es-EC"/>
        </w:rPr>
      </w:pPr>
    </w:p>
    <w:p w:rsidR="00350630" w:rsidRDefault="00350630" w:rsidP="00F56623">
      <w:pPr>
        <w:pStyle w:val="Textopredeterminado"/>
        <w:shd w:val="clear" w:color="auto" w:fill="FFFFFF"/>
        <w:jc w:val="both"/>
        <w:rPr>
          <w:rFonts w:ascii="Palatino Linotype" w:hAnsi="Palatino Linotype"/>
          <w:sz w:val="22"/>
          <w:szCs w:val="22"/>
          <w:lang w:val="es-EC"/>
        </w:rPr>
      </w:pPr>
    </w:p>
    <w:p w:rsidR="00350630" w:rsidRPr="002915A2" w:rsidRDefault="00350630" w:rsidP="00F56623">
      <w:pPr>
        <w:pStyle w:val="Textopredeterminado"/>
        <w:shd w:val="clear" w:color="auto" w:fill="FFFFFF"/>
        <w:jc w:val="both"/>
        <w:rPr>
          <w:rFonts w:ascii="Palatino Linotype" w:hAnsi="Palatino Linotype"/>
          <w:sz w:val="22"/>
          <w:szCs w:val="22"/>
          <w:lang w:val="es-EC"/>
        </w:rPr>
      </w:pPr>
    </w:p>
    <w:p w:rsidR="00F56623" w:rsidRPr="002915A2" w:rsidRDefault="00F56623" w:rsidP="00F5662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lastRenderedPageBreak/>
        <w:t>CERTIFICADO DE DISCUSIÓN</w:t>
      </w:r>
    </w:p>
    <w:p w:rsidR="00F56623" w:rsidRPr="002915A2" w:rsidRDefault="00F56623" w:rsidP="00F56623">
      <w:pPr>
        <w:pStyle w:val="Textosinformato"/>
        <w:jc w:val="both"/>
        <w:rPr>
          <w:rFonts w:ascii="Palatino Linotype" w:eastAsia="MS Mincho" w:hAnsi="Palatino Linotype"/>
          <w:sz w:val="22"/>
          <w:szCs w:val="22"/>
          <w:lang w:val="es-EC"/>
        </w:rPr>
      </w:pPr>
    </w:p>
    <w:p w:rsidR="00F56623" w:rsidRPr="002915A2" w:rsidRDefault="00F56623" w:rsidP="00F56623">
      <w:pPr>
        <w:pStyle w:val="Textosinformato"/>
        <w:jc w:val="both"/>
        <w:rPr>
          <w:rFonts w:ascii="Palatino Linotype" w:eastAsia="MS Mincho" w:hAnsi="Palatino Linotype"/>
          <w:sz w:val="22"/>
          <w:szCs w:val="22"/>
          <w:lang w:val="es-EC"/>
        </w:rPr>
      </w:pPr>
      <w:r w:rsidRPr="002915A2">
        <w:rPr>
          <w:rFonts w:ascii="Palatino Linotype" w:eastAsia="MS Mincho" w:hAnsi="Palatino Linotype"/>
          <w:sz w:val="22"/>
          <w:szCs w:val="22"/>
          <w:lang w:val="es-EC"/>
        </w:rPr>
        <w:t>El infrascrito Secretario General del Concejo Metropolitano de Quito, certifica que la presente ordenanza fue discutida y aprobada en dos debates, en sesiones de 20</w:t>
      </w:r>
      <w:r>
        <w:rPr>
          <w:rFonts w:ascii="Palatino Linotype" w:eastAsia="MS Mincho" w:hAnsi="Palatino Linotype"/>
          <w:sz w:val="22"/>
          <w:szCs w:val="22"/>
          <w:lang w:val="es-EC"/>
        </w:rPr>
        <w:t xml:space="preserve"> y 22</w:t>
      </w:r>
      <w:r w:rsidRPr="002915A2">
        <w:rPr>
          <w:rFonts w:ascii="Palatino Linotype" w:eastAsia="MS Mincho" w:hAnsi="Palatino Linotype"/>
          <w:sz w:val="22"/>
          <w:szCs w:val="22"/>
          <w:lang w:val="es-EC"/>
        </w:rPr>
        <w:t xml:space="preserve"> de diciembre de 2017.- Quito,</w:t>
      </w:r>
    </w:p>
    <w:p w:rsidR="00F56623" w:rsidRPr="002915A2" w:rsidRDefault="00F56623" w:rsidP="00F56623">
      <w:pPr>
        <w:pStyle w:val="Textosinformato"/>
        <w:jc w:val="both"/>
        <w:rPr>
          <w:rFonts w:ascii="Palatino Linotype" w:eastAsia="MS Mincho" w:hAnsi="Palatino Linotype"/>
          <w:sz w:val="22"/>
          <w:szCs w:val="22"/>
          <w:lang w:val="es-EC"/>
        </w:rPr>
      </w:pPr>
    </w:p>
    <w:p w:rsidR="00F56623" w:rsidRDefault="00F56623" w:rsidP="00F56623">
      <w:pPr>
        <w:pStyle w:val="Textosinformato"/>
        <w:jc w:val="both"/>
        <w:rPr>
          <w:rFonts w:ascii="Palatino Linotype" w:eastAsia="MS Mincho" w:hAnsi="Palatino Linotype"/>
          <w:sz w:val="22"/>
          <w:szCs w:val="22"/>
          <w:lang w:val="es-EC"/>
        </w:rPr>
      </w:pPr>
    </w:p>
    <w:p w:rsidR="00F56623" w:rsidRPr="002915A2" w:rsidRDefault="00F56623" w:rsidP="00F56623">
      <w:pPr>
        <w:pStyle w:val="Textosinformato"/>
        <w:jc w:val="both"/>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F56623"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F56623" w:rsidRPr="002915A2" w:rsidRDefault="00F56623" w:rsidP="00F56623">
      <w:pPr>
        <w:pStyle w:val="Textosinformato"/>
        <w:jc w:val="center"/>
        <w:rPr>
          <w:rFonts w:ascii="Palatino Linotype" w:eastAsia="MS Mincho" w:hAnsi="Palatino Linotype"/>
          <w:b/>
          <w:bCs/>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b/>
          <w:bCs/>
          <w:sz w:val="22"/>
          <w:szCs w:val="22"/>
          <w:lang w:val="es-EC"/>
        </w:rPr>
        <w:t>ALCALDÍA DEL DISTRITO METROPOLITANO.-</w:t>
      </w:r>
      <w:r w:rsidRPr="002915A2">
        <w:rPr>
          <w:rFonts w:ascii="Palatino Linotype" w:eastAsia="MS Mincho" w:hAnsi="Palatino Linotype"/>
          <w:sz w:val="22"/>
          <w:szCs w:val="22"/>
          <w:lang w:val="es-EC"/>
        </w:rPr>
        <w:t xml:space="preserve">  Distrito Metropolitano de Quito,</w:t>
      </w:r>
    </w:p>
    <w:p w:rsidR="00F56623" w:rsidRPr="002915A2" w:rsidRDefault="00F56623" w:rsidP="00F56623">
      <w:pPr>
        <w:pStyle w:val="Textosinformato"/>
        <w:jc w:val="center"/>
        <w:rPr>
          <w:rFonts w:ascii="Palatino Linotype" w:eastAsia="MS Mincho" w:hAnsi="Palatino Linotype"/>
          <w:b/>
          <w:sz w:val="22"/>
          <w:szCs w:val="22"/>
          <w:lang w:val="es-EC"/>
        </w:rPr>
      </w:pPr>
    </w:p>
    <w:p w:rsidR="00F56623" w:rsidRPr="002915A2" w:rsidRDefault="00F56623" w:rsidP="00F56623">
      <w:pPr>
        <w:pStyle w:val="Textosinformato"/>
        <w:jc w:val="center"/>
        <w:rPr>
          <w:rFonts w:ascii="Palatino Linotype" w:eastAsia="MS Mincho" w:hAnsi="Palatino Linotype"/>
          <w:b/>
          <w:sz w:val="22"/>
          <w:szCs w:val="22"/>
          <w:lang w:val="es-EC"/>
        </w:rPr>
      </w:pPr>
      <w:r w:rsidRPr="002915A2">
        <w:rPr>
          <w:rFonts w:ascii="Palatino Linotype" w:eastAsia="MS Mincho" w:hAnsi="Palatino Linotype"/>
          <w:b/>
          <w:sz w:val="22"/>
          <w:szCs w:val="22"/>
          <w:lang w:val="es-EC"/>
        </w:rPr>
        <w:t>EJECÚTESE:</w:t>
      </w: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Dr. Mauricio Rodas Espinel</w:t>
      </w:r>
    </w:p>
    <w:p w:rsidR="00F56623" w:rsidRPr="002915A2"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ALCALDE DEL DISTRITO METROPOLITANO DE QUITO</w:t>
      </w:r>
    </w:p>
    <w:p w:rsidR="00F56623" w:rsidRPr="002915A2" w:rsidRDefault="00F56623" w:rsidP="00F56623">
      <w:pPr>
        <w:pStyle w:val="Textosinformato"/>
        <w:jc w:val="both"/>
        <w:rPr>
          <w:rFonts w:ascii="Palatino Linotype" w:eastAsia="MS Mincho" w:hAnsi="Palatino Linotype"/>
          <w:b/>
          <w:bCs/>
          <w:sz w:val="22"/>
          <w:szCs w:val="22"/>
          <w:lang w:val="es-EC"/>
        </w:rPr>
      </w:pPr>
    </w:p>
    <w:p w:rsidR="00F56623" w:rsidRPr="002915A2" w:rsidRDefault="00F56623" w:rsidP="00F56623">
      <w:pPr>
        <w:pStyle w:val="Textosinformato"/>
        <w:jc w:val="both"/>
        <w:rPr>
          <w:rFonts w:ascii="Palatino Linotype" w:eastAsia="MS Mincho" w:hAnsi="Palatino Linotype"/>
          <w:sz w:val="22"/>
          <w:szCs w:val="22"/>
          <w:lang w:val="es-EC"/>
        </w:rPr>
      </w:pPr>
      <w:r w:rsidRPr="002915A2">
        <w:rPr>
          <w:rFonts w:ascii="Palatino Linotype" w:eastAsia="MS Mincho" w:hAnsi="Palatino Linotype"/>
          <w:b/>
          <w:bCs/>
          <w:sz w:val="22"/>
          <w:szCs w:val="22"/>
          <w:lang w:val="es-EC"/>
        </w:rPr>
        <w:t>CERTIFICO,</w:t>
      </w:r>
      <w:r w:rsidRPr="002915A2">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56623" w:rsidRPr="002915A2" w:rsidRDefault="00F56623" w:rsidP="00F56623">
      <w:pPr>
        <w:pStyle w:val="Textosinformato"/>
        <w:tabs>
          <w:tab w:val="right" w:pos="8504"/>
        </w:tabs>
        <w:jc w:val="both"/>
        <w:rPr>
          <w:rFonts w:ascii="Palatino Linotype" w:eastAsia="MS Mincho" w:hAnsi="Palatino Linotype"/>
          <w:sz w:val="22"/>
          <w:szCs w:val="22"/>
          <w:lang w:val="es-EC"/>
        </w:rPr>
      </w:pPr>
      <w:r w:rsidRPr="002915A2">
        <w:rPr>
          <w:rFonts w:ascii="Palatino Linotype" w:eastAsia="MS Mincho" w:hAnsi="Palatino Linotype"/>
          <w:sz w:val="22"/>
          <w:szCs w:val="22"/>
          <w:lang w:val="es-EC"/>
        </w:rPr>
        <w:t>.- Distrito Metropolitano de Quito,</w:t>
      </w: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p>
    <w:p w:rsidR="00F56623" w:rsidRPr="002915A2" w:rsidRDefault="00F56623" w:rsidP="00F56623">
      <w:pPr>
        <w:pStyle w:val="Textosinformato"/>
        <w:jc w:val="center"/>
        <w:rPr>
          <w:rFonts w:ascii="Palatino Linotype" w:eastAsia="MS Mincho" w:hAnsi="Palatino Linotype"/>
          <w:sz w:val="22"/>
          <w:szCs w:val="22"/>
          <w:lang w:val="es-EC"/>
        </w:rPr>
      </w:pPr>
      <w:r w:rsidRPr="002915A2">
        <w:rPr>
          <w:rFonts w:ascii="Palatino Linotype" w:eastAsia="MS Mincho" w:hAnsi="Palatino Linotype"/>
          <w:sz w:val="22"/>
          <w:szCs w:val="22"/>
          <w:lang w:val="es-EC"/>
        </w:rPr>
        <w:t>Abg. Diego Cevallos Salgado</w:t>
      </w:r>
    </w:p>
    <w:p w:rsidR="00F56623" w:rsidRPr="002915A2" w:rsidRDefault="00F56623" w:rsidP="00F56623">
      <w:pPr>
        <w:pStyle w:val="Textosinformato"/>
        <w:jc w:val="center"/>
        <w:rPr>
          <w:rFonts w:ascii="Palatino Linotype" w:eastAsia="MS Mincho" w:hAnsi="Palatino Linotype"/>
          <w:b/>
          <w:bCs/>
          <w:sz w:val="22"/>
          <w:szCs w:val="22"/>
          <w:lang w:val="es-EC"/>
        </w:rPr>
      </w:pPr>
      <w:r w:rsidRPr="002915A2">
        <w:rPr>
          <w:rFonts w:ascii="Palatino Linotype" w:eastAsia="MS Mincho" w:hAnsi="Palatino Linotype"/>
          <w:b/>
          <w:bCs/>
          <w:sz w:val="22"/>
          <w:szCs w:val="22"/>
          <w:lang w:val="es-EC"/>
        </w:rPr>
        <w:t>SECRETARIO GENERAL DEL CONCEJO METROPOLITANO DE QUITO</w:t>
      </w:r>
    </w:p>
    <w:p w:rsidR="00F56623" w:rsidRPr="004C351E" w:rsidRDefault="00F56623" w:rsidP="00F56623">
      <w:pPr>
        <w:pStyle w:val="Textosinformato"/>
        <w:rPr>
          <w:rFonts w:ascii="Palatino Linotype" w:eastAsia="MS Mincho" w:hAnsi="Palatino Linotype"/>
          <w:sz w:val="16"/>
          <w:szCs w:val="16"/>
        </w:rPr>
      </w:pPr>
      <w:proofErr w:type="spellStart"/>
      <w:r w:rsidRPr="004C351E">
        <w:rPr>
          <w:rFonts w:ascii="Palatino Linotype" w:eastAsia="MS Mincho" w:hAnsi="Palatino Linotype" w:cs="Arial"/>
          <w:bCs/>
          <w:sz w:val="16"/>
          <w:szCs w:val="16"/>
          <w:lang w:val="es-EC"/>
        </w:rPr>
        <w:t>DSCS</w:t>
      </w:r>
      <w:proofErr w:type="spellEnd"/>
    </w:p>
    <w:p w:rsidR="00F56623" w:rsidRPr="00F56623" w:rsidRDefault="00F56623" w:rsidP="00F56623">
      <w:pPr>
        <w:spacing w:after="120" w:line="276" w:lineRule="auto"/>
        <w:jc w:val="both"/>
        <w:rPr>
          <w:rFonts w:ascii="Palatino Linotype" w:eastAsia="Calibri" w:hAnsi="Palatino Linotype"/>
          <w:b/>
          <w:sz w:val="22"/>
          <w:szCs w:val="22"/>
        </w:rPr>
      </w:pPr>
      <w:bookmarkStart w:id="5" w:name="_GoBack"/>
      <w:bookmarkEnd w:id="5"/>
    </w:p>
    <w:sectPr w:rsidR="00F56623" w:rsidRPr="00F56623" w:rsidSect="001137E4">
      <w:headerReference w:type="default" r:id="rId12"/>
      <w:footerReference w:type="default" r:id="rId1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CC" w:rsidRDefault="00FE13CC" w:rsidP="00933172">
      <w:r>
        <w:separator/>
      </w:r>
    </w:p>
  </w:endnote>
  <w:endnote w:type="continuationSeparator" w:id="0">
    <w:p w:rsidR="00FE13CC" w:rsidRDefault="00FE13CC" w:rsidP="0093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3" w:rsidRDefault="00F56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CC" w:rsidRDefault="00FE13CC" w:rsidP="00933172">
      <w:r>
        <w:separator/>
      </w:r>
    </w:p>
  </w:footnote>
  <w:footnote w:type="continuationSeparator" w:id="0">
    <w:p w:rsidR="00FE13CC" w:rsidRDefault="00FE13CC" w:rsidP="00933172">
      <w:r>
        <w:continuationSeparator/>
      </w:r>
    </w:p>
  </w:footnote>
  <w:footnote w:id="1">
    <w:p w:rsidR="00D765B7" w:rsidRPr="00F56623" w:rsidRDefault="00D765B7">
      <w:pPr>
        <w:pStyle w:val="Textonotapie"/>
        <w:rPr>
          <w:rFonts w:ascii="Palatino Linotype" w:hAnsi="Palatino Linotype"/>
        </w:rPr>
      </w:pPr>
      <w:r w:rsidRPr="00F56623">
        <w:rPr>
          <w:rStyle w:val="Refdenotaalpie"/>
          <w:rFonts w:ascii="Palatino Linotype" w:hAnsi="Palatino Linotype"/>
        </w:rPr>
        <w:footnoteRef/>
      </w:r>
      <w:r w:rsidRPr="00F56623">
        <w:rPr>
          <w:rFonts w:ascii="Palatino Linotype" w:hAnsi="Palatino Linotype"/>
        </w:rPr>
        <w:t xml:space="preserve"> </w:t>
      </w:r>
      <w:r w:rsidRPr="00F56623">
        <w:rPr>
          <w:rFonts w:ascii="Palatino Linotype" w:hAnsi="Palatino Linotype"/>
          <w:sz w:val="18"/>
          <w:szCs w:val="18"/>
        </w:rPr>
        <w:t>Julio Roberto Piza Rodríguez, Capacidad Económica como principio del Sistema Tributario en Revista de Derecho Fiscal, Bogotá, Universidad Externado de Colombia, 2003, p. 62-63</w:t>
      </w:r>
      <w:r w:rsidRPr="00F56623">
        <w:rPr>
          <w:rFonts w:ascii="Palatino Linotype" w:hAnsi="Palatino Linotype"/>
          <w:color w:val="632423" w:themeColor="accent2" w:themeShade="80"/>
        </w:rPr>
        <w:t>.</w:t>
      </w:r>
    </w:p>
  </w:footnote>
  <w:footnote w:id="2">
    <w:p w:rsidR="00D765B7" w:rsidRPr="00F56623" w:rsidRDefault="00D765B7">
      <w:pPr>
        <w:pStyle w:val="Textonotapie"/>
        <w:rPr>
          <w:rFonts w:ascii="Palatino Linotype" w:hAnsi="Palatino Linotype"/>
          <w:sz w:val="18"/>
          <w:szCs w:val="18"/>
        </w:rPr>
      </w:pPr>
      <w:r w:rsidRPr="00F56623">
        <w:rPr>
          <w:rStyle w:val="Refdenotaalpie"/>
          <w:rFonts w:ascii="Palatino Linotype" w:hAnsi="Palatino Linotype"/>
        </w:rPr>
        <w:footnoteRef/>
      </w:r>
      <w:r w:rsidRPr="00F56623">
        <w:rPr>
          <w:rFonts w:ascii="Palatino Linotype" w:hAnsi="Palatino Linotype"/>
        </w:rPr>
        <w:t xml:space="preserve"> </w:t>
      </w:r>
      <w:r w:rsidRPr="00F56623">
        <w:rPr>
          <w:rFonts w:ascii="Palatino Linotype" w:hAnsi="Palatino Linotype"/>
          <w:sz w:val="18"/>
          <w:szCs w:val="18"/>
        </w:rPr>
        <w:t>Tomado de la parte considerativa de la Resolución No. 045-2015-F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Pr="00F56623" w:rsidRDefault="00F56623" w:rsidP="00F56623">
    <w:pPr>
      <w:pStyle w:val="Ttulo2"/>
      <w:numPr>
        <w:ilvl w:val="0"/>
        <w:numId w:val="0"/>
      </w:numPr>
      <w:spacing w:after="120" w:line="276" w:lineRule="auto"/>
      <w:rPr>
        <w:rFonts w:ascii="Palatino Linotype" w:hAnsi="Palatino Linotype"/>
        <w:iCs/>
        <w:sz w:val="22"/>
        <w:szCs w:val="22"/>
        <w:u w:val="none"/>
      </w:rPr>
    </w:pPr>
    <w:r>
      <w:rPr>
        <w:rFonts w:ascii="Palatino Linotype" w:hAnsi="Palatino Linotype"/>
        <w:iCs/>
        <w:sz w:val="22"/>
        <w:szCs w:val="22"/>
        <w:u w:val="none"/>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Default="00F56623" w:rsidP="00F56623">
    <w:pPr>
      <w:pStyle w:val="Ttulo2"/>
      <w:numPr>
        <w:ilvl w:val="0"/>
        <w:numId w:val="0"/>
      </w:numPr>
      <w:spacing w:after="120" w:line="276" w:lineRule="auto"/>
      <w:rPr>
        <w:rFonts w:ascii="Palatino Linotype" w:hAnsi="Palatino Linotype"/>
        <w:iCs/>
        <w:sz w:val="22"/>
        <w:szCs w:val="22"/>
        <w:u w:val="none"/>
      </w:rPr>
    </w:pPr>
  </w:p>
  <w:p w:rsidR="00F56623" w:rsidRPr="00F56623" w:rsidRDefault="00F56623" w:rsidP="00F56623">
    <w:pPr>
      <w:pStyle w:val="Ttulo2"/>
      <w:numPr>
        <w:ilvl w:val="0"/>
        <w:numId w:val="0"/>
      </w:numPr>
      <w:spacing w:after="120" w:line="276" w:lineRule="auto"/>
      <w:rPr>
        <w:rFonts w:ascii="Palatino Linotype" w:hAnsi="Palatino Linotype"/>
        <w:iCs/>
        <w:sz w:val="22"/>
        <w:szCs w:val="22"/>
        <w:u w:val="none"/>
      </w:rPr>
    </w:pPr>
    <w:r>
      <w:rPr>
        <w:rFonts w:ascii="Palatino Linotype" w:hAnsi="Palatino Linotype"/>
        <w:iCs/>
        <w:sz w:val="22"/>
        <w:szCs w:val="22"/>
        <w:u w:val="none"/>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471"/>
    <w:multiLevelType w:val="hybridMultilevel"/>
    <w:tmpl w:val="A57C26FA"/>
    <w:lvl w:ilvl="0" w:tplc="080A000F">
      <w:start w:val="1"/>
      <w:numFmt w:val="decimal"/>
      <w:pStyle w:val="Ttulo1"/>
      <w:lvlText w:val="%1."/>
      <w:lvlJc w:val="left"/>
      <w:pPr>
        <w:ind w:left="780" w:hanging="360"/>
      </w:pPr>
    </w:lvl>
    <w:lvl w:ilvl="1" w:tplc="080A0019">
      <w:start w:val="1"/>
      <w:numFmt w:val="lowerLetter"/>
      <w:pStyle w:val="Ttulo2"/>
      <w:lvlText w:val="%2."/>
      <w:lvlJc w:val="left"/>
      <w:pPr>
        <w:ind w:left="4188" w:hanging="360"/>
      </w:pPr>
    </w:lvl>
    <w:lvl w:ilvl="2" w:tplc="080A001B">
      <w:start w:val="1"/>
      <w:numFmt w:val="lowerRoman"/>
      <w:pStyle w:val="Ttulo3"/>
      <w:lvlText w:val="%3."/>
      <w:lvlJc w:val="right"/>
      <w:pPr>
        <w:ind w:left="2220" w:hanging="180"/>
      </w:pPr>
    </w:lvl>
    <w:lvl w:ilvl="3" w:tplc="080A000F">
      <w:start w:val="1"/>
      <w:numFmt w:val="decimal"/>
      <w:pStyle w:val="Ttulo4"/>
      <w:lvlText w:val="%4."/>
      <w:lvlJc w:val="left"/>
      <w:pPr>
        <w:ind w:left="2940" w:hanging="360"/>
      </w:pPr>
    </w:lvl>
    <w:lvl w:ilvl="4" w:tplc="080A0019">
      <w:start w:val="1"/>
      <w:numFmt w:val="lowerLetter"/>
      <w:pStyle w:val="Ttulo5"/>
      <w:lvlText w:val="%5."/>
      <w:lvlJc w:val="left"/>
      <w:pPr>
        <w:ind w:left="3660" w:hanging="360"/>
      </w:pPr>
    </w:lvl>
    <w:lvl w:ilvl="5" w:tplc="080A001B">
      <w:start w:val="1"/>
      <w:numFmt w:val="lowerRoman"/>
      <w:pStyle w:val="Ttulo6"/>
      <w:lvlText w:val="%6."/>
      <w:lvlJc w:val="right"/>
      <w:pPr>
        <w:ind w:left="4380" w:hanging="180"/>
      </w:pPr>
    </w:lvl>
    <w:lvl w:ilvl="6" w:tplc="080A000F">
      <w:start w:val="1"/>
      <w:numFmt w:val="decimal"/>
      <w:pStyle w:val="Ttulo7"/>
      <w:lvlText w:val="%7."/>
      <w:lvlJc w:val="left"/>
      <w:pPr>
        <w:ind w:left="5100" w:hanging="360"/>
      </w:pPr>
    </w:lvl>
    <w:lvl w:ilvl="7" w:tplc="080A0019">
      <w:start w:val="1"/>
      <w:numFmt w:val="lowerLetter"/>
      <w:pStyle w:val="Ttulo8"/>
      <w:lvlText w:val="%8."/>
      <w:lvlJc w:val="left"/>
      <w:pPr>
        <w:ind w:left="5820" w:hanging="360"/>
      </w:pPr>
    </w:lvl>
    <w:lvl w:ilvl="8" w:tplc="080A001B">
      <w:start w:val="1"/>
      <w:numFmt w:val="lowerRoman"/>
      <w:lvlText w:val="%9."/>
      <w:lvlJc w:val="right"/>
      <w:pPr>
        <w:ind w:left="6540" w:hanging="180"/>
      </w:pPr>
    </w:lvl>
  </w:abstractNum>
  <w:abstractNum w:abstractNumId="1">
    <w:nsid w:val="30A867DB"/>
    <w:multiLevelType w:val="hybridMultilevel"/>
    <w:tmpl w:val="9F6680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A0D3D93"/>
    <w:multiLevelType w:val="hybridMultilevel"/>
    <w:tmpl w:val="DEE80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E77C42"/>
    <w:multiLevelType w:val="hybridMultilevel"/>
    <w:tmpl w:val="7D269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3409CF"/>
    <w:multiLevelType w:val="hybridMultilevel"/>
    <w:tmpl w:val="3512771E"/>
    <w:lvl w:ilvl="0" w:tplc="4BEC2DD8">
      <w:numFmt w:val="bullet"/>
      <w:lvlText w:val="-"/>
      <w:lvlJc w:val="left"/>
      <w:pPr>
        <w:ind w:left="720" w:hanging="360"/>
      </w:pPr>
      <w:rPr>
        <w:rFonts w:ascii="Palatino Linotype" w:eastAsiaTheme="minorHAnsi" w:hAnsi="Palatino Linotype" w:cstheme="minorBidi"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6B543A59"/>
    <w:multiLevelType w:val="hybridMultilevel"/>
    <w:tmpl w:val="EC6EBF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5"/>
  </w:num>
  <w:num w:numId="13">
    <w:abstractNumId w:val="1"/>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rain Santiago Betancourt Vaca">
    <w15:presenceInfo w15:providerId="AD" w15:userId="S-1-5-21-273869320-1094921958-1243824655-80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7"/>
    <w:rsid w:val="00021252"/>
    <w:rsid w:val="00036F64"/>
    <w:rsid w:val="00046108"/>
    <w:rsid w:val="00052543"/>
    <w:rsid w:val="00062852"/>
    <w:rsid w:val="0007079F"/>
    <w:rsid w:val="00077009"/>
    <w:rsid w:val="000A2780"/>
    <w:rsid w:val="000A7126"/>
    <w:rsid w:val="000B73C8"/>
    <w:rsid w:val="000B7857"/>
    <w:rsid w:val="000D11FF"/>
    <w:rsid w:val="000D1C47"/>
    <w:rsid w:val="000E14BE"/>
    <w:rsid w:val="000E284C"/>
    <w:rsid w:val="000F4FB8"/>
    <w:rsid w:val="000F56B5"/>
    <w:rsid w:val="001137E4"/>
    <w:rsid w:val="0011653F"/>
    <w:rsid w:val="00150BCF"/>
    <w:rsid w:val="00166971"/>
    <w:rsid w:val="001712EA"/>
    <w:rsid w:val="00174AB8"/>
    <w:rsid w:val="001A1105"/>
    <w:rsid w:val="001A3AE1"/>
    <w:rsid w:val="001A4254"/>
    <w:rsid w:val="001B54B6"/>
    <w:rsid w:val="001C63D1"/>
    <w:rsid w:val="001D5710"/>
    <w:rsid w:val="001D6635"/>
    <w:rsid w:val="001E10C1"/>
    <w:rsid w:val="001E1B78"/>
    <w:rsid w:val="001E2A2C"/>
    <w:rsid w:val="001F1E17"/>
    <w:rsid w:val="001F7307"/>
    <w:rsid w:val="002039E2"/>
    <w:rsid w:val="002107B7"/>
    <w:rsid w:val="00235BCE"/>
    <w:rsid w:val="00254936"/>
    <w:rsid w:val="002564B0"/>
    <w:rsid w:val="00263718"/>
    <w:rsid w:val="0026753E"/>
    <w:rsid w:val="002820BC"/>
    <w:rsid w:val="00285F0B"/>
    <w:rsid w:val="002A4815"/>
    <w:rsid w:val="002A64B6"/>
    <w:rsid w:val="002B08FF"/>
    <w:rsid w:val="002B2EBC"/>
    <w:rsid w:val="002E2F80"/>
    <w:rsid w:val="002E5620"/>
    <w:rsid w:val="002E7DA1"/>
    <w:rsid w:val="003047E4"/>
    <w:rsid w:val="00305352"/>
    <w:rsid w:val="00311D2F"/>
    <w:rsid w:val="00315B7C"/>
    <w:rsid w:val="00316628"/>
    <w:rsid w:val="00317D70"/>
    <w:rsid w:val="00324DB2"/>
    <w:rsid w:val="0034792F"/>
    <w:rsid w:val="00350630"/>
    <w:rsid w:val="003651D3"/>
    <w:rsid w:val="00371393"/>
    <w:rsid w:val="00391822"/>
    <w:rsid w:val="00391F62"/>
    <w:rsid w:val="0039339A"/>
    <w:rsid w:val="00395394"/>
    <w:rsid w:val="003A0090"/>
    <w:rsid w:val="003B51B1"/>
    <w:rsid w:val="003E4AD4"/>
    <w:rsid w:val="003F19BD"/>
    <w:rsid w:val="003F740C"/>
    <w:rsid w:val="00406E06"/>
    <w:rsid w:val="00407E2B"/>
    <w:rsid w:val="00413273"/>
    <w:rsid w:val="004156C5"/>
    <w:rsid w:val="00415E9C"/>
    <w:rsid w:val="0041794E"/>
    <w:rsid w:val="00425547"/>
    <w:rsid w:val="004413BF"/>
    <w:rsid w:val="00441E21"/>
    <w:rsid w:val="00452D38"/>
    <w:rsid w:val="00457999"/>
    <w:rsid w:val="004623DD"/>
    <w:rsid w:val="00465E55"/>
    <w:rsid w:val="00483DF6"/>
    <w:rsid w:val="00485484"/>
    <w:rsid w:val="00496A19"/>
    <w:rsid w:val="004A6E29"/>
    <w:rsid w:val="004C27EE"/>
    <w:rsid w:val="004C4252"/>
    <w:rsid w:val="004D0C42"/>
    <w:rsid w:val="004D1447"/>
    <w:rsid w:val="004D3A25"/>
    <w:rsid w:val="0051677F"/>
    <w:rsid w:val="005232F0"/>
    <w:rsid w:val="00523F04"/>
    <w:rsid w:val="00535489"/>
    <w:rsid w:val="00556CC4"/>
    <w:rsid w:val="005619D2"/>
    <w:rsid w:val="00575A13"/>
    <w:rsid w:val="00583F98"/>
    <w:rsid w:val="00595090"/>
    <w:rsid w:val="005A0765"/>
    <w:rsid w:val="005C08CE"/>
    <w:rsid w:val="005C1BDF"/>
    <w:rsid w:val="005C2D0F"/>
    <w:rsid w:val="005D03EF"/>
    <w:rsid w:val="005E3AC6"/>
    <w:rsid w:val="005F044B"/>
    <w:rsid w:val="005F39D9"/>
    <w:rsid w:val="00622B65"/>
    <w:rsid w:val="006231D2"/>
    <w:rsid w:val="00624550"/>
    <w:rsid w:val="0062677A"/>
    <w:rsid w:val="00635D6A"/>
    <w:rsid w:val="00636921"/>
    <w:rsid w:val="0064353C"/>
    <w:rsid w:val="00647BC0"/>
    <w:rsid w:val="006505E8"/>
    <w:rsid w:val="00664AA0"/>
    <w:rsid w:val="006656F4"/>
    <w:rsid w:val="00672E82"/>
    <w:rsid w:val="00674348"/>
    <w:rsid w:val="0067435C"/>
    <w:rsid w:val="0069446C"/>
    <w:rsid w:val="006A164D"/>
    <w:rsid w:val="006A50C0"/>
    <w:rsid w:val="006B5AD5"/>
    <w:rsid w:val="006D4429"/>
    <w:rsid w:val="006E1F25"/>
    <w:rsid w:val="006E3251"/>
    <w:rsid w:val="006E6FF5"/>
    <w:rsid w:val="006E7E98"/>
    <w:rsid w:val="006F14C2"/>
    <w:rsid w:val="006F2577"/>
    <w:rsid w:val="006F7EC1"/>
    <w:rsid w:val="007022E4"/>
    <w:rsid w:val="00703C95"/>
    <w:rsid w:val="00704D35"/>
    <w:rsid w:val="00705B09"/>
    <w:rsid w:val="00721A41"/>
    <w:rsid w:val="00726EB3"/>
    <w:rsid w:val="00726F28"/>
    <w:rsid w:val="007434B1"/>
    <w:rsid w:val="00745122"/>
    <w:rsid w:val="00762DE7"/>
    <w:rsid w:val="00764998"/>
    <w:rsid w:val="007736FC"/>
    <w:rsid w:val="007851BA"/>
    <w:rsid w:val="00791EA8"/>
    <w:rsid w:val="007927F9"/>
    <w:rsid w:val="007A56A8"/>
    <w:rsid w:val="007A64FB"/>
    <w:rsid w:val="007B3C07"/>
    <w:rsid w:val="007C3414"/>
    <w:rsid w:val="00811671"/>
    <w:rsid w:val="008223E7"/>
    <w:rsid w:val="008316BC"/>
    <w:rsid w:val="00832AE8"/>
    <w:rsid w:val="00842871"/>
    <w:rsid w:val="00844D6F"/>
    <w:rsid w:val="00846298"/>
    <w:rsid w:val="008466CB"/>
    <w:rsid w:val="008544C6"/>
    <w:rsid w:val="00854D7B"/>
    <w:rsid w:val="0087611E"/>
    <w:rsid w:val="00887EEC"/>
    <w:rsid w:val="008957F6"/>
    <w:rsid w:val="008A1147"/>
    <w:rsid w:val="008B1FF1"/>
    <w:rsid w:val="008C6272"/>
    <w:rsid w:val="008D10BA"/>
    <w:rsid w:val="008D3085"/>
    <w:rsid w:val="008D38D5"/>
    <w:rsid w:val="008F1ACF"/>
    <w:rsid w:val="008F5D10"/>
    <w:rsid w:val="00902DC5"/>
    <w:rsid w:val="009144DF"/>
    <w:rsid w:val="00933172"/>
    <w:rsid w:val="00933EDC"/>
    <w:rsid w:val="00935A81"/>
    <w:rsid w:val="009405C4"/>
    <w:rsid w:val="009523B3"/>
    <w:rsid w:val="0095318C"/>
    <w:rsid w:val="00962A45"/>
    <w:rsid w:val="00967E11"/>
    <w:rsid w:val="0097788D"/>
    <w:rsid w:val="009869D0"/>
    <w:rsid w:val="009B0B52"/>
    <w:rsid w:val="009B6F6A"/>
    <w:rsid w:val="009C22F9"/>
    <w:rsid w:val="009C776C"/>
    <w:rsid w:val="009E30C6"/>
    <w:rsid w:val="00A009BE"/>
    <w:rsid w:val="00A021B4"/>
    <w:rsid w:val="00A167EF"/>
    <w:rsid w:val="00A23BD3"/>
    <w:rsid w:val="00A36E08"/>
    <w:rsid w:val="00A43738"/>
    <w:rsid w:val="00A46FC2"/>
    <w:rsid w:val="00A479C8"/>
    <w:rsid w:val="00A65810"/>
    <w:rsid w:val="00A70ECA"/>
    <w:rsid w:val="00A725B0"/>
    <w:rsid w:val="00A763BB"/>
    <w:rsid w:val="00A85F22"/>
    <w:rsid w:val="00A87BD0"/>
    <w:rsid w:val="00AB700D"/>
    <w:rsid w:val="00AC3CA8"/>
    <w:rsid w:val="00AC3CFA"/>
    <w:rsid w:val="00AC7F56"/>
    <w:rsid w:val="00AE4637"/>
    <w:rsid w:val="00AE672E"/>
    <w:rsid w:val="00B01CDF"/>
    <w:rsid w:val="00B06A11"/>
    <w:rsid w:val="00B1665A"/>
    <w:rsid w:val="00B31843"/>
    <w:rsid w:val="00B329A7"/>
    <w:rsid w:val="00B4174D"/>
    <w:rsid w:val="00B417A6"/>
    <w:rsid w:val="00B42529"/>
    <w:rsid w:val="00B452E3"/>
    <w:rsid w:val="00B637E1"/>
    <w:rsid w:val="00B64E8E"/>
    <w:rsid w:val="00B70766"/>
    <w:rsid w:val="00B80EDF"/>
    <w:rsid w:val="00B9162A"/>
    <w:rsid w:val="00B96F4D"/>
    <w:rsid w:val="00BA02CD"/>
    <w:rsid w:val="00BA44B3"/>
    <w:rsid w:val="00BB00EC"/>
    <w:rsid w:val="00BB4E3C"/>
    <w:rsid w:val="00BB746D"/>
    <w:rsid w:val="00BC02A7"/>
    <w:rsid w:val="00BD1660"/>
    <w:rsid w:val="00BD358C"/>
    <w:rsid w:val="00BD7C47"/>
    <w:rsid w:val="00BE1431"/>
    <w:rsid w:val="00BE6E4D"/>
    <w:rsid w:val="00BF1E87"/>
    <w:rsid w:val="00C03F43"/>
    <w:rsid w:val="00C20BDF"/>
    <w:rsid w:val="00C3645E"/>
    <w:rsid w:val="00C450BA"/>
    <w:rsid w:val="00C46BCC"/>
    <w:rsid w:val="00C51CF2"/>
    <w:rsid w:val="00C52022"/>
    <w:rsid w:val="00C52139"/>
    <w:rsid w:val="00C55CAC"/>
    <w:rsid w:val="00C627F2"/>
    <w:rsid w:val="00C80DD9"/>
    <w:rsid w:val="00C91DCC"/>
    <w:rsid w:val="00C976BA"/>
    <w:rsid w:val="00CB0E3B"/>
    <w:rsid w:val="00CC00C4"/>
    <w:rsid w:val="00CD00C9"/>
    <w:rsid w:val="00CD5243"/>
    <w:rsid w:val="00CE27AE"/>
    <w:rsid w:val="00CE55D1"/>
    <w:rsid w:val="00CF0AB0"/>
    <w:rsid w:val="00CF1F5D"/>
    <w:rsid w:val="00CF58E3"/>
    <w:rsid w:val="00CF5BBA"/>
    <w:rsid w:val="00D02419"/>
    <w:rsid w:val="00D02BAE"/>
    <w:rsid w:val="00D11BB2"/>
    <w:rsid w:val="00D15D18"/>
    <w:rsid w:val="00D1683D"/>
    <w:rsid w:val="00D259E5"/>
    <w:rsid w:val="00D31372"/>
    <w:rsid w:val="00D41B91"/>
    <w:rsid w:val="00D46497"/>
    <w:rsid w:val="00D72E4F"/>
    <w:rsid w:val="00D7568B"/>
    <w:rsid w:val="00D75CAA"/>
    <w:rsid w:val="00D765B7"/>
    <w:rsid w:val="00D809A8"/>
    <w:rsid w:val="00D84A4B"/>
    <w:rsid w:val="00D85A0B"/>
    <w:rsid w:val="00DC2210"/>
    <w:rsid w:val="00DD51B7"/>
    <w:rsid w:val="00DE6A15"/>
    <w:rsid w:val="00DF481C"/>
    <w:rsid w:val="00E04C99"/>
    <w:rsid w:val="00E2297E"/>
    <w:rsid w:val="00E25011"/>
    <w:rsid w:val="00E260EE"/>
    <w:rsid w:val="00E343E4"/>
    <w:rsid w:val="00E373FB"/>
    <w:rsid w:val="00E5002A"/>
    <w:rsid w:val="00E70B4C"/>
    <w:rsid w:val="00E81376"/>
    <w:rsid w:val="00E84B39"/>
    <w:rsid w:val="00E85532"/>
    <w:rsid w:val="00E85EB4"/>
    <w:rsid w:val="00E87D3B"/>
    <w:rsid w:val="00E904FA"/>
    <w:rsid w:val="00EA121C"/>
    <w:rsid w:val="00EA541F"/>
    <w:rsid w:val="00EA6912"/>
    <w:rsid w:val="00EB424C"/>
    <w:rsid w:val="00EB79FD"/>
    <w:rsid w:val="00EB7E20"/>
    <w:rsid w:val="00EC1D87"/>
    <w:rsid w:val="00EC6DD4"/>
    <w:rsid w:val="00ED0108"/>
    <w:rsid w:val="00EE6CD2"/>
    <w:rsid w:val="00F03911"/>
    <w:rsid w:val="00F075FB"/>
    <w:rsid w:val="00F15D03"/>
    <w:rsid w:val="00F3078A"/>
    <w:rsid w:val="00F31E34"/>
    <w:rsid w:val="00F43997"/>
    <w:rsid w:val="00F464BC"/>
    <w:rsid w:val="00F519E7"/>
    <w:rsid w:val="00F54324"/>
    <w:rsid w:val="00F56623"/>
    <w:rsid w:val="00F87754"/>
    <w:rsid w:val="00FB13E7"/>
    <w:rsid w:val="00FB306A"/>
    <w:rsid w:val="00FB7177"/>
    <w:rsid w:val="00FC6967"/>
    <w:rsid w:val="00FE13CC"/>
    <w:rsid w:val="00FF0498"/>
    <w:rsid w:val="00FF323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02419"/>
    <w:pPr>
      <w:keepNext/>
      <w:keepLines/>
      <w:widowControl w:val="0"/>
      <w:numPr>
        <w:numId w:val="9"/>
      </w:numPr>
      <w:tabs>
        <w:tab w:val="left" w:pos="8352"/>
      </w:tabs>
      <w:suppressAutoHyphens/>
      <w:autoSpaceDE w:val="0"/>
      <w:jc w:val="both"/>
      <w:outlineLvl w:val="0"/>
    </w:pPr>
    <w:rPr>
      <w:rFonts w:ascii="@MS Mincho" w:eastAsia="@MS Mincho" w:hAnsi="@MS Mincho" w:cs="@MS Mincho"/>
      <w:lang w:val="es-ES_tradnl" w:eastAsia="ar-SA"/>
    </w:rPr>
  </w:style>
  <w:style w:type="paragraph" w:styleId="Ttulo2">
    <w:name w:val="heading 2"/>
    <w:basedOn w:val="Normal"/>
    <w:next w:val="Normal"/>
    <w:link w:val="Ttulo2Car"/>
    <w:qFormat/>
    <w:rsid w:val="00D02419"/>
    <w:pPr>
      <w:keepNext/>
      <w:numPr>
        <w:ilvl w:val="1"/>
        <w:numId w:val="9"/>
      </w:numPr>
      <w:tabs>
        <w:tab w:val="left" w:pos="1728"/>
      </w:tabs>
      <w:suppressAutoHyphens/>
      <w:ind w:left="1500"/>
      <w:jc w:val="center"/>
      <w:outlineLvl w:val="1"/>
    </w:pPr>
    <w:rPr>
      <w:rFonts w:ascii="Arial" w:eastAsia="Calibri" w:hAnsi="Arial" w:cs="Arial"/>
      <w:b/>
      <w:bCs/>
      <w:color w:val="000000"/>
      <w:u w:val="single"/>
      <w:lang w:val="es-ES_tradnl" w:eastAsia="ar-SA"/>
    </w:rPr>
  </w:style>
  <w:style w:type="paragraph" w:styleId="Ttulo3">
    <w:name w:val="heading 3"/>
    <w:basedOn w:val="Normal"/>
    <w:next w:val="Normal"/>
    <w:link w:val="Ttulo3Car"/>
    <w:qFormat/>
    <w:rsid w:val="00D02419"/>
    <w:pPr>
      <w:keepNext/>
      <w:numPr>
        <w:ilvl w:val="2"/>
        <w:numId w:val="9"/>
      </w:numPr>
      <w:tabs>
        <w:tab w:val="left" w:pos="31680"/>
      </w:tabs>
      <w:suppressAutoHyphens/>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qFormat/>
    <w:rsid w:val="00D02419"/>
    <w:pPr>
      <w:keepNext/>
      <w:widowControl w:val="0"/>
      <w:numPr>
        <w:ilvl w:val="3"/>
        <w:numId w:val="9"/>
      </w:numPr>
      <w:tabs>
        <w:tab w:val="left" w:pos="2592"/>
      </w:tabs>
      <w:suppressAutoHyphens/>
      <w:autoSpaceDE w:val="0"/>
      <w:spacing w:before="240" w:after="60"/>
      <w:outlineLvl w:val="3"/>
    </w:pPr>
    <w:rPr>
      <w:rFonts w:eastAsia="Calibri" w:cs="Calibri"/>
      <w:b/>
      <w:bCs/>
      <w:sz w:val="28"/>
      <w:szCs w:val="28"/>
      <w:lang w:val="en-US" w:eastAsia="ar-SA"/>
    </w:rPr>
  </w:style>
  <w:style w:type="paragraph" w:styleId="Ttulo5">
    <w:name w:val="heading 5"/>
    <w:basedOn w:val="Normal"/>
    <w:next w:val="Normal"/>
    <w:link w:val="Ttulo5Car"/>
    <w:qFormat/>
    <w:rsid w:val="00D02419"/>
    <w:pPr>
      <w:keepNext/>
      <w:widowControl w:val="0"/>
      <w:numPr>
        <w:ilvl w:val="4"/>
        <w:numId w:val="9"/>
      </w:numPr>
      <w:tabs>
        <w:tab w:val="left" w:pos="14672"/>
      </w:tabs>
      <w:suppressAutoHyphens/>
      <w:autoSpaceDE w:val="0"/>
      <w:jc w:val="both"/>
      <w:outlineLvl w:val="4"/>
    </w:pPr>
    <w:rPr>
      <w:rFonts w:eastAsia="Calibri" w:cs="Calibri"/>
      <w:lang w:val="es-ES_tradnl" w:eastAsia="ar-SA"/>
    </w:rPr>
  </w:style>
  <w:style w:type="paragraph" w:styleId="Ttulo6">
    <w:name w:val="heading 6"/>
    <w:basedOn w:val="Normal"/>
    <w:next w:val="Normal"/>
    <w:link w:val="Ttulo6Car"/>
    <w:qFormat/>
    <w:rsid w:val="00D02419"/>
    <w:pPr>
      <w:keepNext/>
      <w:widowControl w:val="0"/>
      <w:numPr>
        <w:ilvl w:val="5"/>
        <w:numId w:val="9"/>
      </w:numPr>
      <w:tabs>
        <w:tab w:val="left" w:pos="30656"/>
      </w:tabs>
      <w:suppressAutoHyphens/>
      <w:autoSpaceDE w:val="0"/>
      <w:jc w:val="both"/>
      <w:outlineLvl w:val="5"/>
    </w:pPr>
    <w:rPr>
      <w:rFonts w:eastAsia="Calibri" w:cs="Calibri"/>
      <w:lang w:val="es-ES_tradnl" w:eastAsia="ar-SA"/>
    </w:rPr>
  </w:style>
  <w:style w:type="paragraph" w:styleId="Ttulo7">
    <w:name w:val="heading 7"/>
    <w:basedOn w:val="Normal"/>
    <w:next w:val="Normal"/>
    <w:link w:val="Ttulo7Car"/>
    <w:qFormat/>
    <w:rsid w:val="00D02419"/>
    <w:pPr>
      <w:keepNext/>
      <w:widowControl w:val="0"/>
      <w:numPr>
        <w:ilvl w:val="6"/>
        <w:numId w:val="9"/>
      </w:numPr>
      <w:tabs>
        <w:tab w:val="left" w:pos="17136"/>
      </w:tabs>
      <w:suppressAutoHyphens/>
      <w:autoSpaceDE w:val="0"/>
      <w:jc w:val="both"/>
      <w:outlineLvl w:val="6"/>
    </w:pPr>
    <w:rPr>
      <w:rFonts w:eastAsia="Calibri" w:cs="Calibri"/>
      <w:lang w:val="es-ES_tradnl" w:eastAsia="ar-SA"/>
    </w:rPr>
  </w:style>
  <w:style w:type="paragraph" w:styleId="Ttulo8">
    <w:name w:val="heading 8"/>
    <w:basedOn w:val="Normal"/>
    <w:next w:val="Normal"/>
    <w:link w:val="Ttulo8Car"/>
    <w:qFormat/>
    <w:rsid w:val="00D02419"/>
    <w:pPr>
      <w:keepNext/>
      <w:widowControl w:val="0"/>
      <w:numPr>
        <w:ilvl w:val="7"/>
        <w:numId w:val="9"/>
      </w:numPr>
      <w:tabs>
        <w:tab w:val="left" w:pos="1440"/>
      </w:tabs>
      <w:suppressAutoHyphens/>
      <w:autoSpaceDE w:val="0"/>
      <w:jc w:val="both"/>
      <w:outlineLvl w:val="7"/>
    </w:pPr>
    <w:rPr>
      <w:rFonts w:eastAsia="Calibri" w:cs="Calibri"/>
      <w:lang w:val="es-ES_tradnl" w:eastAsia="ar-SA"/>
    </w:rPr>
  </w:style>
  <w:style w:type="paragraph" w:styleId="Ttulo9">
    <w:name w:val="heading 9"/>
    <w:basedOn w:val="Normal"/>
    <w:next w:val="Normal"/>
    <w:link w:val="Ttulo9Car"/>
    <w:qFormat/>
    <w:rsid w:val="00D02419"/>
    <w:pPr>
      <w:keepNext/>
      <w:tabs>
        <w:tab w:val="left" w:pos="4752"/>
      </w:tabs>
      <w:suppressAutoHyphens/>
      <w:ind w:left="6540" w:hanging="180"/>
      <w:jc w:val="both"/>
      <w:outlineLvl w:val="8"/>
    </w:pPr>
    <w:rPr>
      <w:rFonts w:ascii="Arial" w:eastAsia="Calibri" w:hAnsi="Arial" w:cs="Arial"/>
      <w:b/>
      <w:bCs/>
      <w:sz w:val="19"/>
      <w:szCs w:val="19"/>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D02419"/>
    <w:pPr>
      <w:suppressAutoHyphens/>
      <w:spacing w:after="200" w:line="276" w:lineRule="auto"/>
      <w:ind w:left="720"/>
    </w:pPr>
    <w:rPr>
      <w:rFonts w:ascii="Calibri" w:hAnsi="Calibri" w:cs="Calibri"/>
      <w:sz w:val="22"/>
      <w:szCs w:val="22"/>
      <w:lang w:val="en-US" w:eastAsia="ar-SA"/>
    </w:rPr>
  </w:style>
  <w:style w:type="character" w:customStyle="1" w:styleId="Ttulo1Car">
    <w:name w:val="Título 1 Car"/>
    <w:basedOn w:val="Fuentedeprrafopredeter"/>
    <w:link w:val="Ttulo1"/>
    <w:rsid w:val="00D02419"/>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rsid w:val="00D02419"/>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rsid w:val="00D02419"/>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rsid w:val="00D02419"/>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rsid w:val="00D02419"/>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rsid w:val="00D02419"/>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rsid w:val="00D02419"/>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rsid w:val="00D02419"/>
    <w:rPr>
      <w:rFonts w:ascii="Times New Roman" w:eastAsia="Calibri" w:hAnsi="Times New Roman" w:cs="Calibri"/>
      <w:sz w:val="24"/>
      <w:szCs w:val="24"/>
      <w:lang w:val="es-ES_tradnl" w:eastAsia="ar-SA"/>
    </w:rPr>
  </w:style>
  <w:style w:type="character" w:customStyle="1" w:styleId="Ttulo9Car">
    <w:name w:val="Título 9 Car"/>
    <w:basedOn w:val="Fuentedeprrafopredeter"/>
    <w:link w:val="Ttulo9"/>
    <w:rsid w:val="00D02419"/>
    <w:rPr>
      <w:rFonts w:ascii="Arial" w:eastAsia="Calibri" w:hAnsi="Arial" w:cs="Arial"/>
      <w:b/>
      <w:bCs/>
      <w:sz w:val="19"/>
      <w:szCs w:val="19"/>
      <w:lang w:val="es-ES_tradnl" w:eastAsia="ar-SA"/>
    </w:rPr>
  </w:style>
  <w:style w:type="paragraph" w:styleId="Sinespaciado">
    <w:name w:val="No Spacing"/>
    <w:uiPriority w:val="1"/>
    <w:qFormat/>
    <w:rsid w:val="00D02419"/>
    <w:pPr>
      <w:spacing w:after="0" w:line="240" w:lineRule="auto"/>
    </w:pPr>
  </w:style>
  <w:style w:type="paragraph" w:styleId="Prrafodelista">
    <w:name w:val="List Paragraph"/>
    <w:basedOn w:val="Normal"/>
    <w:uiPriority w:val="34"/>
    <w:qFormat/>
    <w:rsid w:val="00D02419"/>
    <w:pPr>
      <w:ind w:left="720"/>
      <w:contextualSpacing/>
    </w:pPr>
  </w:style>
  <w:style w:type="paragraph" w:styleId="Textodeglobo">
    <w:name w:val="Balloon Text"/>
    <w:basedOn w:val="Normal"/>
    <w:link w:val="TextodegloboCar"/>
    <w:uiPriority w:val="99"/>
    <w:semiHidden/>
    <w:unhideWhenUsed/>
    <w:rsid w:val="00F54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324"/>
    <w:rPr>
      <w:rFonts w:ascii="Tahoma" w:eastAsia="Times New Roman" w:hAnsi="Tahoma" w:cs="Tahoma"/>
      <w:sz w:val="16"/>
      <w:szCs w:val="16"/>
      <w:lang w:val="es-ES" w:eastAsia="es-ES"/>
    </w:rPr>
  </w:style>
  <w:style w:type="paragraph" w:customStyle="1" w:styleId="Default">
    <w:name w:val="Default"/>
    <w:rsid w:val="00E70B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04D35"/>
    <w:pPr>
      <w:spacing w:before="100" w:beforeAutospacing="1" w:after="100" w:afterAutospacing="1"/>
    </w:pPr>
    <w:rPr>
      <w:lang w:val="es-EC" w:eastAsia="es-EC"/>
    </w:rPr>
  </w:style>
  <w:style w:type="character" w:styleId="Textoennegrita">
    <w:name w:val="Strong"/>
    <w:basedOn w:val="Fuentedeprrafopredeter"/>
    <w:uiPriority w:val="22"/>
    <w:qFormat/>
    <w:rsid w:val="00704D35"/>
    <w:rPr>
      <w:b/>
      <w:bCs/>
    </w:rPr>
  </w:style>
  <w:style w:type="character" w:styleId="Hipervnculo">
    <w:name w:val="Hyperlink"/>
    <w:basedOn w:val="Fuentedeprrafopredeter"/>
    <w:uiPriority w:val="99"/>
    <w:semiHidden/>
    <w:unhideWhenUsed/>
    <w:rsid w:val="00D85A0B"/>
    <w:rPr>
      <w:color w:val="0000FF"/>
      <w:u w:val="single"/>
    </w:rPr>
  </w:style>
  <w:style w:type="paragraph" w:styleId="Textonotapie">
    <w:name w:val="footnote text"/>
    <w:basedOn w:val="Normal"/>
    <w:link w:val="TextonotapieCar"/>
    <w:uiPriority w:val="99"/>
    <w:semiHidden/>
    <w:unhideWhenUsed/>
    <w:rsid w:val="00933172"/>
    <w:rPr>
      <w:sz w:val="20"/>
      <w:szCs w:val="20"/>
    </w:rPr>
  </w:style>
  <w:style w:type="character" w:customStyle="1" w:styleId="TextonotapieCar">
    <w:name w:val="Texto nota pie Car"/>
    <w:basedOn w:val="Fuentedeprrafopredeter"/>
    <w:link w:val="Textonotapie"/>
    <w:uiPriority w:val="99"/>
    <w:semiHidden/>
    <w:rsid w:val="009331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33172"/>
    <w:rPr>
      <w:vertAlign w:val="superscript"/>
    </w:rPr>
  </w:style>
  <w:style w:type="character" w:styleId="Refdecomentario">
    <w:name w:val="annotation reference"/>
    <w:basedOn w:val="Fuentedeprrafopredeter"/>
    <w:uiPriority w:val="99"/>
    <w:semiHidden/>
    <w:unhideWhenUsed/>
    <w:rsid w:val="009523B3"/>
    <w:rPr>
      <w:sz w:val="16"/>
      <w:szCs w:val="16"/>
    </w:rPr>
  </w:style>
  <w:style w:type="paragraph" w:styleId="Textocomentario">
    <w:name w:val="annotation text"/>
    <w:basedOn w:val="Normal"/>
    <w:link w:val="TextocomentarioCar"/>
    <w:uiPriority w:val="99"/>
    <w:semiHidden/>
    <w:unhideWhenUsed/>
    <w:rsid w:val="009523B3"/>
    <w:rPr>
      <w:sz w:val="20"/>
      <w:szCs w:val="20"/>
    </w:rPr>
  </w:style>
  <w:style w:type="character" w:customStyle="1" w:styleId="TextocomentarioCar">
    <w:name w:val="Texto comentario Car"/>
    <w:basedOn w:val="Fuentedeprrafopredeter"/>
    <w:link w:val="Textocomentario"/>
    <w:uiPriority w:val="99"/>
    <w:semiHidden/>
    <w:rsid w:val="009523B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23B3"/>
    <w:rPr>
      <w:b/>
      <w:bCs/>
    </w:rPr>
  </w:style>
  <w:style w:type="character" w:customStyle="1" w:styleId="AsuntodelcomentarioCar">
    <w:name w:val="Asunto del comentario Car"/>
    <w:basedOn w:val="TextocomentarioCar"/>
    <w:link w:val="Asuntodelcomentario"/>
    <w:uiPriority w:val="99"/>
    <w:semiHidden/>
    <w:rsid w:val="009523B3"/>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F56623"/>
    <w:pPr>
      <w:tabs>
        <w:tab w:val="center" w:pos="4419"/>
        <w:tab w:val="right" w:pos="8838"/>
      </w:tabs>
    </w:pPr>
  </w:style>
  <w:style w:type="character" w:customStyle="1" w:styleId="EncabezadoCar">
    <w:name w:val="Encabezado Car"/>
    <w:basedOn w:val="Fuentedeprrafopredeter"/>
    <w:link w:val="Encabezado"/>
    <w:uiPriority w:val="99"/>
    <w:rsid w:val="00F566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6623"/>
    <w:pPr>
      <w:tabs>
        <w:tab w:val="center" w:pos="4419"/>
        <w:tab w:val="right" w:pos="8838"/>
      </w:tabs>
    </w:pPr>
  </w:style>
  <w:style w:type="character" w:customStyle="1" w:styleId="PiedepginaCar">
    <w:name w:val="Pie de página Car"/>
    <w:basedOn w:val="Fuentedeprrafopredeter"/>
    <w:link w:val="Piedepgina"/>
    <w:uiPriority w:val="99"/>
    <w:rsid w:val="00F56623"/>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F56623"/>
    <w:pPr>
      <w:tabs>
        <w:tab w:val="left" w:pos="0"/>
      </w:tabs>
      <w:overflowPunct w:val="0"/>
      <w:autoSpaceDE w:val="0"/>
      <w:autoSpaceDN w:val="0"/>
      <w:adjustRightInd w:val="0"/>
      <w:textAlignment w:val="baseline"/>
    </w:pPr>
    <w:rPr>
      <w:color w:val="000000"/>
      <w:sz w:val="20"/>
      <w:szCs w:val="20"/>
      <w:lang w:val="en-US"/>
    </w:rPr>
  </w:style>
  <w:style w:type="paragraph" w:styleId="Textosinformato">
    <w:name w:val="Plain Text"/>
    <w:basedOn w:val="Normal"/>
    <w:link w:val="TextosinformatoCar"/>
    <w:rsid w:val="00F56623"/>
    <w:rPr>
      <w:rFonts w:ascii="Courier New" w:hAnsi="Courier New"/>
      <w:sz w:val="20"/>
      <w:szCs w:val="20"/>
    </w:rPr>
  </w:style>
  <w:style w:type="character" w:customStyle="1" w:styleId="TextosinformatoCar">
    <w:name w:val="Texto sin formato Car"/>
    <w:basedOn w:val="Fuentedeprrafopredeter"/>
    <w:link w:val="Textosinformato"/>
    <w:rsid w:val="00F56623"/>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7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02419"/>
    <w:pPr>
      <w:keepNext/>
      <w:keepLines/>
      <w:widowControl w:val="0"/>
      <w:numPr>
        <w:numId w:val="9"/>
      </w:numPr>
      <w:tabs>
        <w:tab w:val="left" w:pos="8352"/>
      </w:tabs>
      <w:suppressAutoHyphens/>
      <w:autoSpaceDE w:val="0"/>
      <w:jc w:val="both"/>
      <w:outlineLvl w:val="0"/>
    </w:pPr>
    <w:rPr>
      <w:rFonts w:ascii="@MS Mincho" w:eastAsia="@MS Mincho" w:hAnsi="@MS Mincho" w:cs="@MS Mincho"/>
      <w:lang w:val="es-ES_tradnl" w:eastAsia="ar-SA"/>
    </w:rPr>
  </w:style>
  <w:style w:type="paragraph" w:styleId="Ttulo2">
    <w:name w:val="heading 2"/>
    <w:basedOn w:val="Normal"/>
    <w:next w:val="Normal"/>
    <w:link w:val="Ttulo2Car"/>
    <w:qFormat/>
    <w:rsid w:val="00D02419"/>
    <w:pPr>
      <w:keepNext/>
      <w:numPr>
        <w:ilvl w:val="1"/>
        <w:numId w:val="9"/>
      </w:numPr>
      <w:tabs>
        <w:tab w:val="left" w:pos="1728"/>
      </w:tabs>
      <w:suppressAutoHyphens/>
      <w:ind w:left="1500"/>
      <w:jc w:val="center"/>
      <w:outlineLvl w:val="1"/>
    </w:pPr>
    <w:rPr>
      <w:rFonts w:ascii="Arial" w:eastAsia="Calibri" w:hAnsi="Arial" w:cs="Arial"/>
      <w:b/>
      <w:bCs/>
      <w:color w:val="000000"/>
      <w:u w:val="single"/>
      <w:lang w:val="es-ES_tradnl" w:eastAsia="ar-SA"/>
    </w:rPr>
  </w:style>
  <w:style w:type="paragraph" w:styleId="Ttulo3">
    <w:name w:val="heading 3"/>
    <w:basedOn w:val="Normal"/>
    <w:next w:val="Normal"/>
    <w:link w:val="Ttulo3Car"/>
    <w:qFormat/>
    <w:rsid w:val="00D02419"/>
    <w:pPr>
      <w:keepNext/>
      <w:numPr>
        <w:ilvl w:val="2"/>
        <w:numId w:val="9"/>
      </w:numPr>
      <w:tabs>
        <w:tab w:val="left" w:pos="31680"/>
      </w:tabs>
      <w:suppressAutoHyphens/>
      <w:jc w:val="both"/>
      <w:outlineLvl w:val="2"/>
    </w:pPr>
    <w:rPr>
      <w:rFonts w:ascii="Arial" w:eastAsia="Calibri" w:hAnsi="Arial" w:cs="Arial"/>
      <w:b/>
      <w:bCs/>
      <w:color w:val="000000"/>
      <w:sz w:val="20"/>
      <w:szCs w:val="20"/>
      <w:u w:val="single"/>
      <w:lang w:val="es-ES_tradnl" w:eastAsia="ar-SA"/>
    </w:rPr>
  </w:style>
  <w:style w:type="paragraph" w:styleId="Ttulo4">
    <w:name w:val="heading 4"/>
    <w:basedOn w:val="Normal"/>
    <w:next w:val="Normal"/>
    <w:link w:val="Ttulo4Car"/>
    <w:qFormat/>
    <w:rsid w:val="00D02419"/>
    <w:pPr>
      <w:keepNext/>
      <w:widowControl w:val="0"/>
      <w:numPr>
        <w:ilvl w:val="3"/>
        <w:numId w:val="9"/>
      </w:numPr>
      <w:tabs>
        <w:tab w:val="left" w:pos="2592"/>
      </w:tabs>
      <w:suppressAutoHyphens/>
      <w:autoSpaceDE w:val="0"/>
      <w:spacing w:before="240" w:after="60"/>
      <w:outlineLvl w:val="3"/>
    </w:pPr>
    <w:rPr>
      <w:rFonts w:eastAsia="Calibri" w:cs="Calibri"/>
      <w:b/>
      <w:bCs/>
      <w:sz w:val="28"/>
      <w:szCs w:val="28"/>
      <w:lang w:val="en-US" w:eastAsia="ar-SA"/>
    </w:rPr>
  </w:style>
  <w:style w:type="paragraph" w:styleId="Ttulo5">
    <w:name w:val="heading 5"/>
    <w:basedOn w:val="Normal"/>
    <w:next w:val="Normal"/>
    <w:link w:val="Ttulo5Car"/>
    <w:qFormat/>
    <w:rsid w:val="00D02419"/>
    <w:pPr>
      <w:keepNext/>
      <w:widowControl w:val="0"/>
      <w:numPr>
        <w:ilvl w:val="4"/>
        <w:numId w:val="9"/>
      </w:numPr>
      <w:tabs>
        <w:tab w:val="left" w:pos="14672"/>
      </w:tabs>
      <w:suppressAutoHyphens/>
      <w:autoSpaceDE w:val="0"/>
      <w:jc w:val="both"/>
      <w:outlineLvl w:val="4"/>
    </w:pPr>
    <w:rPr>
      <w:rFonts w:eastAsia="Calibri" w:cs="Calibri"/>
      <w:lang w:val="es-ES_tradnl" w:eastAsia="ar-SA"/>
    </w:rPr>
  </w:style>
  <w:style w:type="paragraph" w:styleId="Ttulo6">
    <w:name w:val="heading 6"/>
    <w:basedOn w:val="Normal"/>
    <w:next w:val="Normal"/>
    <w:link w:val="Ttulo6Car"/>
    <w:qFormat/>
    <w:rsid w:val="00D02419"/>
    <w:pPr>
      <w:keepNext/>
      <w:widowControl w:val="0"/>
      <w:numPr>
        <w:ilvl w:val="5"/>
        <w:numId w:val="9"/>
      </w:numPr>
      <w:tabs>
        <w:tab w:val="left" w:pos="30656"/>
      </w:tabs>
      <w:suppressAutoHyphens/>
      <w:autoSpaceDE w:val="0"/>
      <w:jc w:val="both"/>
      <w:outlineLvl w:val="5"/>
    </w:pPr>
    <w:rPr>
      <w:rFonts w:eastAsia="Calibri" w:cs="Calibri"/>
      <w:lang w:val="es-ES_tradnl" w:eastAsia="ar-SA"/>
    </w:rPr>
  </w:style>
  <w:style w:type="paragraph" w:styleId="Ttulo7">
    <w:name w:val="heading 7"/>
    <w:basedOn w:val="Normal"/>
    <w:next w:val="Normal"/>
    <w:link w:val="Ttulo7Car"/>
    <w:qFormat/>
    <w:rsid w:val="00D02419"/>
    <w:pPr>
      <w:keepNext/>
      <w:widowControl w:val="0"/>
      <w:numPr>
        <w:ilvl w:val="6"/>
        <w:numId w:val="9"/>
      </w:numPr>
      <w:tabs>
        <w:tab w:val="left" w:pos="17136"/>
      </w:tabs>
      <w:suppressAutoHyphens/>
      <w:autoSpaceDE w:val="0"/>
      <w:jc w:val="both"/>
      <w:outlineLvl w:val="6"/>
    </w:pPr>
    <w:rPr>
      <w:rFonts w:eastAsia="Calibri" w:cs="Calibri"/>
      <w:lang w:val="es-ES_tradnl" w:eastAsia="ar-SA"/>
    </w:rPr>
  </w:style>
  <w:style w:type="paragraph" w:styleId="Ttulo8">
    <w:name w:val="heading 8"/>
    <w:basedOn w:val="Normal"/>
    <w:next w:val="Normal"/>
    <w:link w:val="Ttulo8Car"/>
    <w:qFormat/>
    <w:rsid w:val="00D02419"/>
    <w:pPr>
      <w:keepNext/>
      <w:widowControl w:val="0"/>
      <w:numPr>
        <w:ilvl w:val="7"/>
        <w:numId w:val="9"/>
      </w:numPr>
      <w:tabs>
        <w:tab w:val="left" w:pos="1440"/>
      </w:tabs>
      <w:suppressAutoHyphens/>
      <w:autoSpaceDE w:val="0"/>
      <w:jc w:val="both"/>
      <w:outlineLvl w:val="7"/>
    </w:pPr>
    <w:rPr>
      <w:rFonts w:eastAsia="Calibri" w:cs="Calibri"/>
      <w:lang w:val="es-ES_tradnl" w:eastAsia="ar-SA"/>
    </w:rPr>
  </w:style>
  <w:style w:type="paragraph" w:styleId="Ttulo9">
    <w:name w:val="heading 9"/>
    <w:basedOn w:val="Normal"/>
    <w:next w:val="Normal"/>
    <w:link w:val="Ttulo9Car"/>
    <w:qFormat/>
    <w:rsid w:val="00D02419"/>
    <w:pPr>
      <w:keepNext/>
      <w:tabs>
        <w:tab w:val="left" w:pos="4752"/>
      </w:tabs>
      <w:suppressAutoHyphens/>
      <w:ind w:left="6540" w:hanging="180"/>
      <w:jc w:val="both"/>
      <w:outlineLvl w:val="8"/>
    </w:pPr>
    <w:rPr>
      <w:rFonts w:ascii="Arial" w:eastAsia="Calibri" w:hAnsi="Arial" w:cs="Arial"/>
      <w:b/>
      <w:bCs/>
      <w:sz w:val="19"/>
      <w:szCs w:val="19"/>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qFormat/>
    <w:rsid w:val="00D02419"/>
    <w:pPr>
      <w:suppressAutoHyphens/>
      <w:spacing w:after="200" w:line="276" w:lineRule="auto"/>
      <w:ind w:left="720"/>
    </w:pPr>
    <w:rPr>
      <w:rFonts w:ascii="Calibri" w:hAnsi="Calibri" w:cs="Calibri"/>
      <w:sz w:val="22"/>
      <w:szCs w:val="22"/>
      <w:lang w:val="en-US" w:eastAsia="ar-SA"/>
    </w:rPr>
  </w:style>
  <w:style w:type="character" w:customStyle="1" w:styleId="Ttulo1Car">
    <w:name w:val="Título 1 Car"/>
    <w:basedOn w:val="Fuentedeprrafopredeter"/>
    <w:link w:val="Ttulo1"/>
    <w:rsid w:val="00D02419"/>
    <w:rPr>
      <w:rFonts w:ascii="@MS Mincho" w:eastAsia="@MS Mincho" w:hAnsi="@MS Mincho" w:cs="@MS Mincho"/>
      <w:sz w:val="24"/>
      <w:szCs w:val="24"/>
      <w:lang w:val="es-ES_tradnl" w:eastAsia="ar-SA"/>
    </w:rPr>
  </w:style>
  <w:style w:type="character" w:customStyle="1" w:styleId="Ttulo2Car">
    <w:name w:val="Título 2 Car"/>
    <w:basedOn w:val="Fuentedeprrafopredeter"/>
    <w:link w:val="Ttulo2"/>
    <w:rsid w:val="00D02419"/>
    <w:rPr>
      <w:rFonts w:ascii="Arial" w:eastAsia="Calibri" w:hAnsi="Arial" w:cs="Arial"/>
      <w:b/>
      <w:bCs/>
      <w:color w:val="000000"/>
      <w:sz w:val="24"/>
      <w:szCs w:val="24"/>
      <w:u w:val="single"/>
      <w:lang w:val="es-ES_tradnl" w:eastAsia="ar-SA"/>
    </w:rPr>
  </w:style>
  <w:style w:type="character" w:customStyle="1" w:styleId="Ttulo3Car">
    <w:name w:val="Título 3 Car"/>
    <w:basedOn w:val="Fuentedeprrafopredeter"/>
    <w:link w:val="Ttulo3"/>
    <w:rsid w:val="00D02419"/>
    <w:rPr>
      <w:rFonts w:ascii="Arial" w:eastAsia="Calibri" w:hAnsi="Arial" w:cs="Arial"/>
      <w:b/>
      <w:bCs/>
      <w:color w:val="000000"/>
      <w:sz w:val="20"/>
      <w:szCs w:val="20"/>
      <w:u w:val="single"/>
      <w:lang w:val="es-ES_tradnl" w:eastAsia="ar-SA"/>
    </w:rPr>
  </w:style>
  <w:style w:type="character" w:customStyle="1" w:styleId="Ttulo4Car">
    <w:name w:val="Título 4 Car"/>
    <w:basedOn w:val="Fuentedeprrafopredeter"/>
    <w:link w:val="Ttulo4"/>
    <w:rsid w:val="00D02419"/>
    <w:rPr>
      <w:rFonts w:ascii="Times New Roman" w:eastAsia="Calibri" w:hAnsi="Times New Roman" w:cs="Calibri"/>
      <w:b/>
      <w:bCs/>
      <w:sz w:val="28"/>
      <w:szCs w:val="28"/>
      <w:lang w:val="en-US" w:eastAsia="ar-SA"/>
    </w:rPr>
  </w:style>
  <w:style w:type="character" w:customStyle="1" w:styleId="Ttulo5Car">
    <w:name w:val="Título 5 Car"/>
    <w:basedOn w:val="Fuentedeprrafopredeter"/>
    <w:link w:val="Ttulo5"/>
    <w:rsid w:val="00D02419"/>
    <w:rPr>
      <w:rFonts w:ascii="Times New Roman" w:eastAsia="Calibri" w:hAnsi="Times New Roman" w:cs="Calibri"/>
      <w:sz w:val="24"/>
      <w:szCs w:val="24"/>
      <w:lang w:val="es-ES_tradnl" w:eastAsia="ar-SA"/>
    </w:rPr>
  </w:style>
  <w:style w:type="character" w:customStyle="1" w:styleId="Ttulo6Car">
    <w:name w:val="Título 6 Car"/>
    <w:basedOn w:val="Fuentedeprrafopredeter"/>
    <w:link w:val="Ttulo6"/>
    <w:rsid w:val="00D02419"/>
    <w:rPr>
      <w:rFonts w:ascii="Times New Roman" w:eastAsia="Calibri" w:hAnsi="Times New Roman" w:cs="Calibri"/>
      <w:sz w:val="24"/>
      <w:szCs w:val="24"/>
      <w:lang w:val="es-ES_tradnl" w:eastAsia="ar-SA"/>
    </w:rPr>
  </w:style>
  <w:style w:type="character" w:customStyle="1" w:styleId="Ttulo7Car">
    <w:name w:val="Título 7 Car"/>
    <w:basedOn w:val="Fuentedeprrafopredeter"/>
    <w:link w:val="Ttulo7"/>
    <w:rsid w:val="00D02419"/>
    <w:rPr>
      <w:rFonts w:ascii="Times New Roman" w:eastAsia="Calibri" w:hAnsi="Times New Roman" w:cs="Calibri"/>
      <w:sz w:val="24"/>
      <w:szCs w:val="24"/>
      <w:lang w:val="es-ES_tradnl" w:eastAsia="ar-SA"/>
    </w:rPr>
  </w:style>
  <w:style w:type="character" w:customStyle="1" w:styleId="Ttulo8Car">
    <w:name w:val="Título 8 Car"/>
    <w:basedOn w:val="Fuentedeprrafopredeter"/>
    <w:link w:val="Ttulo8"/>
    <w:rsid w:val="00D02419"/>
    <w:rPr>
      <w:rFonts w:ascii="Times New Roman" w:eastAsia="Calibri" w:hAnsi="Times New Roman" w:cs="Calibri"/>
      <w:sz w:val="24"/>
      <w:szCs w:val="24"/>
      <w:lang w:val="es-ES_tradnl" w:eastAsia="ar-SA"/>
    </w:rPr>
  </w:style>
  <w:style w:type="character" w:customStyle="1" w:styleId="Ttulo9Car">
    <w:name w:val="Título 9 Car"/>
    <w:basedOn w:val="Fuentedeprrafopredeter"/>
    <w:link w:val="Ttulo9"/>
    <w:rsid w:val="00D02419"/>
    <w:rPr>
      <w:rFonts w:ascii="Arial" w:eastAsia="Calibri" w:hAnsi="Arial" w:cs="Arial"/>
      <w:b/>
      <w:bCs/>
      <w:sz w:val="19"/>
      <w:szCs w:val="19"/>
      <w:lang w:val="es-ES_tradnl" w:eastAsia="ar-SA"/>
    </w:rPr>
  </w:style>
  <w:style w:type="paragraph" w:styleId="Sinespaciado">
    <w:name w:val="No Spacing"/>
    <w:uiPriority w:val="1"/>
    <w:qFormat/>
    <w:rsid w:val="00D02419"/>
    <w:pPr>
      <w:spacing w:after="0" w:line="240" w:lineRule="auto"/>
    </w:pPr>
  </w:style>
  <w:style w:type="paragraph" w:styleId="Prrafodelista">
    <w:name w:val="List Paragraph"/>
    <w:basedOn w:val="Normal"/>
    <w:uiPriority w:val="34"/>
    <w:qFormat/>
    <w:rsid w:val="00D02419"/>
    <w:pPr>
      <w:ind w:left="720"/>
      <w:contextualSpacing/>
    </w:pPr>
  </w:style>
  <w:style w:type="paragraph" w:styleId="Textodeglobo">
    <w:name w:val="Balloon Text"/>
    <w:basedOn w:val="Normal"/>
    <w:link w:val="TextodegloboCar"/>
    <w:uiPriority w:val="99"/>
    <w:semiHidden/>
    <w:unhideWhenUsed/>
    <w:rsid w:val="00F54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324"/>
    <w:rPr>
      <w:rFonts w:ascii="Tahoma" w:eastAsia="Times New Roman" w:hAnsi="Tahoma" w:cs="Tahoma"/>
      <w:sz w:val="16"/>
      <w:szCs w:val="16"/>
      <w:lang w:val="es-ES" w:eastAsia="es-ES"/>
    </w:rPr>
  </w:style>
  <w:style w:type="paragraph" w:customStyle="1" w:styleId="Default">
    <w:name w:val="Default"/>
    <w:rsid w:val="00E70B4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04D35"/>
    <w:pPr>
      <w:spacing w:before="100" w:beforeAutospacing="1" w:after="100" w:afterAutospacing="1"/>
    </w:pPr>
    <w:rPr>
      <w:lang w:val="es-EC" w:eastAsia="es-EC"/>
    </w:rPr>
  </w:style>
  <w:style w:type="character" w:styleId="Textoennegrita">
    <w:name w:val="Strong"/>
    <w:basedOn w:val="Fuentedeprrafopredeter"/>
    <w:uiPriority w:val="22"/>
    <w:qFormat/>
    <w:rsid w:val="00704D35"/>
    <w:rPr>
      <w:b/>
      <w:bCs/>
    </w:rPr>
  </w:style>
  <w:style w:type="character" w:styleId="Hipervnculo">
    <w:name w:val="Hyperlink"/>
    <w:basedOn w:val="Fuentedeprrafopredeter"/>
    <w:uiPriority w:val="99"/>
    <w:semiHidden/>
    <w:unhideWhenUsed/>
    <w:rsid w:val="00D85A0B"/>
    <w:rPr>
      <w:color w:val="0000FF"/>
      <w:u w:val="single"/>
    </w:rPr>
  </w:style>
  <w:style w:type="paragraph" w:styleId="Textonotapie">
    <w:name w:val="footnote text"/>
    <w:basedOn w:val="Normal"/>
    <w:link w:val="TextonotapieCar"/>
    <w:uiPriority w:val="99"/>
    <w:semiHidden/>
    <w:unhideWhenUsed/>
    <w:rsid w:val="00933172"/>
    <w:rPr>
      <w:sz w:val="20"/>
      <w:szCs w:val="20"/>
    </w:rPr>
  </w:style>
  <w:style w:type="character" w:customStyle="1" w:styleId="TextonotapieCar">
    <w:name w:val="Texto nota pie Car"/>
    <w:basedOn w:val="Fuentedeprrafopredeter"/>
    <w:link w:val="Textonotapie"/>
    <w:uiPriority w:val="99"/>
    <w:semiHidden/>
    <w:rsid w:val="009331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33172"/>
    <w:rPr>
      <w:vertAlign w:val="superscript"/>
    </w:rPr>
  </w:style>
  <w:style w:type="character" w:styleId="Refdecomentario">
    <w:name w:val="annotation reference"/>
    <w:basedOn w:val="Fuentedeprrafopredeter"/>
    <w:uiPriority w:val="99"/>
    <w:semiHidden/>
    <w:unhideWhenUsed/>
    <w:rsid w:val="009523B3"/>
    <w:rPr>
      <w:sz w:val="16"/>
      <w:szCs w:val="16"/>
    </w:rPr>
  </w:style>
  <w:style w:type="paragraph" w:styleId="Textocomentario">
    <w:name w:val="annotation text"/>
    <w:basedOn w:val="Normal"/>
    <w:link w:val="TextocomentarioCar"/>
    <w:uiPriority w:val="99"/>
    <w:semiHidden/>
    <w:unhideWhenUsed/>
    <w:rsid w:val="009523B3"/>
    <w:rPr>
      <w:sz w:val="20"/>
      <w:szCs w:val="20"/>
    </w:rPr>
  </w:style>
  <w:style w:type="character" w:customStyle="1" w:styleId="TextocomentarioCar">
    <w:name w:val="Texto comentario Car"/>
    <w:basedOn w:val="Fuentedeprrafopredeter"/>
    <w:link w:val="Textocomentario"/>
    <w:uiPriority w:val="99"/>
    <w:semiHidden/>
    <w:rsid w:val="009523B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523B3"/>
    <w:rPr>
      <w:b/>
      <w:bCs/>
    </w:rPr>
  </w:style>
  <w:style w:type="character" w:customStyle="1" w:styleId="AsuntodelcomentarioCar">
    <w:name w:val="Asunto del comentario Car"/>
    <w:basedOn w:val="TextocomentarioCar"/>
    <w:link w:val="Asuntodelcomentario"/>
    <w:uiPriority w:val="99"/>
    <w:semiHidden/>
    <w:rsid w:val="009523B3"/>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F56623"/>
    <w:pPr>
      <w:tabs>
        <w:tab w:val="center" w:pos="4419"/>
        <w:tab w:val="right" w:pos="8838"/>
      </w:tabs>
    </w:pPr>
  </w:style>
  <w:style w:type="character" w:customStyle="1" w:styleId="EncabezadoCar">
    <w:name w:val="Encabezado Car"/>
    <w:basedOn w:val="Fuentedeprrafopredeter"/>
    <w:link w:val="Encabezado"/>
    <w:uiPriority w:val="99"/>
    <w:rsid w:val="00F566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6623"/>
    <w:pPr>
      <w:tabs>
        <w:tab w:val="center" w:pos="4419"/>
        <w:tab w:val="right" w:pos="8838"/>
      </w:tabs>
    </w:pPr>
  </w:style>
  <w:style w:type="character" w:customStyle="1" w:styleId="PiedepginaCar">
    <w:name w:val="Pie de página Car"/>
    <w:basedOn w:val="Fuentedeprrafopredeter"/>
    <w:link w:val="Piedepgina"/>
    <w:uiPriority w:val="99"/>
    <w:rsid w:val="00F56623"/>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F56623"/>
    <w:pPr>
      <w:tabs>
        <w:tab w:val="left" w:pos="0"/>
      </w:tabs>
      <w:overflowPunct w:val="0"/>
      <w:autoSpaceDE w:val="0"/>
      <w:autoSpaceDN w:val="0"/>
      <w:adjustRightInd w:val="0"/>
      <w:textAlignment w:val="baseline"/>
    </w:pPr>
    <w:rPr>
      <w:color w:val="000000"/>
      <w:sz w:val="20"/>
      <w:szCs w:val="20"/>
      <w:lang w:val="en-US"/>
    </w:rPr>
  </w:style>
  <w:style w:type="paragraph" w:styleId="Textosinformato">
    <w:name w:val="Plain Text"/>
    <w:basedOn w:val="Normal"/>
    <w:link w:val="TextosinformatoCar"/>
    <w:rsid w:val="00F56623"/>
    <w:rPr>
      <w:rFonts w:ascii="Courier New" w:hAnsi="Courier New"/>
      <w:sz w:val="20"/>
      <w:szCs w:val="20"/>
    </w:rPr>
  </w:style>
  <w:style w:type="character" w:customStyle="1" w:styleId="TextosinformatoCar">
    <w:name w:val="Texto sin formato Car"/>
    <w:basedOn w:val="Fuentedeprrafopredeter"/>
    <w:link w:val="Textosinformato"/>
    <w:rsid w:val="00F56623"/>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442">
      <w:bodyDiv w:val="1"/>
      <w:marLeft w:val="0"/>
      <w:marRight w:val="0"/>
      <w:marTop w:val="0"/>
      <w:marBottom w:val="0"/>
      <w:divBdr>
        <w:top w:val="none" w:sz="0" w:space="0" w:color="auto"/>
        <w:left w:val="none" w:sz="0" w:space="0" w:color="auto"/>
        <w:bottom w:val="none" w:sz="0" w:space="0" w:color="auto"/>
        <w:right w:val="none" w:sz="0" w:space="0" w:color="auto"/>
      </w:divBdr>
    </w:div>
    <w:div w:id="238096221">
      <w:bodyDiv w:val="1"/>
      <w:marLeft w:val="0"/>
      <w:marRight w:val="0"/>
      <w:marTop w:val="0"/>
      <w:marBottom w:val="0"/>
      <w:divBdr>
        <w:top w:val="none" w:sz="0" w:space="0" w:color="auto"/>
        <w:left w:val="none" w:sz="0" w:space="0" w:color="auto"/>
        <w:bottom w:val="none" w:sz="0" w:space="0" w:color="auto"/>
        <w:right w:val="none" w:sz="0" w:space="0" w:color="auto"/>
      </w:divBdr>
    </w:div>
    <w:div w:id="544410838">
      <w:bodyDiv w:val="1"/>
      <w:marLeft w:val="0"/>
      <w:marRight w:val="0"/>
      <w:marTop w:val="0"/>
      <w:marBottom w:val="0"/>
      <w:divBdr>
        <w:top w:val="none" w:sz="0" w:space="0" w:color="auto"/>
        <w:left w:val="none" w:sz="0" w:space="0" w:color="auto"/>
        <w:bottom w:val="none" w:sz="0" w:space="0" w:color="auto"/>
        <w:right w:val="none" w:sz="0" w:space="0" w:color="auto"/>
      </w:divBdr>
    </w:div>
    <w:div w:id="757479134">
      <w:bodyDiv w:val="1"/>
      <w:marLeft w:val="0"/>
      <w:marRight w:val="0"/>
      <w:marTop w:val="0"/>
      <w:marBottom w:val="0"/>
      <w:divBdr>
        <w:top w:val="none" w:sz="0" w:space="0" w:color="auto"/>
        <w:left w:val="none" w:sz="0" w:space="0" w:color="auto"/>
        <w:bottom w:val="none" w:sz="0" w:space="0" w:color="auto"/>
        <w:right w:val="none" w:sz="0" w:space="0" w:color="auto"/>
      </w:divBdr>
    </w:div>
    <w:div w:id="1395424817">
      <w:bodyDiv w:val="1"/>
      <w:marLeft w:val="0"/>
      <w:marRight w:val="0"/>
      <w:marTop w:val="0"/>
      <w:marBottom w:val="0"/>
      <w:divBdr>
        <w:top w:val="none" w:sz="0" w:space="0" w:color="auto"/>
        <w:left w:val="none" w:sz="0" w:space="0" w:color="auto"/>
        <w:bottom w:val="none" w:sz="0" w:space="0" w:color="auto"/>
        <w:right w:val="none" w:sz="0" w:space="0" w:color="auto"/>
      </w:divBdr>
    </w:div>
    <w:div w:id="16450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0633-E6A5-49D2-A198-D589E729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4046</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 Jannet Vasconez Soria</dc:creator>
  <cp:lastModifiedBy>Diego Sebastian Cevallos Salgado</cp:lastModifiedBy>
  <cp:revision>21</cp:revision>
  <cp:lastPrinted>2017-12-22T21:53:00Z</cp:lastPrinted>
  <dcterms:created xsi:type="dcterms:W3CDTF">2017-12-22T20:34:00Z</dcterms:created>
  <dcterms:modified xsi:type="dcterms:W3CDTF">2017-12-22T22:02:00Z</dcterms:modified>
</cp:coreProperties>
</file>