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1D" w:rsidRPr="00F5178A" w:rsidRDefault="00E9091D" w:rsidP="00F5178A">
      <w:pPr>
        <w:pStyle w:val="Ttulo"/>
        <w:spacing w:after="120" w:line="276" w:lineRule="auto"/>
        <w:rPr>
          <w:rFonts w:ascii="Palatino Linotype" w:hAnsi="Palatino Linotype" w:cs="Arial"/>
          <w:sz w:val="22"/>
          <w:szCs w:val="22"/>
        </w:rPr>
      </w:pPr>
      <w:r w:rsidRPr="00F5178A">
        <w:rPr>
          <w:rFonts w:ascii="Palatino Linotype" w:hAnsi="Palatino Linotype" w:cs="Arial"/>
          <w:sz w:val="22"/>
          <w:szCs w:val="22"/>
        </w:rPr>
        <w:t>EXPOSICIÓN DE MOTIVOS</w:t>
      </w:r>
    </w:p>
    <w:p w:rsidR="00E9091D" w:rsidRPr="00F5178A" w:rsidRDefault="00E9091D"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 xml:space="preserve">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w:t>
      </w:r>
      <w:r w:rsidRPr="00F5178A">
        <w:rPr>
          <w:rFonts w:ascii="Palatino Linotype" w:hAnsi="Palatino Linotype" w:cs="Arial"/>
          <w:sz w:val="22"/>
          <w:szCs w:val="22"/>
        </w:rPr>
        <w:t>el</w:t>
      </w:r>
      <w:r w:rsidRPr="00F5178A">
        <w:rPr>
          <w:rFonts w:ascii="Palatino Linotype" w:hAnsi="Palatino Linotype" w:cs="Arial"/>
          <w:b w:val="0"/>
          <w:sz w:val="22"/>
          <w:szCs w:val="22"/>
        </w:rPr>
        <w:t xml:space="preserve"> 31 de octubre de 2005, establece las normas para la nomenclatura del Distrito Metropolitano de Quito, definiendo a la nomenclatura como “</w:t>
      </w:r>
      <w:r w:rsidRPr="00F5178A">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sidRPr="00F5178A">
        <w:rPr>
          <w:rFonts w:ascii="Palatino Linotype" w:hAnsi="Palatino Linotype" w:cs="Arial"/>
          <w:b w:val="0"/>
          <w:sz w:val="22"/>
          <w:szCs w:val="22"/>
        </w:rPr>
        <w:t>”.</w:t>
      </w:r>
    </w:p>
    <w:p w:rsidR="00E9091D" w:rsidRPr="00F5178A" w:rsidRDefault="0045089A" w:rsidP="0045089A">
      <w:pPr>
        <w:pStyle w:val="Ttulo"/>
        <w:spacing w:after="12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El Dúo Benítez y Valencia es, sin lugar a dudas, uno de los grupos musicales más representativos de la histo</w:t>
      </w:r>
      <w:r w:rsidR="00B91F59">
        <w:rPr>
          <w:rFonts w:ascii="Palatino Linotype" w:hAnsi="Palatino Linotype" w:cs="Arial"/>
          <w:b w:val="0"/>
          <w:sz w:val="22"/>
          <w:szCs w:val="22"/>
        </w:rPr>
        <w:t>ria de Quito, al que la ciudad l</w:t>
      </w:r>
      <w:r>
        <w:rPr>
          <w:rFonts w:ascii="Palatino Linotype" w:hAnsi="Palatino Linotype" w:cs="Arial"/>
          <w:b w:val="0"/>
          <w:sz w:val="22"/>
          <w:szCs w:val="22"/>
        </w:rPr>
        <w:t xml:space="preserve">e debe el legado de más de </w:t>
      </w:r>
      <w:bookmarkStart w:id="0" w:name="_GoBack"/>
      <w:bookmarkEnd w:id="0"/>
      <w:r>
        <w:rPr>
          <w:rFonts w:ascii="Palatino Linotype" w:hAnsi="Palatino Linotype" w:cs="Arial"/>
          <w:b w:val="0"/>
          <w:sz w:val="22"/>
          <w:szCs w:val="22"/>
        </w:rPr>
        <w:t xml:space="preserve">setecientas canciones emblemáticas, entre ellas las más representativas de la </w:t>
      </w:r>
      <w:proofErr w:type="spellStart"/>
      <w:r>
        <w:rPr>
          <w:rFonts w:ascii="Palatino Linotype" w:hAnsi="Palatino Linotype" w:cs="Arial"/>
          <w:b w:val="0"/>
          <w:sz w:val="22"/>
          <w:szCs w:val="22"/>
        </w:rPr>
        <w:t>quiteñidad</w:t>
      </w:r>
      <w:proofErr w:type="spellEnd"/>
      <w:r>
        <w:rPr>
          <w:rFonts w:ascii="Palatino Linotype" w:hAnsi="Palatino Linotype" w:cs="Arial"/>
          <w:b w:val="0"/>
          <w:sz w:val="22"/>
          <w:szCs w:val="22"/>
        </w:rPr>
        <w:t xml:space="preserve">, incluyendo la primera versión grabada de “El Chulla Quiteño”, en función de lo cual </w:t>
      </w:r>
      <w:r w:rsidR="00F5178A" w:rsidRPr="00F5178A">
        <w:rPr>
          <w:rFonts w:ascii="Palatino Linotype" w:hAnsi="Palatino Linotype" w:cs="Arial"/>
          <w:b w:val="0"/>
          <w:sz w:val="22"/>
          <w:szCs w:val="22"/>
        </w:rPr>
        <w:t>la Empresa Pública Metropolitana de Movilidad y Obras Públicas</w:t>
      </w:r>
      <w:r>
        <w:rPr>
          <w:rFonts w:ascii="Palatino Linotype" w:hAnsi="Palatino Linotype" w:cs="Arial"/>
          <w:b w:val="0"/>
          <w:sz w:val="22"/>
          <w:szCs w:val="22"/>
        </w:rPr>
        <w:t xml:space="preserve">, en función de la iniciativa de la Concejala Luisa Maldonado, </w:t>
      </w:r>
      <w:r w:rsidR="00F5178A" w:rsidRPr="00F5178A">
        <w:rPr>
          <w:rFonts w:ascii="Palatino Linotype" w:hAnsi="Palatino Linotype" w:cs="Arial"/>
          <w:b w:val="0"/>
          <w:sz w:val="22"/>
          <w:szCs w:val="22"/>
        </w:rPr>
        <w:t xml:space="preserve">ha identificado y emitido los informes respectivos con relación a la posibilidad de designar con dicho nombre </w:t>
      </w:r>
      <w:r>
        <w:rPr>
          <w:rFonts w:ascii="Palatino Linotype" w:hAnsi="Palatino Linotype" w:cs="Arial"/>
          <w:b w:val="0"/>
          <w:sz w:val="22"/>
          <w:szCs w:val="22"/>
        </w:rPr>
        <w:t xml:space="preserve">a la plaza ubicada en la parte inferior del Boulevard 24 de Mayo, </w:t>
      </w:r>
      <w:r w:rsidR="00F5178A" w:rsidRPr="00F5178A">
        <w:rPr>
          <w:rFonts w:ascii="Palatino Linotype" w:hAnsi="Palatino Linotype" w:cs="Arial"/>
          <w:b w:val="0"/>
          <w:sz w:val="22"/>
          <w:szCs w:val="22"/>
        </w:rPr>
        <w:t xml:space="preserve">parroquia </w:t>
      </w:r>
      <w:r>
        <w:rPr>
          <w:rFonts w:ascii="Palatino Linotype" w:hAnsi="Palatino Linotype" w:cs="Arial"/>
          <w:b w:val="0"/>
          <w:sz w:val="22"/>
          <w:szCs w:val="22"/>
        </w:rPr>
        <w:t>Centro Histórico</w:t>
      </w:r>
      <w:r w:rsidR="00E9091D" w:rsidRPr="00F5178A">
        <w:rPr>
          <w:rFonts w:ascii="Palatino Linotype" w:hAnsi="Palatino Linotype" w:cs="Arial"/>
          <w:b w:val="0"/>
          <w:sz w:val="22"/>
          <w:szCs w:val="22"/>
        </w:rPr>
        <w:t>.</w:t>
      </w:r>
      <w:r w:rsidR="00F5178A" w:rsidRPr="00F5178A">
        <w:rPr>
          <w:rFonts w:ascii="Palatino Linotype" w:hAnsi="Palatino Linotype" w:cs="Arial"/>
          <w:b w:val="0"/>
          <w:sz w:val="22"/>
          <w:szCs w:val="22"/>
        </w:rPr>
        <w:t xml:space="preserve"> </w:t>
      </w:r>
      <w:r w:rsidR="00E9091D" w:rsidRPr="00F5178A">
        <w:rPr>
          <w:rFonts w:ascii="Palatino Linotype" w:hAnsi="Palatino Linotype" w:cs="Arial"/>
          <w:b w:val="0"/>
          <w:sz w:val="22"/>
          <w:szCs w:val="22"/>
        </w:rPr>
        <w:t xml:space="preserve">En este sentido, la Administración ha realizado el proceso tendiente a obtener la designación del espacio público </w:t>
      </w:r>
      <w:r w:rsidR="00F5178A" w:rsidRPr="00F5178A">
        <w:rPr>
          <w:rFonts w:ascii="Palatino Linotype" w:hAnsi="Palatino Linotype" w:cs="Arial"/>
          <w:b w:val="0"/>
          <w:sz w:val="22"/>
          <w:szCs w:val="22"/>
        </w:rPr>
        <w:t xml:space="preserve">en referencia, </w:t>
      </w:r>
      <w:r>
        <w:rPr>
          <w:rFonts w:ascii="Palatino Linotype" w:hAnsi="Palatino Linotype" w:cs="Arial"/>
          <w:b w:val="0"/>
          <w:sz w:val="22"/>
          <w:szCs w:val="22"/>
        </w:rPr>
        <w:t>a fin de otorgar un merecido tributo al Dúo Benítez y Valencia, representantes icónicos del arte musical quiteño</w:t>
      </w:r>
      <w:r w:rsidR="00E9091D" w:rsidRPr="00F5178A">
        <w:rPr>
          <w:rFonts w:ascii="Palatino Linotype" w:hAnsi="Palatino Linotype" w:cs="Arial"/>
          <w:b w:val="0"/>
          <w:sz w:val="22"/>
          <w:szCs w:val="22"/>
        </w:rPr>
        <w:t>.</w:t>
      </w:r>
    </w:p>
    <w:p w:rsidR="00E9091D" w:rsidRPr="00F5178A" w:rsidRDefault="00E9091D"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ab/>
      </w:r>
      <w:r w:rsidRPr="00F5178A">
        <w:rPr>
          <w:rFonts w:ascii="Palatino Linotype" w:hAnsi="Palatino Linotype" w:cs="Arial"/>
          <w:b w:val="0"/>
          <w:sz w:val="22"/>
          <w:szCs w:val="22"/>
        </w:rPr>
        <w:tab/>
      </w:r>
    </w:p>
    <w:p w:rsidR="000F075E" w:rsidRPr="00F5178A" w:rsidRDefault="000F075E" w:rsidP="00F5178A">
      <w:pPr>
        <w:pStyle w:val="Ttulo"/>
        <w:spacing w:after="120" w:line="276" w:lineRule="auto"/>
        <w:ind w:firstLine="708"/>
        <w:jc w:val="both"/>
        <w:rPr>
          <w:rFonts w:ascii="Palatino Linotype" w:hAnsi="Palatino Linotype" w:cs="Arial"/>
          <w:b w:val="0"/>
          <w:sz w:val="22"/>
          <w:szCs w:val="22"/>
        </w:rPr>
        <w:sectPr w:rsidR="000F075E" w:rsidRPr="00F5178A" w:rsidSect="00E66A5B">
          <w:headerReference w:type="default" r:id="rId7"/>
          <w:footerReference w:type="default" r:id="rId8"/>
          <w:pgSz w:w="11906" w:h="16838"/>
          <w:pgMar w:top="3119" w:right="1416" w:bottom="567" w:left="1701" w:header="709" w:footer="70" w:gutter="0"/>
          <w:cols w:space="708"/>
          <w:docGrid w:linePitch="360"/>
        </w:sectPr>
      </w:pPr>
    </w:p>
    <w:p w:rsidR="00E9091D" w:rsidRPr="00F5178A" w:rsidRDefault="00E9091D" w:rsidP="00F5178A">
      <w:pPr>
        <w:pStyle w:val="Ttulo"/>
        <w:spacing w:after="120" w:line="276" w:lineRule="auto"/>
        <w:rPr>
          <w:rFonts w:ascii="Palatino Linotype" w:hAnsi="Palatino Linotype" w:cs="Arial"/>
          <w:sz w:val="22"/>
          <w:szCs w:val="22"/>
        </w:rPr>
      </w:pPr>
      <w:r w:rsidRPr="00F5178A">
        <w:rPr>
          <w:rFonts w:ascii="Palatino Linotype" w:hAnsi="Palatino Linotype" w:cs="Arial"/>
          <w:sz w:val="22"/>
          <w:szCs w:val="22"/>
        </w:rPr>
        <w:lastRenderedPageBreak/>
        <w:t>EL CONCEJO METROPOLITANO DE QUITO</w:t>
      </w:r>
    </w:p>
    <w:p w:rsidR="00E9091D" w:rsidRPr="00F5178A" w:rsidRDefault="00E9091D" w:rsidP="00F5178A">
      <w:pPr>
        <w:spacing w:after="120" w:line="276" w:lineRule="auto"/>
        <w:jc w:val="both"/>
        <w:rPr>
          <w:rFonts w:ascii="Palatino Linotype" w:hAnsi="Palatino Linotype" w:cs="Arial"/>
          <w:sz w:val="22"/>
          <w:szCs w:val="22"/>
        </w:rPr>
      </w:pPr>
      <w:r w:rsidRPr="007B6D19">
        <w:rPr>
          <w:rFonts w:ascii="Palatino Linotype" w:hAnsi="Palatino Linotype" w:cs="Arial"/>
          <w:sz w:val="22"/>
          <w:szCs w:val="22"/>
        </w:rPr>
        <w:t xml:space="preserve">Visto el Informe No. </w:t>
      </w:r>
      <w:proofErr w:type="spellStart"/>
      <w:r w:rsidRPr="007B6D19">
        <w:rPr>
          <w:rFonts w:ascii="Palatino Linotype" w:hAnsi="Palatino Linotype" w:cs="Arial"/>
          <w:sz w:val="22"/>
          <w:szCs w:val="22"/>
        </w:rPr>
        <w:t>IC</w:t>
      </w:r>
      <w:proofErr w:type="spellEnd"/>
      <w:r w:rsidRPr="007B6D19">
        <w:rPr>
          <w:rFonts w:ascii="Palatino Linotype" w:hAnsi="Palatino Linotype" w:cs="Arial"/>
          <w:sz w:val="22"/>
          <w:szCs w:val="22"/>
        </w:rPr>
        <w:t>-O-201</w:t>
      </w:r>
      <w:r w:rsidR="007B6D19" w:rsidRPr="007B6D19">
        <w:rPr>
          <w:rFonts w:ascii="Palatino Linotype" w:hAnsi="Palatino Linotype" w:cs="Arial"/>
          <w:sz w:val="22"/>
          <w:szCs w:val="22"/>
        </w:rPr>
        <w:t>7</w:t>
      </w:r>
      <w:r w:rsidRPr="007B6D19">
        <w:rPr>
          <w:rFonts w:ascii="Palatino Linotype" w:hAnsi="Palatino Linotype" w:cs="Arial"/>
          <w:sz w:val="22"/>
          <w:szCs w:val="22"/>
        </w:rPr>
        <w:t>-</w:t>
      </w:r>
      <w:r w:rsidR="007B6D19" w:rsidRPr="007B6D19">
        <w:rPr>
          <w:rFonts w:ascii="Palatino Linotype" w:hAnsi="Palatino Linotype" w:cs="Arial"/>
          <w:sz w:val="22"/>
          <w:szCs w:val="22"/>
        </w:rPr>
        <w:t>244</w:t>
      </w:r>
      <w:r w:rsidR="00F5178A" w:rsidRPr="007B6D19">
        <w:rPr>
          <w:rFonts w:ascii="Palatino Linotype" w:hAnsi="Palatino Linotype" w:cs="Arial"/>
          <w:sz w:val="22"/>
          <w:szCs w:val="22"/>
        </w:rPr>
        <w:t>,</w:t>
      </w:r>
      <w:r w:rsidRPr="007B6D19">
        <w:rPr>
          <w:rFonts w:ascii="Palatino Linotype" w:hAnsi="Palatino Linotype" w:cs="Arial"/>
          <w:sz w:val="22"/>
          <w:szCs w:val="22"/>
        </w:rPr>
        <w:t xml:space="preserve"> de </w:t>
      </w:r>
      <w:r w:rsidR="007B6D19" w:rsidRPr="007B6D19">
        <w:rPr>
          <w:rFonts w:ascii="Palatino Linotype" w:hAnsi="Palatino Linotype" w:cs="Arial"/>
          <w:sz w:val="22"/>
          <w:szCs w:val="22"/>
        </w:rPr>
        <w:t>7</w:t>
      </w:r>
      <w:r w:rsidRPr="007B6D19">
        <w:rPr>
          <w:rFonts w:ascii="Palatino Linotype" w:hAnsi="Palatino Linotype" w:cs="Arial"/>
          <w:sz w:val="22"/>
          <w:szCs w:val="22"/>
        </w:rPr>
        <w:t xml:space="preserve"> de </w:t>
      </w:r>
      <w:r w:rsidR="007B6D19" w:rsidRPr="007B6D19">
        <w:rPr>
          <w:rFonts w:ascii="Palatino Linotype" w:hAnsi="Palatino Linotype" w:cs="Arial"/>
          <w:sz w:val="22"/>
          <w:szCs w:val="22"/>
        </w:rPr>
        <w:t xml:space="preserve">noviembre </w:t>
      </w:r>
      <w:r w:rsidRPr="007B6D19">
        <w:rPr>
          <w:rFonts w:ascii="Palatino Linotype" w:hAnsi="Palatino Linotype" w:cs="Arial"/>
          <w:sz w:val="22"/>
          <w:szCs w:val="22"/>
        </w:rPr>
        <w:t>de 201</w:t>
      </w:r>
      <w:r w:rsidR="007B6D19" w:rsidRPr="007B6D19">
        <w:rPr>
          <w:rFonts w:ascii="Palatino Linotype" w:hAnsi="Palatino Linotype" w:cs="Arial"/>
          <w:sz w:val="22"/>
          <w:szCs w:val="22"/>
        </w:rPr>
        <w:t>7</w:t>
      </w:r>
      <w:r w:rsidRPr="007B6D19">
        <w:rPr>
          <w:rFonts w:ascii="Palatino Linotype" w:hAnsi="Palatino Linotype" w:cs="Arial"/>
          <w:sz w:val="22"/>
          <w:szCs w:val="22"/>
        </w:rPr>
        <w:t>, expedido por la Comisión de Uso de Suelo.</w:t>
      </w:r>
    </w:p>
    <w:p w:rsidR="00E9091D" w:rsidRDefault="00E9091D" w:rsidP="00F5178A">
      <w:pPr>
        <w:pStyle w:val="Ttulo4"/>
        <w:spacing w:after="120" w:line="276" w:lineRule="auto"/>
        <w:rPr>
          <w:rFonts w:ascii="Palatino Linotype" w:hAnsi="Palatino Linotype"/>
          <w:szCs w:val="22"/>
        </w:rPr>
      </w:pPr>
      <w:r w:rsidRPr="00F5178A">
        <w:rPr>
          <w:rFonts w:ascii="Palatino Linotype" w:hAnsi="Palatino Linotype"/>
          <w:szCs w:val="22"/>
        </w:rPr>
        <w:t>CONSIDERANDO:</w:t>
      </w:r>
    </w:p>
    <w:p w:rsidR="007B6D19" w:rsidRPr="007B6D19" w:rsidRDefault="007B6D19" w:rsidP="007B6D19">
      <w:pPr>
        <w:spacing w:after="120" w:line="276" w:lineRule="auto"/>
        <w:ind w:left="705" w:hanging="705"/>
        <w:jc w:val="both"/>
        <w:rPr>
          <w:rFonts w:ascii="Palatino Linotype" w:hAnsi="Palatino Linotype" w:cs="Arial"/>
          <w:sz w:val="22"/>
          <w:szCs w:val="22"/>
        </w:rPr>
      </w:pPr>
      <w:r w:rsidRPr="007B6D19">
        <w:rPr>
          <w:rFonts w:ascii="Palatino Linotype" w:hAnsi="Palatino Linotype"/>
          <w:b/>
          <w:sz w:val="22"/>
          <w:szCs w:val="22"/>
        </w:rPr>
        <w:t xml:space="preserve">Que, </w:t>
      </w:r>
      <w:r w:rsidRPr="007B6D19">
        <w:rPr>
          <w:rFonts w:ascii="Palatino Linotype" w:hAnsi="Palatino Linotype"/>
          <w:b/>
          <w:sz w:val="22"/>
          <w:szCs w:val="22"/>
        </w:rPr>
        <w:tab/>
      </w:r>
      <w:r w:rsidRPr="007B6D19">
        <w:rPr>
          <w:rFonts w:ascii="Palatino Linotype" w:hAnsi="Palatino Linotype"/>
          <w:sz w:val="22"/>
          <w:szCs w:val="22"/>
        </w:rPr>
        <w:t>el</w:t>
      </w:r>
      <w:r w:rsidRPr="007B6D19">
        <w:rPr>
          <w:rFonts w:ascii="Palatino Linotype" w:hAnsi="Palatino Linotype"/>
          <w:b/>
          <w:sz w:val="22"/>
          <w:szCs w:val="22"/>
        </w:rPr>
        <w:t xml:space="preserve"> </w:t>
      </w:r>
      <w:r w:rsidRPr="007B6D19">
        <w:rPr>
          <w:rFonts w:ascii="Palatino Linotype" w:hAnsi="Palatino Linotype"/>
          <w:sz w:val="22"/>
          <w:szCs w:val="22"/>
        </w:rPr>
        <w:t>artículo 240 de la Constitución de la República del Ecuador establece que los gobiernos autónomos descentralizados de las regiones, distritos metropolitanos, provincias y cantones tendrán facultades legislativas en el ámbito de sus competencias y jurisdicciones territoriales;</w:t>
      </w:r>
    </w:p>
    <w:p w:rsidR="007B6D19" w:rsidRPr="00F5178A" w:rsidRDefault="007B6D19" w:rsidP="007B6D19">
      <w:pPr>
        <w:pStyle w:val="Sinespaciado"/>
        <w:spacing w:after="120" w:line="276" w:lineRule="auto"/>
        <w:ind w:left="709" w:hanging="709"/>
        <w:jc w:val="both"/>
        <w:rPr>
          <w:rFonts w:ascii="Palatino Linotype" w:hAnsi="Palatino Linotype"/>
        </w:rPr>
      </w:pPr>
      <w:r w:rsidRPr="007B6D19">
        <w:rPr>
          <w:rFonts w:ascii="Palatino Linotype" w:hAnsi="Palatino Linotype"/>
          <w:b/>
        </w:rPr>
        <w:t>Que,</w:t>
      </w:r>
      <w:r w:rsidRPr="007B6D19">
        <w:rPr>
          <w:rFonts w:ascii="Palatino Linotype" w:hAnsi="Palatino Linotype"/>
          <w:b/>
        </w:rPr>
        <w:tab/>
      </w:r>
      <w:r w:rsidRPr="007B6D19">
        <w:rPr>
          <w:rFonts w:ascii="Palatino Linotype" w:hAnsi="Palatino Linotype"/>
        </w:rPr>
        <w:t>el numeral 1 del artículo 264 de la Carta Fundamental, dentro de las competencias exclusivas de los gobiernos municipales, establece la de planificar el desarrollo cantonal y formular los correspondientes planes de ordenamiento territorial, de manera articulada con la planificación nacional</w:t>
      </w:r>
      <w:r w:rsidRPr="00F5178A">
        <w:rPr>
          <w:rFonts w:ascii="Palatino Linotype" w:hAnsi="Palatino Linotype"/>
        </w:rPr>
        <w:t>, regional, provincial y parroquial, con el fin de regular el uso y la ocupación del suelo urbano y rural;</w:t>
      </w:r>
    </w:p>
    <w:p w:rsidR="007B6D19" w:rsidRPr="00F5178A" w:rsidRDefault="007B6D19" w:rsidP="007B6D19">
      <w:pPr>
        <w:pStyle w:val="Sinespaciado"/>
        <w:spacing w:after="120" w:line="276" w:lineRule="auto"/>
        <w:ind w:left="709" w:hanging="709"/>
        <w:jc w:val="both"/>
        <w:rPr>
          <w:rFonts w:ascii="Palatino Linotype" w:hAnsi="Palatino Linotype"/>
          <w:i/>
        </w:rPr>
      </w:pPr>
      <w:r w:rsidRPr="00F5178A">
        <w:rPr>
          <w:rFonts w:ascii="Palatino Linotype" w:hAnsi="Palatino Linotype"/>
          <w:b/>
        </w:rPr>
        <w:t>Que,</w:t>
      </w:r>
      <w:r w:rsidRPr="00F5178A">
        <w:rPr>
          <w:rFonts w:ascii="Palatino Linotype" w:hAnsi="Palatino Linotype"/>
        </w:rPr>
        <w:tab/>
        <w:t>los literales a) y x) del artículo 57 del Código Orgánico de Organización Territorial, Autonomía y Descentralización, refiriéndose a las atribuciones del Concejo Metropolitano, en su orden establecen: “</w:t>
      </w:r>
      <w:r w:rsidRPr="00F5178A">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sidRPr="00F5178A">
        <w:rPr>
          <w:rFonts w:ascii="Palatino Linotype" w:hAnsi="Palatino Linotype"/>
        </w:rPr>
        <w:t>.”;</w:t>
      </w:r>
    </w:p>
    <w:p w:rsidR="007B6D19" w:rsidRPr="00F5178A" w:rsidRDefault="007B6D19" w:rsidP="007B6D19">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Que,</w:t>
      </w:r>
      <w:r w:rsidRPr="00F5178A">
        <w:rPr>
          <w:rFonts w:ascii="Palatino Linotype" w:hAnsi="Palatino Linotype" w:cs="Arial"/>
        </w:rPr>
        <w:tab/>
      </w:r>
      <w:r w:rsidRPr="00F5178A">
        <w:rPr>
          <w:rFonts w:ascii="Palatino Linotype" w:hAnsi="Palatino Linotype"/>
        </w:rPr>
        <w:t>el artículo 322 del mismo Código establece el procedimiento para la emisión de las ordenanzas;</w:t>
      </w:r>
      <w:r w:rsidRPr="00F5178A">
        <w:rPr>
          <w:rFonts w:ascii="Palatino Linotype" w:hAnsi="Palatino Linotype" w:cs="Arial"/>
        </w:rPr>
        <w:t xml:space="preserve"> </w:t>
      </w:r>
    </w:p>
    <w:p w:rsidR="007B6D19" w:rsidRPr="00F5178A" w:rsidRDefault="007B6D19" w:rsidP="007B6D19">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 xml:space="preserve">Que, </w:t>
      </w:r>
      <w:r w:rsidRPr="00F5178A">
        <w:rPr>
          <w:rFonts w:ascii="Palatino Linotype" w:hAnsi="Palatino Linotype" w:cs="Arial"/>
          <w:b/>
        </w:rPr>
        <w:tab/>
      </w:r>
      <w:r w:rsidRPr="00F5178A">
        <w:rPr>
          <w:rFonts w:ascii="Palatino Linotype" w:hAnsi="Palatino Linotype" w:cs="Arial"/>
        </w:rPr>
        <w:t>el artículo II. 233 del Código Municipal, establece que: “</w:t>
      </w:r>
      <w:r w:rsidRPr="00F5178A">
        <w:rPr>
          <w:rFonts w:ascii="Palatino Linotype" w:hAnsi="Palatino Linotype" w:cs="Arial"/>
          <w:i/>
        </w:rPr>
        <w:t xml:space="preserve">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w:t>
      </w:r>
      <w:proofErr w:type="spellStart"/>
      <w:r w:rsidRPr="00F5178A">
        <w:rPr>
          <w:rFonts w:ascii="Palatino Linotype" w:hAnsi="Palatino Linotype" w:cs="Arial"/>
          <w:i/>
        </w:rPr>
        <w:t>EPMMOP</w:t>
      </w:r>
      <w:proofErr w:type="spellEnd"/>
      <w:r w:rsidRPr="00F5178A">
        <w:rPr>
          <w:rFonts w:ascii="Palatino Linotype" w:hAnsi="Palatino Linotype" w:cs="Arial"/>
          <w:i/>
        </w:rPr>
        <w:t>-Q, quienes elaborarán un informe para la aprobación de la Comisión de Planificación y Nomenclatura, previo a la aprobación final del Concejo Metropolitano.</w:t>
      </w:r>
      <w:r w:rsidRPr="00F5178A">
        <w:rPr>
          <w:rFonts w:ascii="Palatino Linotype" w:hAnsi="Palatino Linotype" w:cs="Arial"/>
        </w:rPr>
        <w:t>”;</w:t>
      </w:r>
    </w:p>
    <w:p w:rsidR="007B6D19" w:rsidRPr="007B6D19" w:rsidRDefault="007B6D19" w:rsidP="007B6D19">
      <w:pPr>
        <w:spacing w:after="120" w:line="276" w:lineRule="auto"/>
        <w:ind w:left="705" w:hanging="705"/>
        <w:jc w:val="both"/>
        <w:rPr>
          <w:rFonts w:ascii="Palatino Linotype" w:hAnsi="Palatino Linotype" w:cs="Arial"/>
          <w:sz w:val="22"/>
          <w:szCs w:val="22"/>
        </w:rPr>
      </w:pPr>
      <w:r w:rsidRPr="007B6D19">
        <w:rPr>
          <w:rFonts w:ascii="Palatino Linotype" w:hAnsi="Palatino Linotype" w:cs="Arial"/>
          <w:b/>
          <w:sz w:val="22"/>
          <w:szCs w:val="22"/>
        </w:rPr>
        <w:lastRenderedPageBreak/>
        <w:t>Que,</w:t>
      </w:r>
      <w:r w:rsidRPr="007B6D19">
        <w:rPr>
          <w:rFonts w:ascii="Palatino Linotype" w:hAnsi="Palatino Linotype" w:cs="Arial"/>
          <w:sz w:val="22"/>
          <w:szCs w:val="22"/>
        </w:rPr>
        <w:t xml:space="preserve"> </w:t>
      </w:r>
      <w:r>
        <w:rPr>
          <w:rFonts w:ascii="Palatino Linotype" w:hAnsi="Palatino Linotype" w:cs="Arial"/>
          <w:sz w:val="22"/>
          <w:szCs w:val="22"/>
        </w:rPr>
        <w:tab/>
      </w:r>
      <w:r w:rsidRPr="007B6D19">
        <w:rPr>
          <w:rFonts w:ascii="Palatino Linotype" w:hAnsi="Palatino Linotype" w:cs="Arial"/>
          <w:sz w:val="22"/>
          <w:szCs w:val="22"/>
        </w:rPr>
        <w:t>el Dr. Patricio Guerra, en calidad de Cronista de la Ciudad Encargado ha emitido e</w:t>
      </w:r>
      <w:r>
        <w:rPr>
          <w:rFonts w:ascii="Palatino Linotype" w:hAnsi="Palatino Linotype" w:cs="Arial"/>
          <w:sz w:val="22"/>
          <w:szCs w:val="22"/>
        </w:rPr>
        <w:t xml:space="preserve">l </w:t>
      </w:r>
      <w:r w:rsidRPr="007B6D19">
        <w:rPr>
          <w:rFonts w:ascii="Palatino Linotype" w:hAnsi="Palatino Linotype" w:cs="Arial"/>
          <w:sz w:val="22"/>
          <w:szCs w:val="22"/>
        </w:rPr>
        <w:t>informe favorable a través de oficio No. 070–</w:t>
      </w:r>
      <w:proofErr w:type="spellStart"/>
      <w:r w:rsidRPr="007B6D19">
        <w:rPr>
          <w:rFonts w:ascii="Palatino Linotype" w:hAnsi="Palatino Linotype" w:cs="Arial"/>
          <w:sz w:val="22"/>
          <w:szCs w:val="22"/>
        </w:rPr>
        <w:t>AMH</w:t>
      </w:r>
      <w:proofErr w:type="spellEnd"/>
      <w:r w:rsidRPr="007B6D19">
        <w:rPr>
          <w:rFonts w:ascii="Palatino Linotype" w:hAnsi="Palatino Linotype" w:cs="Arial"/>
          <w:sz w:val="22"/>
          <w:szCs w:val="22"/>
        </w:rPr>
        <w:t xml:space="preserve">-17, de 22 de agosto de 2017; </w:t>
      </w:r>
    </w:p>
    <w:p w:rsidR="00E9091D" w:rsidRPr="00F5178A" w:rsidRDefault="00E9091D" w:rsidP="00F5178A">
      <w:pPr>
        <w:spacing w:after="120" w:line="276" w:lineRule="auto"/>
        <w:ind w:left="705" w:hanging="705"/>
        <w:jc w:val="both"/>
        <w:rPr>
          <w:rFonts w:ascii="Palatino Linotype" w:eastAsia="Calibri" w:hAnsi="Palatino Linotype"/>
          <w:sz w:val="22"/>
          <w:szCs w:val="22"/>
          <w:lang w:val="es-EC" w:eastAsia="en-US"/>
        </w:rPr>
      </w:pPr>
      <w:r w:rsidRPr="00F5178A">
        <w:rPr>
          <w:rFonts w:ascii="Palatino Linotype" w:hAnsi="Palatino Linotype" w:cs="Arial"/>
          <w:b/>
          <w:sz w:val="22"/>
          <w:szCs w:val="22"/>
        </w:rPr>
        <w:t xml:space="preserve"> 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 xml:space="preserve">la Empresa Pública Metropolitana de Movilidad y Obras Públicas (EPMMOP-Q), mediante oficio No. </w:t>
      </w:r>
      <w:r w:rsidR="0045089A">
        <w:rPr>
          <w:rFonts w:ascii="Palatino Linotype" w:hAnsi="Palatino Linotype" w:cs="Arial"/>
          <w:sz w:val="22"/>
          <w:szCs w:val="22"/>
        </w:rPr>
        <w:t>819</w:t>
      </w:r>
      <w:r w:rsidR="00F5178A">
        <w:rPr>
          <w:rFonts w:ascii="Palatino Linotype" w:hAnsi="Palatino Linotype" w:cs="Arial"/>
          <w:sz w:val="22"/>
          <w:szCs w:val="22"/>
        </w:rPr>
        <w:t>-</w:t>
      </w:r>
      <w:proofErr w:type="spellStart"/>
      <w:r w:rsidR="00F5178A">
        <w:rPr>
          <w:rFonts w:ascii="Palatino Linotype" w:hAnsi="Palatino Linotype" w:cs="Arial"/>
          <w:sz w:val="22"/>
          <w:szCs w:val="22"/>
        </w:rPr>
        <w:t>G</w:t>
      </w:r>
      <w:r w:rsidR="0045089A">
        <w:rPr>
          <w:rFonts w:ascii="Palatino Linotype" w:hAnsi="Palatino Linotype" w:cs="Arial"/>
          <w:sz w:val="22"/>
          <w:szCs w:val="22"/>
        </w:rPr>
        <w:t>P</w:t>
      </w:r>
      <w:proofErr w:type="spellEnd"/>
      <w:r w:rsidRPr="00F5178A">
        <w:rPr>
          <w:rFonts w:ascii="Palatino Linotype" w:hAnsi="Palatino Linotype" w:cs="Arial"/>
          <w:sz w:val="22"/>
          <w:szCs w:val="22"/>
        </w:rPr>
        <w:t xml:space="preserve"> de </w:t>
      </w:r>
      <w:r w:rsidR="0045089A">
        <w:rPr>
          <w:rFonts w:ascii="Palatino Linotype" w:hAnsi="Palatino Linotype" w:cs="Arial"/>
          <w:sz w:val="22"/>
          <w:szCs w:val="22"/>
        </w:rPr>
        <w:t>19</w:t>
      </w:r>
      <w:r w:rsidRPr="00F5178A">
        <w:rPr>
          <w:rFonts w:ascii="Palatino Linotype" w:hAnsi="Palatino Linotype" w:cs="Arial"/>
          <w:sz w:val="22"/>
          <w:szCs w:val="22"/>
        </w:rPr>
        <w:t xml:space="preserve"> de </w:t>
      </w:r>
      <w:r w:rsidR="0045089A">
        <w:rPr>
          <w:rFonts w:ascii="Palatino Linotype" w:hAnsi="Palatino Linotype" w:cs="Arial"/>
          <w:sz w:val="22"/>
          <w:szCs w:val="22"/>
        </w:rPr>
        <w:t xml:space="preserve">octubre </w:t>
      </w:r>
      <w:r w:rsidRPr="00F5178A">
        <w:rPr>
          <w:rFonts w:ascii="Palatino Linotype" w:hAnsi="Palatino Linotype" w:cs="Arial"/>
          <w:sz w:val="22"/>
          <w:szCs w:val="22"/>
        </w:rPr>
        <w:t>de 201</w:t>
      </w:r>
      <w:r w:rsidR="0045089A">
        <w:rPr>
          <w:rFonts w:ascii="Palatino Linotype" w:hAnsi="Palatino Linotype" w:cs="Arial"/>
          <w:sz w:val="22"/>
          <w:szCs w:val="22"/>
        </w:rPr>
        <w:t>7</w:t>
      </w:r>
      <w:r w:rsidRPr="00F5178A">
        <w:rPr>
          <w:rFonts w:ascii="Palatino Linotype" w:hAnsi="Palatino Linotype" w:cs="Arial"/>
          <w:sz w:val="22"/>
          <w:szCs w:val="22"/>
        </w:rPr>
        <w:t xml:space="preserve">, remite la documentación tendiente a la designación del </w:t>
      </w:r>
      <w:r w:rsidR="0045089A">
        <w:rPr>
          <w:rFonts w:ascii="Palatino Linotype" w:hAnsi="Palatino Linotype" w:cs="Arial"/>
          <w:sz w:val="22"/>
          <w:szCs w:val="22"/>
        </w:rPr>
        <w:t>espacio público ubicado sobre el estacionamiento de La Ronda, con el nombre de Plaza Dúo Benítez y Valencia</w:t>
      </w:r>
      <w:r w:rsidRPr="00F5178A">
        <w:rPr>
          <w:rFonts w:ascii="Palatino Linotype" w:eastAsia="Calibri" w:hAnsi="Palatino Linotype"/>
          <w:sz w:val="22"/>
          <w:szCs w:val="22"/>
          <w:lang w:val="es-EC" w:eastAsia="en-US"/>
        </w:rPr>
        <w:t>;</w:t>
      </w:r>
    </w:p>
    <w:p w:rsidR="00E9091D" w:rsidRPr="00F5178A" w:rsidRDefault="00E9091D" w:rsidP="00F5178A">
      <w:pPr>
        <w:spacing w:after="120" w:line="276" w:lineRule="auto"/>
        <w:ind w:left="703" w:hanging="703"/>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b/>
          <w:sz w:val="22"/>
          <w:szCs w:val="22"/>
        </w:rPr>
        <w:tab/>
      </w:r>
      <w:r w:rsidRPr="00F5178A">
        <w:rPr>
          <w:rFonts w:ascii="Palatino Linotype" w:hAnsi="Palatino Linotype" w:cs="Arial"/>
          <w:sz w:val="22"/>
          <w:szCs w:val="22"/>
        </w:rPr>
        <w:t xml:space="preserve">mediante oficio </w:t>
      </w:r>
      <w:r w:rsidR="00F5178A">
        <w:rPr>
          <w:rFonts w:ascii="Palatino Linotype" w:hAnsi="Palatino Linotype" w:cs="Arial"/>
          <w:sz w:val="22"/>
          <w:szCs w:val="22"/>
        </w:rPr>
        <w:t xml:space="preserve">No. </w:t>
      </w:r>
      <w:proofErr w:type="spellStart"/>
      <w:r w:rsidRPr="00F5178A">
        <w:rPr>
          <w:rFonts w:ascii="Palatino Linotype" w:hAnsi="Palatino Linotype" w:cs="Arial"/>
          <w:sz w:val="22"/>
          <w:szCs w:val="22"/>
        </w:rPr>
        <w:t>STHV</w:t>
      </w:r>
      <w:proofErr w:type="spellEnd"/>
      <w:r w:rsidRPr="00F5178A">
        <w:rPr>
          <w:rFonts w:ascii="Palatino Linotype" w:hAnsi="Palatino Linotype" w:cs="Arial"/>
          <w:sz w:val="22"/>
          <w:szCs w:val="22"/>
        </w:rPr>
        <w:t>-</w:t>
      </w:r>
      <w:proofErr w:type="spellStart"/>
      <w:r w:rsidR="00F5178A">
        <w:rPr>
          <w:rFonts w:ascii="Palatino Linotype" w:hAnsi="Palatino Linotype" w:cs="Arial"/>
          <w:sz w:val="22"/>
          <w:szCs w:val="22"/>
        </w:rPr>
        <w:t>DM</w:t>
      </w:r>
      <w:r w:rsidRPr="00F5178A">
        <w:rPr>
          <w:rFonts w:ascii="Palatino Linotype" w:hAnsi="Palatino Linotype" w:cs="Arial"/>
          <w:sz w:val="22"/>
          <w:szCs w:val="22"/>
        </w:rPr>
        <w:t>GT</w:t>
      </w:r>
      <w:proofErr w:type="spellEnd"/>
      <w:r w:rsidRPr="00F5178A">
        <w:rPr>
          <w:rFonts w:ascii="Palatino Linotype" w:hAnsi="Palatino Linotype" w:cs="Arial"/>
          <w:sz w:val="22"/>
          <w:szCs w:val="22"/>
        </w:rPr>
        <w:t>-</w:t>
      </w:r>
      <w:r w:rsidR="0045089A">
        <w:rPr>
          <w:rFonts w:ascii="Palatino Linotype" w:hAnsi="Palatino Linotype" w:cs="Arial"/>
          <w:sz w:val="22"/>
          <w:szCs w:val="22"/>
        </w:rPr>
        <w:t>6134</w:t>
      </w:r>
      <w:r w:rsidRPr="00F5178A">
        <w:rPr>
          <w:rFonts w:ascii="Palatino Linotype" w:hAnsi="Palatino Linotype" w:cs="Arial"/>
          <w:sz w:val="22"/>
          <w:szCs w:val="22"/>
        </w:rPr>
        <w:t xml:space="preserve"> de </w:t>
      </w:r>
      <w:r w:rsidR="0045089A">
        <w:rPr>
          <w:rFonts w:ascii="Palatino Linotype" w:hAnsi="Palatino Linotype" w:cs="Arial"/>
          <w:sz w:val="22"/>
          <w:szCs w:val="22"/>
        </w:rPr>
        <w:t>27</w:t>
      </w:r>
      <w:r w:rsidRPr="00F5178A">
        <w:rPr>
          <w:rFonts w:ascii="Palatino Linotype" w:hAnsi="Palatino Linotype" w:cs="Arial"/>
          <w:sz w:val="22"/>
          <w:szCs w:val="22"/>
        </w:rPr>
        <w:t xml:space="preserve"> de </w:t>
      </w:r>
      <w:r w:rsidR="0045089A">
        <w:rPr>
          <w:rFonts w:ascii="Palatino Linotype" w:hAnsi="Palatino Linotype" w:cs="Arial"/>
          <w:sz w:val="22"/>
          <w:szCs w:val="22"/>
        </w:rPr>
        <w:t xml:space="preserve">octubre </w:t>
      </w:r>
      <w:r w:rsidR="00F5178A">
        <w:rPr>
          <w:rFonts w:ascii="Palatino Linotype" w:hAnsi="Palatino Linotype" w:cs="Arial"/>
          <w:sz w:val="22"/>
          <w:szCs w:val="22"/>
        </w:rPr>
        <w:t>de 201</w:t>
      </w:r>
      <w:r w:rsidR="0045089A">
        <w:rPr>
          <w:rFonts w:ascii="Palatino Linotype" w:hAnsi="Palatino Linotype" w:cs="Arial"/>
          <w:sz w:val="22"/>
          <w:szCs w:val="22"/>
        </w:rPr>
        <w:t>7</w:t>
      </w:r>
      <w:r w:rsidRPr="00F5178A">
        <w:rPr>
          <w:rFonts w:ascii="Palatino Linotype" w:hAnsi="Palatino Linotype" w:cs="Arial"/>
          <w:sz w:val="22"/>
          <w:szCs w:val="22"/>
        </w:rPr>
        <w:t>, la Secretaría de Territorio, Hábitat y Vivienda, emite informe técnico favorable respecto de la designación propuesta; y,</w:t>
      </w:r>
    </w:p>
    <w:p w:rsidR="00E9091D" w:rsidRPr="00F5178A" w:rsidRDefault="00E9091D" w:rsidP="00F5178A">
      <w:pPr>
        <w:spacing w:after="120" w:line="276" w:lineRule="auto"/>
        <w:ind w:left="705" w:hanging="705"/>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 xml:space="preserve">la Procuraduría Metropolitana, mediante oficio No. </w:t>
      </w:r>
      <w:r w:rsidR="0045089A">
        <w:rPr>
          <w:rFonts w:ascii="Palatino Linotype" w:hAnsi="Palatino Linotype" w:cs="Arial"/>
          <w:sz w:val="22"/>
          <w:szCs w:val="22"/>
        </w:rPr>
        <w:t>2017</w:t>
      </w:r>
      <w:r w:rsidR="00F5178A">
        <w:rPr>
          <w:rFonts w:ascii="Palatino Linotype" w:hAnsi="Palatino Linotype" w:cs="Arial"/>
          <w:sz w:val="22"/>
          <w:szCs w:val="22"/>
        </w:rPr>
        <w:t>-</w:t>
      </w:r>
      <w:r w:rsidR="0045089A">
        <w:rPr>
          <w:rFonts w:ascii="Palatino Linotype" w:hAnsi="Palatino Linotype" w:cs="Arial"/>
          <w:sz w:val="22"/>
          <w:szCs w:val="22"/>
        </w:rPr>
        <w:t>02572</w:t>
      </w:r>
      <w:r w:rsidR="00F5178A">
        <w:rPr>
          <w:rFonts w:ascii="Palatino Linotype" w:hAnsi="Palatino Linotype" w:cs="Arial"/>
          <w:sz w:val="22"/>
          <w:szCs w:val="22"/>
        </w:rPr>
        <w:t>,</w:t>
      </w:r>
      <w:r w:rsidRPr="00F5178A">
        <w:rPr>
          <w:rFonts w:ascii="Palatino Linotype" w:hAnsi="Palatino Linotype" w:cs="Arial"/>
          <w:sz w:val="22"/>
          <w:szCs w:val="22"/>
        </w:rPr>
        <w:t xml:space="preserve"> de </w:t>
      </w:r>
      <w:r w:rsidR="0045089A">
        <w:rPr>
          <w:rFonts w:ascii="Palatino Linotype" w:hAnsi="Palatino Linotype" w:cs="Arial"/>
          <w:sz w:val="22"/>
          <w:szCs w:val="22"/>
        </w:rPr>
        <w:t>1</w:t>
      </w:r>
      <w:r w:rsidRPr="00F5178A">
        <w:rPr>
          <w:rFonts w:ascii="Palatino Linotype" w:hAnsi="Palatino Linotype" w:cs="Arial"/>
          <w:sz w:val="22"/>
          <w:szCs w:val="22"/>
        </w:rPr>
        <w:t xml:space="preserve"> de </w:t>
      </w:r>
      <w:r w:rsidR="0045089A">
        <w:rPr>
          <w:rFonts w:ascii="Palatino Linotype" w:hAnsi="Palatino Linotype" w:cs="Arial"/>
          <w:sz w:val="22"/>
          <w:szCs w:val="22"/>
        </w:rPr>
        <w:t xml:space="preserve">noviembre </w:t>
      </w:r>
      <w:r w:rsidR="00F5178A">
        <w:rPr>
          <w:rFonts w:ascii="Palatino Linotype" w:hAnsi="Palatino Linotype" w:cs="Arial"/>
          <w:sz w:val="22"/>
          <w:szCs w:val="22"/>
        </w:rPr>
        <w:t>de 201</w:t>
      </w:r>
      <w:r w:rsidR="0045089A">
        <w:rPr>
          <w:rFonts w:ascii="Palatino Linotype" w:hAnsi="Palatino Linotype" w:cs="Arial"/>
          <w:sz w:val="22"/>
          <w:szCs w:val="22"/>
        </w:rPr>
        <w:t>7</w:t>
      </w:r>
      <w:r w:rsidRPr="00F5178A">
        <w:rPr>
          <w:rFonts w:ascii="Palatino Linotype" w:hAnsi="Palatino Linotype" w:cs="Arial"/>
          <w:sz w:val="22"/>
          <w:szCs w:val="22"/>
        </w:rPr>
        <w:t>, emite criterio legal favorable sobre la propuesta de designación en referencia.</w:t>
      </w:r>
    </w:p>
    <w:p w:rsidR="00E9091D" w:rsidRPr="0054657B" w:rsidRDefault="00E9091D" w:rsidP="00F5178A">
      <w:pPr>
        <w:spacing w:after="120" w:line="276" w:lineRule="auto"/>
        <w:jc w:val="both"/>
        <w:rPr>
          <w:rFonts w:ascii="Palatino Linotype" w:hAnsi="Palatino Linotype" w:cs="Arial"/>
          <w:b/>
          <w:bCs/>
          <w:sz w:val="22"/>
          <w:szCs w:val="22"/>
        </w:rPr>
      </w:pPr>
      <w:r w:rsidRPr="00F5178A">
        <w:rPr>
          <w:rFonts w:ascii="Palatino Linotype" w:hAnsi="Palatino Linotype" w:cs="Arial"/>
          <w:b/>
          <w:bCs/>
          <w:sz w:val="22"/>
          <w:szCs w:val="22"/>
        </w:rPr>
        <w:t>En ejercicio de sus atribuciones legales constantes en los artículos 240 y 264, numeral 1 de la Constitución de la República; 57 literales a) y x) del Código Orgánico de Organización Territorial, Autonomía y Descentralización; y, II.2</w:t>
      </w:r>
      <w:r w:rsidRPr="0054657B">
        <w:rPr>
          <w:rFonts w:ascii="Palatino Linotype" w:hAnsi="Palatino Linotype" w:cs="Arial"/>
          <w:b/>
          <w:bCs/>
          <w:sz w:val="22"/>
          <w:szCs w:val="22"/>
        </w:rPr>
        <w:t>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E9091D" w:rsidRDefault="00E9091D" w:rsidP="00F5178A">
      <w:pPr>
        <w:spacing w:after="120" w:line="276" w:lineRule="auto"/>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Pr>
          <w:rFonts w:ascii="Palatino Linotype" w:hAnsi="Palatino Linotype" w:cs="Arial"/>
          <w:b/>
          <w:bCs/>
          <w:iCs/>
          <w:sz w:val="22"/>
          <w:szCs w:val="22"/>
        </w:rPr>
        <w:t xml:space="preserve"> LA SIGUIENTE:</w:t>
      </w:r>
    </w:p>
    <w:p w:rsidR="0045089A" w:rsidRPr="0045089A" w:rsidRDefault="00F5178A" w:rsidP="00F5178A">
      <w:pPr>
        <w:spacing w:after="120" w:line="276" w:lineRule="auto"/>
        <w:jc w:val="center"/>
        <w:rPr>
          <w:rFonts w:ascii="Palatino Linotype" w:hAnsi="Palatino Linotype" w:cs="Arial"/>
          <w:b/>
          <w:sz w:val="22"/>
          <w:szCs w:val="22"/>
        </w:rPr>
      </w:pPr>
      <w:r w:rsidRPr="00F5178A">
        <w:rPr>
          <w:rFonts w:ascii="Palatino Linotype" w:hAnsi="Palatino Linotype"/>
          <w:b/>
          <w:sz w:val="22"/>
          <w:szCs w:val="22"/>
        </w:rPr>
        <w:t xml:space="preserve">ORDENANZA DE DESIGNACIÓN </w:t>
      </w:r>
      <w:r w:rsidR="0045089A">
        <w:rPr>
          <w:rFonts w:ascii="Palatino Linotype" w:hAnsi="Palatino Linotype"/>
          <w:b/>
          <w:sz w:val="22"/>
          <w:szCs w:val="22"/>
        </w:rPr>
        <w:t xml:space="preserve">DEL </w:t>
      </w:r>
      <w:r w:rsidR="0045089A" w:rsidRPr="0045089A">
        <w:rPr>
          <w:rFonts w:ascii="Palatino Linotype" w:hAnsi="Palatino Linotype" w:cs="Arial"/>
          <w:b/>
          <w:sz w:val="22"/>
          <w:szCs w:val="22"/>
        </w:rPr>
        <w:t xml:space="preserve">ESPACIO PÚBLICO UBICADO SOBRE EL ESTACIONAMIENTO DE LA RONDA ENTRE LAS CALLES </w:t>
      </w:r>
      <w:proofErr w:type="spellStart"/>
      <w:r w:rsidR="0045089A" w:rsidRPr="0045089A">
        <w:rPr>
          <w:rFonts w:ascii="Palatino Linotype" w:hAnsi="Palatino Linotype" w:cs="Arial"/>
          <w:b/>
          <w:sz w:val="22"/>
          <w:szCs w:val="22"/>
        </w:rPr>
        <w:t>Oe3</w:t>
      </w:r>
      <w:proofErr w:type="spellEnd"/>
      <w:r w:rsidR="0045089A" w:rsidRPr="0045089A">
        <w:rPr>
          <w:rFonts w:ascii="Palatino Linotype" w:hAnsi="Palatino Linotype" w:cs="Arial"/>
          <w:b/>
          <w:sz w:val="22"/>
          <w:szCs w:val="22"/>
        </w:rPr>
        <w:t xml:space="preserve"> GUAYAQUIL Y </w:t>
      </w:r>
      <w:proofErr w:type="spellStart"/>
      <w:r w:rsidR="0045089A" w:rsidRPr="0045089A">
        <w:rPr>
          <w:rFonts w:ascii="Palatino Linotype" w:hAnsi="Palatino Linotype" w:cs="Arial"/>
          <w:b/>
          <w:sz w:val="22"/>
          <w:szCs w:val="22"/>
        </w:rPr>
        <w:t>Oe4</w:t>
      </w:r>
      <w:proofErr w:type="spellEnd"/>
      <w:r w:rsidR="0045089A" w:rsidRPr="0045089A">
        <w:rPr>
          <w:rFonts w:ascii="Palatino Linotype" w:hAnsi="Palatino Linotype" w:cs="Arial"/>
          <w:b/>
          <w:sz w:val="22"/>
          <w:szCs w:val="22"/>
        </w:rPr>
        <w:t xml:space="preserve"> VENEZUELA</w:t>
      </w:r>
      <w:r w:rsidR="0045089A">
        <w:rPr>
          <w:rFonts w:ascii="Palatino Linotype" w:hAnsi="Palatino Linotype" w:cs="Arial"/>
          <w:b/>
          <w:sz w:val="22"/>
          <w:szCs w:val="22"/>
        </w:rPr>
        <w:t>,</w:t>
      </w:r>
      <w:r w:rsidR="0045089A" w:rsidRPr="0045089A">
        <w:rPr>
          <w:rFonts w:ascii="Palatino Linotype" w:hAnsi="Palatino Linotype" w:cs="Arial"/>
          <w:b/>
          <w:sz w:val="22"/>
          <w:szCs w:val="22"/>
        </w:rPr>
        <w:t xml:space="preserve"> PARROQUIA CENTRO HISTÓRICO</w:t>
      </w:r>
    </w:p>
    <w:p w:rsidR="008B4673" w:rsidRDefault="00E9091D" w:rsidP="008B4673">
      <w:pPr>
        <w:tabs>
          <w:tab w:val="left" w:pos="1080"/>
        </w:tabs>
        <w:spacing w:after="120" w:line="276" w:lineRule="auto"/>
        <w:ind w:hanging="11"/>
        <w:jc w:val="both"/>
        <w:rPr>
          <w:rFonts w:ascii="Arial" w:hAnsi="Arial" w:cs="Arial"/>
          <w:sz w:val="20"/>
          <w:szCs w:val="20"/>
        </w:rPr>
      </w:pPr>
      <w:r>
        <w:rPr>
          <w:rFonts w:ascii="Palatino Linotype" w:hAnsi="Palatino Linotype"/>
          <w:b/>
          <w:sz w:val="22"/>
          <w:szCs w:val="22"/>
          <w:lang w:val="es-EC"/>
        </w:rPr>
        <w:t xml:space="preserve">Artículo </w:t>
      </w:r>
      <w:r w:rsidR="00F5178A">
        <w:rPr>
          <w:rFonts w:ascii="Palatino Linotype" w:hAnsi="Palatino Linotype"/>
          <w:b/>
          <w:sz w:val="22"/>
          <w:szCs w:val="22"/>
          <w:lang w:val="es-EC"/>
        </w:rPr>
        <w:t>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e</w:t>
      </w:r>
      <w:r w:rsidRPr="00A27FC4">
        <w:rPr>
          <w:rFonts w:ascii="Palatino Linotype" w:eastAsia="Calibri" w:hAnsi="Palatino Linotype"/>
          <w:sz w:val="22"/>
          <w:szCs w:val="22"/>
          <w:lang w:eastAsia="en-US"/>
        </w:rPr>
        <w:t xml:space="preserve">se </w:t>
      </w:r>
      <w:r w:rsidR="008B4673">
        <w:rPr>
          <w:rFonts w:ascii="Palatino Linotype" w:eastAsia="Calibri" w:hAnsi="Palatino Linotype"/>
          <w:sz w:val="22"/>
          <w:szCs w:val="22"/>
          <w:lang w:eastAsia="en-US"/>
        </w:rPr>
        <w:t xml:space="preserve">al </w:t>
      </w:r>
      <w:r w:rsidR="008B4673" w:rsidRPr="008B4673">
        <w:rPr>
          <w:rFonts w:ascii="Palatino Linotype" w:hAnsi="Palatino Linotype" w:cs="Arial"/>
          <w:sz w:val="22"/>
          <w:szCs w:val="22"/>
        </w:rPr>
        <w:t xml:space="preserve">espacio público ubicado sobre el estacionamiento de La Ronda entre las calles </w:t>
      </w:r>
      <w:proofErr w:type="spellStart"/>
      <w:r w:rsidR="008B4673" w:rsidRPr="008B4673">
        <w:rPr>
          <w:rFonts w:ascii="Palatino Linotype" w:hAnsi="Palatino Linotype" w:cs="Arial"/>
          <w:sz w:val="22"/>
          <w:szCs w:val="22"/>
        </w:rPr>
        <w:t>Oe3</w:t>
      </w:r>
      <w:proofErr w:type="spellEnd"/>
      <w:r w:rsidR="008B4673" w:rsidRPr="008B4673">
        <w:rPr>
          <w:rFonts w:ascii="Palatino Linotype" w:hAnsi="Palatino Linotype" w:cs="Arial"/>
          <w:sz w:val="22"/>
          <w:szCs w:val="22"/>
        </w:rPr>
        <w:t xml:space="preserve"> Guayaquil y </w:t>
      </w:r>
      <w:proofErr w:type="spellStart"/>
      <w:r w:rsidR="008B4673" w:rsidRPr="008B4673">
        <w:rPr>
          <w:rFonts w:ascii="Palatino Linotype" w:hAnsi="Palatino Linotype" w:cs="Arial"/>
          <w:sz w:val="22"/>
          <w:szCs w:val="22"/>
        </w:rPr>
        <w:t>Oe4</w:t>
      </w:r>
      <w:proofErr w:type="spellEnd"/>
      <w:r w:rsidR="008B4673" w:rsidRPr="008B4673">
        <w:rPr>
          <w:rFonts w:ascii="Palatino Linotype" w:hAnsi="Palatino Linotype" w:cs="Arial"/>
          <w:sz w:val="22"/>
          <w:szCs w:val="22"/>
        </w:rPr>
        <w:t xml:space="preserve"> Venezuela, perteneciente a la parroquia Centro Histórico con el nombre de “Plaza Dúo Benítez - Valencia”.</w:t>
      </w:r>
    </w:p>
    <w:p w:rsidR="00E9091D" w:rsidRPr="00B311F6" w:rsidRDefault="00E9091D" w:rsidP="008B4673">
      <w:pPr>
        <w:tabs>
          <w:tab w:val="left" w:pos="1080"/>
        </w:tabs>
        <w:spacing w:after="120" w:line="276" w:lineRule="auto"/>
        <w:ind w:hanging="11"/>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F5178A" w:rsidRDefault="00F5178A" w:rsidP="00E9091D">
      <w:pPr>
        <w:spacing w:before="240" w:line="276" w:lineRule="auto"/>
        <w:jc w:val="both"/>
        <w:rPr>
          <w:rFonts w:ascii="Palatino Linotype" w:hAnsi="Palatino Linotype" w:cs="Arial"/>
          <w:sz w:val="22"/>
          <w:szCs w:val="22"/>
        </w:rPr>
      </w:pPr>
    </w:p>
    <w:p w:rsidR="00F5178A" w:rsidRDefault="00F5178A" w:rsidP="00E9091D">
      <w:pPr>
        <w:spacing w:before="240" w:line="276" w:lineRule="auto"/>
        <w:jc w:val="both"/>
        <w:rPr>
          <w:rFonts w:ascii="Palatino Linotype" w:hAnsi="Palatino Linotype" w:cs="Arial"/>
          <w:sz w:val="22"/>
          <w:szCs w:val="22"/>
        </w:rPr>
      </w:pPr>
    </w:p>
    <w:p w:rsidR="00F5178A" w:rsidRDefault="00F5178A" w:rsidP="00E9091D">
      <w:pPr>
        <w:spacing w:before="240" w:line="276" w:lineRule="auto"/>
        <w:jc w:val="both"/>
        <w:rPr>
          <w:rFonts w:ascii="Palatino Linotype" w:hAnsi="Palatino Linotype" w:cs="Arial"/>
          <w:sz w:val="22"/>
          <w:szCs w:val="22"/>
        </w:rPr>
      </w:pPr>
    </w:p>
    <w:p w:rsidR="00E9091D" w:rsidRPr="003843CA" w:rsidRDefault="00E9091D" w:rsidP="00E9091D">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lastRenderedPageBreak/>
        <w:t xml:space="preserve">Dada, en la Sala de Sesiones del Concejo Metropolitano de Quito, el </w:t>
      </w:r>
      <w:r w:rsidR="00310496">
        <w:rPr>
          <w:rFonts w:ascii="Palatino Linotype" w:hAnsi="Palatino Linotype" w:cs="Arial"/>
          <w:sz w:val="22"/>
          <w:szCs w:val="22"/>
        </w:rPr>
        <w:t>30</w:t>
      </w:r>
      <w:r w:rsidRPr="003843CA">
        <w:rPr>
          <w:rFonts w:ascii="Palatino Linotype" w:hAnsi="Palatino Linotype" w:cs="Arial"/>
          <w:sz w:val="22"/>
          <w:szCs w:val="22"/>
        </w:rPr>
        <w:t xml:space="preserve"> de </w:t>
      </w:r>
      <w:r w:rsidR="00310496">
        <w:rPr>
          <w:rFonts w:ascii="Palatino Linotype" w:hAnsi="Palatino Linotype" w:cs="Arial"/>
          <w:sz w:val="22"/>
          <w:szCs w:val="22"/>
        </w:rPr>
        <w:t xml:space="preserve">noviembre </w:t>
      </w:r>
      <w:r w:rsidRPr="003843CA">
        <w:rPr>
          <w:rFonts w:ascii="Palatino Linotype" w:hAnsi="Palatino Linotype" w:cs="Arial"/>
          <w:sz w:val="22"/>
          <w:szCs w:val="22"/>
        </w:rPr>
        <w:t>de 201</w:t>
      </w:r>
      <w:r w:rsidR="00F5178A">
        <w:rPr>
          <w:rFonts w:ascii="Palatino Linotype" w:hAnsi="Palatino Linotype" w:cs="Arial"/>
          <w:sz w:val="22"/>
          <w:szCs w:val="22"/>
        </w:rPr>
        <w:t>7</w:t>
      </w:r>
      <w:r w:rsidRPr="003843CA">
        <w:rPr>
          <w:rFonts w:ascii="Palatino Linotype" w:hAnsi="Palatino Linotype" w:cs="Arial"/>
          <w:sz w:val="22"/>
          <w:szCs w:val="22"/>
        </w:rPr>
        <w:t>.</w:t>
      </w:r>
    </w:p>
    <w:p w:rsidR="00E9091D" w:rsidRDefault="00E9091D" w:rsidP="00E9091D">
      <w:pPr>
        <w:pStyle w:val="Textopredeterminado"/>
        <w:shd w:val="clear" w:color="auto" w:fill="FFFFFF"/>
        <w:jc w:val="both"/>
        <w:rPr>
          <w:rFonts w:ascii="Palatino Linotype" w:hAnsi="Palatino Linotype" w:cs="Arial"/>
          <w:sz w:val="22"/>
          <w:szCs w:val="22"/>
          <w:lang w:val="es-ES"/>
        </w:rPr>
      </w:pPr>
    </w:p>
    <w:p w:rsidR="000F075E" w:rsidRDefault="000F075E" w:rsidP="000F075E">
      <w:pPr>
        <w:pStyle w:val="Textosinformato"/>
        <w:jc w:val="center"/>
        <w:rPr>
          <w:rFonts w:ascii="Palatino Linotype" w:eastAsia="MS Mincho" w:hAnsi="Palatino Linotype" w:cs="Arial"/>
          <w:sz w:val="22"/>
          <w:szCs w:val="22"/>
        </w:rPr>
      </w:pPr>
    </w:p>
    <w:p w:rsidR="000F075E" w:rsidRDefault="000F075E" w:rsidP="000F075E">
      <w:pPr>
        <w:pStyle w:val="Textosinformato"/>
        <w:jc w:val="center"/>
        <w:rPr>
          <w:rFonts w:ascii="Palatino Linotype" w:eastAsia="MS Mincho" w:hAnsi="Palatino Linotype" w:cs="Arial"/>
          <w:sz w:val="22"/>
          <w:szCs w:val="22"/>
        </w:rPr>
      </w:pPr>
    </w:p>
    <w:tbl>
      <w:tblPr>
        <w:tblW w:w="10899" w:type="dxa"/>
        <w:jc w:val="center"/>
        <w:tblInd w:w="-885" w:type="dxa"/>
        <w:tblLook w:val="04A0" w:firstRow="1" w:lastRow="0" w:firstColumn="1" w:lastColumn="0" w:noHBand="0" w:noVBand="1"/>
      </w:tblPr>
      <w:tblGrid>
        <w:gridCol w:w="5575"/>
        <w:gridCol w:w="5324"/>
      </w:tblGrid>
      <w:tr w:rsidR="00DE0D89" w:rsidRPr="003C15E1" w:rsidTr="0002468E">
        <w:trPr>
          <w:jc w:val="center"/>
        </w:trPr>
        <w:tc>
          <w:tcPr>
            <w:tcW w:w="5575" w:type="dxa"/>
            <w:hideMark/>
          </w:tcPr>
          <w:p w:rsidR="00DE0D89" w:rsidRPr="003C15E1" w:rsidRDefault="00DE0D89" w:rsidP="0002468E">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DE0D89" w:rsidRPr="003C15E1" w:rsidRDefault="00DE0D89" w:rsidP="0002468E">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DE0D89" w:rsidRPr="003C15E1" w:rsidRDefault="00DE0D89" w:rsidP="0002468E">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sidR="00310496">
              <w:rPr>
                <w:rFonts w:ascii="Palatino Linotype" w:hAnsi="Palatino Linotype" w:cs="Arial"/>
                <w:sz w:val="19"/>
                <w:szCs w:val="19"/>
              </w:rPr>
              <w:t>Diego Cevallos Salgado</w:t>
            </w:r>
          </w:p>
          <w:p w:rsidR="00DE0D89" w:rsidRPr="003C15E1" w:rsidRDefault="00DE0D89" w:rsidP="0002468E">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DE0D89" w:rsidRPr="003C15E1" w:rsidRDefault="00DE0D89" w:rsidP="0002468E">
            <w:pPr>
              <w:pStyle w:val="Textopredeterminado"/>
              <w:rPr>
                <w:rFonts w:ascii="Palatino Linotype" w:hAnsi="Palatino Linotype" w:cs="Arial"/>
                <w:b/>
                <w:sz w:val="19"/>
                <w:szCs w:val="19"/>
              </w:rPr>
            </w:pPr>
          </w:p>
        </w:tc>
      </w:tr>
    </w:tbl>
    <w:p w:rsidR="00E9091D" w:rsidRPr="003843CA" w:rsidRDefault="00E9091D" w:rsidP="00E9091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E9091D" w:rsidRPr="003843CA" w:rsidRDefault="00E9091D" w:rsidP="00E9091D">
      <w:pPr>
        <w:pStyle w:val="Textosinformato"/>
        <w:jc w:val="both"/>
        <w:rPr>
          <w:rFonts w:ascii="Palatino Linotype" w:eastAsia="MS Mincho" w:hAnsi="Palatino Linotype" w:cs="Arial"/>
          <w:sz w:val="22"/>
          <w:szCs w:val="22"/>
        </w:rPr>
      </w:pPr>
    </w:p>
    <w:p w:rsidR="00E9091D" w:rsidRPr="003843CA" w:rsidRDefault="00F5178A" w:rsidP="00E9091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E9091D"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E9091D"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E9091D"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310496">
        <w:rPr>
          <w:rFonts w:ascii="Palatino Linotype" w:eastAsia="MS Mincho" w:hAnsi="Palatino Linotype" w:cs="Arial"/>
          <w:sz w:val="22"/>
          <w:szCs w:val="22"/>
        </w:rPr>
        <w:t>16</w:t>
      </w:r>
      <w:r w:rsidR="00E9091D">
        <w:rPr>
          <w:rFonts w:ascii="Palatino Linotype" w:eastAsia="MS Mincho" w:hAnsi="Palatino Linotype" w:cs="Arial"/>
          <w:sz w:val="22"/>
          <w:szCs w:val="22"/>
        </w:rPr>
        <w:t xml:space="preserve"> y </w:t>
      </w:r>
      <w:r w:rsidR="00310496">
        <w:rPr>
          <w:rFonts w:ascii="Palatino Linotype" w:eastAsia="MS Mincho" w:hAnsi="Palatino Linotype" w:cs="Arial"/>
          <w:sz w:val="22"/>
          <w:szCs w:val="22"/>
        </w:rPr>
        <w:t>30</w:t>
      </w:r>
      <w:r w:rsidR="00E9091D">
        <w:rPr>
          <w:rFonts w:ascii="Palatino Linotype" w:eastAsia="MS Mincho" w:hAnsi="Palatino Linotype" w:cs="Arial"/>
          <w:sz w:val="22"/>
          <w:szCs w:val="22"/>
        </w:rPr>
        <w:t xml:space="preserve"> </w:t>
      </w:r>
      <w:r w:rsidR="00E9091D" w:rsidRPr="003843CA">
        <w:rPr>
          <w:rFonts w:ascii="Palatino Linotype" w:eastAsia="MS Mincho" w:hAnsi="Palatino Linotype" w:cs="Arial"/>
          <w:sz w:val="22"/>
          <w:szCs w:val="22"/>
        </w:rPr>
        <w:t xml:space="preserve">de </w:t>
      </w:r>
      <w:r w:rsidR="00310496">
        <w:rPr>
          <w:rFonts w:ascii="Palatino Linotype" w:eastAsia="MS Mincho" w:hAnsi="Palatino Linotype" w:cs="Arial"/>
          <w:sz w:val="22"/>
          <w:szCs w:val="22"/>
        </w:rPr>
        <w:t xml:space="preserve">noviembre </w:t>
      </w:r>
      <w:r w:rsidR="00E9091D" w:rsidRPr="003843CA">
        <w:rPr>
          <w:rFonts w:ascii="Palatino Linotype" w:eastAsia="MS Mincho" w:hAnsi="Palatino Linotype" w:cs="Arial"/>
          <w:sz w:val="22"/>
          <w:szCs w:val="22"/>
        </w:rPr>
        <w:t xml:space="preserve">de </w:t>
      </w:r>
      <w:r w:rsidR="00E9091D">
        <w:rPr>
          <w:rFonts w:ascii="Palatino Linotype" w:eastAsia="MS Mincho" w:hAnsi="Palatino Linotype" w:cs="Arial"/>
          <w:sz w:val="22"/>
          <w:szCs w:val="22"/>
        </w:rPr>
        <w:t>201</w:t>
      </w:r>
      <w:r>
        <w:rPr>
          <w:rFonts w:ascii="Palatino Linotype" w:eastAsia="MS Mincho" w:hAnsi="Palatino Linotype" w:cs="Arial"/>
          <w:sz w:val="22"/>
          <w:szCs w:val="22"/>
        </w:rPr>
        <w:t>7</w:t>
      </w:r>
      <w:r w:rsidR="00E9091D" w:rsidRPr="003843CA">
        <w:rPr>
          <w:rFonts w:ascii="Palatino Linotype" w:eastAsia="MS Mincho" w:hAnsi="Palatino Linotype" w:cs="Arial"/>
          <w:sz w:val="22"/>
          <w:szCs w:val="22"/>
        </w:rPr>
        <w:t>.- Quito,</w:t>
      </w:r>
    </w:p>
    <w:p w:rsidR="00E9091D" w:rsidRDefault="00E9091D" w:rsidP="00E9091D">
      <w:pPr>
        <w:pStyle w:val="Textosinformato"/>
        <w:jc w:val="both"/>
        <w:rPr>
          <w:rFonts w:ascii="Palatino Linotype" w:eastAsia="MS Mincho" w:hAnsi="Palatino Linotype" w:cs="Arial"/>
          <w:sz w:val="22"/>
          <w:szCs w:val="22"/>
        </w:rPr>
      </w:pPr>
    </w:p>
    <w:p w:rsidR="00E9091D" w:rsidRPr="003843CA" w:rsidRDefault="00E9091D" w:rsidP="00E9091D">
      <w:pPr>
        <w:pStyle w:val="Textosinformato"/>
        <w:jc w:val="both"/>
        <w:rPr>
          <w:rFonts w:ascii="Palatino Linotype" w:eastAsia="MS Mincho" w:hAnsi="Palatino Linotype" w:cs="Arial"/>
          <w:sz w:val="22"/>
          <w:szCs w:val="22"/>
        </w:rPr>
      </w:pPr>
    </w:p>
    <w:p w:rsidR="00310496" w:rsidRPr="003843CA" w:rsidRDefault="00310496" w:rsidP="00E9091D">
      <w:pPr>
        <w:pStyle w:val="Textosinformato"/>
        <w:jc w:val="both"/>
        <w:rPr>
          <w:rFonts w:ascii="Palatino Linotype" w:eastAsia="MS Mincho" w:hAnsi="Palatino Linotype" w:cs="Arial"/>
          <w:sz w:val="22"/>
          <w:szCs w:val="22"/>
        </w:rPr>
      </w:pPr>
    </w:p>
    <w:p w:rsidR="00F5178A" w:rsidRPr="003843CA" w:rsidRDefault="00F5178A" w:rsidP="00F5178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F5178A" w:rsidRDefault="00F5178A" w:rsidP="00F5178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E9091D" w:rsidRDefault="00E9091D" w:rsidP="00E9091D">
      <w:pPr>
        <w:pStyle w:val="Textosinformato"/>
        <w:jc w:val="center"/>
        <w:rPr>
          <w:rFonts w:ascii="Palatino Linotype" w:eastAsia="MS Mincho" w:hAnsi="Palatino Linotype" w:cs="Arial"/>
          <w:b/>
          <w:sz w:val="22"/>
          <w:szCs w:val="22"/>
        </w:rPr>
      </w:pPr>
    </w:p>
    <w:p w:rsidR="00E9091D" w:rsidRPr="003843CA" w:rsidRDefault="00E9091D" w:rsidP="00E9091D">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E9091D"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E9091D" w:rsidRPr="003843CA" w:rsidRDefault="00E9091D" w:rsidP="00E9091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E9091D" w:rsidRPr="003843CA" w:rsidRDefault="00E9091D" w:rsidP="00E9091D">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F5178A" w:rsidRPr="003843CA" w:rsidRDefault="00F5178A" w:rsidP="00F5178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F5178A" w:rsidRDefault="00F5178A" w:rsidP="00F5178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426F34" w:rsidRDefault="000F075E">
      <w:r>
        <w:rPr>
          <w:rFonts w:ascii="Palatino Linotype" w:hAnsi="Palatino Linotype"/>
          <w:sz w:val="12"/>
          <w:szCs w:val="12"/>
        </w:rPr>
        <w:t>DSCS</w:t>
      </w:r>
    </w:p>
    <w:sectPr w:rsidR="00426F34" w:rsidSect="000F075E">
      <w:headerReference w:type="default" r:id="rId9"/>
      <w:foot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56" w:rsidRDefault="00417156" w:rsidP="004A6FB9">
      <w:r>
        <w:separator/>
      </w:r>
    </w:p>
  </w:endnote>
  <w:endnote w:type="continuationSeparator" w:id="0">
    <w:p w:rsidR="00417156" w:rsidRDefault="00417156" w:rsidP="004A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Pr="00723B61" w:rsidRDefault="00417156">
    <w:pPr>
      <w:pStyle w:val="Piedepgina"/>
      <w:jc w:val="right"/>
      <w:rPr>
        <w:rFonts w:ascii="Palatino Linotype" w:hAnsi="Palatino Linotype"/>
      </w:rPr>
    </w:pPr>
  </w:p>
  <w:p w:rsidR="00A9594A" w:rsidRDefault="004171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1324"/>
      <w:docPartObj>
        <w:docPartGallery w:val="Page Numbers (Bottom of Page)"/>
        <w:docPartUnique/>
      </w:docPartObj>
    </w:sdtPr>
    <w:sdtEndPr/>
    <w:sdtContent>
      <w:sdt>
        <w:sdtPr>
          <w:id w:val="860082579"/>
          <w:docPartObj>
            <w:docPartGallery w:val="Page Numbers (Top of Page)"/>
            <w:docPartUnique/>
          </w:docPartObj>
        </w:sdtPr>
        <w:sdtEndPr/>
        <w:sdtContent>
          <w:p w:rsidR="000F075E" w:rsidRDefault="000F075E">
            <w:pPr>
              <w:pStyle w:val="Piedepgina"/>
              <w:jc w:val="right"/>
            </w:pPr>
            <w:r w:rsidRPr="000F075E">
              <w:rPr>
                <w:rFonts w:ascii="Palatino Linotype" w:hAnsi="Palatino Linotype"/>
                <w:sz w:val="22"/>
                <w:szCs w:val="22"/>
              </w:rPr>
              <w:t xml:space="preserve">Página </w:t>
            </w:r>
            <w:r w:rsidRPr="000F075E">
              <w:rPr>
                <w:rFonts w:ascii="Palatino Linotype" w:hAnsi="Palatino Linotype"/>
                <w:b/>
                <w:bCs/>
                <w:sz w:val="22"/>
                <w:szCs w:val="22"/>
              </w:rPr>
              <w:fldChar w:fldCharType="begin"/>
            </w:r>
            <w:r w:rsidRPr="000F075E">
              <w:rPr>
                <w:rFonts w:ascii="Palatino Linotype" w:hAnsi="Palatino Linotype"/>
                <w:b/>
                <w:bCs/>
                <w:sz w:val="22"/>
                <w:szCs w:val="22"/>
              </w:rPr>
              <w:instrText>PAGE</w:instrText>
            </w:r>
            <w:r w:rsidRPr="000F075E">
              <w:rPr>
                <w:rFonts w:ascii="Palatino Linotype" w:hAnsi="Palatino Linotype"/>
                <w:b/>
                <w:bCs/>
                <w:sz w:val="22"/>
                <w:szCs w:val="22"/>
              </w:rPr>
              <w:fldChar w:fldCharType="separate"/>
            </w:r>
            <w:r w:rsidR="00B91F59">
              <w:rPr>
                <w:rFonts w:ascii="Palatino Linotype" w:hAnsi="Palatino Linotype"/>
                <w:b/>
                <w:bCs/>
                <w:noProof/>
                <w:sz w:val="22"/>
                <w:szCs w:val="22"/>
              </w:rPr>
              <w:t>3</w:t>
            </w:r>
            <w:r w:rsidRPr="000F075E">
              <w:rPr>
                <w:rFonts w:ascii="Palatino Linotype" w:hAnsi="Palatino Linotype"/>
                <w:b/>
                <w:bCs/>
                <w:sz w:val="22"/>
                <w:szCs w:val="22"/>
              </w:rPr>
              <w:fldChar w:fldCharType="end"/>
            </w:r>
            <w:r w:rsidRPr="000F075E">
              <w:rPr>
                <w:rFonts w:ascii="Palatino Linotype" w:hAnsi="Palatino Linotype"/>
                <w:sz w:val="22"/>
                <w:szCs w:val="22"/>
              </w:rPr>
              <w:t xml:space="preserve"> de </w:t>
            </w:r>
            <w:r w:rsidR="00F5178A">
              <w:rPr>
                <w:rFonts w:ascii="Palatino Linotype" w:hAnsi="Palatino Linotype"/>
                <w:b/>
                <w:bCs/>
                <w:sz w:val="22"/>
                <w:szCs w:val="22"/>
              </w:rPr>
              <w:t>3</w:t>
            </w:r>
          </w:p>
        </w:sdtContent>
      </w:sdt>
    </w:sdtContent>
  </w:sdt>
  <w:p w:rsidR="000F075E" w:rsidRDefault="000F0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56" w:rsidRDefault="00417156" w:rsidP="004A6FB9">
      <w:r>
        <w:separator/>
      </w:r>
    </w:p>
  </w:footnote>
  <w:footnote w:type="continuationSeparator" w:id="0">
    <w:p w:rsidR="00417156" w:rsidRDefault="00417156" w:rsidP="004A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Default="00417156">
    <w:pPr>
      <w:pStyle w:val="Encabezado"/>
      <w:rPr>
        <w:lang w:val="es-EC"/>
      </w:rPr>
    </w:pPr>
  </w:p>
  <w:p w:rsidR="00A9594A" w:rsidRDefault="00417156">
    <w:pPr>
      <w:pStyle w:val="Encabezado"/>
      <w:rPr>
        <w:lang w:val="es-EC"/>
      </w:rPr>
    </w:pPr>
  </w:p>
  <w:p w:rsidR="00A9594A" w:rsidRDefault="00417156">
    <w:pPr>
      <w:pStyle w:val="Encabezado"/>
      <w:rPr>
        <w:lang w:val="es-EC"/>
      </w:rPr>
    </w:pPr>
  </w:p>
  <w:p w:rsidR="00A9594A" w:rsidRDefault="00417156">
    <w:pPr>
      <w:pStyle w:val="Encabezado"/>
      <w:rPr>
        <w:lang w:val="es-EC"/>
      </w:rPr>
    </w:pPr>
  </w:p>
  <w:p w:rsidR="00A9594A" w:rsidRDefault="00417156" w:rsidP="00150606">
    <w:pPr>
      <w:pStyle w:val="Ttulo"/>
      <w:rPr>
        <w:rFonts w:ascii="Palatino Linotype" w:hAnsi="Palatino Linotype" w:cs="Arial"/>
        <w:sz w:val="22"/>
        <w:szCs w:val="22"/>
      </w:rPr>
    </w:pPr>
  </w:p>
  <w:p w:rsidR="00A9594A" w:rsidRDefault="00417156"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A9594A" w:rsidRPr="00476B21" w:rsidRDefault="00AE5E8F"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A9594A" w:rsidRPr="00150606" w:rsidRDefault="00417156">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Pr="00476B21" w:rsidRDefault="000F075E"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0F075E" w:rsidRPr="00150606" w:rsidRDefault="000F075E">
    <w:pPr>
      <w:pStyle w:val="Encabezado"/>
      <w:rPr>
        <w:lang w:val="es-E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1D"/>
    <w:rsid w:val="000B09D9"/>
    <w:rsid w:val="000F075E"/>
    <w:rsid w:val="000F2D86"/>
    <w:rsid w:val="00116228"/>
    <w:rsid w:val="001C5275"/>
    <w:rsid w:val="00310496"/>
    <w:rsid w:val="00417156"/>
    <w:rsid w:val="00426F34"/>
    <w:rsid w:val="0045089A"/>
    <w:rsid w:val="004A6FB9"/>
    <w:rsid w:val="00763793"/>
    <w:rsid w:val="007B6D19"/>
    <w:rsid w:val="008B4673"/>
    <w:rsid w:val="00937361"/>
    <w:rsid w:val="00983B80"/>
    <w:rsid w:val="009F70AD"/>
    <w:rsid w:val="00A858D1"/>
    <w:rsid w:val="00A93C81"/>
    <w:rsid w:val="00AE5E8F"/>
    <w:rsid w:val="00B91F59"/>
    <w:rsid w:val="00C0675B"/>
    <w:rsid w:val="00C7246E"/>
    <w:rsid w:val="00DE0D89"/>
    <w:rsid w:val="00E27A23"/>
    <w:rsid w:val="00E9091D"/>
    <w:rsid w:val="00EF135E"/>
    <w:rsid w:val="00F5178A"/>
    <w:rsid w:val="00FD3C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1010</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5</cp:revision>
  <cp:lastPrinted>2017-01-09T20:13:00Z</cp:lastPrinted>
  <dcterms:created xsi:type="dcterms:W3CDTF">2017-11-13T21:15:00Z</dcterms:created>
  <dcterms:modified xsi:type="dcterms:W3CDTF">2017-12-05T23:02:00Z</dcterms:modified>
</cp:coreProperties>
</file>