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w:t>
      </w:r>
      <w:r w:rsidR="00F84671">
        <w:rPr>
          <w:rFonts w:ascii="Palatino Linotype" w:hAnsi="Palatino Linotype" w:cs="Arial"/>
          <w:b w:val="0"/>
          <w:sz w:val="22"/>
          <w:szCs w:val="22"/>
        </w:rPr>
        <w:t>“Aguirre</w:t>
      </w:r>
      <w:r w:rsidR="00446D8B">
        <w:rPr>
          <w:rFonts w:ascii="Palatino Linotype" w:hAnsi="Palatino Linotype" w:cs="Arial"/>
          <w:b w:val="0"/>
          <w:sz w:val="22"/>
          <w:szCs w:val="22"/>
        </w:rPr>
        <w:t>”</w:t>
      </w:r>
      <w:r w:rsidR="00057D41">
        <w:rPr>
          <w:rFonts w:ascii="Palatino Linotype" w:hAnsi="Palatino Linotype" w:cs="Arial"/>
          <w:b w:val="0"/>
          <w:sz w:val="22"/>
          <w:szCs w:val="22"/>
        </w:rPr>
        <w:t>,</w:t>
      </w:r>
      <w:r>
        <w:rPr>
          <w:rFonts w:ascii="Palatino Linotype" w:hAnsi="Palatino Linotype" w:cs="Arial"/>
          <w:b w:val="0"/>
          <w:sz w:val="22"/>
          <w:szCs w:val="22"/>
        </w:rPr>
        <w:t xml:space="preserve"> </w:t>
      </w:r>
      <w:r w:rsidR="00276EFE">
        <w:rPr>
          <w:rFonts w:ascii="Palatino Linotype" w:hAnsi="Palatino Linotype" w:cs="Arial"/>
          <w:b w:val="0"/>
          <w:sz w:val="22"/>
          <w:szCs w:val="22"/>
        </w:rPr>
        <w:t xml:space="preserve">ubicado en la parroquia </w:t>
      </w:r>
      <w:r w:rsidR="00F84671">
        <w:rPr>
          <w:rFonts w:ascii="Palatino Linotype" w:hAnsi="Palatino Linotype" w:cs="Arial"/>
          <w:b w:val="0"/>
          <w:sz w:val="22"/>
          <w:szCs w:val="22"/>
        </w:rPr>
        <w:t>Calderón</w:t>
      </w:r>
      <w:r w:rsidR="00276EFE">
        <w:rPr>
          <w:rFonts w:ascii="Palatino Linotype" w:hAnsi="Palatino Linotype" w:cs="Arial"/>
          <w:b w:val="0"/>
          <w:sz w:val="22"/>
          <w:szCs w:val="22"/>
        </w:rPr>
        <w:t xml:space="preserve">, </w:t>
      </w:r>
      <w:r>
        <w:rPr>
          <w:rFonts w:ascii="Palatino Linotype" w:hAnsi="Palatino Linotype" w:cs="Arial"/>
          <w:b w:val="0"/>
          <w:sz w:val="22"/>
          <w:szCs w:val="22"/>
        </w:rPr>
        <w:t xml:space="preserve">cuenta con </w:t>
      </w:r>
      <w:r w:rsidR="00F84671">
        <w:rPr>
          <w:rFonts w:ascii="Palatino Linotype" w:hAnsi="Palatino Linotype" w:cs="Arial"/>
          <w:b w:val="0"/>
          <w:sz w:val="22"/>
          <w:szCs w:val="22"/>
        </w:rPr>
        <w:t>20</w:t>
      </w:r>
      <w:r>
        <w:rPr>
          <w:rFonts w:ascii="Palatino Linotype" w:hAnsi="Palatino Linotype" w:cs="Arial"/>
          <w:b w:val="0"/>
          <w:sz w:val="22"/>
          <w:szCs w:val="22"/>
        </w:rPr>
        <w:t xml:space="preserve"> años de asentamiento, </w:t>
      </w:r>
      <w:r w:rsidR="00F84671">
        <w:rPr>
          <w:rFonts w:ascii="Palatino Linotype" w:hAnsi="Palatino Linotype" w:cs="Arial"/>
          <w:b w:val="0"/>
          <w:sz w:val="22"/>
          <w:szCs w:val="22"/>
        </w:rPr>
        <w:t>17</w:t>
      </w:r>
      <w:r w:rsidR="001169DD">
        <w:rPr>
          <w:rFonts w:ascii="Palatino Linotype" w:hAnsi="Palatino Linotype" w:cs="Arial"/>
          <w:b w:val="0"/>
          <w:sz w:val="22"/>
          <w:szCs w:val="22"/>
        </w:rPr>
        <w:t xml:space="preserve"> </w:t>
      </w:r>
      <w:r w:rsidR="00F84671">
        <w:rPr>
          <w:rFonts w:ascii="Palatino Linotype" w:hAnsi="Palatino Linotype" w:cs="Arial"/>
          <w:b w:val="0"/>
          <w:sz w:val="22"/>
          <w:szCs w:val="22"/>
        </w:rPr>
        <w:t xml:space="preserve">lotes </w:t>
      </w:r>
      <w:r>
        <w:rPr>
          <w:rFonts w:ascii="Palatino Linotype" w:hAnsi="Palatino Linotype" w:cs="Arial"/>
          <w:b w:val="0"/>
          <w:sz w:val="22"/>
          <w:szCs w:val="22"/>
        </w:rPr>
        <w:t xml:space="preserve">y </w:t>
      </w:r>
      <w:r w:rsidR="00F84671">
        <w:rPr>
          <w:rFonts w:ascii="Palatino Linotype" w:hAnsi="Palatino Linotype" w:cs="Arial"/>
          <w:b w:val="0"/>
          <w:sz w:val="22"/>
          <w:szCs w:val="22"/>
        </w:rPr>
        <w:t>56</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F84671">
        <w:rPr>
          <w:rFonts w:ascii="Palatino Linotype" w:hAnsi="Palatino Linotype" w:cs="Arial"/>
          <w:b w:val="0"/>
          <w:sz w:val="22"/>
          <w:szCs w:val="22"/>
        </w:rPr>
        <w:t>“Aguirre</w:t>
      </w:r>
      <w:r w:rsidR="00690B15">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9"/>
          <w:footerReference w:type="default" r:id="rId10"/>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F84671">
        <w:rPr>
          <w:rFonts w:ascii="Palatino Linotype" w:hAnsi="Palatino Linotype" w:cs="Arial"/>
          <w:sz w:val="22"/>
          <w:szCs w:val="22"/>
        </w:rPr>
        <w:t>e</w:t>
      </w:r>
      <w:r w:rsidR="00690B15">
        <w:rPr>
          <w:rFonts w:ascii="Palatino Linotype" w:hAnsi="Palatino Linotype" w:cs="Arial"/>
          <w:sz w:val="22"/>
          <w:szCs w:val="22"/>
        </w:rPr>
        <w:t>l</w:t>
      </w:r>
      <w:r>
        <w:rPr>
          <w:rFonts w:ascii="Palatino Linotype" w:hAnsi="Palatino Linotype" w:cs="Arial"/>
          <w:sz w:val="22"/>
          <w:szCs w:val="22"/>
        </w:rPr>
        <w:t xml:space="preserve"> Informe No</w:t>
      </w:r>
      <w:r w:rsidR="00F84671">
        <w:rPr>
          <w:rFonts w:ascii="Palatino Linotype" w:hAnsi="Palatino Linotype" w:cs="Arial"/>
          <w:sz w:val="22"/>
          <w:szCs w:val="22"/>
        </w:rPr>
        <w:t xml:space="preserve">. </w:t>
      </w:r>
      <w:r>
        <w:rPr>
          <w:rFonts w:ascii="Palatino Linotype" w:hAnsi="Palatino Linotype" w:cs="Arial"/>
          <w:sz w:val="22"/>
          <w:szCs w:val="22"/>
        </w:rPr>
        <w:t>IC-O-201</w:t>
      </w:r>
      <w:r w:rsidR="00057D41">
        <w:rPr>
          <w:rFonts w:ascii="Palatino Linotype" w:hAnsi="Palatino Linotype" w:cs="Arial"/>
          <w:sz w:val="22"/>
          <w:szCs w:val="22"/>
        </w:rPr>
        <w:t>5</w:t>
      </w:r>
      <w:r>
        <w:rPr>
          <w:rFonts w:ascii="Palatino Linotype" w:hAnsi="Palatino Linotype" w:cs="Arial"/>
          <w:sz w:val="22"/>
          <w:szCs w:val="22"/>
        </w:rPr>
        <w:t>-</w:t>
      </w:r>
      <w:r w:rsidR="00057D41">
        <w:rPr>
          <w:rFonts w:ascii="Palatino Linotype" w:hAnsi="Palatino Linotype" w:cs="Arial"/>
          <w:sz w:val="22"/>
          <w:szCs w:val="22"/>
        </w:rPr>
        <w:t>00</w:t>
      </w:r>
      <w:r w:rsidR="00F84671">
        <w:rPr>
          <w:rFonts w:ascii="Palatino Linotype" w:hAnsi="Palatino Linotype" w:cs="Arial"/>
          <w:sz w:val="22"/>
          <w:szCs w:val="22"/>
        </w:rPr>
        <w:t>5</w:t>
      </w:r>
      <w:r w:rsidR="007F3A59">
        <w:rPr>
          <w:rFonts w:ascii="Palatino Linotype" w:hAnsi="Palatino Linotype" w:cs="Arial"/>
          <w:sz w:val="22"/>
          <w:szCs w:val="22"/>
        </w:rPr>
        <w:t xml:space="preserve">, de </w:t>
      </w:r>
      <w:r w:rsidR="00057D41">
        <w:rPr>
          <w:rFonts w:ascii="Palatino Linotype" w:hAnsi="Palatino Linotype" w:cs="Arial"/>
          <w:sz w:val="22"/>
          <w:szCs w:val="22"/>
        </w:rPr>
        <w:t xml:space="preserve">15 </w:t>
      </w:r>
      <w:r w:rsidR="007F3A59">
        <w:rPr>
          <w:rFonts w:ascii="Palatino Linotype" w:hAnsi="Palatino Linotype" w:cs="Arial"/>
          <w:sz w:val="22"/>
          <w:szCs w:val="22"/>
        </w:rPr>
        <w:t xml:space="preserve">de </w:t>
      </w:r>
      <w:r w:rsidR="00057D41">
        <w:rPr>
          <w:rFonts w:ascii="Palatino Linotype" w:hAnsi="Palatino Linotype" w:cs="Arial"/>
          <w:sz w:val="22"/>
          <w:szCs w:val="22"/>
        </w:rPr>
        <w:t>enero de 2015</w:t>
      </w:r>
      <w:r w:rsidR="007F3A59">
        <w:rPr>
          <w:rFonts w:ascii="Palatino Linotype" w:hAnsi="Palatino Linotype" w:cs="Arial"/>
          <w:sz w:val="22"/>
          <w:szCs w:val="22"/>
        </w:rPr>
        <w:t xml:space="preserve">, expedido por la Comisión de </w:t>
      </w:r>
      <w:r>
        <w:rPr>
          <w:rFonts w:ascii="Palatino Linotype" w:hAnsi="Palatino Linotype" w:cs="Arial"/>
          <w:sz w:val="22"/>
          <w:szCs w:val="22"/>
        </w:rPr>
        <w:t>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w:t>
      </w:r>
      <w:r w:rsidRPr="001842A8">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3843CA" w:rsidRDefault="003843CA" w:rsidP="001C370A">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003E450B" w:rsidRPr="001C788E">
        <w:rPr>
          <w:rFonts w:ascii="Palatino Linotype" w:hAnsi="Palatino Linotype" w:cs="Arial"/>
          <w:bCs/>
          <w:i/>
          <w:lang w:val="es-ES_tradnl"/>
        </w:rPr>
        <w:t xml:space="preserve">Cuando por resolución del órgano </w:t>
      </w:r>
      <w:r w:rsidR="003E450B">
        <w:rPr>
          <w:rFonts w:ascii="Palatino Linotype" w:hAnsi="Palatino Linotype" w:cs="Arial"/>
          <w:bCs/>
          <w:i/>
          <w:lang w:val="es-ES_tradnl"/>
        </w:rPr>
        <w:t>de legislación y fiscalización</w:t>
      </w:r>
      <w:r w:rsidR="003E450B" w:rsidRPr="001C788E">
        <w:rPr>
          <w:rFonts w:ascii="Palatino Linotype" w:hAnsi="Palatino Linotype" w:cs="Arial"/>
          <w:bCs/>
          <w:i/>
          <w:lang w:val="es-ES_tradnl"/>
        </w:rPr>
        <w:t xml:space="preserve"> del </w:t>
      </w:r>
      <w:r w:rsidR="003E450B">
        <w:rPr>
          <w:rFonts w:ascii="Palatino Linotype" w:hAnsi="Palatino Linotype" w:cs="Arial"/>
          <w:bCs/>
          <w:i/>
          <w:lang w:val="es-ES_tradnl"/>
        </w:rPr>
        <w:t>G</w:t>
      </w:r>
      <w:r w:rsidR="003E450B" w:rsidRPr="001C788E">
        <w:rPr>
          <w:rFonts w:ascii="Palatino Linotype" w:hAnsi="Palatino Linotype" w:cs="Arial"/>
          <w:bCs/>
          <w:i/>
          <w:lang w:val="es-ES_tradnl"/>
        </w:rPr>
        <w:t xml:space="preserve">obierno </w:t>
      </w:r>
      <w:r w:rsidR="003E450B">
        <w:rPr>
          <w:rFonts w:ascii="Palatino Linotype" w:hAnsi="Palatino Linotype" w:cs="Arial"/>
          <w:bCs/>
          <w:i/>
          <w:lang w:val="es-ES_tradnl"/>
        </w:rPr>
        <w:t>Autónomo D</w:t>
      </w:r>
      <w:r w:rsidR="003E450B" w:rsidRPr="001C788E">
        <w:rPr>
          <w:rFonts w:ascii="Palatino Linotype" w:hAnsi="Palatino Linotype" w:cs="Arial"/>
          <w:bCs/>
          <w:i/>
          <w:lang w:val="es-ES_tradnl"/>
        </w:rPr>
        <w:t xml:space="preserve">escentralizado municipal o metropolitano, se requiera regularizar </w:t>
      </w:r>
      <w:r w:rsidR="003E450B">
        <w:rPr>
          <w:rFonts w:ascii="Palatino Linotype" w:hAnsi="Palatino Linotype" w:cs="Arial"/>
          <w:bCs/>
          <w:i/>
          <w:lang w:val="es-ES_tradnl"/>
        </w:rPr>
        <w:t>y legalizar asentamientos humanos consolidados de interés social ubicados en su circunscripción territorial en predios que se encuentran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F84671" w:rsidRPr="001C788E" w:rsidRDefault="00F84671" w:rsidP="00F84671">
      <w:pPr>
        <w:pStyle w:val="Sinespaciado"/>
        <w:spacing w:before="240" w:line="276" w:lineRule="auto"/>
        <w:ind w:left="709" w:hanging="709"/>
        <w:jc w:val="both"/>
        <w:rPr>
          <w:rFonts w:ascii="Palatino Linotype" w:hAnsi="Palatino Linotype" w:cs="Arial"/>
          <w:bCs/>
          <w:i/>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la Disposición Transitoria Décima Cuarta del COOTAD, señala: “</w:t>
      </w:r>
      <w:r w:rsidRPr="001C788E">
        <w:rPr>
          <w:rFonts w:ascii="Palatino Linotype" w:hAnsi="Palatino Linotype" w:cs="Arial"/>
          <w:bCs/>
          <w:i/>
        </w:rPr>
        <w:t xml:space="preserve">(…) </w:t>
      </w:r>
      <w:r w:rsidRPr="00D377C3">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1C788E">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057D41">
        <w:rPr>
          <w:rFonts w:ascii="Palatino Linotype" w:hAnsi="Palatino Linotype" w:cs="Arial"/>
          <w:bCs/>
        </w:rPr>
        <w:t>el</w:t>
      </w:r>
      <w:r w:rsidRPr="001842A8">
        <w:rPr>
          <w:rFonts w:ascii="Palatino Linotype" w:hAnsi="Palatino Linotype" w:cs="Arial"/>
          <w:b/>
          <w:bCs/>
        </w:rPr>
        <w:t xml:space="preserve">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057D41" w:rsidRDefault="00CA4237" w:rsidP="001C370A">
      <w:pPr>
        <w:pStyle w:val="Sinespaciado"/>
        <w:spacing w:before="240" w:line="276" w:lineRule="auto"/>
        <w:ind w:left="709" w:hanging="709"/>
        <w:jc w:val="both"/>
        <w:rPr>
          <w:rFonts w:ascii="Palatino Linotype" w:hAnsi="Palatino Linotype"/>
        </w:rPr>
      </w:pPr>
      <w:r w:rsidRPr="00057D41">
        <w:rPr>
          <w:rFonts w:ascii="Palatino Linotype" w:hAnsi="Palatino Linotype"/>
          <w:b/>
          <w:bCs/>
        </w:rPr>
        <w:lastRenderedPageBreak/>
        <w:t>Que,</w:t>
      </w:r>
      <w:r w:rsidRPr="00057D41">
        <w:rPr>
          <w:rFonts w:ascii="Palatino Linotype" w:hAnsi="Palatino Linotype"/>
        </w:rPr>
        <w:tab/>
        <w:t>la Mesa Institucional d</w:t>
      </w:r>
      <w:r w:rsidR="00BA7F93" w:rsidRPr="00057D41">
        <w:rPr>
          <w:rFonts w:ascii="Palatino Linotype" w:hAnsi="Palatino Linotype"/>
        </w:rPr>
        <w:t xml:space="preserve">e Trabajo, reunida el </w:t>
      </w:r>
      <w:r w:rsidR="00F84671">
        <w:rPr>
          <w:rFonts w:ascii="Palatino Linotype" w:hAnsi="Palatino Linotype"/>
        </w:rPr>
        <w:t>22</w:t>
      </w:r>
      <w:r w:rsidR="00BA7F93" w:rsidRPr="00057D41">
        <w:rPr>
          <w:rFonts w:ascii="Palatino Linotype" w:hAnsi="Palatino Linotype"/>
        </w:rPr>
        <w:t xml:space="preserve"> de </w:t>
      </w:r>
      <w:r w:rsidR="00F84671">
        <w:rPr>
          <w:rFonts w:ascii="Palatino Linotype" w:hAnsi="Palatino Linotype"/>
        </w:rPr>
        <w:t xml:space="preserve">diciembre </w:t>
      </w:r>
      <w:r w:rsidR="00554B2F" w:rsidRPr="00057D41">
        <w:rPr>
          <w:rFonts w:ascii="Palatino Linotype" w:hAnsi="Palatino Linotype"/>
        </w:rPr>
        <w:t xml:space="preserve">de 2014 </w:t>
      </w:r>
      <w:r w:rsidRPr="00057D41">
        <w:rPr>
          <w:rFonts w:ascii="Palatino Linotype" w:hAnsi="Palatino Linotype"/>
        </w:rPr>
        <w:t xml:space="preserve">en la Administración Zonal </w:t>
      </w:r>
      <w:r w:rsidR="00F84671">
        <w:rPr>
          <w:rFonts w:ascii="Palatino Linotype" w:hAnsi="Palatino Linotype"/>
        </w:rPr>
        <w:t>Calderón</w:t>
      </w:r>
      <w:r w:rsidRPr="00057D41">
        <w:rPr>
          <w:rFonts w:ascii="Palatino Linotype" w:hAnsi="Palatino Linotype"/>
        </w:rPr>
        <w:t xml:space="preserve">, </w:t>
      </w:r>
      <w:r w:rsidR="00B452F1" w:rsidRPr="00057D41">
        <w:rPr>
          <w:rFonts w:ascii="Palatino Linotype" w:hAnsi="Palatino Linotype"/>
        </w:rPr>
        <w:t xml:space="preserve">integrada por los siguientes órganos y dependencias: </w:t>
      </w:r>
      <w:r w:rsidR="00F84671">
        <w:rPr>
          <w:rFonts w:ascii="Palatino Linotype" w:hAnsi="Palatino Linotype" w:cs="Arial"/>
        </w:rPr>
        <w:t>el delegado del Administrador Zonal, el Subprocurador, el Delegado de la Dirección Metropolitana de Catastros, el Coordinador de Control y Gestión, Delegado de la Secretaria de Territorio Hábitat y Vivienda,  e</w:t>
      </w:r>
      <w:r w:rsidR="00F84671" w:rsidRPr="00D51DEB">
        <w:rPr>
          <w:rFonts w:ascii="Palatino Linotype" w:hAnsi="Palatino Linotype" w:cs="Arial"/>
        </w:rPr>
        <w:t xml:space="preserve">l </w:t>
      </w:r>
      <w:r w:rsidR="00F84671">
        <w:rPr>
          <w:rFonts w:ascii="Palatino Linotype" w:hAnsi="Palatino Linotype" w:cs="Arial"/>
        </w:rPr>
        <w:t xml:space="preserve">Coordinador de la </w:t>
      </w:r>
      <w:r w:rsidR="00F84671" w:rsidRPr="00D51DEB">
        <w:rPr>
          <w:rFonts w:ascii="Palatino Linotype" w:hAnsi="Palatino Linotype" w:cs="Arial"/>
        </w:rPr>
        <w:t>Unidad Especial Regula Tu Barrio</w:t>
      </w:r>
      <w:r w:rsidR="00F84671">
        <w:rPr>
          <w:rFonts w:ascii="Palatino Linotype" w:hAnsi="Palatino Linotype" w:cs="Arial"/>
        </w:rPr>
        <w:t xml:space="preserve"> Calderón</w:t>
      </w:r>
      <w:r w:rsidR="00F84671" w:rsidRPr="00D51DEB">
        <w:rPr>
          <w:rFonts w:ascii="Palatino Linotype" w:hAnsi="Palatino Linotype" w:cs="Arial"/>
        </w:rPr>
        <w:t>, y los Responsables: Socio Organizativo, Legal y Técnico de la Unidad Especial Regula Tu Barrio de Calderón, aprob</w:t>
      </w:r>
      <w:r w:rsidR="00F84671">
        <w:rPr>
          <w:rFonts w:ascii="Palatino Linotype" w:hAnsi="Palatino Linotype" w:cs="Arial"/>
        </w:rPr>
        <w:t>aron</w:t>
      </w:r>
      <w:r w:rsidR="00F84671" w:rsidRPr="00D51DEB">
        <w:rPr>
          <w:rFonts w:ascii="Palatino Linotype" w:hAnsi="Palatino Linotype" w:cs="Arial"/>
        </w:rPr>
        <w:t xml:space="preserve">  el </w:t>
      </w:r>
      <w:r w:rsidR="00F84671">
        <w:rPr>
          <w:rFonts w:ascii="Palatino Linotype" w:hAnsi="Palatino Linotype" w:cs="Arial"/>
        </w:rPr>
        <w:t>i</w:t>
      </w:r>
      <w:r w:rsidR="00F84671" w:rsidRPr="00D51DEB">
        <w:rPr>
          <w:rFonts w:ascii="Palatino Linotype" w:hAnsi="Palatino Linotype" w:cs="Arial"/>
        </w:rPr>
        <w:t xml:space="preserve">nforme </w:t>
      </w:r>
      <w:r w:rsidR="00F84671">
        <w:rPr>
          <w:rFonts w:ascii="Palatino Linotype" w:hAnsi="Palatino Linotype" w:cs="Arial"/>
        </w:rPr>
        <w:t>s</w:t>
      </w:r>
      <w:r w:rsidR="00F84671" w:rsidRPr="00D51DEB">
        <w:rPr>
          <w:rFonts w:ascii="Palatino Linotype" w:hAnsi="Palatino Linotype" w:cs="Arial"/>
        </w:rPr>
        <w:t>ocio org</w:t>
      </w:r>
      <w:r w:rsidR="00F84671">
        <w:rPr>
          <w:rFonts w:ascii="Palatino Linotype" w:hAnsi="Palatino Linotype" w:cs="Arial"/>
        </w:rPr>
        <w:t>anizativo legal y técnico No. 008-UERB-AZCA-SOLT-2014, habilitante de la Ordenanza de reconocimiento del</w:t>
      </w:r>
      <w:r w:rsidR="00F84671">
        <w:rPr>
          <w:rFonts w:ascii="Palatino Linotype" w:hAnsi="Palatino Linotype" w:cs="Arial"/>
          <w:bCs/>
        </w:rPr>
        <w:t xml:space="preserve"> Asentamiento Humano de Hecho y Consolidado, denominado “Aguirre” a favor de sus copropietarios</w:t>
      </w:r>
      <w:r w:rsidR="00554B2F" w:rsidRPr="00057D41">
        <w:rPr>
          <w:rFonts w:ascii="Palatino Linotype" w:hAnsi="Palatino Linotype"/>
        </w:rPr>
        <w:t>.</w:t>
      </w:r>
    </w:p>
    <w:p w:rsidR="001448D6" w:rsidRPr="001C788E" w:rsidRDefault="001448D6" w:rsidP="001448D6">
      <w:pPr>
        <w:pStyle w:val="Sinespaciado"/>
        <w:spacing w:before="240" w:line="276" w:lineRule="auto"/>
        <w:jc w:val="both"/>
        <w:outlineLvl w:val="0"/>
        <w:rPr>
          <w:rFonts w:ascii="Palatino Linotype" w:hAnsi="Palatino Linotype" w:cs="Arial"/>
          <w:b/>
        </w:rPr>
      </w:pPr>
      <w:r w:rsidRPr="001C788E">
        <w:rPr>
          <w:rFonts w:ascii="Palatino Linotype" w:hAnsi="Palatino Linotype" w:cs="Arial"/>
          <w:b/>
          <w:bCs/>
        </w:rPr>
        <w:t xml:space="preserve">En </w:t>
      </w:r>
      <w:r w:rsidRPr="001C788E">
        <w:rPr>
          <w:rFonts w:ascii="Palatino Linotype" w:hAnsi="Palatino Linotype" w:cs="Arial"/>
          <w:b/>
        </w:rPr>
        <w:t>ejercicio  de  sus  atribuciones  legales  constantes  en  los artículos 30, 31, 240 y 264 numeral 1 de la Constitución de la República</w:t>
      </w:r>
      <w:r>
        <w:rPr>
          <w:rFonts w:ascii="Palatino Linotype" w:hAnsi="Palatino Linotype" w:cs="Arial"/>
          <w:b/>
        </w:rPr>
        <w:t xml:space="preserve"> del Ecuador</w:t>
      </w:r>
      <w:r w:rsidRPr="001C788E">
        <w:rPr>
          <w:rFonts w:ascii="Palatino Linotype" w:hAnsi="Palatino Linotype" w:cs="Arial"/>
          <w:b/>
        </w:rPr>
        <w:t>; 84, literal c), 87, literales a), v), x), 322 del Código Orgánico de Organización Territorial Autonomía y Descentralización; 2, numeral 1; 8, numeral 1 de la Ley Orgánica de Régimen  para  el  Distrito Metropolitano de  Quito, y</w:t>
      </w:r>
      <w:r>
        <w:rPr>
          <w:rFonts w:ascii="Palatino Linotype" w:hAnsi="Palatino Linotype" w:cs="Arial"/>
          <w:b/>
        </w:rPr>
        <w:t>,</w:t>
      </w:r>
      <w:r w:rsidRPr="001C788E">
        <w:rPr>
          <w:rFonts w:ascii="Palatino Linotype" w:hAnsi="Palatino Linotype" w:cs="Arial"/>
          <w:b/>
        </w:rPr>
        <w:t xml:space="preserve"> 2 de la  Resolución No. A0010 de 19 de marzo de 2010;</w:t>
      </w:r>
    </w:p>
    <w:p w:rsidR="003667C0" w:rsidRPr="003843CA" w:rsidRDefault="00C52450" w:rsidP="001C370A">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B452F1">
        <w:rPr>
          <w:rFonts w:ascii="Palatino Linotype" w:hAnsi="Palatino Linotype"/>
          <w:b/>
          <w:sz w:val="22"/>
          <w:szCs w:val="22"/>
        </w:rPr>
        <w:t xml:space="preserve"> LA SIGUIENTE</w:t>
      </w:r>
      <w:r w:rsidR="007863C1" w:rsidRPr="003843CA">
        <w:rPr>
          <w:rFonts w:ascii="Palatino Linotype" w:hAnsi="Palatino Linotype"/>
          <w:b/>
          <w:sz w:val="22"/>
          <w:szCs w:val="22"/>
        </w:rPr>
        <w:t>:</w:t>
      </w:r>
    </w:p>
    <w:p w:rsidR="001C370A" w:rsidRPr="00057D41" w:rsidRDefault="001C370A" w:rsidP="00057D41">
      <w:pPr>
        <w:pStyle w:val="Sinespaciado"/>
        <w:spacing w:before="240" w:line="276" w:lineRule="auto"/>
        <w:jc w:val="center"/>
        <w:outlineLvl w:val="0"/>
        <w:rPr>
          <w:rFonts w:ascii="Palatino Linotype" w:hAnsi="Palatino Linotype"/>
        </w:rPr>
      </w:pPr>
      <w:r w:rsidRPr="00AA4753">
        <w:rPr>
          <w:rFonts w:ascii="Palatino Linotype" w:hAnsi="Palatino Linotype" w:cs="Arial"/>
          <w:b/>
        </w:rPr>
        <w:t>ORDENANZA QUE RECONOCE Y</w:t>
      </w:r>
      <w:r>
        <w:rPr>
          <w:rFonts w:ascii="Palatino Linotype" w:hAnsi="Palatino Linotype" w:cs="Arial"/>
          <w:b/>
        </w:rPr>
        <w:t xml:space="preserve"> APRUEBA EL ASENTAMIENTO HUMANO DE </w:t>
      </w:r>
      <w:r w:rsidRPr="00B452F1">
        <w:rPr>
          <w:rFonts w:ascii="Palatino Linotype" w:hAnsi="Palatino Linotype" w:cs="Arial"/>
          <w:b/>
        </w:rPr>
        <w:t>HECHO Y CONSOLIDADO DENOMINADO</w:t>
      </w:r>
      <w:r w:rsidRPr="00B452F1">
        <w:rPr>
          <w:rFonts w:ascii="Palatino Linotype" w:hAnsi="Palatino Linotype"/>
        </w:rPr>
        <w:t xml:space="preserve"> </w:t>
      </w:r>
      <w:r w:rsidR="00F84671">
        <w:rPr>
          <w:rFonts w:ascii="Palatino Linotype" w:hAnsi="Palatino Linotype"/>
          <w:b/>
        </w:rPr>
        <w:t>“AGUIRRE</w:t>
      </w:r>
      <w:r w:rsidR="00690B15">
        <w:rPr>
          <w:rFonts w:ascii="Palatino Linotype" w:hAnsi="Palatino Linotype"/>
          <w:b/>
        </w:rPr>
        <w:t>”</w:t>
      </w:r>
      <w:r w:rsidRPr="00057D41">
        <w:rPr>
          <w:rFonts w:ascii="Palatino Linotype" w:hAnsi="Palatino Linotype" w:cs="Arial"/>
          <w:b/>
        </w:rPr>
        <w:t xml:space="preserve">, A FAVOR DE SUS </w:t>
      </w:r>
      <w:r w:rsidR="00D7200D" w:rsidRPr="00E4508E">
        <w:rPr>
          <w:rFonts w:ascii="Palatino Linotype" w:hAnsi="Palatino Linotype" w:cs="Arial"/>
          <w:b/>
        </w:rPr>
        <w:t>COPROPIETARIOS</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b/>
          <w:bCs/>
          <w:sz w:val="22"/>
          <w:szCs w:val="22"/>
        </w:rPr>
        <w:t xml:space="preserve">Artículo 1.- </w:t>
      </w:r>
      <w:r>
        <w:rPr>
          <w:rFonts w:ascii="Palatino Linotype" w:hAnsi="Palatino Linotype" w:cs="Arial"/>
          <w:b/>
          <w:bCs/>
          <w:sz w:val="22"/>
          <w:szCs w:val="22"/>
        </w:rPr>
        <w:t>De los p</w:t>
      </w:r>
      <w:r w:rsidRPr="0051515A">
        <w:rPr>
          <w:rFonts w:ascii="Palatino Linotype" w:hAnsi="Palatino Linotype" w:cs="Arial"/>
          <w:b/>
          <w:bCs/>
          <w:sz w:val="22"/>
          <w:szCs w:val="22"/>
        </w:rPr>
        <w:t xml:space="preserve">lanos y </w:t>
      </w:r>
      <w:r>
        <w:rPr>
          <w:rFonts w:ascii="Palatino Linotype" w:hAnsi="Palatino Linotype" w:cs="Arial"/>
          <w:b/>
          <w:bCs/>
          <w:sz w:val="22"/>
          <w:szCs w:val="22"/>
        </w:rPr>
        <w:t>d</w:t>
      </w:r>
      <w:r w:rsidRPr="0051515A">
        <w:rPr>
          <w:rFonts w:ascii="Palatino Linotype" w:hAnsi="Palatino Linotype" w:cs="Arial"/>
          <w:b/>
          <w:bCs/>
          <w:sz w:val="22"/>
          <w:szCs w:val="22"/>
        </w:rPr>
        <w:t xml:space="preserve">ocumentos </w:t>
      </w:r>
      <w:r>
        <w:rPr>
          <w:rFonts w:ascii="Palatino Linotype" w:hAnsi="Palatino Linotype" w:cs="Arial"/>
          <w:b/>
          <w:bCs/>
          <w:sz w:val="22"/>
          <w:szCs w:val="22"/>
        </w:rPr>
        <w:t>p</w:t>
      </w:r>
      <w:r w:rsidRPr="0051515A">
        <w:rPr>
          <w:rFonts w:ascii="Palatino Linotype" w:hAnsi="Palatino Linotype" w:cs="Arial"/>
          <w:b/>
          <w:bCs/>
          <w:sz w:val="22"/>
          <w:szCs w:val="22"/>
        </w:rPr>
        <w:t xml:space="preserve">resentados.- </w:t>
      </w:r>
      <w:r w:rsidRPr="0051515A">
        <w:rPr>
          <w:rFonts w:ascii="Palatino Linotype" w:hAnsi="Palatino Linotype" w:cs="Arial"/>
          <w:sz w:val="22"/>
          <w:szCs w:val="22"/>
        </w:rPr>
        <w:t>Los planos y documentos presentados son de exclusiva responsabilidad del proyectista y de los copropietarios del Asentamiento Humano de Hecho y Consolidado denominado “Aguirre”</w:t>
      </w:r>
      <w:r w:rsidRPr="0051515A">
        <w:rPr>
          <w:rFonts w:ascii="Palatino Linotype" w:hAnsi="Palatino Linotype" w:cs="Arial"/>
          <w:b/>
          <w:sz w:val="22"/>
          <w:szCs w:val="22"/>
        </w:rPr>
        <w:t>,</w:t>
      </w:r>
      <w:r w:rsidRPr="0051515A">
        <w:rPr>
          <w:rFonts w:ascii="Palatino Linotype" w:hAnsi="Palatino Linotype" w:cs="Arial"/>
          <w:sz w:val="22"/>
          <w:szCs w:val="22"/>
        </w:rPr>
        <w:t xml:space="preserve"> ubicado en la </w:t>
      </w:r>
      <w:r>
        <w:rPr>
          <w:rFonts w:ascii="Palatino Linotype" w:hAnsi="Palatino Linotype" w:cs="Arial"/>
          <w:sz w:val="22"/>
          <w:szCs w:val="22"/>
        </w:rPr>
        <w:t>p</w:t>
      </w:r>
      <w:r w:rsidRPr="0051515A">
        <w:rPr>
          <w:rFonts w:ascii="Palatino Linotype" w:hAnsi="Palatino Linotype" w:cs="Arial"/>
          <w:sz w:val="22"/>
          <w:szCs w:val="22"/>
        </w:rPr>
        <w:t>arroquia Calderón</w:t>
      </w:r>
      <w:r>
        <w:rPr>
          <w:rFonts w:ascii="Palatino Linotype" w:hAnsi="Palatino Linotype" w:cs="Arial"/>
          <w:sz w:val="22"/>
          <w:szCs w:val="22"/>
        </w:rPr>
        <w:t>,</w:t>
      </w:r>
      <w:r w:rsidRPr="0051515A">
        <w:rPr>
          <w:rFonts w:ascii="Palatino Linotype" w:hAnsi="Palatino Linotype" w:cs="Arial"/>
          <w:sz w:val="22"/>
          <w:szCs w:val="22"/>
        </w:rPr>
        <w:t xml:space="preserve"> </w:t>
      </w:r>
      <w:r w:rsidRPr="0051515A">
        <w:rPr>
          <w:rFonts w:ascii="Palatino Linotype" w:hAnsi="Palatino Linotype" w:cs="Arial"/>
          <w:bCs/>
          <w:sz w:val="22"/>
          <w:szCs w:val="22"/>
        </w:rPr>
        <w:t xml:space="preserve">sin </w:t>
      </w:r>
      <w:r w:rsidRPr="0051515A">
        <w:rPr>
          <w:rFonts w:ascii="Palatino Linotype" w:hAnsi="Palatino Linotype" w:cs="Arial"/>
          <w:sz w:val="22"/>
          <w:szCs w:val="22"/>
        </w:rPr>
        <w:t>perjuicio de la responsabilidad de quienes revisaron los planos y los documentos legales, excepto que hayan sido inducidos a engaño.</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51515A" w:rsidRPr="0051515A" w:rsidRDefault="0051515A" w:rsidP="0051515A">
      <w:pPr>
        <w:spacing w:before="240" w:line="276" w:lineRule="auto"/>
        <w:jc w:val="both"/>
        <w:rPr>
          <w:rFonts w:ascii="Palatino Linotype" w:hAnsi="Palatino Linotype"/>
          <w:sz w:val="22"/>
          <w:szCs w:val="22"/>
        </w:rPr>
      </w:pPr>
      <w:r w:rsidRPr="0051515A">
        <w:rPr>
          <w:rFonts w:ascii="Palatino Linotype" w:hAnsi="Palatino Linotype"/>
          <w:sz w:val="22"/>
          <w:szCs w:val="22"/>
        </w:rPr>
        <w:t>Por las condiciones de asentamiento humano de hecho y consolidado, se lo aprueba considerándolo de interés social.</w:t>
      </w:r>
    </w:p>
    <w:p w:rsidR="0051515A" w:rsidRDefault="0051515A" w:rsidP="0051515A">
      <w:pPr>
        <w:spacing w:before="240" w:line="276" w:lineRule="auto"/>
        <w:jc w:val="both"/>
        <w:rPr>
          <w:rFonts w:ascii="Palatino Linotype" w:hAnsi="Palatino Linotype" w:cs="Arial"/>
          <w:b/>
          <w:bCs/>
          <w:sz w:val="22"/>
          <w:szCs w:val="22"/>
        </w:rPr>
      </w:pPr>
      <w:r w:rsidRPr="0051515A">
        <w:rPr>
          <w:rFonts w:ascii="Palatino Linotype" w:hAnsi="Palatino Linotype" w:cs="Arial"/>
          <w:b/>
          <w:bCs/>
          <w:sz w:val="22"/>
          <w:szCs w:val="22"/>
        </w:rPr>
        <w:lastRenderedPageBreak/>
        <w:t>Artículo</w:t>
      </w:r>
      <w:r>
        <w:rPr>
          <w:rFonts w:ascii="Palatino Linotype" w:hAnsi="Palatino Linotype" w:cs="Arial"/>
          <w:b/>
          <w:bCs/>
          <w:sz w:val="22"/>
          <w:szCs w:val="22"/>
        </w:rPr>
        <w:t xml:space="preserve"> 2.- Especificaciones Técnicas.- </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b/>
          <w:sz w:val="22"/>
          <w:szCs w:val="22"/>
        </w:rPr>
        <w:t>Zonificación actual:</w:t>
      </w:r>
      <w:r w:rsidRPr="0051515A">
        <w:rPr>
          <w:rFonts w:ascii="Palatino Linotype" w:hAnsi="Palatino Linotype" w:cs="Arial"/>
          <w:b/>
          <w:sz w:val="22"/>
          <w:szCs w:val="22"/>
        </w:rPr>
        <w:tab/>
      </w:r>
      <w:r w:rsidRPr="0051515A">
        <w:rPr>
          <w:rFonts w:ascii="Palatino Linotype" w:hAnsi="Palatino Linotype" w:cs="Arial"/>
          <w:sz w:val="22"/>
          <w:szCs w:val="22"/>
        </w:rPr>
        <w:tab/>
      </w:r>
      <w:r w:rsidRPr="0051515A">
        <w:rPr>
          <w:rFonts w:ascii="Palatino Linotype" w:hAnsi="Palatino Linotype" w:cs="Arial"/>
          <w:sz w:val="22"/>
          <w:szCs w:val="22"/>
        </w:rPr>
        <w:tab/>
      </w:r>
      <w:r w:rsidRPr="0051515A">
        <w:rPr>
          <w:rFonts w:ascii="Palatino Linotype" w:hAnsi="Palatino Linotype" w:cs="Arial"/>
          <w:sz w:val="22"/>
          <w:szCs w:val="22"/>
        </w:rPr>
        <w:tab/>
        <w:t>A8</w:t>
      </w:r>
      <w:r w:rsidR="001448D6">
        <w:rPr>
          <w:rFonts w:ascii="Palatino Linotype" w:hAnsi="Palatino Linotype" w:cs="Arial"/>
          <w:sz w:val="22"/>
          <w:szCs w:val="22"/>
        </w:rPr>
        <w:t xml:space="preserve"> </w:t>
      </w:r>
      <w:r w:rsidRPr="0051515A">
        <w:rPr>
          <w:rFonts w:ascii="Palatino Linotype" w:hAnsi="Palatino Linotype" w:cs="Arial"/>
          <w:sz w:val="22"/>
          <w:szCs w:val="22"/>
        </w:rPr>
        <w:t>(A603-35)</w:t>
      </w:r>
      <w:r w:rsidRPr="0051515A">
        <w:rPr>
          <w:rFonts w:ascii="Palatino Linotype" w:hAnsi="Palatino Linotype" w:cs="Arial"/>
          <w:sz w:val="22"/>
          <w:szCs w:val="22"/>
        </w:rPr>
        <w:tab/>
      </w:r>
      <w:r w:rsidRPr="0051515A">
        <w:rPr>
          <w:rFonts w:ascii="Palatino Linotype" w:hAnsi="Palatino Linotype" w:cs="Arial"/>
          <w:sz w:val="22"/>
          <w:szCs w:val="22"/>
        </w:rPr>
        <w:tab/>
      </w:r>
    </w:p>
    <w:p w:rsidR="0051515A" w:rsidRPr="0051515A" w:rsidRDefault="0051515A" w:rsidP="0051515A">
      <w:pPr>
        <w:pStyle w:val="Ttulo3"/>
        <w:spacing w:after="0" w:line="276" w:lineRule="auto"/>
        <w:jc w:val="both"/>
        <w:rPr>
          <w:rFonts w:ascii="Palatino Linotype" w:hAnsi="Palatino Linotype"/>
          <w:b w:val="0"/>
          <w:sz w:val="22"/>
          <w:szCs w:val="22"/>
          <w:vertAlign w:val="superscript"/>
        </w:rPr>
      </w:pPr>
      <w:r w:rsidRPr="0051515A">
        <w:rPr>
          <w:rFonts w:ascii="Palatino Linotype" w:hAnsi="Palatino Linotype"/>
          <w:sz w:val="22"/>
          <w:szCs w:val="22"/>
        </w:rPr>
        <w:t xml:space="preserve">Lote </w:t>
      </w:r>
      <w:r>
        <w:rPr>
          <w:rFonts w:ascii="Palatino Linotype" w:hAnsi="Palatino Linotype"/>
          <w:sz w:val="22"/>
          <w:szCs w:val="22"/>
        </w:rPr>
        <w:t>m</w:t>
      </w:r>
      <w:r w:rsidRPr="0051515A">
        <w:rPr>
          <w:rFonts w:ascii="Palatino Linotype" w:hAnsi="Palatino Linotype"/>
          <w:sz w:val="22"/>
          <w:szCs w:val="22"/>
        </w:rPr>
        <w:t>ínimo:</w:t>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b w:val="0"/>
          <w:sz w:val="22"/>
          <w:szCs w:val="22"/>
        </w:rPr>
        <w:t>600 m</w:t>
      </w:r>
      <w:r w:rsidRPr="0051515A">
        <w:rPr>
          <w:rFonts w:ascii="Palatino Linotype" w:hAnsi="Palatino Linotype"/>
          <w:b w:val="0"/>
          <w:sz w:val="22"/>
          <w:szCs w:val="22"/>
          <w:vertAlign w:val="superscript"/>
        </w:rPr>
        <w:t>2</w:t>
      </w:r>
    </w:p>
    <w:p w:rsidR="0051515A" w:rsidRPr="0051515A" w:rsidRDefault="0051515A" w:rsidP="0051515A">
      <w:pPr>
        <w:pStyle w:val="Ttulo3"/>
        <w:spacing w:after="0" w:line="276" w:lineRule="auto"/>
        <w:jc w:val="both"/>
        <w:rPr>
          <w:rFonts w:ascii="Palatino Linotype" w:hAnsi="Palatino Linotype"/>
          <w:b w:val="0"/>
          <w:sz w:val="22"/>
          <w:szCs w:val="22"/>
        </w:rPr>
      </w:pPr>
      <w:r w:rsidRPr="0051515A">
        <w:rPr>
          <w:rFonts w:ascii="Palatino Linotype" w:hAnsi="Palatino Linotype"/>
          <w:sz w:val="22"/>
          <w:szCs w:val="22"/>
        </w:rPr>
        <w:t xml:space="preserve">Forma </w:t>
      </w:r>
      <w:r>
        <w:rPr>
          <w:rFonts w:ascii="Palatino Linotype" w:hAnsi="Palatino Linotype"/>
          <w:sz w:val="22"/>
          <w:szCs w:val="22"/>
        </w:rPr>
        <w:t>o</w:t>
      </w:r>
      <w:r w:rsidRPr="0051515A">
        <w:rPr>
          <w:rFonts w:ascii="Palatino Linotype" w:hAnsi="Palatino Linotype"/>
          <w:sz w:val="22"/>
          <w:szCs w:val="22"/>
        </w:rPr>
        <w:t>cupa</w:t>
      </w:r>
      <w:r>
        <w:rPr>
          <w:rFonts w:ascii="Palatino Linotype" w:hAnsi="Palatino Linotype"/>
          <w:sz w:val="22"/>
          <w:szCs w:val="22"/>
        </w:rPr>
        <w:t>ción del s</w:t>
      </w:r>
      <w:r w:rsidRPr="0051515A">
        <w:rPr>
          <w:rFonts w:ascii="Palatino Linotype" w:hAnsi="Palatino Linotype"/>
          <w:sz w:val="22"/>
          <w:szCs w:val="22"/>
        </w:rPr>
        <w:t>uelo:</w:t>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b w:val="0"/>
          <w:sz w:val="22"/>
          <w:szCs w:val="22"/>
        </w:rPr>
        <w:t>(A) Aislada</w:t>
      </w:r>
    </w:p>
    <w:p w:rsidR="0051515A" w:rsidRPr="0051515A" w:rsidRDefault="0051515A" w:rsidP="0051515A">
      <w:pPr>
        <w:spacing w:before="240" w:line="276" w:lineRule="auto"/>
        <w:jc w:val="both"/>
        <w:rPr>
          <w:rFonts w:ascii="Palatino Linotype" w:hAnsi="Palatino Linotype" w:cs="Arial"/>
          <w:color w:val="000000" w:themeColor="text1"/>
          <w:sz w:val="22"/>
          <w:szCs w:val="22"/>
          <w:highlight w:val="yellow"/>
        </w:rPr>
      </w:pPr>
      <w:r w:rsidRPr="0051515A">
        <w:rPr>
          <w:rFonts w:ascii="Palatino Linotype" w:hAnsi="Palatino Linotype" w:cs="Arial"/>
          <w:b/>
          <w:sz w:val="22"/>
          <w:szCs w:val="22"/>
        </w:rPr>
        <w:t>Uso principal:</w:t>
      </w:r>
      <w:r w:rsidRPr="0051515A">
        <w:rPr>
          <w:rFonts w:ascii="Palatino Linotype" w:hAnsi="Palatino Linotype" w:cs="Arial"/>
          <w:sz w:val="22"/>
          <w:szCs w:val="22"/>
        </w:rPr>
        <w:tab/>
      </w:r>
      <w:r w:rsidRPr="0051515A">
        <w:rPr>
          <w:rFonts w:ascii="Palatino Linotype" w:hAnsi="Palatino Linotype" w:cs="Arial"/>
          <w:sz w:val="22"/>
          <w:szCs w:val="22"/>
        </w:rPr>
        <w:tab/>
      </w:r>
      <w:r w:rsidRPr="0051515A">
        <w:rPr>
          <w:rFonts w:ascii="Palatino Linotype" w:hAnsi="Palatino Linotype" w:cs="Arial"/>
          <w:sz w:val="22"/>
          <w:szCs w:val="22"/>
        </w:rPr>
        <w:tab/>
      </w:r>
      <w:r w:rsidRPr="0051515A">
        <w:rPr>
          <w:rFonts w:ascii="Palatino Linotype" w:hAnsi="Palatino Linotype" w:cs="Arial"/>
          <w:sz w:val="22"/>
          <w:szCs w:val="22"/>
        </w:rPr>
        <w:tab/>
        <w:t>(R2) Residencia mediana  densidad</w:t>
      </w:r>
    </w:p>
    <w:p w:rsidR="0051515A" w:rsidRPr="0051515A" w:rsidRDefault="0051515A" w:rsidP="0051515A">
      <w:pPr>
        <w:pStyle w:val="Ttulo3"/>
        <w:spacing w:after="0" w:line="276" w:lineRule="auto"/>
        <w:jc w:val="both"/>
        <w:rPr>
          <w:rFonts w:ascii="Palatino Linotype" w:hAnsi="Palatino Linotype"/>
          <w:sz w:val="22"/>
          <w:szCs w:val="22"/>
        </w:rPr>
      </w:pPr>
      <w:r w:rsidRPr="0051515A">
        <w:rPr>
          <w:rFonts w:ascii="Palatino Linotype" w:hAnsi="Palatino Linotype"/>
          <w:sz w:val="22"/>
          <w:szCs w:val="22"/>
        </w:rPr>
        <w:t xml:space="preserve">Número de </w:t>
      </w:r>
      <w:r>
        <w:rPr>
          <w:rFonts w:ascii="Palatino Linotype" w:hAnsi="Palatino Linotype"/>
          <w:sz w:val="22"/>
          <w:szCs w:val="22"/>
        </w:rPr>
        <w:t>l</w:t>
      </w:r>
      <w:r w:rsidRPr="0051515A">
        <w:rPr>
          <w:rFonts w:ascii="Palatino Linotype" w:hAnsi="Palatino Linotype"/>
          <w:sz w:val="22"/>
          <w:szCs w:val="22"/>
        </w:rPr>
        <w:t>otes:</w:t>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b w:val="0"/>
          <w:sz w:val="22"/>
          <w:szCs w:val="22"/>
        </w:rPr>
        <w:t>17</w:t>
      </w:r>
    </w:p>
    <w:p w:rsidR="0051515A" w:rsidRPr="0051515A" w:rsidRDefault="0051515A" w:rsidP="0051515A">
      <w:pPr>
        <w:pStyle w:val="Ttulo3"/>
        <w:spacing w:after="0" w:line="276" w:lineRule="auto"/>
        <w:jc w:val="both"/>
        <w:rPr>
          <w:rFonts w:ascii="Palatino Linotype" w:hAnsi="Palatino Linotype"/>
          <w:sz w:val="22"/>
          <w:szCs w:val="22"/>
        </w:rPr>
      </w:pPr>
      <w:r w:rsidRPr="0051515A">
        <w:rPr>
          <w:rFonts w:ascii="Palatino Linotype" w:hAnsi="Palatino Linotype"/>
          <w:sz w:val="22"/>
          <w:szCs w:val="22"/>
        </w:rPr>
        <w:t xml:space="preserve">Área </w:t>
      </w:r>
      <w:r>
        <w:rPr>
          <w:rFonts w:ascii="Palatino Linotype" w:hAnsi="Palatino Linotype"/>
          <w:sz w:val="22"/>
          <w:szCs w:val="22"/>
        </w:rPr>
        <w:t>ú</w:t>
      </w:r>
      <w:r w:rsidRPr="0051515A">
        <w:rPr>
          <w:rFonts w:ascii="Palatino Linotype" w:hAnsi="Palatino Linotype"/>
          <w:sz w:val="22"/>
          <w:szCs w:val="22"/>
        </w:rPr>
        <w:t xml:space="preserve">til de </w:t>
      </w:r>
      <w:r>
        <w:rPr>
          <w:rFonts w:ascii="Palatino Linotype" w:hAnsi="Palatino Linotype"/>
          <w:sz w:val="22"/>
          <w:szCs w:val="22"/>
        </w:rPr>
        <w:t>l</w:t>
      </w:r>
      <w:r w:rsidRPr="0051515A">
        <w:rPr>
          <w:rFonts w:ascii="Palatino Linotype" w:hAnsi="Palatino Linotype"/>
          <w:sz w:val="22"/>
          <w:szCs w:val="22"/>
        </w:rPr>
        <w:t>otes:</w:t>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b w:val="0"/>
          <w:sz w:val="22"/>
          <w:szCs w:val="22"/>
        </w:rPr>
        <w:t>3.915,18 m</w:t>
      </w:r>
      <w:r w:rsidRPr="0051515A">
        <w:rPr>
          <w:rFonts w:ascii="Palatino Linotype" w:hAnsi="Palatino Linotype"/>
          <w:b w:val="0"/>
          <w:sz w:val="22"/>
          <w:szCs w:val="22"/>
          <w:vertAlign w:val="superscript"/>
        </w:rPr>
        <w:t>2</w:t>
      </w:r>
    </w:p>
    <w:p w:rsidR="0051515A" w:rsidRPr="0051515A" w:rsidRDefault="0051515A" w:rsidP="0051515A">
      <w:pPr>
        <w:pStyle w:val="Ttulo3"/>
        <w:spacing w:after="0" w:line="276" w:lineRule="auto"/>
        <w:jc w:val="both"/>
        <w:rPr>
          <w:rFonts w:ascii="Palatino Linotype" w:hAnsi="Palatino Linotype"/>
          <w:b w:val="0"/>
          <w:sz w:val="22"/>
          <w:szCs w:val="22"/>
          <w:vertAlign w:val="superscript"/>
        </w:rPr>
      </w:pPr>
      <w:r w:rsidRPr="0051515A">
        <w:rPr>
          <w:rFonts w:ascii="Palatino Linotype" w:hAnsi="Palatino Linotype"/>
          <w:sz w:val="22"/>
          <w:szCs w:val="22"/>
        </w:rPr>
        <w:t xml:space="preserve">Área de </w:t>
      </w:r>
      <w:r>
        <w:rPr>
          <w:rFonts w:ascii="Palatino Linotype" w:hAnsi="Palatino Linotype"/>
          <w:sz w:val="22"/>
          <w:szCs w:val="22"/>
        </w:rPr>
        <w:t>v</w:t>
      </w:r>
      <w:r w:rsidRPr="0051515A">
        <w:rPr>
          <w:rFonts w:ascii="Palatino Linotype" w:hAnsi="Palatino Linotype"/>
          <w:sz w:val="22"/>
          <w:szCs w:val="22"/>
        </w:rPr>
        <w:t xml:space="preserve">ías y </w:t>
      </w:r>
      <w:r>
        <w:rPr>
          <w:rFonts w:ascii="Palatino Linotype" w:hAnsi="Palatino Linotype"/>
          <w:sz w:val="22"/>
          <w:szCs w:val="22"/>
        </w:rPr>
        <w:t>p</w:t>
      </w:r>
      <w:r w:rsidRPr="0051515A">
        <w:rPr>
          <w:rFonts w:ascii="Palatino Linotype" w:hAnsi="Palatino Linotype"/>
          <w:sz w:val="22"/>
          <w:szCs w:val="22"/>
        </w:rPr>
        <w:t>asajes:</w:t>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b w:val="0"/>
          <w:sz w:val="22"/>
          <w:szCs w:val="22"/>
        </w:rPr>
        <w:t>812,58 m</w:t>
      </w:r>
      <w:r w:rsidRPr="0051515A">
        <w:rPr>
          <w:rFonts w:ascii="Palatino Linotype" w:hAnsi="Palatino Linotype"/>
          <w:b w:val="0"/>
          <w:sz w:val="22"/>
          <w:szCs w:val="22"/>
          <w:vertAlign w:val="superscript"/>
        </w:rPr>
        <w:t>2</w:t>
      </w:r>
    </w:p>
    <w:p w:rsidR="0051515A" w:rsidRPr="0051515A" w:rsidRDefault="0051515A" w:rsidP="0051515A">
      <w:pPr>
        <w:pStyle w:val="Ttulo3"/>
        <w:spacing w:after="0" w:line="276" w:lineRule="auto"/>
        <w:jc w:val="both"/>
        <w:rPr>
          <w:rFonts w:ascii="Palatino Linotype" w:hAnsi="Palatino Linotype"/>
          <w:sz w:val="22"/>
          <w:szCs w:val="22"/>
          <w:vertAlign w:val="superscript"/>
        </w:rPr>
      </w:pPr>
      <w:r w:rsidRPr="0051515A">
        <w:rPr>
          <w:rFonts w:ascii="Palatino Linotype" w:hAnsi="Palatino Linotype"/>
          <w:sz w:val="22"/>
          <w:szCs w:val="22"/>
        </w:rPr>
        <w:t xml:space="preserve">Área </w:t>
      </w:r>
      <w:r>
        <w:rPr>
          <w:rFonts w:ascii="Palatino Linotype" w:hAnsi="Palatino Linotype"/>
          <w:sz w:val="22"/>
          <w:szCs w:val="22"/>
        </w:rPr>
        <w:t>t</w:t>
      </w:r>
      <w:r w:rsidRPr="0051515A">
        <w:rPr>
          <w:rFonts w:ascii="Palatino Linotype" w:hAnsi="Palatino Linotype"/>
          <w:sz w:val="22"/>
          <w:szCs w:val="22"/>
        </w:rPr>
        <w:t xml:space="preserve">otal del </w:t>
      </w:r>
      <w:r>
        <w:rPr>
          <w:rFonts w:ascii="Palatino Linotype" w:hAnsi="Palatino Linotype"/>
          <w:sz w:val="22"/>
          <w:szCs w:val="22"/>
        </w:rPr>
        <w:t>p</w:t>
      </w:r>
      <w:r w:rsidRPr="0051515A">
        <w:rPr>
          <w:rFonts w:ascii="Palatino Linotype" w:hAnsi="Palatino Linotype"/>
          <w:sz w:val="22"/>
          <w:szCs w:val="22"/>
        </w:rPr>
        <w:t>redio</w:t>
      </w:r>
      <w:r>
        <w:rPr>
          <w:rFonts w:ascii="Palatino Linotype" w:hAnsi="Palatino Linotype"/>
          <w:sz w:val="22"/>
          <w:szCs w:val="22"/>
        </w:rPr>
        <w:t xml:space="preserve"> </w:t>
      </w:r>
      <w:r w:rsidRPr="0051515A">
        <w:rPr>
          <w:rFonts w:ascii="Palatino Linotype" w:hAnsi="Palatino Linotype"/>
          <w:sz w:val="22"/>
          <w:szCs w:val="22"/>
        </w:rPr>
        <w:t>(lev.</w:t>
      </w:r>
      <w:r>
        <w:rPr>
          <w:rFonts w:ascii="Palatino Linotype" w:hAnsi="Palatino Linotype"/>
          <w:sz w:val="22"/>
          <w:szCs w:val="22"/>
        </w:rPr>
        <w:t xml:space="preserve"> </w:t>
      </w:r>
      <w:proofErr w:type="spellStart"/>
      <w:r w:rsidRPr="0051515A">
        <w:rPr>
          <w:rFonts w:ascii="Palatino Linotype" w:hAnsi="Palatino Linotype"/>
          <w:sz w:val="22"/>
          <w:szCs w:val="22"/>
        </w:rPr>
        <w:t>topog</w:t>
      </w:r>
      <w:proofErr w:type="spellEnd"/>
      <w:r w:rsidRPr="0051515A">
        <w:rPr>
          <w:rFonts w:ascii="Palatino Linotype" w:hAnsi="Palatino Linotype"/>
          <w:sz w:val="22"/>
          <w:szCs w:val="22"/>
        </w:rPr>
        <w:t>):</w:t>
      </w:r>
      <w:r w:rsidRPr="0051515A">
        <w:rPr>
          <w:rFonts w:ascii="Palatino Linotype" w:hAnsi="Palatino Linotype"/>
          <w:sz w:val="22"/>
          <w:szCs w:val="22"/>
        </w:rPr>
        <w:tab/>
      </w:r>
      <w:r w:rsidRPr="0051515A">
        <w:rPr>
          <w:rFonts w:ascii="Palatino Linotype" w:hAnsi="Palatino Linotype"/>
          <w:sz w:val="22"/>
          <w:szCs w:val="22"/>
        </w:rPr>
        <w:tab/>
      </w:r>
      <w:r w:rsidRPr="0051515A">
        <w:rPr>
          <w:rFonts w:ascii="Palatino Linotype" w:hAnsi="Palatino Linotype"/>
          <w:b w:val="0"/>
          <w:sz w:val="22"/>
          <w:szCs w:val="22"/>
        </w:rPr>
        <w:t>4.727,76 m</w:t>
      </w:r>
      <w:r w:rsidRPr="0051515A">
        <w:rPr>
          <w:rFonts w:ascii="Palatino Linotype" w:hAnsi="Palatino Linotype"/>
          <w:b w:val="0"/>
          <w:sz w:val="22"/>
          <w:szCs w:val="22"/>
          <w:vertAlign w:val="superscript"/>
        </w:rPr>
        <w:t>2</w:t>
      </w:r>
    </w:p>
    <w:p w:rsidR="0051515A" w:rsidRPr="0051515A" w:rsidRDefault="0051515A" w:rsidP="0051515A">
      <w:pPr>
        <w:pStyle w:val="Ttulo3"/>
        <w:spacing w:after="0" w:line="276" w:lineRule="auto"/>
        <w:jc w:val="both"/>
        <w:rPr>
          <w:rFonts w:ascii="Palatino Linotype" w:hAnsi="Palatino Linotype"/>
          <w:b w:val="0"/>
          <w:sz w:val="22"/>
          <w:szCs w:val="22"/>
          <w:vertAlign w:val="superscript"/>
          <w:lang w:val="es-MX"/>
        </w:rPr>
      </w:pPr>
      <w:r w:rsidRPr="0051515A">
        <w:rPr>
          <w:rFonts w:ascii="Palatino Linotype" w:hAnsi="Palatino Linotype"/>
          <w:sz w:val="22"/>
          <w:szCs w:val="22"/>
        </w:rPr>
        <w:t>Área de</w:t>
      </w:r>
      <w:r>
        <w:rPr>
          <w:rFonts w:ascii="Palatino Linotype" w:hAnsi="Palatino Linotype"/>
          <w:sz w:val="22"/>
          <w:szCs w:val="22"/>
        </w:rPr>
        <w:t>l</w:t>
      </w:r>
      <w:r w:rsidRPr="0051515A">
        <w:rPr>
          <w:rFonts w:ascii="Palatino Linotype" w:hAnsi="Palatino Linotype"/>
          <w:sz w:val="22"/>
          <w:szCs w:val="22"/>
        </w:rPr>
        <w:t xml:space="preserve"> </w:t>
      </w:r>
      <w:r>
        <w:rPr>
          <w:rFonts w:ascii="Palatino Linotype" w:hAnsi="Palatino Linotype"/>
          <w:sz w:val="22"/>
          <w:szCs w:val="22"/>
        </w:rPr>
        <w:t>p</w:t>
      </w:r>
      <w:r w:rsidRPr="0051515A">
        <w:rPr>
          <w:rFonts w:ascii="Palatino Linotype" w:hAnsi="Palatino Linotype"/>
          <w:sz w:val="22"/>
          <w:szCs w:val="22"/>
        </w:rPr>
        <w:t>redio (</w:t>
      </w:r>
      <w:r>
        <w:rPr>
          <w:rFonts w:ascii="Palatino Linotype" w:hAnsi="Palatino Linotype"/>
          <w:sz w:val="22"/>
          <w:szCs w:val="22"/>
        </w:rPr>
        <w:t>e</w:t>
      </w:r>
      <w:r w:rsidRPr="0051515A">
        <w:rPr>
          <w:rFonts w:ascii="Palatino Linotype" w:hAnsi="Palatino Linotype"/>
          <w:sz w:val="22"/>
          <w:szCs w:val="22"/>
        </w:rPr>
        <w:t>scrit.):</w:t>
      </w:r>
      <w:r w:rsidRPr="0051515A">
        <w:rPr>
          <w:rFonts w:ascii="Palatino Linotype" w:hAnsi="Palatino Linotype"/>
          <w:sz w:val="22"/>
          <w:szCs w:val="22"/>
        </w:rPr>
        <w:tab/>
      </w:r>
      <w:r w:rsidRPr="0051515A">
        <w:rPr>
          <w:rFonts w:ascii="Palatino Linotype" w:hAnsi="Palatino Linotype"/>
          <w:sz w:val="22"/>
          <w:szCs w:val="22"/>
        </w:rPr>
        <w:tab/>
      </w:r>
      <w:r>
        <w:rPr>
          <w:rFonts w:ascii="Palatino Linotype" w:hAnsi="Palatino Linotype"/>
          <w:sz w:val="22"/>
          <w:szCs w:val="22"/>
        </w:rPr>
        <w:tab/>
      </w:r>
      <w:r w:rsidRPr="0051515A">
        <w:rPr>
          <w:rFonts w:ascii="Palatino Linotype" w:hAnsi="Palatino Linotype"/>
          <w:b w:val="0"/>
          <w:sz w:val="22"/>
          <w:szCs w:val="22"/>
        </w:rPr>
        <w:t>4.678,65</w:t>
      </w:r>
      <w:r w:rsidRPr="0051515A">
        <w:rPr>
          <w:rFonts w:ascii="Palatino Linotype" w:hAnsi="Palatino Linotype"/>
          <w:b w:val="0"/>
          <w:sz w:val="22"/>
          <w:szCs w:val="22"/>
          <w:lang w:val="es-MX"/>
        </w:rPr>
        <w:t xml:space="preserve"> m</w:t>
      </w:r>
      <w:r w:rsidRPr="0051515A">
        <w:rPr>
          <w:rFonts w:ascii="Palatino Linotype" w:hAnsi="Palatino Linotype"/>
          <w:b w:val="0"/>
          <w:sz w:val="22"/>
          <w:szCs w:val="22"/>
          <w:vertAlign w:val="superscript"/>
          <w:lang w:val="es-MX"/>
        </w:rPr>
        <w:t>2</w:t>
      </w:r>
    </w:p>
    <w:p w:rsidR="0051515A" w:rsidRPr="0051515A" w:rsidRDefault="0051515A" w:rsidP="0051515A">
      <w:pPr>
        <w:spacing w:before="240" w:line="276" w:lineRule="auto"/>
        <w:jc w:val="both"/>
        <w:rPr>
          <w:rFonts w:ascii="Palatino Linotype" w:hAnsi="Palatino Linotype" w:cs="Arial"/>
          <w:sz w:val="22"/>
          <w:szCs w:val="22"/>
        </w:rPr>
      </w:pPr>
      <w:r w:rsidRPr="00B452F1">
        <w:rPr>
          <w:rFonts w:ascii="Palatino Linotype" w:hAnsi="Palatino Linotype"/>
          <w:sz w:val="22"/>
          <w:szCs w:val="22"/>
          <w:lang w:val="es-EC"/>
        </w:rPr>
        <w:t>El número total de lotes es de</w:t>
      </w:r>
      <w:r w:rsidRPr="0051515A">
        <w:rPr>
          <w:rFonts w:ascii="Palatino Linotype" w:hAnsi="Palatino Linotype" w:cs="Arial"/>
          <w:sz w:val="22"/>
          <w:szCs w:val="22"/>
        </w:rPr>
        <w:t xml:space="preserve"> 17</w:t>
      </w:r>
      <w:r>
        <w:rPr>
          <w:rFonts w:ascii="Palatino Linotype" w:hAnsi="Palatino Linotype" w:cs="Arial"/>
          <w:sz w:val="22"/>
          <w:szCs w:val="22"/>
        </w:rPr>
        <w:t>,</w:t>
      </w:r>
      <w:r w:rsidRPr="0051515A">
        <w:rPr>
          <w:rFonts w:ascii="Palatino Linotype" w:hAnsi="Palatino Linotype" w:cs="Arial"/>
          <w:sz w:val="22"/>
          <w:szCs w:val="22"/>
        </w:rPr>
        <w:t xml:space="preserve"> signados del uno (1) al diecisiete (17), cuyo detalle es el que consta en los planos aprobatorios que forman parte de la presente Ordenanza.</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b/>
          <w:bCs/>
          <w:sz w:val="22"/>
          <w:szCs w:val="22"/>
        </w:rPr>
        <w:t xml:space="preserve">Artículo 3.- Zonificación de los </w:t>
      </w:r>
      <w:r>
        <w:rPr>
          <w:rFonts w:ascii="Palatino Linotype" w:hAnsi="Palatino Linotype"/>
          <w:b/>
          <w:bCs/>
          <w:sz w:val="22"/>
          <w:szCs w:val="22"/>
        </w:rPr>
        <w:t>n</w:t>
      </w:r>
      <w:r w:rsidRPr="0051515A">
        <w:rPr>
          <w:rFonts w:ascii="Palatino Linotype" w:hAnsi="Palatino Linotype"/>
          <w:b/>
          <w:bCs/>
          <w:sz w:val="22"/>
          <w:szCs w:val="22"/>
        </w:rPr>
        <w:t xml:space="preserve">uevos </w:t>
      </w:r>
      <w:r>
        <w:rPr>
          <w:rFonts w:ascii="Palatino Linotype" w:hAnsi="Palatino Linotype"/>
          <w:b/>
          <w:bCs/>
          <w:sz w:val="22"/>
          <w:szCs w:val="22"/>
        </w:rPr>
        <w:t>l</w:t>
      </w:r>
      <w:r w:rsidRPr="0051515A">
        <w:rPr>
          <w:rFonts w:ascii="Palatino Linotype" w:hAnsi="Palatino Linotype"/>
          <w:b/>
          <w:bCs/>
          <w:sz w:val="22"/>
          <w:szCs w:val="22"/>
        </w:rPr>
        <w:t xml:space="preserve">otes.- </w:t>
      </w:r>
      <w:r w:rsidR="001448D6">
        <w:rPr>
          <w:rFonts w:ascii="Palatino Linotype" w:hAnsi="Palatino Linotype" w:cs="Arial"/>
          <w:bCs/>
          <w:sz w:val="22"/>
          <w:szCs w:val="22"/>
        </w:rPr>
        <w:t>L</w:t>
      </w:r>
      <w:r>
        <w:rPr>
          <w:rFonts w:ascii="Palatino Linotype" w:hAnsi="Palatino Linotype" w:cs="Arial"/>
          <w:bCs/>
          <w:sz w:val="22"/>
          <w:szCs w:val="22"/>
        </w:rPr>
        <w:t xml:space="preserve">os lotes fraccionados </w:t>
      </w:r>
      <w:r w:rsidR="001448D6">
        <w:rPr>
          <w:rFonts w:ascii="Palatino Linotype" w:hAnsi="Palatino Linotype" w:cs="Arial"/>
          <w:bCs/>
          <w:sz w:val="22"/>
          <w:szCs w:val="22"/>
        </w:rPr>
        <w:t xml:space="preserve">mantendrán </w:t>
      </w:r>
      <w:r>
        <w:rPr>
          <w:rFonts w:ascii="Palatino Linotype" w:hAnsi="Palatino Linotype" w:cs="Arial"/>
          <w:bCs/>
          <w:sz w:val="22"/>
          <w:szCs w:val="22"/>
        </w:rPr>
        <w:t xml:space="preserve">la siguiente </w:t>
      </w:r>
      <w:r w:rsidRPr="00EC5BA1">
        <w:rPr>
          <w:rFonts w:ascii="Palatino Linotype" w:hAnsi="Palatino Linotype"/>
          <w:sz w:val="22"/>
          <w:szCs w:val="22"/>
          <w:lang w:val="es-EC"/>
        </w:rPr>
        <w:t>zonificación:</w:t>
      </w:r>
      <w:r>
        <w:rPr>
          <w:rFonts w:ascii="Palatino Linotype" w:hAnsi="Palatino Linotype"/>
          <w:sz w:val="22"/>
          <w:szCs w:val="22"/>
          <w:lang w:val="es-EC"/>
        </w:rPr>
        <w:t xml:space="preserve"> </w:t>
      </w:r>
      <w:r w:rsidRPr="0051515A">
        <w:rPr>
          <w:rFonts w:ascii="Palatino Linotype" w:hAnsi="Palatino Linotype"/>
          <w:sz w:val="22"/>
          <w:szCs w:val="22"/>
        </w:rPr>
        <w:t>A8 (A603-35); forma de ocupación: (A) Aislada; lote mínimo</w:t>
      </w:r>
      <w:r>
        <w:rPr>
          <w:rFonts w:ascii="Palatino Linotype" w:hAnsi="Palatino Linotype"/>
          <w:sz w:val="22"/>
          <w:szCs w:val="22"/>
        </w:rPr>
        <w:t>:</w:t>
      </w:r>
      <w:r w:rsidRPr="0051515A">
        <w:rPr>
          <w:rFonts w:ascii="Palatino Linotype" w:hAnsi="Palatino Linotype"/>
          <w:sz w:val="22"/>
          <w:szCs w:val="22"/>
        </w:rPr>
        <w:t xml:space="preserve"> 600 m</w:t>
      </w:r>
      <w:r w:rsidRPr="0051515A">
        <w:rPr>
          <w:rFonts w:ascii="Palatino Linotype" w:hAnsi="Palatino Linotype"/>
          <w:sz w:val="22"/>
          <w:szCs w:val="22"/>
          <w:vertAlign w:val="superscript"/>
        </w:rPr>
        <w:t>2</w:t>
      </w:r>
      <w:r w:rsidRPr="0051515A">
        <w:rPr>
          <w:rFonts w:ascii="Palatino Linotype" w:hAnsi="Palatino Linotype"/>
          <w:sz w:val="22"/>
          <w:szCs w:val="22"/>
        </w:rPr>
        <w:t>; número de pisos: 3; COS planta baja</w:t>
      </w:r>
      <w:r>
        <w:rPr>
          <w:rFonts w:ascii="Palatino Linotype" w:hAnsi="Palatino Linotype"/>
          <w:sz w:val="22"/>
          <w:szCs w:val="22"/>
        </w:rPr>
        <w:t>:</w:t>
      </w:r>
      <w:r w:rsidRPr="0051515A">
        <w:rPr>
          <w:rFonts w:ascii="Palatino Linotype" w:hAnsi="Palatino Linotype"/>
          <w:sz w:val="22"/>
          <w:szCs w:val="22"/>
        </w:rPr>
        <w:t xml:space="preserve"> 35%, COS total</w:t>
      </w:r>
      <w:r>
        <w:rPr>
          <w:rFonts w:ascii="Palatino Linotype" w:hAnsi="Palatino Linotype"/>
          <w:sz w:val="22"/>
          <w:szCs w:val="22"/>
        </w:rPr>
        <w:t>:</w:t>
      </w:r>
      <w:r w:rsidRPr="0051515A">
        <w:rPr>
          <w:rFonts w:ascii="Palatino Linotype" w:hAnsi="Palatino Linotype"/>
          <w:sz w:val="22"/>
          <w:szCs w:val="22"/>
        </w:rPr>
        <w:t xml:space="preserve"> 105%; clasificación del suelo: (SU) Suelo Urbano; Uso principal: (R2) Residencia mediana densidad.</w:t>
      </w:r>
    </w:p>
    <w:p w:rsidR="0051515A" w:rsidRPr="0051515A" w:rsidRDefault="0051515A" w:rsidP="0051515A">
      <w:pPr>
        <w:spacing w:before="240" w:line="276" w:lineRule="auto"/>
        <w:jc w:val="both"/>
        <w:rPr>
          <w:rFonts w:ascii="Palatino Linotype" w:hAnsi="Palatino Linotype" w:cs="Arial"/>
          <w:bCs/>
          <w:sz w:val="22"/>
          <w:szCs w:val="22"/>
        </w:rPr>
      </w:pPr>
      <w:r w:rsidRPr="0051515A">
        <w:rPr>
          <w:rFonts w:ascii="Palatino Linotype" w:hAnsi="Palatino Linotype" w:cs="Arial"/>
          <w:b/>
          <w:bCs/>
          <w:sz w:val="22"/>
          <w:szCs w:val="22"/>
        </w:rPr>
        <w:t xml:space="preserve">Artículo 4.- </w:t>
      </w:r>
      <w:r w:rsidRPr="0051515A">
        <w:rPr>
          <w:rFonts w:ascii="Palatino Linotype" w:hAnsi="Palatino Linotype" w:cs="Arial"/>
          <w:b/>
          <w:sz w:val="22"/>
          <w:szCs w:val="22"/>
        </w:rPr>
        <w:t>Lotes por excepción</w:t>
      </w:r>
      <w:r w:rsidRPr="0051515A">
        <w:rPr>
          <w:rFonts w:ascii="Palatino Linotype" w:hAnsi="Palatino Linotype" w:cs="Arial"/>
          <w:b/>
          <w:bCs/>
          <w:sz w:val="22"/>
          <w:szCs w:val="22"/>
        </w:rPr>
        <w:t xml:space="preserve">.- </w:t>
      </w:r>
      <w:r w:rsidRPr="0051515A">
        <w:rPr>
          <w:rFonts w:ascii="Palatino Linotype" w:hAnsi="Palatino Linotype" w:cs="Arial"/>
          <w:bCs/>
          <w:sz w:val="22"/>
          <w:szCs w:val="22"/>
        </w:rPr>
        <w:t>Por tratarse de un asentamiento humano de hecho y consolidado, se aprueban por excepción los siguientes lotes: 1, 2, 3, 4, 5, 6, 7, 8, 9, 10, 11, 12, 13, 14, 15, 16 y 17.</w:t>
      </w:r>
    </w:p>
    <w:p w:rsidR="0051515A" w:rsidRPr="0051515A" w:rsidRDefault="0051515A" w:rsidP="0051515A">
      <w:pPr>
        <w:spacing w:before="240" w:line="276" w:lineRule="auto"/>
        <w:jc w:val="both"/>
        <w:rPr>
          <w:rFonts w:ascii="Palatino Linotype" w:hAnsi="Palatino Linotype" w:cs="Arial"/>
          <w:bCs/>
          <w:sz w:val="22"/>
          <w:szCs w:val="22"/>
        </w:rPr>
      </w:pPr>
      <w:r w:rsidRPr="0051515A">
        <w:rPr>
          <w:rFonts w:ascii="Palatino Linotype" w:hAnsi="Palatino Linotype" w:cs="Arial"/>
          <w:b/>
          <w:bCs/>
          <w:sz w:val="22"/>
          <w:szCs w:val="22"/>
        </w:rPr>
        <w:t xml:space="preserve">Artículo 5.- Diferencia y/o </w:t>
      </w:r>
      <w:r>
        <w:rPr>
          <w:rFonts w:ascii="Palatino Linotype" w:hAnsi="Palatino Linotype" w:cs="Arial"/>
          <w:b/>
          <w:bCs/>
          <w:sz w:val="22"/>
          <w:szCs w:val="22"/>
        </w:rPr>
        <w:t>e</w:t>
      </w:r>
      <w:r w:rsidRPr="0051515A">
        <w:rPr>
          <w:rFonts w:ascii="Palatino Linotype" w:hAnsi="Palatino Linotype" w:cs="Arial"/>
          <w:b/>
          <w:bCs/>
          <w:sz w:val="22"/>
          <w:szCs w:val="22"/>
        </w:rPr>
        <w:t xml:space="preserve">xcedente de área.- </w:t>
      </w:r>
      <w:r w:rsidRPr="0051515A">
        <w:rPr>
          <w:rFonts w:ascii="Palatino Linotype" w:hAnsi="Palatino Linotype" w:cs="Arial"/>
          <w:bCs/>
          <w:sz w:val="22"/>
          <w:szCs w:val="22"/>
        </w:rPr>
        <w:t xml:space="preserve">Por cuanto dentro del proceso de regularización se detectó la existencia de una variación de área, previo a la protocolización e inscripción de la presente Ordenanza se deberá regularizar el área, de conformidad con lo establecido en la </w:t>
      </w:r>
      <w:r>
        <w:rPr>
          <w:rFonts w:ascii="Palatino Linotype" w:hAnsi="Palatino Linotype" w:cs="Arial"/>
          <w:bCs/>
          <w:sz w:val="22"/>
          <w:szCs w:val="22"/>
        </w:rPr>
        <w:t>d</w:t>
      </w:r>
      <w:r w:rsidRPr="0051515A">
        <w:rPr>
          <w:rFonts w:ascii="Palatino Linotype" w:hAnsi="Palatino Linotype" w:cs="Arial"/>
          <w:bCs/>
          <w:sz w:val="22"/>
          <w:szCs w:val="22"/>
        </w:rPr>
        <w:t xml:space="preserve">isposición </w:t>
      </w:r>
      <w:r>
        <w:rPr>
          <w:rFonts w:ascii="Palatino Linotype" w:hAnsi="Palatino Linotype" w:cs="Arial"/>
          <w:bCs/>
          <w:sz w:val="22"/>
          <w:szCs w:val="22"/>
        </w:rPr>
        <w:t>g</w:t>
      </w:r>
      <w:r w:rsidRPr="0051515A">
        <w:rPr>
          <w:rFonts w:ascii="Palatino Linotype" w:hAnsi="Palatino Linotype" w:cs="Arial"/>
          <w:bCs/>
          <w:sz w:val="22"/>
          <w:szCs w:val="22"/>
        </w:rPr>
        <w:t xml:space="preserve">eneral </w:t>
      </w:r>
      <w:r>
        <w:rPr>
          <w:rFonts w:ascii="Palatino Linotype" w:hAnsi="Palatino Linotype" w:cs="Arial"/>
          <w:bCs/>
          <w:sz w:val="22"/>
          <w:szCs w:val="22"/>
        </w:rPr>
        <w:t>s</w:t>
      </w:r>
      <w:r w:rsidRPr="0051515A">
        <w:rPr>
          <w:rFonts w:ascii="Palatino Linotype" w:hAnsi="Palatino Linotype" w:cs="Arial"/>
          <w:bCs/>
          <w:sz w:val="22"/>
          <w:szCs w:val="22"/>
        </w:rPr>
        <w:t>egunda de la Ordenanza Metropolitana No. 269, sancionada el 30 de julio de 2012.</w:t>
      </w:r>
    </w:p>
    <w:p w:rsidR="0051515A" w:rsidRPr="0051515A" w:rsidRDefault="0051515A" w:rsidP="0051515A">
      <w:pPr>
        <w:spacing w:before="240" w:line="276" w:lineRule="auto"/>
        <w:jc w:val="both"/>
        <w:rPr>
          <w:rFonts w:ascii="Palatino Linotype" w:hAnsi="Palatino Linotype" w:cs="Arial"/>
          <w:iCs/>
          <w:sz w:val="22"/>
          <w:szCs w:val="22"/>
        </w:rPr>
      </w:pPr>
      <w:r w:rsidRPr="0051515A">
        <w:rPr>
          <w:rFonts w:ascii="Palatino Linotype" w:hAnsi="Palatino Linotype" w:cs="Arial"/>
          <w:b/>
          <w:bCs/>
          <w:sz w:val="22"/>
          <w:szCs w:val="22"/>
        </w:rPr>
        <w:t xml:space="preserve">Artículo 6.- De las vías.- </w:t>
      </w:r>
      <w:r>
        <w:rPr>
          <w:rFonts w:ascii="Palatino Linotype" w:hAnsi="Palatino Linotype" w:cs="Arial"/>
          <w:bCs/>
          <w:iCs/>
          <w:sz w:val="22"/>
          <w:szCs w:val="22"/>
        </w:rPr>
        <w:t>El a</w:t>
      </w:r>
      <w:r w:rsidRPr="0051515A">
        <w:rPr>
          <w:rFonts w:ascii="Palatino Linotype" w:hAnsi="Palatino Linotype" w:cs="Arial"/>
          <w:bCs/>
          <w:iCs/>
          <w:sz w:val="22"/>
          <w:szCs w:val="22"/>
        </w:rPr>
        <w:t xml:space="preserve">sentamiento </w:t>
      </w:r>
      <w:r>
        <w:rPr>
          <w:rFonts w:ascii="Palatino Linotype" w:hAnsi="Palatino Linotype" w:cs="Arial"/>
          <w:bCs/>
          <w:iCs/>
          <w:sz w:val="22"/>
          <w:szCs w:val="22"/>
        </w:rPr>
        <w:t>h</w:t>
      </w:r>
      <w:r w:rsidRPr="0051515A">
        <w:rPr>
          <w:rFonts w:ascii="Palatino Linotype" w:hAnsi="Palatino Linotype" w:cs="Arial"/>
          <w:bCs/>
          <w:iCs/>
          <w:sz w:val="22"/>
          <w:szCs w:val="22"/>
        </w:rPr>
        <w:t xml:space="preserve">umano de </w:t>
      </w:r>
      <w:r>
        <w:rPr>
          <w:rFonts w:ascii="Palatino Linotype" w:hAnsi="Palatino Linotype" w:cs="Arial"/>
          <w:bCs/>
          <w:iCs/>
          <w:sz w:val="22"/>
          <w:szCs w:val="22"/>
        </w:rPr>
        <w:t>h</w:t>
      </w:r>
      <w:r w:rsidRPr="0051515A">
        <w:rPr>
          <w:rFonts w:ascii="Palatino Linotype" w:hAnsi="Palatino Linotype" w:cs="Arial"/>
          <w:bCs/>
          <w:iCs/>
          <w:sz w:val="22"/>
          <w:szCs w:val="22"/>
        </w:rPr>
        <w:t xml:space="preserve">echo y </w:t>
      </w:r>
      <w:r>
        <w:rPr>
          <w:rFonts w:ascii="Palatino Linotype" w:hAnsi="Palatino Linotype" w:cs="Arial"/>
          <w:bCs/>
          <w:iCs/>
          <w:sz w:val="22"/>
          <w:szCs w:val="22"/>
        </w:rPr>
        <w:t>c</w:t>
      </w:r>
      <w:r w:rsidRPr="0051515A">
        <w:rPr>
          <w:rFonts w:ascii="Palatino Linotype" w:hAnsi="Palatino Linotype" w:cs="Arial"/>
          <w:bCs/>
          <w:iCs/>
          <w:sz w:val="22"/>
          <w:szCs w:val="22"/>
        </w:rPr>
        <w:t xml:space="preserve">onsolidado </w:t>
      </w:r>
      <w:r w:rsidRPr="0051515A">
        <w:rPr>
          <w:rFonts w:ascii="Palatino Linotype" w:hAnsi="Palatino Linotype" w:cs="Arial"/>
          <w:iCs/>
          <w:sz w:val="22"/>
          <w:szCs w:val="22"/>
        </w:rPr>
        <w:t>contempla un sistema vial de uso público, internamente la trama vial se encuentra acorde a lo que establece l</w:t>
      </w:r>
      <w:r>
        <w:rPr>
          <w:rFonts w:ascii="Palatino Linotype" w:hAnsi="Palatino Linotype" w:cs="Arial"/>
          <w:iCs/>
          <w:sz w:val="22"/>
          <w:szCs w:val="22"/>
        </w:rPr>
        <w:t>a normativa vigente. Sin embargo,</w:t>
      </w:r>
      <w:r w:rsidRPr="0051515A">
        <w:rPr>
          <w:rFonts w:ascii="Palatino Linotype" w:hAnsi="Palatino Linotype" w:cs="Arial"/>
          <w:iCs/>
          <w:sz w:val="22"/>
          <w:szCs w:val="22"/>
        </w:rPr>
        <w:t xml:space="preserve"> cuenta con una consolidación del 82</w:t>
      </w:r>
      <w:r>
        <w:rPr>
          <w:rFonts w:ascii="Palatino Linotype" w:hAnsi="Palatino Linotype" w:cs="Arial"/>
          <w:iCs/>
          <w:sz w:val="22"/>
          <w:szCs w:val="22"/>
        </w:rPr>
        <w:t>,</w:t>
      </w:r>
      <w:r w:rsidRPr="0051515A">
        <w:rPr>
          <w:rFonts w:ascii="Palatino Linotype" w:hAnsi="Palatino Linotype" w:cs="Arial"/>
          <w:iCs/>
          <w:sz w:val="22"/>
          <w:szCs w:val="22"/>
        </w:rPr>
        <w:t>35</w:t>
      </w:r>
      <w:r w:rsidRPr="0051515A">
        <w:rPr>
          <w:rFonts w:ascii="Palatino Linotype" w:hAnsi="Palatino Linotype" w:cs="Arial"/>
          <w:color w:val="000000" w:themeColor="text1"/>
          <w:sz w:val="22"/>
          <w:szCs w:val="22"/>
        </w:rPr>
        <w:t>%</w:t>
      </w:r>
      <w:r w:rsidRPr="0051515A">
        <w:rPr>
          <w:rFonts w:ascii="Palatino Linotype" w:hAnsi="Palatino Linotype" w:cs="Arial"/>
          <w:iCs/>
          <w:sz w:val="22"/>
          <w:szCs w:val="22"/>
        </w:rPr>
        <w:t xml:space="preserve">, más </w:t>
      </w:r>
      <w:r w:rsidRPr="0051515A">
        <w:rPr>
          <w:rFonts w:ascii="Palatino Linotype" w:hAnsi="Palatino Linotype" w:cs="Arial"/>
          <w:iCs/>
          <w:sz w:val="22"/>
          <w:szCs w:val="22"/>
        </w:rPr>
        <w:lastRenderedPageBreak/>
        <w:t>de 20 años de existencia y se encuentra ejecutando obras de infraestructura</w:t>
      </w:r>
      <w:r>
        <w:rPr>
          <w:rFonts w:ascii="Palatino Linotype" w:hAnsi="Palatino Linotype" w:cs="Arial"/>
          <w:iCs/>
          <w:sz w:val="22"/>
          <w:szCs w:val="22"/>
        </w:rPr>
        <w:t>,</w:t>
      </w:r>
      <w:r w:rsidRPr="0051515A">
        <w:rPr>
          <w:rFonts w:ascii="Palatino Linotype" w:hAnsi="Palatino Linotype" w:cs="Arial"/>
          <w:iCs/>
          <w:sz w:val="22"/>
          <w:szCs w:val="22"/>
        </w:rPr>
        <w:t xml:space="preserve"> razón por la cual los anchos viales se sujetarán al plano adjunto a la presente </w:t>
      </w:r>
      <w:r>
        <w:rPr>
          <w:rFonts w:ascii="Palatino Linotype" w:hAnsi="Palatino Linotype" w:cs="Arial"/>
          <w:iCs/>
          <w:sz w:val="22"/>
          <w:szCs w:val="22"/>
        </w:rPr>
        <w:t>O</w:t>
      </w:r>
      <w:r w:rsidRPr="0051515A">
        <w:rPr>
          <w:rFonts w:ascii="Palatino Linotype" w:hAnsi="Palatino Linotype" w:cs="Arial"/>
          <w:iCs/>
          <w:sz w:val="22"/>
          <w:szCs w:val="22"/>
        </w:rPr>
        <w:t>rdenanza.</w:t>
      </w:r>
    </w:p>
    <w:p w:rsidR="0051515A" w:rsidRDefault="0051515A" w:rsidP="0051515A">
      <w:pPr>
        <w:spacing w:before="240" w:line="276" w:lineRule="auto"/>
        <w:jc w:val="both"/>
        <w:rPr>
          <w:rFonts w:ascii="Palatino Linotype" w:hAnsi="Palatino Linotype" w:cs="Arial"/>
          <w:iCs/>
          <w:sz w:val="22"/>
          <w:szCs w:val="22"/>
        </w:rPr>
      </w:pPr>
      <w:r w:rsidRPr="0051515A">
        <w:rPr>
          <w:rFonts w:ascii="Palatino Linotype" w:hAnsi="Palatino Linotype" w:cs="Arial"/>
          <w:iCs/>
          <w:sz w:val="22"/>
          <w:szCs w:val="22"/>
        </w:rPr>
        <w:t>Lo</w:t>
      </w:r>
      <w:r w:rsidR="001448D6">
        <w:rPr>
          <w:rFonts w:ascii="Palatino Linotype" w:hAnsi="Palatino Linotype" w:cs="Arial"/>
          <w:iCs/>
          <w:sz w:val="22"/>
          <w:szCs w:val="22"/>
        </w:rPr>
        <w:t>s pasajes que se aprueban son lo</w:t>
      </w:r>
      <w:r w:rsidRPr="0051515A">
        <w:rPr>
          <w:rFonts w:ascii="Palatino Linotype" w:hAnsi="Palatino Linotype" w:cs="Arial"/>
          <w:iCs/>
          <w:sz w:val="22"/>
          <w:szCs w:val="22"/>
        </w:rPr>
        <w:t>s siguientes:</w:t>
      </w:r>
    </w:p>
    <w:p w:rsid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sz w:val="22"/>
          <w:szCs w:val="22"/>
        </w:rPr>
        <w:t>Pasaje Oe3D</w:t>
      </w:r>
      <w:r>
        <w:rPr>
          <w:rFonts w:ascii="Palatino Linotype" w:hAnsi="Palatino Linotype" w:cs="Arial"/>
          <w:sz w:val="22"/>
          <w:szCs w:val="22"/>
        </w:rPr>
        <w:t>:</w:t>
      </w:r>
      <w:r w:rsidRPr="0051515A">
        <w:rPr>
          <w:rFonts w:ascii="Palatino Linotype" w:hAnsi="Palatino Linotype" w:cs="Arial"/>
          <w:sz w:val="22"/>
          <w:szCs w:val="22"/>
        </w:rPr>
        <w:t xml:space="preserve">    </w:t>
      </w:r>
      <w:r>
        <w:rPr>
          <w:rFonts w:ascii="Palatino Linotype" w:hAnsi="Palatino Linotype" w:cs="Arial"/>
          <w:sz w:val="22"/>
          <w:szCs w:val="22"/>
        </w:rPr>
        <w:tab/>
      </w:r>
      <w:r w:rsidRPr="0051515A">
        <w:rPr>
          <w:rFonts w:ascii="Palatino Linotype" w:hAnsi="Palatino Linotype" w:cs="Arial"/>
          <w:sz w:val="22"/>
          <w:szCs w:val="22"/>
        </w:rPr>
        <w:t>variable de 5,84</w:t>
      </w:r>
      <w:r>
        <w:rPr>
          <w:rFonts w:ascii="Palatino Linotype" w:hAnsi="Palatino Linotype" w:cs="Arial"/>
          <w:sz w:val="22"/>
          <w:szCs w:val="22"/>
        </w:rPr>
        <w:t xml:space="preserve"> </w:t>
      </w:r>
      <w:r w:rsidRPr="0051515A">
        <w:rPr>
          <w:rFonts w:ascii="Palatino Linotype" w:hAnsi="Palatino Linotype" w:cs="Arial"/>
          <w:sz w:val="22"/>
          <w:szCs w:val="22"/>
        </w:rPr>
        <w:t>m a 5</w:t>
      </w:r>
      <w:r>
        <w:rPr>
          <w:rFonts w:ascii="Palatino Linotype" w:hAnsi="Palatino Linotype" w:cs="Arial"/>
          <w:sz w:val="22"/>
          <w:szCs w:val="22"/>
        </w:rPr>
        <w:t>,</w:t>
      </w:r>
      <w:r w:rsidRPr="0051515A">
        <w:rPr>
          <w:rFonts w:ascii="Palatino Linotype" w:hAnsi="Palatino Linotype" w:cs="Arial"/>
          <w:sz w:val="22"/>
          <w:szCs w:val="22"/>
        </w:rPr>
        <w:t>85</w:t>
      </w:r>
      <w:r>
        <w:rPr>
          <w:rFonts w:ascii="Palatino Linotype" w:hAnsi="Palatino Linotype" w:cs="Arial"/>
          <w:sz w:val="22"/>
          <w:szCs w:val="22"/>
        </w:rPr>
        <w:t xml:space="preserve"> </w:t>
      </w:r>
      <w:r w:rsidRPr="0051515A">
        <w:rPr>
          <w:rFonts w:ascii="Palatino Linotype" w:hAnsi="Palatino Linotype" w:cs="Arial"/>
          <w:sz w:val="22"/>
          <w:szCs w:val="22"/>
        </w:rPr>
        <w:t>m.</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sz w:val="22"/>
          <w:szCs w:val="22"/>
        </w:rPr>
        <w:t>Pasaje N3H</w:t>
      </w:r>
      <w:r>
        <w:rPr>
          <w:rFonts w:ascii="Palatino Linotype" w:hAnsi="Palatino Linotype" w:cs="Arial"/>
          <w:sz w:val="22"/>
          <w:szCs w:val="22"/>
        </w:rPr>
        <w:t>:</w:t>
      </w:r>
      <w:r w:rsidRPr="0051515A">
        <w:rPr>
          <w:rFonts w:ascii="Palatino Linotype" w:hAnsi="Palatino Linotype" w:cs="Arial"/>
          <w:sz w:val="22"/>
          <w:szCs w:val="22"/>
        </w:rPr>
        <w:t xml:space="preserve">     </w:t>
      </w:r>
      <w:r>
        <w:rPr>
          <w:rFonts w:ascii="Palatino Linotype" w:hAnsi="Palatino Linotype" w:cs="Arial"/>
          <w:sz w:val="22"/>
          <w:szCs w:val="22"/>
        </w:rPr>
        <w:tab/>
      </w:r>
      <w:r w:rsidRPr="0051515A">
        <w:rPr>
          <w:rFonts w:ascii="Palatino Linotype" w:hAnsi="Palatino Linotype" w:cs="Arial"/>
          <w:sz w:val="22"/>
          <w:szCs w:val="22"/>
        </w:rPr>
        <w:t>variable de 6</w:t>
      </w:r>
      <w:r>
        <w:rPr>
          <w:rFonts w:ascii="Palatino Linotype" w:hAnsi="Palatino Linotype" w:cs="Arial"/>
          <w:sz w:val="22"/>
          <w:szCs w:val="22"/>
        </w:rPr>
        <w:t>,</w:t>
      </w:r>
      <w:r w:rsidRPr="0051515A">
        <w:rPr>
          <w:rFonts w:ascii="Palatino Linotype" w:hAnsi="Palatino Linotype" w:cs="Arial"/>
          <w:sz w:val="22"/>
          <w:szCs w:val="22"/>
        </w:rPr>
        <w:t>95</w:t>
      </w:r>
      <w:r>
        <w:rPr>
          <w:rFonts w:ascii="Palatino Linotype" w:hAnsi="Palatino Linotype" w:cs="Arial"/>
          <w:sz w:val="22"/>
          <w:szCs w:val="22"/>
        </w:rPr>
        <w:t xml:space="preserve"> </w:t>
      </w:r>
      <w:r w:rsidRPr="0051515A">
        <w:rPr>
          <w:rFonts w:ascii="Palatino Linotype" w:hAnsi="Palatino Linotype" w:cs="Arial"/>
          <w:sz w:val="22"/>
          <w:szCs w:val="22"/>
        </w:rPr>
        <w:t>m a 7,01</w:t>
      </w:r>
      <w:r>
        <w:rPr>
          <w:rFonts w:ascii="Palatino Linotype" w:hAnsi="Palatino Linotype" w:cs="Arial"/>
          <w:sz w:val="22"/>
          <w:szCs w:val="22"/>
        </w:rPr>
        <w:t xml:space="preserve"> </w:t>
      </w:r>
      <w:r w:rsidRPr="0051515A">
        <w:rPr>
          <w:rFonts w:ascii="Palatino Linotype" w:hAnsi="Palatino Linotype" w:cs="Arial"/>
          <w:sz w:val="22"/>
          <w:szCs w:val="22"/>
        </w:rPr>
        <w:t>m.</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b/>
          <w:bCs/>
          <w:sz w:val="22"/>
          <w:szCs w:val="22"/>
        </w:rPr>
        <w:t xml:space="preserve">Artículo 7.- De las obras a ejecutarse.- </w:t>
      </w:r>
      <w:r w:rsidRPr="0051515A">
        <w:rPr>
          <w:rFonts w:ascii="Palatino Linotype" w:hAnsi="Palatino Linotype" w:cs="Arial"/>
          <w:sz w:val="22"/>
          <w:szCs w:val="22"/>
        </w:rPr>
        <w:t>Las obras a ejecutarse en el asentamiento</w:t>
      </w:r>
      <w:r>
        <w:rPr>
          <w:rFonts w:ascii="Palatino Linotype" w:hAnsi="Palatino Linotype" w:cs="Arial"/>
          <w:sz w:val="22"/>
          <w:szCs w:val="22"/>
        </w:rPr>
        <w:t xml:space="preserve"> humano de hecho y consolidado,</w:t>
      </w:r>
      <w:r w:rsidRPr="0051515A">
        <w:rPr>
          <w:rFonts w:ascii="Palatino Linotype" w:hAnsi="Palatino Linotype" w:cs="Arial"/>
          <w:sz w:val="22"/>
          <w:szCs w:val="22"/>
        </w:rPr>
        <w:t xml:space="preserve"> son  las siguientes: </w:t>
      </w:r>
    </w:p>
    <w:p w:rsidR="0051515A" w:rsidRPr="0051515A" w:rsidRDefault="0051515A" w:rsidP="0051515A">
      <w:pPr>
        <w:shd w:val="clear" w:color="auto" w:fill="FFFFFF"/>
        <w:spacing w:before="240" w:line="276" w:lineRule="auto"/>
        <w:jc w:val="both"/>
        <w:rPr>
          <w:rFonts w:ascii="Palatino Linotype" w:hAnsi="Palatino Linotype" w:cs="Arial"/>
          <w:bCs/>
          <w:sz w:val="22"/>
          <w:szCs w:val="22"/>
        </w:rPr>
      </w:pPr>
      <w:r w:rsidRPr="0051515A">
        <w:rPr>
          <w:rFonts w:ascii="Palatino Linotype" w:hAnsi="Palatino Linotype" w:cs="Arial"/>
          <w:bCs/>
          <w:sz w:val="22"/>
          <w:szCs w:val="22"/>
        </w:rPr>
        <w:t xml:space="preserve">Calzada:  </w:t>
      </w:r>
      <w:r w:rsidRPr="0051515A">
        <w:rPr>
          <w:rFonts w:ascii="Palatino Linotype" w:hAnsi="Palatino Linotype" w:cs="Arial"/>
          <w:bCs/>
          <w:sz w:val="22"/>
          <w:szCs w:val="22"/>
        </w:rPr>
        <w:tab/>
      </w:r>
      <w:r>
        <w:rPr>
          <w:rFonts w:ascii="Palatino Linotype" w:hAnsi="Palatino Linotype" w:cs="Arial"/>
          <w:bCs/>
          <w:sz w:val="22"/>
          <w:szCs w:val="22"/>
        </w:rPr>
        <w:tab/>
      </w:r>
      <w:r w:rsidRPr="0051515A">
        <w:rPr>
          <w:rFonts w:ascii="Palatino Linotype" w:hAnsi="Palatino Linotype" w:cs="Arial"/>
          <w:bCs/>
          <w:sz w:val="22"/>
          <w:szCs w:val="22"/>
        </w:rPr>
        <w:t>100%</w:t>
      </w:r>
      <w:r>
        <w:rPr>
          <w:rFonts w:ascii="Palatino Linotype" w:hAnsi="Palatino Linotype" w:cs="Arial"/>
          <w:bCs/>
          <w:sz w:val="22"/>
          <w:szCs w:val="22"/>
        </w:rPr>
        <w:tab/>
      </w:r>
      <w:r>
        <w:rPr>
          <w:rFonts w:ascii="Palatino Linotype" w:hAnsi="Palatino Linotype" w:cs="Arial"/>
          <w:bCs/>
          <w:sz w:val="22"/>
          <w:szCs w:val="22"/>
        </w:rPr>
        <w:tab/>
      </w:r>
      <w:r>
        <w:rPr>
          <w:rFonts w:ascii="Palatino Linotype" w:hAnsi="Palatino Linotype" w:cs="Arial"/>
          <w:bCs/>
          <w:sz w:val="22"/>
          <w:szCs w:val="22"/>
        </w:rPr>
        <w:tab/>
      </w:r>
      <w:r w:rsidRPr="0051515A">
        <w:rPr>
          <w:rFonts w:ascii="Palatino Linotype" w:hAnsi="Palatino Linotype" w:cs="Arial"/>
          <w:bCs/>
          <w:sz w:val="22"/>
          <w:szCs w:val="22"/>
        </w:rPr>
        <w:t>Aceras:</w:t>
      </w:r>
      <w:r w:rsidRPr="0051515A">
        <w:rPr>
          <w:rFonts w:ascii="Palatino Linotype" w:hAnsi="Palatino Linotype" w:cs="Arial"/>
          <w:bCs/>
          <w:sz w:val="22"/>
          <w:szCs w:val="22"/>
        </w:rPr>
        <w:tab/>
        <w:t>100%</w:t>
      </w:r>
    </w:p>
    <w:p w:rsidR="0051515A" w:rsidRPr="0051515A" w:rsidRDefault="0051515A" w:rsidP="0051515A">
      <w:pPr>
        <w:spacing w:before="240" w:line="276" w:lineRule="auto"/>
        <w:jc w:val="both"/>
        <w:rPr>
          <w:rFonts w:ascii="Palatino Linotype" w:hAnsi="Palatino Linotype" w:cs="Arial"/>
          <w:bCs/>
          <w:sz w:val="22"/>
          <w:szCs w:val="22"/>
        </w:rPr>
      </w:pPr>
      <w:r w:rsidRPr="0051515A">
        <w:rPr>
          <w:rFonts w:ascii="Palatino Linotype" w:hAnsi="Palatino Linotype" w:cs="Arial"/>
          <w:bCs/>
          <w:sz w:val="22"/>
          <w:szCs w:val="22"/>
        </w:rPr>
        <w:t>Bordillos:</w:t>
      </w:r>
      <w:r>
        <w:rPr>
          <w:rFonts w:ascii="Palatino Linotype" w:hAnsi="Palatino Linotype" w:cs="Arial"/>
          <w:bCs/>
          <w:sz w:val="22"/>
          <w:szCs w:val="22"/>
        </w:rPr>
        <w:tab/>
      </w:r>
      <w:r>
        <w:rPr>
          <w:rFonts w:ascii="Palatino Linotype" w:hAnsi="Palatino Linotype" w:cs="Arial"/>
          <w:bCs/>
          <w:sz w:val="22"/>
          <w:szCs w:val="22"/>
        </w:rPr>
        <w:tab/>
      </w:r>
      <w:r w:rsidRPr="0051515A">
        <w:rPr>
          <w:rFonts w:ascii="Palatino Linotype" w:hAnsi="Palatino Linotype" w:cs="Arial"/>
          <w:bCs/>
          <w:sz w:val="22"/>
          <w:szCs w:val="22"/>
        </w:rPr>
        <w:t>100%</w:t>
      </w:r>
    </w:p>
    <w:p w:rsidR="0051515A" w:rsidRPr="0051515A" w:rsidRDefault="0051515A" w:rsidP="0051515A">
      <w:pPr>
        <w:spacing w:before="240" w:line="276" w:lineRule="auto"/>
        <w:jc w:val="both"/>
        <w:rPr>
          <w:rFonts w:ascii="Palatino Linotype" w:hAnsi="Palatino Linotype" w:cs="Arial"/>
          <w:iCs/>
          <w:sz w:val="22"/>
          <w:szCs w:val="22"/>
        </w:rPr>
      </w:pPr>
      <w:r w:rsidRPr="0051515A">
        <w:rPr>
          <w:rFonts w:ascii="Palatino Linotype" w:hAnsi="Palatino Linotype" w:cs="Arial"/>
          <w:b/>
          <w:bCs/>
          <w:sz w:val="22"/>
          <w:szCs w:val="22"/>
        </w:rPr>
        <w:t>Artículo 8.- Del plazo de ejecución de las obras.-</w:t>
      </w:r>
      <w:r w:rsidRPr="0051515A">
        <w:rPr>
          <w:rFonts w:ascii="Palatino Linotype" w:hAnsi="Palatino Linotype" w:cs="Arial"/>
          <w:sz w:val="22"/>
          <w:szCs w:val="22"/>
        </w:rPr>
        <w:t xml:space="preserve"> El plazo de ejecución de la totalidad de las obras de urbanización es de tres (3) años, </w:t>
      </w:r>
      <w:r w:rsidRPr="0051515A">
        <w:rPr>
          <w:rFonts w:ascii="Palatino Linotype" w:hAnsi="Palatino Linotype" w:cs="Arial"/>
          <w:iCs/>
          <w:sz w:val="22"/>
          <w:szCs w:val="22"/>
        </w:rPr>
        <w:t xml:space="preserve">de conformidad al cronograma de obras presentado por </w:t>
      </w:r>
      <w:r w:rsidRPr="0051515A">
        <w:rPr>
          <w:rFonts w:ascii="Palatino Linotype" w:hAnsi="Palatino Linotype" w:cs="Arial"/>
          <w:color w:val="0D0D0D"/>
          <w:sz w:val="22"/>
          <w:szCs w:val="22"/>
        </w:rPr>
        <w:t xml:space="preserve">los copropietarios del inmueble donde se ubica </w:t>
      </w:r>
      <w:r w:rsidRPr="0051515A">
        <w:rPr>
          <w:rFonts w:ascii="Palatino Linotype" w:hAnsi="Palatino Linotype" w:cs="Arial"/>
          <w:sz w:val="22"/>
          <w:szCs w:val="22"/>
        </w:rPr>
        <w:t xml:space="preserve">el </w:t>
      </w:r>
      <w:r w:rsidR="003F1C69">
        <w:rPr>
          <w:rFonts w:ascii="Palatino Linotype" w:hAnsi="Palatino Linotype" w:cs="Arial"/>
          <w:sz w:val="22"/>
          <w:szCs w:val="22"/>
        </w:rPr>
        <w:t>a</w:t>
      </w:r>
      <w:r w:rsidRPr="0051515A">
        <w:rPr>
          <w:rFonts w:ascii="Palatino Linotype" w:hAnsi="Palatino Linotype" w:cs="Arial"/>
          <w:sz w:val="22"/>
          <w:szCs w:val="22"/>
        </w:rPr>
        <w:t xml:space="preserve">sentamiento </w:t>
      </w:r>
      <w:r w:rsidR="003F1C69">
        <w:rPr>
          <w:rFonts w:ascii="Palatino Linotype" w:hAnsi="Palatino Linotype" w:cs="Arial"/>
          <w:sz w:val="22"/>
          <w:szCs w:val="22"/>
        </w:rPr>
        <w:t>h</w:t>
      </w:r>
      <w:r w:rsidRPr="0051515A">
        <w:rPr>
          <w:rFonts w:ascii="Palatino Linotype" w:hAnsi="Palatino Linotype" w:cs="Arial"/>
          <w:sz w:val="22"/>
          <w:szCs w:val="22"/>
        </w:rPr>
        <w:t xml:space="preserve">umano de </w:t>
      </w:r>
      <w:r w:rsidR="003F1C69">
        <w:rPr>
          <w:rFonts w:ascii="Palatino Linotype" w:hAnsi="Palatino Linotype" w:cs="Arial"/>
          <w:sz w:val="22"/>
          <w:szCs w:val="22"/>
        </w:rPr>
        <w:t>h</w:t>
      </w:r>
      <w:r w:rsidRPr="0051515A">
        <w:rPr>
          <w:rFonts w:ascii="Palatino Linotype" w:hAnsi="Palatino Linotype" w:cs="Arial"/>
          <w:sz w:val="22"/>
          <w:szCs w:val="22"/>
        </w:rPr>
        <w:t xml:space="preserve">echo y </w:t>
      </w:r>
      <w:r w:rsidR="003F1C69">
        <w:rPr>
          <w:rFonts w:ascii="Palatino Linotype" w:hAnsi="Palatino Linotype" w:cs="Arial"/>
          <w:sz w:val="22"/>
          <w:szCs w:val="22"/>
        </w:rPr>
        <w:t>c</w:t>
      </w:r>
      <w:r w:rsidRPr="0051515A">
        <w:rPr>
          <w:rFonts w:ascii="Palatino Linotype" w:hAnsi="Palatino Linotype" w:cs="Arial"/>
          <w:sz w:val="22"/>
          <w:szCs w:val="22"/>
        </w:rPr>
        <w:t>onsolidado</w:t>
      </w:r>
      <w:r w:rsidRPr="0051515A">
        <w:rPr>
          <w:rFonts w:ascii="Palatino Linotype" w:hAnsi="Palatino Linotype" w:cs="Arial"/>
          <w:b/>
          <w:sz w:val="22"/>
          <w:szCs w:val="22"/>
        </w:rPr>
        <w:t xml:space="preserve">, </w:t>
      </w:r>
      <w:r w:rsidRPr="0051515A">
        <w:rPr>
          <w:rFonts w:ascii="Palatino Linotype" w:hAnsi="Palatino Linotype" w:cs="Arial"/>
          <w:iCs/>
          <w:sz w:val="22"/>
          <w:szCs w:val="22"/>
        </w:rPr>
        <w:t xml:space="preserve">plazo que se contará a partir de la fecha de sanción de la presente Ordenanza. De estas obras, </w:t>
      </w:r>
      <w:r w:rsidRPr="0051515A">
        <w:rPr>
          <w:rFonts w:ascii="Palatino Linotype" w:hAnsi="Palatino Linotype" w:cs="Arial"/>
          <w:bCs/>
          <w:sz w:val="22"/>
          <w:szCs w:val="22"/>
        </w:rPr>
        <w:t>los copropietarios del predio fraccionado</w:t>
      </w:r>
      <w:r w:rsidRPr="0051515A">
        <w:rPr>
          <w:rFonts w:ascii="Palatino Linotype" w:hAnsi="Palatino Linotype" w:cs="Arial"/>
          <w:iCs/>
          <w:sz w:val="22"/>
          <w:szCs w:val="22"/>
        </w:rPr>
        <w:t xml:space="preserve"> pagarán las contribuciones especiales y mejoras de ley.</w:t>
      </w:r>
    </w:p>
    <w:p w:rsidR="0051515A" w:rsidRPr="0051515A" w:rsidRDefault="0051515A" w:rsidP="0051515A">
      <w:pPr>
        <w:shd w:val="clear" w:color="auto" w:fill="FFFFFF"/>
        <w:spacing w:before="240" w:line="276" w:lineRule="auto"/>
        <w:jc w:val="both"/>
        <w:rPr>
          <w:rFonts w:ascii="Palatino Linotype" w:hAnsi="Palatino Linotype" w:cs="Arial"/>
          <w:color w:val="2A2A2A"/>
          <w:sz w:val="22"/>
          <w:szCs w:val="22"/>
        </w:rPr>
      </w:pPr>
      <w:r w:rsidRPr="0051515A">
        <w:rPr>
          <w:rFonts w:ascii="Palatino Linotype" w:hAnsi="Palatino Linotype" w:cs="Arial"/>
          <w:b/>
          <w:bCs/>
          <w:sz w:val="22"/>
          <w:szCs w:val="22"/>
        </w:rPr>
        <w:t xml:space="preserve">Artículo </w:t>
      </w:r>
      <w:r w:rsidRPr="0051515A">
        <w:rPr>
          <w:rFonts w:ascii="Palatino Linotype" w:hAnsi="Palatino Linotype" w:cs="Arial"/>
          <w:b/>
          <w:bCs/>
          <w:sz w:val="22"/>
          <w:szCs w:val="22"/>
          <w:lang w:val="es-ES_tradnl"/>
        </w:rPr>
        <w:t>9</w:t>
      </w:r>
      <w:r>
        <w:rPr>
          <w:rFonts w:ascii="Palatino Linotype" w:hAnsi="Palatino Linotype" w:cs="Arial"/>
          <w:b/>
          <w:bCs/>
          <w:sz w:val="22"/>
          <w:szCs w:val="22"/>
          <w:lang w:val="es-ES_tradnl"/>
        </w:rPr>
        <w:t>.- Del control de e</w:t>
      </w:r>
      <w:r w:rsidRPr="0051515A">
        <w:rPr>
          <w:rFonts w:ascii="Palatino Linotype" w:hAnsi="Palatino Linotype" w:cs="Arial"/>
          <w:b/>
          <w:bCs/>
          <w:sz w:val="22"/>
          <w:szCs w:val="22"/>
          <w:lang w:val="es-ES_tradnl"/>
        </w:rPr>
        <w:t xml:space="preserve">jecución de las </w:t>
      </w:r>
      <w:r>
        <w:rPr>
          <w:rFonts w:ascii="Palatino Linotype" w:hAnsi="Palatino Linotype" w:cs="Arial"/>
          <w:b/>
          <w:bCs/>
          <w:sz w:val="22"/>
          <w:szCs w:val="22"/>
          <w:lang w:val="es-ES_tradnl"/>
        </w:rPr>
        <w:t>o</w:t>
      </w:r>
      <w:r w:rsidRPr="0051515A">
        <w:rPr>
          <w:rFonts w:ascii="Palatino Linotype" w:hAnsi="Palatino Linotype" w:cs="Arial"/>
          <w:b/>
          <w:bCs/>
          <w:sz w:val="22"/>
          <w:szCs w:val="22"/>
          <w:lang w:val="es-ES_tradnl"/>
        </w:rPr>
        <w:t>bras.-</w:t>
      </w:r>
      <w:r w:rsidRPr="0051515A">
        <w:rPr>
          <w:rFonts w:ascii="Palatino Linotype" w:hAnsi="Palatino Linotype" w:cs="Arial"/>
          <w:color w:val="2A2A2A"/>
          <w:sz w:val="22"/>
          <w:szCs w:val="22"/>
        </w:rPr>
        <w:t xml:space="preserve">La Administración Zonal Calderón </w:t>
      </w:r>
      <w:r w:rsidRPr="00B452F1">
        <w:rPr>
          <w:rFonts w:ascii="Palatino Linotype" w:hAnsi="Palatino Linotype"/>
          <w:iCs/>
          <w:sz w:val="22"/>
          <w:szCs w:val="22"/>
          <w:lang w:val="es-EC"/>
        </w:rPr>
        <w:t>r</w:t>
      </w:r>
      <w:r w:rsidRPr="00B452F1">
        <w:rPr>
          <w:rFonts w:ascii="Palatino Linotype" w:hAnsi="Palatino Linotype"/>
          <w:sz w:val="22"/>
          <w:szCs w:val="22"/>
          <w:lang w:val="es-EC"/>
        </w:rPr>
        <w:t xml:space="preserve">ealizará el seguimiento en la ejecución y avance de las obras de urbanización hasta la terminación de las mismas, </w:t>
      </w:r>
      <w:r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F71698">
        <w:rPr>
          <w:rFonts w:ascii="Palatino Linotype" w:hAnsi="Palatino Linotype" w:cs="Arial"/>
          <w:color w:val="2A2A2A"/>
          <w:sz w:val="22"/>
          <w:szCs w:val="22"/>
        </w:rPr>
        <w:t>.</w:t>
      </w:r>
    </w:p>
    <w:p w:rsidR="0051515A" w:rsidRPr="0051515A" w:rsidRDefault="0051515A" w:rsidP="0051515A">
      <w:pPr>
        <w:pStyle w:val="Ttulo3"/>
        <w:spacing w:after="0" w:line="276" w:lineRule="auto"/>
        <w:jc w:val="both"/>
        <w:rPr>
          <w:rFonts w:ascii="Palatino Linotype" w:hAnsi="Palatino Linotype"/>
          <w:b w:val="0"/>
          <w:sz w:val="22"/>
          <w:szCs w:val="22"/>
          <w:lang w:val="es-ES_tradnl"/>
        </w:rPr>
      </w:pPr>
      <w:r w:rsidRPr="0051515A">
        <w:rPr>
          <w:rFonts w:ascii="Palatino Linotype" w:hAnsi="Palatino Linotype"/>
          <w:sz w:val="22"/>
          <w:szCs w:val="22"/>
        </w:rPr>
        <w:t>Artículo</w:t>
      </w:r>
      <w:r w:rsidRPr="0051515A">
        <w:rPr>
          <w:rFonts w:ascii="Palatino Linotype" w:hAnsi="Palatino Linotype"/>
          <w:sz w:val="22"/>
          <w:szCs w:val="22"/>
          <w:lang w:val="es-ES_tradnl"/>
        </w:rPr>
        <w:t xml:space="preserve"> 10.- De la </w:t>
      </w:r>
      <w:r>
        <w:rPr>
          <w:rFonts w:ascii="Palatino Linotype" w:hAnsi="Palatino Linotype"/>
          <w:sz w:val="22"/>
          <w:szCs w:val="22"/>
          <w:lang w:val="es-ES_tradnl"/>
        </w:rPr>
        <w:t>m</w:t>
      </w:r>
      <w:r w:rsidRPr="0051515A">
        <w:rPr>
          <w:rFonts w:ascii="Palatino Linotype" w:hAnsi="Palatino Linotype"/>
          <w:sz w:val="22"/>
          <w:szCs w:val="22"/>
          <w:lang w:val="es-ES_tradnl"/>
        </w:rPr>
        <w:t xml:space="preserve">ulta por retraso en ejecución de obras.- </w:t>
      </w:r>
      <w:r w:rsidRPr="0051515A">
        <w:rPr>
          <w:rFonts w:ascii="Palatino Linotype" w:hAnsi="Palatino Linotype"/>
          <w:b w:val="0"/>
          <w:sz w:val="22"/>
          <w:szCs w:val="22"/>
          <w:lang w:val="es-ES_tradnl"/>
        </w:rPr>
        <w:t>En caso de retraso en la ejecución de las obras de urbanización,</w:t>
      </w:r>
      <w:r w:rsidRPr="0051515A">
        <w:rPr>
          <w:rFonts w:ascii="Palatino Linotype" w:hAnsi="Palatino Linotype"/>
          <w:b w:val="0"/>
          <w:color w:val="0D0D0D"/>
          <w:sz w:val="22"/>
          <w:szCs w:val="22"/>
        </w:rPr>
        <w:t xml:space="preserve"> los copropietarios del inmueble sobre el cual se ubica </w:t>
      </w:r>
      <w:r w:rsidRPr="0051515A">
        <w:rPr>
          <w:rFonts w:ascii="Palatino Linotype" w:hAnsi="Palatino Linotype"/>
          <w:b w:val="0"/>
          <w:sz w:val="22"/>
          <w:szCs w:val="22"/>
        </w:rPr>
        <w:t xml:space="preserve">el </w:t>
      </w:r>
      <w:r w:rsidR="00D417D7">
        <w:rPr>
          <w:rFonts w:ascii="Palatino Linotype" w:hAnsi="Palatino Linotype"/>
          <w:b w:val="0"/>
          <w:sz w:val="22"/>
          <w:szCs w:val="22"/>
        </w:rPr>
        <w:t>a</w:t>
      </w:r>
      <w:r w:rsidRPr="0051515A">
        <w:rPr>
          <w:rFonts w:ascii="Palatino Linotype" w:hAnsi="Palatino Linotype"/>
          <w:b w:val="0"/>
          <w:sz w:val="22"/>
          <w:szCs w:val="22"/>
        </w:rPr>
        <w:t xml:space="preserve">sentamiento </w:t>
      </w:r>
      <w:r w:rsidR="00D417D7">
        <w:rPr>
          <w:rFonts w:ascii="Palatino Linotype" w:hAnsi="Palatino Linotype"/>
          <w:b w:val="0"/>
          <w:sz w:val="22"/>
          <w:szCs w:val="22"/>
        </w:rPr>
        <w:t xml:space="preserve">humano de hecho y consolidado </w:t>
      </w:r>
      <w:r w:rsidRPr="0051515A">
        <w:rPr>
          <w:rFonts w:ascii="Palatino Linotype" w:hAnsi="Palatino Linotype"/>
          <w:b w:val="0"/>
          <w:sz w:val="22"/>
          <w:szCs w:val="22"/>
          <w:lang w:val="es-ES_tradnl"/>
        </w:rPr>
        <w:t>pagarán a la Municipalidad en calidad de multa, el uno por mil por cada día de retraso, calculado del costo de las obras no ejecutadas.</w:t>
      </w:r>
    </w:p>
    <w:p w:rsidR="0051515A" w:rsidRPr="0051515A" w:rsidRDefault="0051515A" w:rsidP="0051515A">
      <w:pPr>
        <w:spacing w:before="240" w:line="276" w:lineRule="auto"/>
        <w:jc w:val="both"/>
        <w:rPr>
          <w:rFonts w:ascii="Palatino Linotype" w:hAnsi="Palatino Linotype" w:cs="Arial"/>
          <w:sz w:val="22"/>
          <w:szCs w:val="22"/>
          <w:lang w:val="es-ES_tradnl"/>
        </w:rPr>
      </w:pPr>
      <w:r w:rsidRPr="0051515A">
        <w:rPr>
          <w:rFonts w:ascii="Palatino Linotype" w:hAnsi="Palatino Linotype" w:cs="Arial"/>
          <w:sz w:val="22"/>
          <w:szCs w:val="22"/>
          <w:lang w:val="es-ES_tradnl"/>
        </w:rPr>
        <w:t>De persistir el incumplimiento el Municipio podrá ejecutar las obras cuyo costo estará a cargo de todos los copropietarios de los lotes de la urbanización, además de un recargo del 30%.</w:t>
      </w:r>
    </w:p>
    <w:p w:rsidR="0051515A" w:rsidRPr="0051515A" w:rsidRDefault="0051515A" w:rsidP="0051515A">
      <w:pPr>
        <w:pStyle w:val="Textoindependiente"/>
        <w:spacing w:before="240" w:after="0" w:line="276" w:lineRule="auto"/>
        <w:jc w:val="both"/>
        <w:rPr>
          <w:rFonts w:ascii="Palatino Linotype" w:hAnsi="Palatino Linotype"/>
          <w:sz w:val="22"/>
          <w:szCs w:val="22"/>
          <w:lang w:val="es-ES_tradnl"/>
        </w:rPr>
      </w:pPr>
      <w:r w:rsidRPr="0051515A">
        <w:rPr>
          <w:rFonts w:ascii="Palatino Linotype" w:hAnsi="Palatino Linotype"/>
          <w:sz w:val="22"/>
          <w:szCs w:val="22"/>
          <w:lang w:val="es-ES_tradnl"/>
        </w:rPr>
        <w:lastRenderedPageBreak/>
        <w:t>Emitidos los informes correspondientes que establezcan la multa por incumplimiento de las obras de urbanizació</w:t>
      </w:r>
      <w:r w:rsidR="00D417D7">
        <w:rPr>
          <w:rFonts w:ascii="Palatino Linotype" w:hAnsi="Palatino Linotype"/>
          <w:sz w:val="22"/>
          <w:szCs w:val="22"/>
          <w:lang w:val="es-ES_tradnl"/>
        </w:rPr>
        <w:t xml:space="preserve">n, se notificará a la Dirección </w:t>
      </w:r>
      <w:r w:rsidRPr="0051515A">
        <w:rPr>
          <w:rFonts w:ascii="Palatino Linotype" w:hAnsi="Palatino Linotype"/>
          <w:sz w:val="22"/>
          <w:szCs w:val="22"/>
          <w:lang w:val="es-ES_tradnl"/>
        </w:rPr>
        <w:t>Metropolitana Financiera para que emita el título de crédito respectivo y proced</w:t>
      </w:r>
      <w:r w:rsidR="00D417D7">
        <w:rPr>
          <w:rFonts w:ascii="Palatino Linotype" w:hAnsi="Palatino Linotype"/>
          <w:sz w:val="22"/>
          <w:szCs w:val="22"/>
          <w:lang w:val="es-ES_tradnl"/>
        </w:rPr>
        <w:t>a</w:t>
      </w:r>
      <w:r w:rsidRPr="0051515A">
        <w:rPr>
          <w:rFonts w:ascii="Palatino Linotype" w:hAnsi="Palatino Linotype"/>
          <w:sz w:val="22"/>
          <w:szCs w:val="22"/>
          <w:lang w:val="es-ES_tradnl"/>
        </w:rPr>
        <w:t xml:space="preserve"> a su cobro, incluso por la vía coactiva.</w:t>
      </w:r>
    </w:p>
    <w:p w:rsidR="0051515A" w:rsidRPr="0051515A" w:rsidRDefault="0051515A" w:rsidP="0051515A">
      <w:pPr>
        <w:spacing w:before="240" w:line="276" w:lineRule="auto"/>
        <w:jc w:val="both"/>
        <w:rPr>
          <w:rFonts w:ascii="Palatino Linotype" w:hAnsi="Palatino Linotype" w:cs="Arial"/>
          <w:sz w:val="22"/>
          <w:szCs w:val="22"/>
        </w:rPr>
      </w:pPr>
      <w:r w:rsidRPr="0051515A">
        <w:rPr>
          <w:rFonts w:ascii="Palatino Linotype" w:hAnsi="Palatino Linotype" w:cs="Arial"/>
          <w:b/>
          <w:bCs/>
          <w:iCs/>
          <w:sz w:val="22"/>
          <w:szCs w:val="22"/>
        </w:rPr>
        <w:t xml:space="preserve">Artículo 11.- De la garantía de ejecución de las obras.- </w:t>
      </w:r>
      <w:r w:rsidRPr="0051515A">
        <w:rPr>
          <w:rFonts w:ascii="Palatino Linotype" w:hAnsi="Palatino Linotype" w:cs="Arial"/>
          <w:sz w:val="22"/>
          <w:szCs w:val="22"/>
        </w:rPr>
        <w:t>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D417D7" w:rsidRPr="00B452F1" w:rsidRDefault="0051515A" w:rsidP="00D417D7">
      <w:pPr>
        <w:spacing w:before="240" w:line="276" w:lineRule="auto"/>
        <w:jc w:val="both"/>
        <w:rPr>
          <w:rFonts w:ascii="Palatino Linotype" w:hAnsi="Palatino Linotype"/>
          <w:sz w:val="22"/>
          <w:szCs w:val="22"/>
          <w:lang w:val="es-ES_tradnl"/>
        </w:rPr>
      </w:pPr>
      <w:r w:rsidRPr="0051515A">
        <w:rPr>
          <w:rFonts w:ascii="Palatino Linotype" w:hAnsi="Palatino Linotype" w:cs="Arial"/>
          <w:b/>
          <w:bCs/>
          <w:sz w:val="22"/>
          <w:szCs w:val="22"/>
        </w:rPr>
        <w:t>Artículo</w:t>
      </w:r>
      <w:r w:rsidR="00D417D7">
        <w:rPr>
          <w:rFonts w:ascii="Palatino Linotype" w:hAnsi="Palatino Linotype" w:cs="Arial"/>
          <w:b/>
          <w:bCs/>
          <w:sz w:val="22"/>
          <w:szCs w:val="22"/>
          <w:lang w:val="es-ES_tradnl"/>
        </w:rPr>
        <w:t xml:space="preserve"> 12.- De la p</w:t>
      </w:r>
      <w:r w:rsidRPr="0051515A">
        <w:rPr>
          <w:rFonts w:ascii="Palatino Linotype" w:hAnsi="Palatino Linotype" w:cs="Arial"/>
          <w:b/>
          <w:bCs/>
          <w:sz w:val="22"/>
          <w:szCs w:val="22"/>
          <w:lang w:val="es-ES_tradnl"/>
        </w:rPr>
        <w:t xml:space="preserve">rotocolización </w:t>
      </w:r>
      <w:r w:rsidR="00D417D7">
        <w:rPr>
          <w:rFonts w:ascii="Palatino Linotype" w:hAnsi="Palatino Linotype" w:cs="Arial"/>
          <w:b/>
          <w:bCs/>
          <w:sz w:val="22"/>
          <w:szCs w:val="22"/>
          <w:lang w:val="es-ES_tradnl"/>
        </w:rPr>
        <w:t xml:space="preserve">e inscripción </w:t>
      </w:r>
      <w:r w:rsidRPr="0051515A">
        <w:rPr>
          <w:rFonts w:ascii="Palatino Linotype" w:hAnsi="Palatino Linotype" w:cs="Arial"/>
          <w:b/>
          <w:bCs/>
          <w:sz w:val="22"/>
          <w:szCs w:val="22"/>
          <w:lang w:val="es-ES_tradnl"/>
        </w:rPr>
        <w:t xml:space="preserve">de la </w:t>
      </w:r>
      <w:r w:rsidR="00D417D7">
        <w:rPr>
          <w:rFonts w:ascii="Palatino Linotype" w:hAnsi="Palatino Linotype" w:cs="Arial"/>
          <w:b/>
          <w:bCs/>
          <w:sz w:val="22"/>
          <w:szCs w:val="22"/>
          <w:lang w:val="es-ES_tradnl"/>
        </w:rPr>
        <w:t>o</w:t>
      </w:r>
      <w:r w:rsidRPr="0051515A">
        <w:rPr>
          <w:rFonts w:ascii="Palatino Linotype" w:hAnsi="Palatino Linotype" w:cs="Arial"/>
          <w:b/>
          <w:bCs/>
          <w:sz w:val="22"/>
          <w:szCs w:val="22"/>
          <w:lang w:val="es-ES_tradnl"/>
        </w:rPr>
        <w:t xml:space="preserve">rdenanza.- </w:t>
      </w:r>
      <w:r w:rsidRPr="0051515A">
        <w:rPr>
          <w:rFonts w:ascii="Palatino Linotype" w:hAnsi="Palatino Linotype" w:cs="Arial"/>
          <w:color w:val="0D0D0D"/>
          <w:sz w:val="22"/>
          <w:szCs w:val="22"/>
        </w:rPr>
        <w:t xml:space="preserve">Los copropietarios </w:t>
      </w:r>
      <w:r w:rsidR="00D417D7">
        <w:rPr>
          <w:rFonts w:ascii="Palatino Linotype" w:hAnsi="Palatino Linotype" w:cs="Arial"/>
          <w:color w:val="0D0D0D"/>
          <w:sz w:val="22"/>
          <w:szCs w:val="22"/>
        </w:rPr>
        <w:t xml:space="preserve">del predio </w:t>
      </w:r>
      <w:r w:rsidRPr="0051515A">
        <w:rPr>
          <w:rFonts w:ascii="Palatino Linotype" w:hAnsi="Palatino Linotype" w:cs="Arial"/>
          <w:color w:val="0D0D0D"/>
          <w:sz w:val="22"/>
          <w:szCs w:val="22"/>
        </w:rPr>
        <w:t xml:space="preserve">donde se ubica el </w:t>
      </w:r>
      <w:r w:rsidRPr="0051515A">
        <w:rPr>
          <w:rFonts w:ascii="Palatino Linotype" w:hAnsi="Palatino Linotype" w:cs="Arial"/>
          <w:sz w:val="22"/>
          <w:szCs w:val="22"/>
        </w:rPr>
        <w:t xml:space="preserve">Asentamiento Humano de Hecho y Consolidado denominado </w:t>
      </w:r>
      <w:r w:rsidRPr="00D417D7">
        <w:rPr>
          <w:rFonts w:ascii="Palatino Linotype" w:hAnsi="Palatino Linotype" w:cs="Arial"/>
          <w:sz w:val="22"/>
          <w:szCs w:val="22"/>
        </w:rPr>
        <w:t>“Aguirre”</w:t>
      </w:r>
      <w:r w:rsidRPr="0051515A">
        <w:rPr>
          <w:rFonts w:ascii="Palatino Linotype" w:hAnsi="Palatino Linotype" w:cs="Arial"/>
          <w:b/>
          <w:sz w:val="22"/>
          <w:szCs w:val="22"/>
        </w:rPr>
        <w:t xml:space="preserve"> </w:t>
      </w:r>
      <w:r w:rsidRPr="0051515A">
        <w:rPr>
          <w:rFonts w:ascii="Palatino Linotype" w:hAnsi="Palatino Linotype" w:cs="Arial"/>
          <w:sz w:val="22"/>
          <w:szCs w:val="22"/>
          <w:lang w:val="es-ES_tradnl"/>
        </w:rPr>
        <w:t xml:space="preserve">se comprometen en el término de ciento ochenta (180) días, contados a partir de la fecha de emisión de la resolución de regularización de áreas por parte de la Autoridad Administrativa </w:t>
      </w:r>
      <w:r w:rsidR="00D417D7">
        <w:rPr>
          <w:rFonts w:ascii="Palatino Linotype" w:hAnsi="Palatino Linotype" w:cs="Arial"/>
          <w:sz w:val="22"/>
          <w:szCs w:val="22"/>
          <w:lang w:val="es-ES_tradnl"/>
        </w:rPr>
        <w:t>c</w:t>
      </w:r>
      <w:r w:rsidRPr="0051515A">
        <w:rPr>
          <w:rFonts w:ascii="Palatino Linotype" w:hAnsi="Palatino Linotype" w:cs="Arial"/>
          <w:sz w:val="22"/>
          <w:szCs w:val="22"/>
          <w:lang w:val="es-ES_tradnl"/>
        </w:rPr>
        <w:t xml:space="preserve">ompetente, a </w:t>
      </w:r>
      <w:r w:rsidRPr="0051515A">
        <w:rPr>
          <w:rFonts w:ascii="Palatino Linotype" w:hAnsi="Palatino Linotype" w:cs="Arial"/>
          <w:sz w:val="22"/>
          <w:szCs w:val="22"/>
        </w:rPr>
        <w:t xml:space="preserve">protocolizar la presente Ordenanza ante Notario Público e inscribirla en el Registro de la Propiedad del Distrito Metropolitano de Quito, </w:t>
      </w:r>
      <w:r w:rsidRPr="0051515A">
        <w:rPr>
          <w:rFonts w:ascii="Palatino Linotype" w:hAnsi="Palatino Linotype" w:cs="Arial"/>
          <w:sz w:val="22"/>
          <w:szCs w:val="22"/>
          <w:lang w:val="es-ES_tradnl"/>
        </w:rPr>
        <w:t>con todos sus documentos habilitantes</w:t>
      </w:r>
      <w:r w:rsidRPr="0051515A">
        <w:rPr>
          <w:rFonts w:ascii="Palatino Linotype" w:hAnsi="Palatino Linotype" w:cs="Arial"/>
          <w:sz w:val="22"/>
          <w:szCs w:val="22"/>
        </w:rPr>
        <w:t>;</w:t>
      </w:r>
      <w:r w:rsidRPr="0051515A">
        <w:rPr>
          <w:rFonts w:ascii="Palatino Linotype" w:hAnsi="Palatino Linotype" w:cs="Arial"/>
          <w:sz w:val="22"/>
          <w:szCs w:val="22"/>
          <w:lang w:val="es-ES_tradnl"/>
        </w:rPr>
        <w:t xml:space="preserve"> caso contrario el Concejo Metropolitano revocará la presente Ordenanza, </w:t>
      </w:r>
      <w:r w:rsidR="00D417D7" w:rsidRPr="00B452F1">
        <w:rPr>
          <w:rFonts w:ascii="Palatino Linotype" w:hAnsi="Palatino Linotype"/>
          <w:sz w:val="22"/>
          <w:szCs w:val="22"/>
          <w:lang w:val="es-ES_tradnl"/>
        </w:rPr>
        <w:t>notificándose del particular a la Comisaría de la Administración Zonal correspondiente, para que inicie las acciones pertinentes.</w:t>
      </w:r>
    </w:p>
    <w:p w:rsidR="00D417D7" w:rsidRPr="00B452F1" w:rsidRDefault="00D417D7" w:rsidP="00D417D7">
      <w:pPr>
        <w:spacing w:before="240" w:line="276" w:lineRule="auto"/>
        <w:jc w:val="both"/>
        <w:rPr>
          <w:rFonts w:ascii="Palatino Linotype" w:hAnsi="Palatino Linotype"/>
          <w:sz w:val="22"/>
          <w:szCs w:val="22"/>
          <w:lang w:val="es-ES_tradnl"/>
        </w:rPr>
      </w:pPr>
      <w:r w:rsidRPr="00B452F1">
        <w:rPr>
          <w:rFonts w:ascii="Palatino Linotype" w:hAnsi="Palatino Linotype"/>
          <w:sz w:val="22"/>
          <w:szCs w:val="22"/>
          <w:lang w:val="es-ES_tradnl"/>
        </w:rPr>
        <w:t xml:space="preserve">La inscripción de la presente </w:t>
      </w:r>
      <w:r w:rsidR="003F1C69">
        <w:rPr>
          <w:rFonts w:ascii="Palatino Linotype" w:hAnsi="Palatino Linotype"/>
          <w:sz w:val="22"/>
          <w:szCs w:val="22"/>
          <w:lang w:val="es-ES_tradnl"/>
        </w:rPr>
        <w:t>O</w:t>
      </w:r>
      <w:r w:rsidRPr="00B452F1">
        <w:rPr>
          <w:rFonts w:ascii="Palatino Linotype" w:hAnsi="Palatino Linotype"/>
          <w:sz w:val="22"/>
          <w:szCs w:val="22"/>
          <w:lang w:val="es-ES_tradnl"/>
        </w:rPr>
        <w:t>rdenanza servirá como título de dominio de los beneficiarios para efectos del perfeccionamiento de la transferencia de áreas verdes, en caso de que existan.</w:t>
      </w:r>
    </w:p>
    <w:p w:rsidR="0051515A" w:rsidRPr="0051515A" w:rsidRDefault="0051515A" w:rsidP="0051515A">
      <w:pPr>
        <w:spacing w:before="240" w:line="276" w:lineRule="auto"/>
        <w:jc w:val="both"/>
        <w:rPr>
          <w:rFonts w:ascii="Palatino Linotype" w:hAnsi="Palatino Linotype" w:cs="Arial"/>
          <w:sz w:val="22"/>
          <w:szCs w:val="22"/>
          <w:lang w:val="es-ES_tradnl"/>
        </w:rPr>
      </w:pPr>
      <w:r w:rsidRPr="0051515A">
        <w:rPr>
          <w:rFonts w:ascii="Palatino Linotype" w:hAnsi="Palatino Linotype" w:cs="Arial"/>
          <w:b/>
          <w:sz w:val="22"/>
          <w:szCs w:val="22"/>
          <w:lang w:val="es-ES_tradnl"/>
        </w:rPr>
        <w:t xml:space="preserve">Artículo 13.- De la partición y adjudicación.- </w:t>
      </w:r>
      <w:r w:rsidRPr="0051515A">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51515A" w:rsidRPr="0051515A" w:rsidRDefault="0051515A" w:rsidP="0051515A">
      <w:pPr>
        <w:spacing w:before="240" w:line="276" w:lineRule="auto"/>
        <w:jc w:val="both"/>
        <w:rPr>
          <w:rFonts w:ascii="Palatino Linotype" w:hAnsi="Palatino Linotype" w:cs="Arial"/>
          <w:b/>
          <w:sz w:val="22"/>
          <w:szCs w:val="22"/>
          <w:lang w:val="es-ES_tradnl"/>
        </w:rPr>
      </w:pPr>
      <w:r w:rsidRPr="0051515A">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51515A" w:rsidRPr="0051515A" w:rsidRDefault="0051515A" w:rsidP="0051515A">
      <w:pPr>
        <w:spacing w:before="240" w:line="276" w:lineRule="auto"/>
        <w:jc w:val="both"/>
        <w:rPr>
          <w:rFonts w:ascii="Palatino Linotype" w:hAnsi="Palatino Linotype" w:cs="Arial"/>
          <w:bCs/>
          <w:sz w:val="22"/>
          <w:szCs w:val="22"/>
          <w:lang w:val="es-ES_tradnl"/>
        </w:rPr>
      </w:pPr>
      <w:r w:rsidRPr="0051515A">
        <w:rPr>
          <w:rFonts w:ascii="Palatino Linotype" w:hAnsi="Palatino Linotype" w:cs="Arial"/>
          <w:b/>
          <w:bCs/>
          <w:sz w:val="22"/>
          <w:szCs w:val="22"/>
          <w:lang w:val="es-ES_tradnl"/>
        </w:rPr>
        <w:t xml:space="preserve">Artículo 14.- Potestad de </w:t>
      </w:r>
      <w:r w:rsidR="00D417D7">
        <w:rPr>
          <w:rFonts w:ascii="Palatino Linotype" w:hAnsi="Palatino Linotype" w:cs="Arial"/>
          <w:b/>
          <w:bCs/>
          <w:sz w:val="22"/>
          <w:szCs w:val="22"/>
          <w:lang w:val="es-ES_tradnl"/>
        </w:rPr>
        <w:t>e</w:t>
      </w:r>
      <w:r w:rsidRPr="0051515A">
        <w:rPr>
          <w:rFonts w:ascii="Palatino Linotype" w:hAnsi="Palatino Linotype" w:cs="Arial"/>
          <w:b/>
          <w:bCs/>
          <w:sz w:val="22"/>
          <w:szCs w:val="22"/>
          <w:lang w:val="es-ES_tradnl"/>
        </w:rPr>
        <w:t xml:space="preserve">jecución.- </w:t>
      </w:r>
      <w:r w:rsidRPr="0051515A">
        <w:rPr>
          <w:rFonts w:ascii="Palatino Linotype" w:hAnsi="Palatino Linotype" w:cs="Arial"/>
          <w:bCs/>
          <w:sz w:val="22"/>
          <w:szCs w:val="22"/>
          <w:lang w:val="es-ES_tradnl"/>
        </w:rPr>
        <w:t xml:space="preserve">Para el fiel cumplimiento de las disposiciones de esta Ordenanza, y en caso de que no se hayan cumplido los plazos establecidos, se podrá </w:t>
      </w:r>
      <w:r w:rsidRPr="0051515A">
        <w:rPr>
          <w:rFonts w:ascii="Palatino Linotype" w:hAnsi="Palatino Linotype" w:cs="Arial"/>
          <w:bCs/>
          <w:sz w:val="22"/>
          <w:szCs w:val="22"/>
          <w:lang w:val="es-ES_tradnl"/>
        </w:rPr>
        <w:lastRenderedPageBreak/>
        <w:t>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1515A" w:rsidRPr="0051515A" w:rsidRDefault="0051515A" w:rsidP="0051515A">
      <w:pPr>
        <w:spacing w:before="240" w:line="276" w:lineRule="auto"/>
        <w:jc w:val="both"/>
        <w:rPr>
          <w:rFonts w:ascii="Palatino Linotype" w:hAnsi="Palatino Linotype" w:cs="Arial"/>
          <w:bCs/>
          <w:sz w:val="22"/>
          <w:szCs w:val="22"/>
          <w:lang w:val="es-ES_tradnl"/>
        </w:rPr>
      </w:pPr>
      <w:r w:rsidRPr="0051515A">
        <w:rPr>
          <w:rFonts w:ascii="Palatino Linotype" w:hAnsi="Palatino Linotype" w:cs="Arial"/>
          <w:b/>
          <w:bCs/>
          <w:sz w:val="22"/>
          <w:szCs w:val="22"/>
          <w:lang w:val="es-ES_tradnl"/>
        </w:rPr>
        <w:t>Artíc</w:t>
      </w:r>
      <w:bookmarkStart w:id="0" w:name="_GoBack"/>
      <w:bookmarkEnd w:id="0"/>
      <w:r w:rsidRPr="0051515A">
        <w:rPr>
          <w:rFonts w:ascii="Palatino Linotype" w:hAnsi="Palatino Linotype" w:cs="Arial"/>
          <w:b/>
          <w:bCs/>
          <w:sz w:val="22"/>
          <w:szCs w:val="22"/>
          <w:lang w:val="es-ES_tradnl"/>
        </w:rPr>
        <w:t xml:space="preserve">ulo 15.- Solicitudes de ampliación de plazo.- </w:t>
      </w:r>
      <w:r w:rsidRPr="0051515A">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B452F1" w:rsidRDefault="00BA5D17" w:rsidP="00BA5D17">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302F52" w:rsidRPr="00057D41" w:rsidRDefault="00302F52" w:rsidP="00057D41">
      <w:pPr>
        <w:spacing w:before="240" w:line="276" w:lineRule="auto"/>
        <w:jc w:val="both"/>
        <w:rPr>
          <w:rFonts w:ascii="Palatino Linotype" w:hAnsi="Palatino Linotype" w:cs="Arial"/>
          <w:sz w:val="22"/>
          <w:szCs w:val="22"/>
        </w:rPr>
      </w:pPr>
      <w:r w:rsidRPr="00057D41">
        <w:rPr>
          <w:rFonts w:ascii="Palatino Linotype" w:hAnsi="Palatino Linotype" w:cs="Arial"/>
          <w:sz w:val="22"/>
          <w:szCs w:val="22"/>
        </w:rPr>
        <w:t xml:space="preserve">Dada, en la Sala de Sesiones del Concejo Metropolitano de Quito, el </w:t>
      </w:r>
      <w:r w:rsidR="00CA049D">
        <w:rPr>
          <w:rFonts w:ascii="Palatino Linotype" w:hAnsi="Palatino Linotype" w:cs="Arial"/>
          <w:sz w:val="22"/>
          <w:szCs w:val="22"/>
        </w:rPr>
        <w:t>5</w:t>
      </w:r>
      <w:r w:rsidRPr="00057D41">
        <w:rPr>
          <w:rFonts w:ascii="Palatino Linotype" w:hAnsi="Palatino Linotype" w:cs="Arial"/>
          <w:sz w:val="22"/>
          <w:szCs w:val="22"/>
        </w:rPr>
        <w:t xml:space="preserve"> de </w:t>
      </w:r>
      <w:r w:rsidR="00CA049D">
        <w:rPr>
          <w:rFonts w:ascii="Palatino Linotype" w:hAnsi="Palatino Linotype" w:cs="Arial"/>
          <w:sz w:val="22"/>
          <w:szCs w:val="22"/>
        </w:rPr>
        <w:t xml:space="preserve">febrero </w:t>
      </w:r>
      <w:r w:rsidRPr="00057D41">
        <w:rPr>
          <w:rFonts w:ascii="Palatino Linotype" w:hAnsi="Palatino Linotype" w:cs="Arial"/>
          <w:sz w:val="22"/>
          <w:szCs w:val="22"/>
        </w:rPr>
        <w:t>de 201</w:t>
      </w:r>
      <w:r w:rsidR="00BA5D17">
        <w:rPr>
          <w:rFonts w:ascii="Palatino Linotype" w:hAnsi="Palatino Linotype" w:cs="Arial"/>
          <w:sz w:val="22"/>
          <w:szCs w:val="22"/>
        </w:rPr>
        <w:t>5</w:t>
      </w:r>
      <w:r w:rsidRPr="00057D41">
        <w:rPr>
          <w:rFonts w:ascii="Palatino Linotype" w:hAnsi="Palatino Linotype" w:cs="Arial"/>
          <w:sz w:val="22"/>
          <w:szCs w:val="22"/>
        </w:rPr>
        <w:t>.</w:t>
      </w: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80EAC" w:rsidTr="00A571E2">
        <w:trPr>
          <w:jc w:val="center"/>
        </w:trPr>
        <w:tc>
          <w:tcPr>
            <w:tcW w:w="5575"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Pr="00680EAC" w:rsidRDefault="00302F52" w:rsidP="00A571E2">
            <w:pPr>
              <w:pStyle w:val="Textopredeterminado"/>
              <w:jc w:val="center"/>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CA049D">
        <w:rPr>
          <w:rFonts w:ascii="Palatino Linotype" w:eastAsia="MS Mincho" w:hAnsi="Palatino Linotype" w:cs="Arial"/>
          <w:sz w:val="22"/>
          <w:szCs w:val="22"/>
        </w:rPr>
        <w:t>29 de enero</w:t>
      </w:r>
      <w:r>
        <w:rPr>
          <w:rFonts w:ascii="Palatino Linotype" w:eastAsia="MS Mincho" w:hAnsi="Palatino Linotype" w:cs="Arial"/>
          <w:sz w:val="22"/>
          <w:szCs w:val="22"/>
        </w:rPr>
        <w:t xml:space="preserve"> y </w:t>
      </w:r>
      <w:r w:rsidR="00CA049D">
        <w:rPr>
          <w:rFonts w:ascii="Palatino Linotype" w:eastAsia="MS Mincho" w:hAnsi="Palatino Linotype" w:cs="Arial"/>
          <w:sz w:val="22"/>
          <w:szCs w:val="22"/>
        </w:rPr>
        <w:t>5</w:t>
      </w:r>
      <w:r w:rsidRPr="003843CA">
        <w:rPr>
          <w:rFonts w:ascii="Palatino Linotype" w:eastAsia="MS Mincho" w:hAnsi="Palatino Linotype" w:cs="Arial"/>
          <w:sz w:val="22"/>
          <w:szCs w:val="22"/>
        </w:rPr>
        <w:t xml:space="preserve"> de </w:t>
      </w:r>
      <w:r w:rsidR="00CA049D">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BA5D17">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2D3569" w:rsidRPr="003843CA" w:rsidRDefault="002D3569"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D417D7" w:rsidRDefault="00D417D7" w:rsidP="00302F52">
      <w:pPr>
        <w:pStyle w:val="Textosinformato"/>
        <w:spacing w:line="276" w:lineRule="auto"/>
        <w:jc w:val="both"/>
        <w:rPr>
          <w:rFonts w:ascii="Palatino Linotype" w:eastAsia="MS Mincho" w:hAnsi="Palatino Linotype" w:cs="Arial"/>
          <w:b/>
          <w:bCs/>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A44DC3" w:rsidRPr="003843CA"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Pr="003843CA" w:rsidRDefault="00302F52" w:rsidP="00302F52">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A554A" w:rsidRPr="00CA049D" w:rsidRDefault="00CA049D" w:rsidP="00302F52">
      <w:pPr>
        <w:spacing w:before="240" w:line="276" w:lineRule="auto"/>
        <w:jc w:val="both"/>
        <w:rPr>
          <w:rFonts w:ascii="Palatino Linotype" w:eastAsia="MS Mincho" w:hAnsi="Palatino Linotype" w:cs="Arial"/>
          <w:b/>
          <w:bCs/>
          <w:sz w:val="16"/>
          <w:szCs w:val="16"/>
        </w:rPr>
      </w:pPr>
      <w:r>
        <w:rPr>
          <w:rFonts w:ascii="Palatino Linotype" w:eastAsia="MS Mincho" w:hAnsi="Palatino Linotype" w:cs="Arial"/>
          <w:b/>
          <w:bCs/>
          <w:sz w:val="16"/>
          <w:szCs w:val="16"/>
        </w:rPr>
        <w:t>DSCS</w:t>
      </w:r>
    </w:p>
    <w:sectPr w:rsidR="00CA554A" w:rsidRPr="00CA049D" w:rsidSect="00A44DC3">
      <w:headerReference w:type="even" r:id="rId11"/>
      <w:headerReference w:type="default" r:id="rId12"/>
      <w:footerReference w:type="default" r:id="rId13"/>
      <w:headerReference w:type="first" r:id="rId14"/>
      <w:pgSz w:w="11906" w:h="16838"/>
      <w:pgMar w:top="3402" w:right="1274"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D7" w:rsidRDefault="00D417D7" w:rsidP="00B14643">
      <w:r>
        <w:separator/>
      </w:r>
    </w:p>
  </w:endnote>
  <w:endnote w:type="continuationSeparator" w:id="0">
    <w:p w:rsidR="00D417D7" w:rsidRDefault="00D417D7"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7" w:rsidRPr="00723B61" w:rsidRDefault="00D417D7">
    <w:pPr>
      <w:pStyle w:val="Piedepgina"/>
      <w:jc w:val="right"/>
      <w:rPr>
        <w:rFonts w:ascii="Palatino Linotype" w:hAnsi="Palatino Linotype"/>
      </w:rPr>
    </w:pPr>
  </w:p>
  <w:p w:rsidR="00D417D7" w:rsidRDefault="00D417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7" w:rsidRPr="00CA049D" w:rsidRDefault="00D417D7" w:rsidP="003078EC">
    <w:pPr>
      <w:pStyle w:val="Piedepgina"/>
      <w:jc w:val="right"/>
      <w:rPr>
        <w:rFonts w:ascii="Palatino Linotype" w:hAnsi="Palatino Linotype"/>
      </w:rPr>
    </w:pPr>
    <w:r w:rsidRPr="00CA049D">
      <w:rPr>
        <w:rFonts w:ascii="Palatino Linotype" w:hAnsi="Palatino Linotype"/>
      </w:rPr>
      <w:t xml:space="preserve">Página </w:t>
    </w:r>
    <w:r w:rsidR="00604BDA" w:rsidRPr="00CA049D">
      <w:rPr>
        <w:rFonts w:ascii="Palatino Linotype" w:hAnsi="Palatino Linotype"/>
        <w:b/>
      </w:rPr>
      <w:fldChar w:fldCharType="begin"/>
    </w:r>
    <w:r w:rsidRPr="00CA049D">
      <w:rPr>
        <w:rFonts w:ascii="Palatino Linotype" w:hAnsi="Palatino Linotype"/>
        <w:b/>
      </w:rPr>
      <w:instrText>PAGE</w:instrText>
    </w:r>
    <w:r w:rsidR="00604BDA" w:rsidRPr="00CA049D">
      <w:rPr>
        <w:rFonts w:ascii="Palatino Linotype" w:hAnsi="Palatino Linotype"/>
        <w:b/>
      </w:rPr>
      <w:fldChar w:fldCharType="separate"/>
    </w:r>
    <w:r w:rsidR="00646944">
      <w:rPr>
        <w:rFonts w:ascii="Palatino Linotype" w:hAnsi="Palatino Linotype"/>
        <w:b/>
        <w:noProof/>
      </w:rPr>
      <w:t>7</w:t>
    </w:r>
    <w:r w:rsidR="00604BDA" w:rsidRPr="00CA049D">
      <w:rPr>
        <w:rFonts w:ascii="Palatino Linotype" w:hAnsi="Palatino Linotype"/>
        <w:b/>
      </w:rPr>
      <w:fldChar w:fldCharType="end"/>
    </w:r>
    <w:r w:rsidRPr="00CA049D">
      <w:rPr>
        <w:rFonts w:ascii="Palatino Linotype" w:hAnsi="Palatino Linotype"/>
      </w:rPr>
      <w:t xml:space="preserve"> de </w:t>
    </w:r>
    <w:r w:rsidRPr="00CA049D">
      <w:rPr>
        <w:rFonts w:ascii="Palatino Linotype" w:hAnsi="Palatino Linotype"/>
        <w:b/>
      </w:rPr>
      <w:t>8</w:t>
    </w:r>
  </w:p>
  <w:p w:rsidR="00D417D7" w:rsidRDefault="00D417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D7" w:rsidRDefault="00D417D7" w:rsidP="00B14643">
      <w:r>
        <w:separator/>
      </w:r>
    </w:p>
  </w:footnote>
  <w:footnote w:type="continuationSeparator" w:id="0">
    <w:p w:rsidR="00D417D7" w:rsidRDefault="00D417D7"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7" w:rsidRDefault="00D417D7">
    <w:pPr>
      <w:pStyle w:val="Encabezado"/>
      <w:rPr>
        <w:lang w:val="es-EC"/>
      </w:rPr>
    </w:pPr>
  </w:p>
  <w:p w:rsidR="00D417D7" w:rsidRDefault="00D417D7">
    <w:pPr>
      <w:pStyle w:val="Encabezado"/>
      <w:rPr>
        <w:lang w:val="es-EC"/>
      </w:rPr>
    </w:pPr>
  </w:p>
  <w:p w:rsidR="00D417D7" w:rsidRDefault="00D417D7">
    <w:pPr>
      <w:pStyle w:val="Encabezado"/>
      <w:rPr>
        <w:lang w:val="es-EC"/>
      </w:rPr>
    </w:pPr>
  </w:p>
  <w:p w:rsidR="00D417D7" w:rsidRDefault="00D417D7">
    <w:pPr>
      <w:pStyle w:val="Encabezado"/>
      <w:rPr>
        <w:lang w:val="es-EC"/>
      </w:rPr>
    </w:pPr>
  </w:p>
  <w:p w:rsidR="00D417D7" w:rsidRDefault="00D417D7" w:rsidP="00150606">
    <w:pPr>
      <w:pStyle w:val="Ttulo"/>
      <w:rPr>
        <w:rFonts w:ascii="Palatino Linotype" w:hAnsi="Palatino Linotype" w:cs="Arial"/>
        <w:sz w:val="22"/>
        <w:szCs w:val="22"/>
      </w:rPr>
    </w:pPr>
  </w:p>
  <w:p w:rsidR="00D417D7" w:rsidRDefault="00D417D7" w:rsidP="00150606">
    <w:pPr>
      <w:pStyle w:val="Ttulo"/>
      <w:rPr>
        <w:rFonts w:ascii="Palatino Linotype" w:hAnsi="Palatino Linotype" w:cs="Arial"/>
        <w:sz w:val="22"/>
        <w:szCs w:val="22"/>
      </w:rPr>
    </w:pPr>
  </w:p>
  <w:p w:rsidR="00314B5A" w:rsidRDefault="00314B5A" w:rsidP="00150606">
    <w:pPr>
      <w:pStyle w:val="Ttulo"/>
      <w:rPr>
        <w:rFonts w:ascii="Palatino Linotype" w:hAnsi="Palatino Linotype" w:cs="Arial"/>
        <w:sz w:val="22"/>
        <w:szCs w:val="22"/>
      </w:rPr>
    </w:pPr>
  </w:p>
  <w:p w:rsidR="00314B5A" w:rsidRDefault="00314B5A" w:rsidP="00150606">
    <w:pPr>
      <w:pStyle w:val="Ttulo"/>
      <w:rPr>
        <w:rFonts w:ascii="Palatino Linotype" w:hAnsi="Palatino Linotype" w:cs="Arial"/>
        <w:sz w:val="22"/>
        <w:szCs w:val="22"/>
      </w:rPr>
    </w:pPr>
  </w:p>
  <w:p w:rsidR="00D417D7" w:rsidRPr="00476B21" w:rsidRDefault="00D417D7"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D417D7" w:rsidRPr="00150606" w:rsidRDefault="00D417D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7" w:rsidRDefault="00D417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7" w:rsidRDefault="00D417D7" w:rsidP="002D3569">
    <w:pPr>
      <w:pStyle w:val="Ttulo"/>
      <w:rPr>
        <w:rFonts w:ascii="Palatino Linotype" w:hAnsi="Palatino Linotype" w:cs="Arial"/>
        <w:sz w:val="22"/>
        <w:szCs w:val="22"/>
      </w:rPr>
    </w:pPr>
  </w:p>
  <w:p w:rsidR="00D417D7" w:rsidRDefault="00D417D7" w:rsidP="002D3569">
    <w:pPr>
      <w:pStyle w:val="Ttulo"/>
      <w:rPr>
        <w:rFonts w:ascii="Palatino Linotype" w:hAnsi="Palatino Linotype" w:cs="Arial"/>
        <w:sz w:val="22"/>
        <w:szCs w:val="22"/>
      </w:rPr>
    </w:pPr>
  </w:p>
  <w:p w:rsidR="00D417D7" w:rsidRDefault="00D417D7" w:rsidP="002D3569">
    <w:pPr>
      <w:pStyle w:val="Ttulo"/>
      <w:rPr>
        <w:rFonts w:ascii="Palatino Linotype" w:hAnsi="Palatino Linotype" w:cs="Arial"/>
        <w:sz w:val="22"/>
        <w:szCs w:val="22"/>
      </w:rPr>
    </w:pPr>
  </w:p>
  <w:p w:rsidR="00D417D7" w:rsidRDefault="00D417D7" w:rsidP="002D3569">
    <w:pPr>
      <w:pStyle w:val="Ttulo"/>
      <w:rPr>
        <w:rFonts w:ascii="Palatino Linotype" w:hAnsi="Palatino Linotype" w:cs="Arial"/>
        <w:sz w:val="22"/>
        <w:szCs w:val="22"/>
      </w:rPr>
    </w:pPr>
  </w:p>
  <w:p w:rsidR="00D417D7" w:rsidRDefault="00D417D7" w:rsidP="002D3569">
    <w:pPr>
      <w:pStyle w:val="Ttulo"/>
      <w:rPr>
        <w:rFonts w:ascii="Palatino Linotype" w:hAnsi="Palatino Linotype" w:cs="Arial"/>
        <w:sz w:val="22"/>
        <w:szCs w:val="22"/>
      </w:rPr>
    </w:pPr>
  </w:p>
  <w:p w:rsidR="00D417D7" w:rsidRDefault="00D417D7" w:rsidP="002D3569">
    <w:pPr>
      <w:pStyle w:val="Ttulo"/>
      <w:rPr>
        <w:rFonts w:ascii="Palatino Linotype" w:hAnsi="Palatino Linotype" w:cs="Arial"/>
        <w:sz w:val="22"/>
        <w:szCs w:val="22"/>
      </w:rPr>
    </w:pPr>
  </w:p>
  <w:p w:rsidR="00D417D7" w:rsidRDefault="00D417D7" w:rsidP="002D3569">
    <w:pPr>
      <w:pStyle w:val="Ttulo"/>
      <w:rPr>
        <w:rFonts w:ascii="Palatino Linotype" w:hAnsi="Palatino Linotype" w:cs="Arial"/>
        <w:sz w:val="22"/>
        <w:szCs w:val="22"/>
      </w:rPr>
    </w:pPr>
  </w:p>
  <w:p w:rsidR="00D417D7" w:rsidRPr="00476B21" w:rsidRDefault="00D417D7"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D417D7" w:rsidRDefault="00D417D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7" w:rsidRDefault="00D417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3">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26"/>
  </w:num>
  <w:num w:numId="12">
    <w:abstractNumId w:val="1"/>
  </w:num>
  <w:num w:numId="13">
    <w:abstractNumId w:val="27"/>
  </w:num>
  <w:num w:numId="14">
    <w:abstractNumId w:val="21"/>
  </w:num>
  <w:num w:numId="15">
    <w:abstractNumId w:val="10"/>
  </w:num>
  <w:num w:numId="16">
    <w:abstractNumId w:val="12"/>
  </w:num>
  <w:num w:numId="17">
    <w:abstractNumId w:val="9"/>
  </w:num>
  <w:num w:numId="18">
    <w:abstractNumId w:val="22"/>
  </w:num>
  <w:num w:numId="19">
    <w:abstractNumId w:val="6"/>
  </w:num>
  <w:num w:numId="20">
    <w:abstractNumId w:val="17"/>
  </w:num>
  <w:num w:numId="21">
    <w:abstractNumId w:val="24"/>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8"/>
  </w:num>
  <w:num w:numId="28">
    <w:abstractNumId w:val="15"/>
  </w:num>
  <w:num w:numId="29">
    <w:abstractNumId w:val="25"/>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48D6"/>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2BF8"/>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6EFE"/>
    <w:rsid w:val="00280339"/>
    <w:rsid w:val="00280717"/>
    <w:rsid w:val="00285D7F"/>
    <w:rsid w:val="00287155"/>
    <w:rsid w:val="00291C0F"/>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4B5A"/>
    <w:rsid w:val="003153D2"/>
    <w:rsid w:val="003176EC"/>
    <w:rsid w:val="00324764"/>
    <w:rsid w:val="00325E9B"/>
    <w:rsid w:val="003261DA"/>
    <w:rsid w:val="003336D9"/>
    <w:rsid w:val="00336F6D"/>
    <w:rsid w:val="0034115A"/>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102F"/>
    <w:rsid w:val="003E450B"/>
    <w:rsid w:val="003E6DFE"/>
    <w:rsid w:val="003F0E2B"/>
    <w:rsid w:val="003F177C"/>
    <w:rsid w:val="003F1C69"/>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46D8B"/>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B92"/>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04ADC"/>
    <w:rsid w:val="00510372"/>
    <w:rsid w:val="00511176"/>
    <w:rsid w:val="0051515A"/>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391D"/>
    <w:rsid w:val="00587621"/>
    <w:rsid w:val="005878A2"/>
    <w:rsid w:val="0058791B"/>
    <w:rsid w:val="00590CEC"/>
    <w:rsid w:val="005925D4"/>
    <w:rsid w:val="00594578"/>
    <w:rsid w:val="005A5EB9"/>
    <w:rsid w:val="005B126F"/>
    <w:rsid w:val="005B2C64"/>
    <w:rsid w:val="005B34EF"/>
    <w:rsid w:val="005B40BD"/>
    <w:rsid w:val="005C01D0"/>
    <w:rsid w:val="005C0836"/>
    <w:rsid w:val="005C15D2"/>
    <w:rsid w:val="005C68FC"/>
    <w:rsid w:val="005D2616"/>
    <w:rsid w:val="005D3175"/>
    <w:rsid w:val="005D43CA"/>
    <w:rsid w:val="005E0184"/>
    <w:rsid w:val="005E4085"/>
    <w:rsid w:val="005E7CBA"/>
    <w:rsid w:val="005F1A76"/>
    <w:rsid w:val="005F2841"/>
    <w:rsid w:val="005F7161"/>
    <w:rsid w:val="00602EA3"/>
    <w:rsid w:val="006043DB"/>
    <w:rsid w:val="00604BDA"/>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46944"/>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B15"/>
    <w:rsid w:val="00690D3E"/>
    <w:rsid w:val="0069147B"/>
    <w:rsid w:val="006926BA"/>
    <w:rsid w:val="006974FF"/>
    <w:rsid w:val="006A186D"/>
    <w:rsid w:val="006A2248"/>
    <w:rsid w:val="006A4FA6"/>
    <w:rsid w:val="006A596D"/>
    <w:rsid w:val="006B357E"/>
    <w:rsid w:val="006C23B8"/>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88A"/>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1BA0"/>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17B9"/>
    <w:rsid w:val="009B4666"/>
    <w:rsid w:val="009C2D28"/>
    <w:rsid w:val="009C3ECA"/>
    <w:rsid w:val="009C416E"/>
    <w:rsid w:val="009C43D6"/>
    <w:rsid w:val="009C59DF"/>
    <w:rsid w:val="009D0B94"/>
    <w:rsid w:val="009D1285"/>
    <w:rsid w:val="009D1ED8"/>
    <w:rsid w:val="009D6D62"/>
    <w:rsid w:val="009D6F28"/>
    <w:rsid w:val="009E2A10"/>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52E0"/>
    <w:rsid w:val="00A453EC"/>
    <w:rsid w:val="00A462FC"/>
    <w:rsid w:val="00A51A1E"/>
    <w:rsid w:val="00A5219A"/>
    <w:rsid w:val="00A52DF1"/>
    <w:rsid w:val="00A5608D"/>
    <w:rsid w:val="00A571E2"/>
    <w:rsid w:val="00A619C0"/>
    <w:rsid w:val="00A63552"/>
    <w:rsid w:val="00A64003"/>
    <w:rsid w:val="00A70ABB"/>
    <w:rsid w:val="00A71C61"/>
    <w:rsid w:val="00A731E8"/>
    <w:rsid w:val="00A80160"/>
    <w:rsid w:val="00A84DDD"/>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336"/>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2316"/>
    <w:rsid w:val="00B65443"/>
    <w:rsid w:val="00B65EBD"/>
    <w:rsid w:val="00B6630F"/>
    <w:rsid w:val="00B742EF"/>
    <w:rsid w:val="00B74318"/>
    <w:rsid w:val="00B7468B"/>
    <w:rsid w:val="00B747F5"/>
    <w:rsid w:val="00B81472"/>
    <w:rsid w:val="00B84D5C"/>
    <w:rsid w:val="00B92361"/>
    <w:rsid w:val="00BA0C00"/>
    <w:rsid w:val="00BA1C4F"/>
    <w:rsid w:val="00BA5D17"/>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911"/>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049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199B"/>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17D7"/>
    <w:rsid w:val="00D44738"/>
    <w:rsid w:val="00D458F1"/>
    <w:rsid w:val="00D503B8"/>
    <w:rsid w:val="00D50C10"/>
    <w:rsid w:val="00D50EE9"/>
    <w:rsid w:val="00D6298B"/>
    <w:rsid w:val="00D65291"/>
    <w:rsid w:val="00D66D9A"/>
    <w:rsid w:val="00D7039D"/>
    <w:rsid w:val="00D7200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1FD7"/>
    <w:rsid w:val="00DC21E8"/>
    <w:rsid w:val="00DC2B03"/>
    <w:rsid w:val="00DD0375"/>
    <w:rsid w:val="00DD3BB6"/>
    <w:rsid w:val="00DD74FA"/>
    <w:rsid w:val="00DE1786"/>
    <w:rsid w:val="00DE2952"/>
    <w:rsid w:val="00DE2E81"/>
    <w:rsid w:val="00DE35B0"/>
    <w:rsid w:val="00DF0B3D"/>
    <w:rsid w:val="00DF1C55"/>
    <w:rsid w:val="00DF3409"/>
    <w:rsid w:val="00DF696C"/>
    <w:rsid w:val="00E02445"/>
    <w:rsid w:val="00E02B5F"/>
    <w:rsid w:val="00E06ACC"/>
    <w:rsid w:val="00E07811"/>
    <w:rsid w:val="00E123FB"/>
    <w:rsid w:val="00E130CF"/>
    <w:rsid w:val="00E16E4D"/>
    <w:rsid w:val="00E23B34"/>
    <w:rsid w:val="00E2474D"/>
    <w:rsid w:val="00E3169E"/>
    <w:rsid w:val="00E31C4C"/>
    <w:rsid w:val="00E32D82"/>
    <w:rsid w:val="00E35FC9"/>
    <w:rsid w:val="00E40127"/>
    <w:rsid w:val="00E42468"/>
    <w:rsid w:val="00E43914"/>
    <w:rsid w:val="00E4508E"/>
    <w:rsid w:val="00E45E97"/>
    <w:rsid w:val="00E46257"/>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2707"/>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FA9"/>
    <w:rsid w:val="00F84671"/>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8CBD-391B-4C17-9D82-3677CA4C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14588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Secretaria de Concejo</cp:lastModifiedBy>
  <cp:revision>3</cp:revision>
  <cp:lastPrinted>2015-02-02T18:54:00Z</cp:lastPrinted>
  <dcterms:created xsi:type="dcterms:W3CDTF">2015-02-06T16:57:00Z</dcterms:created>
  <dcterms:modified xsi:type="dcterms:W3CDTF">2015-02-06T16:58:00Z</dcterms:modified>
</cp:coreProperties>
</file>