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FF7CDC" w:rsidRDefault="0096645E" w:rsidP="00FF7CDC">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FE2036" w:rsidRPr="00120EC3" w:rsidRDefault="00FE2036" w:rsidP="00FE2036">
      <w:pPr>
        <w:spacing w:after="120" w:line="276" w:lineRule="auto"/>
        <w:ind w:firstLine="708"/>
        <w:jc w:val="both"/>
        <w:rPr>
          <w:rFonts w:ascii="Palatino Linotype" w:hAnsi="Palatino Linotype"/>
          <w:b/>
          <w:sz w:val="22"/>
          <w:szCs w:val="22"/>
        </w:rPr>
      </w:pPr>
      <w:r w:rsidRPr="00120EC3">
        <w:rPr>
          <w:rFonts w:ascii="Palatino Linotype" w:hAnsi="Palatino Linotype"/>
          <w:sz w:val="22"/>
          <w:szCs w:val="22"/>
        </w:rPr>
        <w:t>El Asentamiento Humano de Hecho y Consolidado de Interés Social denominado “Santa Rosa de Guamaní” tiene una consolidación de 53</w:t>
      </w:r>
      <w:r>
        <w:rPr>
          <w:rFonts w:ascii="Palatino Linotype" w:hAnsi="Palatino Linotype"/>
          <w:sz w:val="22"/>
          <w:szCs w:val="22"/>
        </w:rPr>
        <w:t>,</w:t>
      </w:r>
      <w:r w:rsidRPr="00120EC3">
        <w:rPr>
          <w:rFonts w:ascii="Palatino Linotype" w:hAnsi="Palatino Linotype"/>
          <w:sz w:val="22"/>
          <w:szCs w:val="22"/>
        </w:rPr>
        <w:t xml:space="preserve">85%; al inicio del proceso de regularización contaba con 11 años de existencia sin embargo al momento de la sanción de la presente ordenanza el asentamiento cuenta con </w:t>
      </w:r>
      <w:r>
        <w:rPr>
          <w:rFonts w:ascii="Palatino Linotype" w:hAnsi="Palatino Linotype"/>
          <w:sz w:val="22"/>
          <w:szCs w:val="22"/>
        </w:rPr>
        <w:t>13</w:t>
      </w:r>
      <w:r w:rsidRPr="00120EC3">
        <w:rPr>
          <w:rFonts w:ascii="Palatino Linotype" w:hAnsi="Palatino Linotype"/>
          <w:sz w:val="22"/>
          <w:szCs w:val="22"/>
        </w:rPr>
        <w:t xml:space="preserve"> años de asentamiento y 52 beneficiarios. </w:t>
      </w:r>
    </w:p>
    <w:p w:rsidR="00FE2036" w:rsidRPr="00120EC3" w:rsidRDefault="00FE2036" w:rsidP="00FE2036">
      <w:pPr>
        <w:pStyle w:val="a"/>
        <w:spacing w:after="120" w:line="276" w:lineRule="auto"/>
        <w:ind w:firstLine="708"/>
        <w:jc w:val="both"/>
        <w:rPr>
          <w:rFonts w:ascii="Palatino Linotype" w:hAnsi="Palatino Linotype" w:cs="Times New Roman"/>
          <w:b w:val="0"/>
          <w:sz w:val="22"/>
          <w:szCs w:val="22"/>
        </w:rPr>
      </w:pPr>
      <w:r w:rsidRPr="00120EC3">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7750DE" w:rsidRPr="00387B4A" w:rsidRDefault="00FE2036" w:rsidP="00FE2036">
      <w:pPr>
        <w:spacing w:after="120" w:line="276" w:lineRule="auto"/>
        <w:ind w:firstLine="708"/>
        <w:jc w:val="both"/>
        <w:rPr>
          <w:rFonts w:ascii="Palatino Linotype" w:hAnsi="Palatino Linotype"/>
          <w:sz w:val="22"/>
          <w:szCs w:val="22"/>
        </w:rPr>
      </w:pPr>
      <w:r w:rsidRPr="00120EC3">
        <w:rPr>
          <w:rFonts w:ascii="Palatino Linotype" w:hAnsi="Palatino Linotype"/>
          <w:sz w:val="22"/>
          <w:szCs w:val="22"/>
        </w:rPr>
        <w:t>En este sentido, la presente ordenanza contiene la normativa tendiente a la regularización del Asentamiento Humano de Hecho y Consolidado de Interés Social denominado “Santa Rosa de Guamaní” a fin de garantizar a los beneficiarios el ejercicio de su derecho a la vivienda y el acceso a servicios básicos de calidad</w:t>
      </w:r>
      <w:r w:rsidR="007750DE" w:rsidRPr="000C7EBE">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FE2036">
        <w:rPr>
          <w:rFonts w:ascii="Palatino Linotype" w:hAnsi="Palatino Linotype"/>
          <w:sz w:val="22"/>
          <w:szCs w:val="22"/>
        </w:rPr>
        <w:t>8</w:t>
      </w:r>
      <w:r w:rsidR="00236471" w:rsidRPr="00091622">
        <w:rPr>
          <w:rFonts w:ascii="Palatino Linotype" w:hAnsi="Palatino Linotype"/>
          <w:sz w:val="22"/>
          <w:szCs w:val="22"/>
        </w:rPr>
        <w:t>-</w:t>
      </w:r>
      <w:r w:rsidR="00FE2036">
        <w:rPr>
          <w:rFonts w:ascii="Palatino Linotype" w:hAnsi="Palatino Linotype"/>
          <w:sz w:val="22"/>
          <w:szCs w:val="22"/>
        </w:rPr>
        <w:t>324</w:t>
      </w:r>
      <w:r w:rsidR="007359A3" w:rsidRPr="00091622">
        <w:rPr>
          <w:rFonts w:ascii="Palatino Linotype" w:hAnsi="Palatino Linotype"/>
          <w:sz w:val="22"/>
          <w:szCs w:val="22"/>
        </w:rPr>
        <w:t xml:space="preserve">, de </w:t>
      </w:r>
      <w:r w:rsidR="00FE2036">
        <w:rPr>
          <w:rFonts w:ascii="Palatino Linotype" w:hAnsi="Palatino Linotype"/>
          <w:sz w:val="22"/>
          <w:szCs w:val="22"/>
        </w:rPr>
        <w:t>9</w:t>
      </w:r>
      <w:r w:rsidR="00855AA5">
        <w:rPr>
          <w:rFonts w:ascii="Palatino Linotype" w:hAnsi="Palatino Linotype"/>
          <w:sz w:val="22"/>
          <w:szCs w:val="22"/>
        </w:rPr>
        <w:t xml:space="preserve"> </w:t>
      </w:r>
      <w:r w:rsidR="00195FBA">
        <w:rPr>
          <w:rFonts w:ascii="Palatino Linotype" w:hAnsi="Palatino Linotype"/>
          <w:sz w:val="22"/>
          <w:szCs w:val="22"/>
        </w:rPr>
        <w:t xml:space="preserve">de </w:t>
      </w:r>
      <w:r w:rsidR="00855AA5">
        <w:rPr>
          <w:rFonts w:ascii="Palatino Linotype" w:hAnsi="Palatino Linotype"/>
          <w:sz w:val="22"/>
          <w:szCs w:val="22"/>
        </w:rPr>
        <w:t xml:space="preserve">octubre </w:t>
      </w:r>
      <w:r w:rsidR="00195FBA">
        <w:rPr>
          <w:rFonts w:ascii="Palatino Linotype" w:hAnsi="Palatino Linotype"/>
          <w:sz w:val="22"/>
          <w:szCs w:val="22"/>
        </w:rPr>
        <w:t>de 201</w:t>
      </w:r>
      <w:r w:rsidR="00FE2036">
        <w:rPr>
          <w:rFonts w:ascii="Palatino Linotype" w:hAnsi="Palatino Linotype"/>
          <w:sz w:val="22"/>
          <w:szCs w:val="22"/>
        </w:rPr>
        <w:t>8</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387B4A" w:rsidRDefault="00F112F0" w:rsidP="00387B4A">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387B4A" w:rsidRDefault="00387B4A" w:rsidP="00387B4A">
      <w:pPr>
        <w:pStyle w:val="Sinespaciado"/>
        <w:spacing w:after="120" w:line="276" w:lineRule="auto"/>
        <w:ind w:left="709" w:hanging="709"/>
        <w:jc w:val="both"/>
        <w:rPr>
          <w:rFonts w:ascii="Palatino Linotype" w:hAnsi="Palatino Linotype"/>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387B4A" w:rsidRPr="00387B4A" w:rsidRDefault="00387B4A" w:rsidP="00387B4A">
      <w:pPr>
        <w:pStyle w:val="Sinespaciado"/>
        <w:spacing w:after="120" w:line="276" w:lineRule="auto"/>
        <w:ind w:left="709" w:hanging="709"/>
        <w:jc w:val="both"/>
        <w:rPr>
          <w:rFonts w:ascii="Palatino Linotype" w:hAnsi="Palatino Linotype"/>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C15531">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w:t>
      </w:r>
      <w:r w:rsidRPr="00091622">
        <w:rPr>
          <w:rFonts w:ascii="Palatino Linotype" w:hAnsi="Palatino Linotype"/>
          <w:bCs/>
          <w:sz w:val="22"/>
          <w:szCs w:val="22"/>
        </w:rPr>
        <w:lastRenderedPageBreak/>
        <w:t>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7CDC" w:rsidRDefault="00683507"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FE2036" w:rsidRPr="00120EC3">
        <w:rPr>
          <w:rFonts w:ascii="Palatino Linotype" w:hAnsi="Palatino Linotype"/>
          <w:sz w:val="22"/>
          <w:szCs w:val="22"/>
        </w:rPr>
        <w:t>la Mesa Institucional de Trabajo, reunida el 1 de septiembre de 2017</w:t>
      </w:r>
      <w:r w:rsidR="00FE2036">
        <w:rPr>
          <w:rFonts w:ascii="Palatino Linotype" w:hAnsi="Palatino Linotype"/>
          <w:sz w:val="22"/>
          <w:szCs w:val="22"/>
        </w:rPr>
        <w:t>,</w:t>
      </w:r>
      <w:r w:rsidR="00FE2036" w:rsidRPr="00120EC3">
        <w:rPr>
          <w:rFonts w:ascii="Palatino Linotype" w:hAnsi="Palatino Linotype"/>
          <w:sz w:val="22"/>
          <w:szCs w:val="22"/>
        </w:rPr>
        <w:t xml:space="preserve"> en la Administración Zonal Quitumbe, integrada por: Julio César Añasco, Administrador Zonal Quitumbe; Pablo Melo O., Coordinador UERB-Q; Ing. Edwin Guevara, Dirección de Gestión del Territorio Zonal Quitumbe; Ab. Jorge Eduardo Calle, Dirección de Asesoría Jurídica Zonal Quitumbe,; Arq. Elizabeth Ortiz, Delegada de la  Secretaría de Territorio Hábitat y Vivienda; Sr. Miguel </w:t>
      </w:r>
      <w:proofErr w:type="spellStart"/>
      <w:r w:rsidR="00FE2036" w:rsidRPr="00120EC3">
        <w:rPr>
          <w:rFonts w:ascii="Palatino Linotype" w:hAnsi="Palatino Linotype"/>
          <w:sz w:val="22"/>
          <w:szCs w:val="22"/>
        </w:rPr>
        <w:t>Bosquez</w:t>
      </w:r>
      <w:proofErr w:type="spellEnd"/>
      <w:r w:rsidR="00FE2036" w:rsidRPr="00120EC3">
        <w:rPr>
          <w:rFonts w:ascii="Palatino Linotype" w:hAnsi="Palatino Linotype"/>
          <w:sz w:val="22"/>
          <w:szCs w:val="22"/>
        </w:rPr>
        <w:t xml:space="preserve">, Delegado de la Dirección Metropolitana de Catastro; Ing. Marco </w:t>
      </w:r>
      <w:proofErr w:type="spellStart"/>
      <w:r w:rsidR="00FE2036" w:rsidRPr="00120EC3">
        <w:rPr>
          <w:rFonts w:ascii="Palatino Linotype" w:hAnsi="Palatino Linotype"/>
          <w:sz w:val="22"/>
          <w:szCs w:val="22"/>
        </w:rPr>
        <w:t>Manobanda</w:t>
      </w:r>
      <w:proofErr w:type="spellEnd"/>
      <w:r w:rsidR="00FE2036" w:rsidRPr="00120EC3">
        <w:rPr>
          <w:rFonts w:ascii="Palatino Linotype" w:hAnsi="Palatino Linotype"/>
          <w:sz w:val="22"/>
          <w:szCs w:val="22"/>
        </w:rPr>
        <w:t xml:space="preserve">, Delegado de la Dirección Metropolitana de Gestión de Riesgos; Abg. Sofía Reyna, Responsable Legal, UERB-Q y Lcda. </w:t>
      </w:r>
      <w:proofErr w:type="spellStart"/>
      <w:r w:rsidR="00FE2036" w:rsidRPr="00120EC3">
        <w:rPr>
          <w:rFonts w:ascii="Palatino Linotype" w:hAnsi="Palatino Linotype"/>
          <w:sz w:val="22"/>
          <w:szCs w:val="22"/>
        </w:rPr>
        <w:t>Gianyna</w:t>
      </w:r>
      <w:proofErr w:type="spellEnd"/>
      <w:r w:rsidR="00FE2036" w:rsidRPr="00120EC3">
        <w:rPr>
          <w:rFonts w:ascii="Palatino Linotype" w:hAnsi="Palatino Linotype"/>
          <w:sz w:val="22"/>
          <w:szCs w:val="22"/>
        </w:rPr>
        <w:t xml:space="preserve"> Rosero, Responsable Socio-Organizativo, UERB-Q, aprobaron  el Informe Socio Organizativo Legal y Técnico </w:t>
      </w:r>
      <w:r w:rsidR="00FE2036" w:rsidRPr="00FE2036">
        <w:rPr>
          <w:rFonts w:ascii="Palatino Linotype" w:hAnsi="Palatino Linotype"/>
          <w:sz w:val="22"/>
          <w:szCs w:val="22"/>
        </w:rPr>
        <w:t>N</w:t>
      </w:r>
      <w:r w:rsidR="00FE2036">
        <w:rPr>
          <w:rFonts w:ascii="Palatino Linotype" w:hAnsi="Palatino Linotype"/>
          <w:sz w:val="22"/>
          <w:szCs w:val="22"/>
        </w:rPr>
        <w:t>o.</w:t>
      </w:r>
      <w:r w:rsidR="00FE2036" w:rsidRPr="00FE2036">
        <w:rPr>
          <w:rFonts w:ascii="Palatino Linotype" w:hAnsi="Palatino Linotype"/>
          <w:sz w:val="22"/>
          <w:szCs w:val="22"/>
        </w:rPr>
        <w:t xml:space="preserve"> 003-UERB-Q-SOLT-2017</w:t>
      </w:r>
      <w:r w:rsidR="00FE2036" w:rsidRPr="00120EC3">
        <w:rPr>
          <w:rFonts w:ascii="Palatino Linotype" w:hAnsi="Palatino Linotype"/>
          <w:sz w:val="22"/>
          <w:szCs w:val="22"/>
        </w:rPr>
        <w:t>, de 7 de agosto de 2017, habilitante de la Ordenanza de Reconocimiento del</w:t>
      </w:r>
      <w:r w:rsidR="00FE2036" w:rsidRPr="00120EC3">
        <w:rPr>
          <w:rFonts w:ascii="Palatino Linotype" w:hAnsi="Palatino Linotype"/>
          <w:bCs/>
          <w:sz w:val="22"/>
          <w:szCs w:val="22"/>
        </w:rPr>
        <w:t xml:space="preserve"> Asentamiento Humano de Hecho y Consolidado de Interés Social, denominado:</w:t>
      </w:r>
      <w:r w:rsidR="00FE2036" w:rsidRPr="00120EC3">
        <w:rPr>
          <w:rFonts w:ascii="Palatino Linotype" w:hAnsi="Palatino Linotype"/>
          <w:sz w:val="22"/>
          <w:szCs w:val="22"/>
        </w:rPr>
        <w:t xml:space="preserve"> “Santa Rosa de Guamaní”</w:t>
      </w:r>
      <w:r w:rsidR="00FE2036" w:rsidRPr="00120EC3">
        <w:rPr>
          <w:rFonts w:ascii="Palatino Linotype" w:hAnsi="Palatino Linotype"/>
          <w:bCs/>
          <w:sz w:val="22"/>
          <w:szCs w:val="22"/>
        </w:rPr>
        <w:t xml:space="preserve"> a favor de sus copropietarios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1606E" w:rsidRDefault="005B51E8" w:rsidP="0051606E">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E44D15" w:rsidRDefault="00495C11" w:rsidP="00E44D15">
      <w:pPr>
        <w:spacing w:after="120" w:line="276" w:lineRule="auto"/>
        <w:jc w:val="center"/>
        <w:rPr>
          <w:rFonts w:ascii="Palatino Linotype" w:hAnsi="Palatino Linotype"/>
          <w:b/>
          <w:bCs/>
          <w:sz w:val="22"/>
          <w:szCs w:val="22"/>
        </w:rPr>
      </w:pPr>
      <w:r w:rsidRPr="00091622">
        <w:rPr>
          <w:rFonts w:ascii="Palatino Linotype" w:hAnsi="Palatino Linotype"/>
          <w:b/>
          <w:bCs/>
          <w:sz w:val="22"/>
          <w:szCs w:val="22"/>
        </w:rPr>
        <w:t xml:space="preserve">ORDENANZA </w:t>
      </w:r>
      <w:r w:rsidR="00FE2036" w:rsidRPr="00120EC3">
        <w:rPr>
          <w:rFonts w:ascii="Palatino Linotype" w:hAnsi="Palatino Linotype"/>
          <w:b/>
          <w:bCs/>
          <w:sz w:val="22"/>
          <w:szCs w:val="22"/>
        </w:rPr>
        <w:t xml:space="preserve">QUE RECONOCE Y APRUEBA EL </w:t>
      </w:r>
      <w:r w:rsidR="00FE2036" w:rsidRPr="00120EC3">
        <w:rPr>
          <w:rFonts w:ascii="Palatino Linotype" w:hAnsi="Palatino Linotype"/>
          <w:b/>
          <w:color w:val="000000"/>
          <w:sz w:val="22"/>
          <w:szCs w:val="22"/>
          <w:shd w:val="clear" w:color="auto" w:fill="FFFFFF"/>
        </w:rPr>
        <w:t xml:space="preserve">FRACCIONAMIENTO DEL PREDIO </w:t>
      </w:r>
      <w:r w:rsidR="00FE2036">
        <w:rPr>
          <w:rFonts w:ascii="Palatino Linotype" w:hAnsi="Palatino Linotype"/>
          <w:b/>
          <w:color w:val="000000"/>
          <w:sz w:val="22"/>
          <w:szCs w:val="22"/>
          <w:shd w:val="clear" w:color="auto" w:fill="FFFFFF"/>
        </w:rPr>
        <w:t xml:space="preserve">No. </w:t>
      </w:r>
      <w:r w:rsidR="00FE2036" w:rsidRPr="00120EC3">
        <w:rPr>
          <w:rFonts w:ascii="Palatino Linotype" w:hAnsi="Palatino Linotype"/>
          <w:b/>
          <w:sz w:val="22"/>
          <w:szCs w:val="22"/>
        </w:rPr>
        <w:t>156969</w:t>
      </w:r>
      <w:r w:rsidR="00FE2036">
        <w:rPr>
          <w:rFonts w:ascii="Palatino Linotype" w:hAnsi="Palatino Linotype"/>
          <w:b/>
          <w:sz w:val="22"/>
          <w:szCs w:val="22"/>
        </w:rPr>
        <w:t>,</w:t>
      </w:r>
      <w:r w:rsidR="00FE2036" w:rsidRPr="00120EC3">
        <w:rPr>
          <w:rFonts w:ascii="Palatino Linotype" w:hAnsi="Palatino Linotype"/>
          <w:b/>
          <w:color w:val="000000"/>
          <w:sz w:val="22"/>
          <w:szCs w:val="22"/>
          <w:shd w:val="clear" w:color="auto" w:fill="FFFFFF"/>
        </w:rPr>
        <w:t xml:space="preserve"> SOBRE EL QUE SE ENCUENTRA</w:t>
      </w:r>
      <w:r w:rsidR="00FE2036" w:rsidRPr="00120EC3">
        <w:rPr>
          <w:rFonts w:ascii="Palatino Linotype" w:hAnsi="Palatino Linotype"/>
          <w:b/>
          <w:bCs/>
          <w:sz w:val="22"/>
          <w:szCs w:val="22"/>
        </w:rPr>
        <w:t xml:space="preserve"> EL ASENTAMIENTO HUMANO DE HECHO Y CONSOLIDADO DE INTERÉS SOCIAL DENOMINADO “SANTA ROSA DE GUAMANÍ”</w:t>
      </w:r>
      <w:r w:rsidR="00FE2036">
        <w:rPr>
          <w:rFonts w:ascii="Palatino Linotype" w:hAnsi="Palatino Linotype"/>
          <w:b/>
          <w:bCs/>
          <w:sz w:val="22"/>
          <w:szCs w:val="22"/>
        </w:rPr>
        <w:t>,</w:t>
      </w:r>
      <w:r w:rsidR="00FE2036" w:rsidRPr="00120EC3">
        <w:rPr>
          <w:rFonts w:ascii="Palatino Linotype" w:hAnsi="Palatino Linotype"/>
          <w:b/>
          <w:bCs/>
          <w:sz w:val="22"/>
          <w:szCs w:val="22"/>
        </w:rPr>
        <w:t xml:space="preserve"> A FAVOR DE SUS COPROPIETARIOS</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b/>
          <w:bCs/>
          <w:sz w:val="22"/>
          <w:szCs w:val="22"/>
        </w:rPr>
        <w:lastRenderedPageBreak/>
        <w:t xml:space="preserve">Artículo 1.- De los planos y documentos presentados.- </w:t>
      </w:r>
      <w:r w:rsidRPr="00120EC3">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“Santa Rosa de Guamaní”, ubicado en la parroquia Guamaní, </w:t>
      </w:r>
      <w:r w:rsidRPr="00120EC3">
        <w:rPr>
          <w:rFonts w:ascii="Palatino Linotype" w:hAnsi="Palatino Linotype"/>
          <w:bCs/>
          <w:sz w:val="22"/>
          <w:szCs w:val="22"/>
        </w:rPr>
        <w:t xml:space="preserve">sin </w:t>
      </w:r>
      <w:r w:rsidRPr="00120EC3">
        <w:rPr>
          <w:rFonts w:ascii="Palatino Linotype" w:hAnsi="Palatino Linotype"/>
          <w:sz w:val="22"/>
          <w:szCs w:val="22"/>
        </w:rPr>
        <w:t>perjuicio de la responsabilidad de quienes revisaron los planos y los documentos legales, excepto que hayan sido inducidos a engaño.</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sz w:val="22"/>
          <w:szCs w:val="22"/>
        </w:rPr>
        <w:t>Por las condiciones de asentamiento humano de hecho y consolidado, se lo aprueba considerándolo de interés social.</w:t>
      </w:r>
    </w:p>
    <w:p w:rsidR="00F70BF8" w:rsidRPr="00120EC3" w:rsidRDefault="00F70BF8" w:rsidP="00FC79C1">
      <w:pPr>
        <w:spacing w:after="120" w:line="276" w:lineRule="auto"/>
        <w:jc w:val="both"/>
        <w:rPr>
          <w:rFonts w:ascii="Palatino Linotype" w:hAnsi="Palatino Linotype"/>
          <w:b/>
          <w:bCs/>
          <w:sz w:val="22"/>
          <w:szCs w:val="22"/>
        </w:rPr>
      </w:pPr>
      <w:r w:rsidRPr="00120EC3">
        <w:rPr>
          <w:rFonts w:ascii="Palatino Linotype" w:hAnsi="Palatino Linotype"/>
          <w:b/>
          <w:bCs/>
          <w:sz w:val="22"/>
          <w:szCs w:val="22"/>
        </w:rPr>
        <w:t>Artículo 2.- Especificaciones técnicas.-</w:t>
      </w:r>
    </w:p>
    <w:p w:rsidR="00F70BF8" w:rsidRPr="00120EC3" w:rsidRDefault="00F70BF8" w:rsidP="00FC79C1">
      <w:pPr>
        <w:spacing w:after="120" w:line="276" w:lineRule="auto"/>
        <w:jc w:val="both"/>
        <w:rPr>
          <w:rFonts w:ascii="Palatino Linotype" w:hAnsi="Palatino Linotype"/>
          <w:b/>
          <w:bCs/>
          <w:sz w:val="22"/>
          <w:szCs w:val="22"/>
        </w:rPr>
      </w:pPr>
      <w:r w:rsidRPr="00120EC3">
        <w:rPr>
          <w:rFonts w:ascii="Palatino Linotype" w:hAnsi="Palatino Linotype"/>
          <w:b/>
          <w:sz w:val="22"/>
          <w:szCs w:val="22"/>
        </w:rPr>
        <w:t>Zonificación actual:</w:t>
      </w:r>
      <w:r w:rsidRPr="00120EC3">
        <w:rPr>
          <w:rFonts w:ascii="Palatino Linotype" w:hAnsi="Palatino Linotype"/>
          <w:b/>
          <w:sz w:val="22"/>
          <w:szCs w:val="22"/>
        </w:rPr>
        <w:tab/>
      </w:r>
      <w:r w:rsidRPr="00120EC3">
        <w:rPr>
          <w:rFonts w:ascii="Palatino Linotype" w:hAnsi="Palatino Linotype"/>
          <w:b/>
          <w:sz w:val="22"/>
          <w:szCs w:val="22"/>
        </w:rPr>
        <w:tab/>
      </w:r>
      <w:r w:rsidRPr="00120EC3">
        <w:rPr>
          <w:rFonts w:ascii="Palatino Linotype" w:hAnsi="Palatino Linotype"/>
          <w:b/>
          <w:sz w:val="22"/>
          <w:szCs w:val="22"/>
        </w:rPr>
        <w:tab/>
        <w:t xml:space="preserve">       </w:t>
      </w:r>
      <w:r w:rsidRPr="00120EC3">
        <w:rPr>
          <w:rFonts w:ascii="Palatino Linotype" w:hAnsi="Palatino Linotype"/>
          <w:b/>
          <w:sz w:val="22"/>
          <w:szCs w:val="22"/>
        </w:rPr>
        <w:tab/>
      </w:r>
      <w:r w:rsidRPr="00120EC3">
        <w:rPr>
          <w:rFonts w:ascii="Palatino Linotype" w:hAnsi="Palatino Linotype"/>
          <w:sz w:val="22"/>
          <w:szCs w:val="22"/>
        </w:rPr>
        <w:t>D5(D304-80)</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b/>
          <w:sz w:val="22"/>
          <w:szCs w:val="22"/>
        </w:rPr>
        <w:t>Lote mínimo:</w:t>
      </w:r>
      <w:r w:rsidRPr="00120EC3">
        <w:rPr>
          <w:rFonts w:ascii="Palatino Linotype" w:hAnsi="Palatino Linotype"/>
          <w:sz w:val="22"/>
          <w:szCs w:val="22"/>
        </w:rPr>
        <w:tab/>
      </w:r>
      <w:r w:rsidRPr="00120EC3">
        <w:rPr>
          <w:rFonts w:ascii="Palatino Linotype" w:hAnsi="Palatino Linotype"/>
          <w:sz w:val="22"/>
          <w:szCs w:val="22"/>
        </w:rPr>
        <w:tab/>
      </w:r>
      <w:r w:rsidRPr="00120EC3">
        <w:rPr>
          <w:rFonts w:ascii="Palatino Linotype" w:hAnsi="Palatino Linotype"/>
          <w:sz w:val="22"/>
          <w:szCs w:val="22"/>
        </w:rPr>
        <w:tab/>
      </w:r>
      <w:r w:rsidRPr="00120EC3">
        <w:rPr>
          <w:rFonts w:ascii="Palatino Linotype" w:hAnsi="Palatino Linotype"/>
          <w:sz w:val="22"/>
          <w:szCs w:val="22"/>
        </w:rPr>
        <w:tab/>
        <w:t xml:space="preserve">          </w:t>
      </w:r>
      <w:r w:rsidRPr="00120EC3">
        <w:rPr>
          <w:rFonts w:ascii="Palatino Linotype" w:hAnsi="Palatino Linotype"/>
          <w:sz w:val="22"/>
          <w:szCs w:val="22"/>
        </w:rPr>
        <w:tab/>
        <w:t>300 m</w:t>
      </w:r>
      <w:r w:rsidRPr="00120EC3">
        <w:rPr>
          <w:rFonts w:ascii="Palatino Linotype" w:hAnsi="Palatino Linotype"/>
          <w:sz w:val="22"/>
          <w:szCs w:val="22"/>
          <w:vertAlign w:val="superscript"/>
        </w:rPr>
        <w:t>2</w:t>
      </w:r>
    </w:p>
    <w:p w:rsidR="00F70BF8" w:rsidRPr="00120EC3" w:rsidRDefault="00F70BF8" w:rsidP="00FC79C1">
      <w:pPr>
        <w:spacing w:after="120" w:line="276" w:lineRule="auto"/>
        <w:jc w:val="both"/>
        <w:rPr>
          <w:rFonts w:ascii="Palatino Linotype" w:hAnsi="Palatino Linotype"/>
          <w:b/>
          <w:bCs/>
          <w:sz w:val="22"/>
          <w:szCs w:val="22"/>
        </w:rPr>
      </w:pPr>
      <w:r w:rsidRPr="00120EC3">
        <w:rPr>
          <w:rFonts w:ascii="Palatino Linotype" w:hAnsi="Palatino Linotype"/>
          <w:b/>
          <w:sz w:val="22"/>
          <w:szCs w:val="22"/>
        </w:rPr>
        <w:t>Forma ocupación del suelo:</w:t>
      </w:r>
      <w:r w:rsidRPr="00120EC3">
        <w:rPr>
          <w:rFonts w:ascii="Palatino Linotype" w:hAnsi="Palatino Linotype"/>
          <w:sz w:val="22"/>
          <w:szCs w:val="22"/>
        </w:rPr>
        <w:tab/>
        <w:t xml:space="preserve">                     </w:t>
      </w:r>
      <w:r w:rsidRPr="00120EC3">
        <w:rPr>
          <w:rFonts w:ascii="Palatino Linotype" w:hAnsi="Palatino Linotype"/>
          <w:sz w:val="22"/>
          <w:szCs w:val="22"/>
        </w:rPr>
        <w:tab/>
        <w:t>(D) Sobre línea de fábrica</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b/>
          <w:sz w:val="22"/>
          <w:szCs w:val="22"/>
        </w:rPr>
        <w:t xml:space="preserve">Uso principal                                               </w:t>
      </w:r>
      <w:r w:rsidRPr="00120EC3">
        <w:rPr>
          <w:rFonts w:ascii="Palatino Linotype" w:hAnsi="Palatino Linotype"/>
          <w:b/>
          <w:sz w:val="22"/>
          <w:szCs w:val="22"/>
        </w:rPr>
        <w:tab/>
      </w:r>
      <w:r w:rsidRPr="00120EC3">
        <w:rPr>
          <w:rFonts w:ascii="Palatino Linotype" w:hAnsi="Palatino Linotype"/>
          <w:sz w:val="22"/>
          <w:szCs w:val="22"/>
        </w:rPr>
        <w:t xml:space="preserve">(RU3) Residencial urbano 3 </w:t>
      </w:r>
    </w:p>
    <w:p w:rsidR="00F70BF8" w:rsidRPr="00120EC3" w:rsidRDefault="00F70BF8" w:rsidP="00FC79C1">
      <w:pPr>
        <w:spacing w:after="120" w:line="276" w:lineRule="auto"/>
        <w:jc w:val="both"/>
        <w:rPr>
          <w:rFonts w:ascii="Palatino Linotype" w:hAnsi="Palatino Linotype"/>
          <w:b/>
          <w:bCs/>
          <w:sz w:val="22"/>
          <w:szCs w:val="22"/>
        </w:rPr>
      </w:pPr>
      <w:r w:rsidRPr="00120EC3">
        <w:rPr>
          <w:rFonts w:ascii="Palatino Linotype" w:hAnsi="Palatino Linotype"/>
          <w:b/>
          <w:sz w:val="22"/>
          <w:szCs w:val="22"/>
        </w:rPr>
        <w:t>Clasificación del suelo:</w:t>
      </w:r>
      <w:r w:rsidRPr="00120EC3">
        <w:rPr>
          <w:rFonts w:ascii="Palatino Linotype" w:hAnsi="Palatino Linotype"/>
          <w:sz w:val="22"/>
          <w:szCs w:val="22"/>
        </w:rPr>
        <w:t xml:space="preserve">                               </w:t>
      </w:r>
      <w:r w:rsidRPr="00120EC3">
        <w:rPr>
          <w:rFonts w:ascii="Palatino Linotype" w:hAnsi="Palatino Linotype"/>
          <w:sz w:val="22"/>
          <w:szCs w:val="22"/>
        </w:rPr>
        <w:tab/>
        <w:t>(SU) Suelo Urbano</w:t>
      </w:r>
    </w:p>
    <w:p w:rsidR="00F70BF8" w:rsidRPr="00120EC3" w:rsidRDefault="00F70BF8" w:rsidP="00FC79C1">
      <w:pPr>
        <w:spacing w:after="120" w:line="276" w:lineRule="auto"/>
        <w:rPr>
          <w:rFonts w:ascii="Palatino Linotype" w:hAnsi="Palatino Linotype"/>
          <w:sz w:val="22"/>
          <w:szCs w:val="22"/>
        </w:rPr>
      </w:pPr>
      <w:r w:rsidRPr="00120EC3">
        <w:rPr>
          <w:rFonts w:ascii="Palatino Linotype" w:hAnsi="Palatino Linotype"/>
          <w:b/>
          <w:bCs/>
          <w:sz w:val="22"/>
          <w:szCs w:val="22"/>
        </w:rPr>
        <w:t>Número Total de lotes:</w:t>
      </w:r>
      <w:r w:rsidRPr="00120EC3">
        <w:rPr>
          <w:rFonts w:ascii="Palatino Linotype" w:hAnsi="Palatino Linotype"/>
          <w:sz w:val="22"/>
          <w:szCs w:val="22"/>
        </w:rPr>
        <w:tab/>
      </w:r>
      <w:r w:rsidRPr="00120EC3">
        <w:rPr>
          <w:rFonts w:ascii="Palatino Linotype" w:hAnsi="Palatino Linotype"/>
          <w:sz w:val="22"/>
          <w:szCs w:val="22"/>
        </w:rPr>
        <w:tab/>
      </w:r>
      <w:r w:rsidRPr="00120EC3">
        <w:rPr>
          <w:rFonts w:ascii="Palatino Linotype" w:hAnsi="Palatino Linotype"/>
          <w:sz w:val="22"/>
          <w:szCs w:val="22"/>
        </w:rPr>
        <w:tab/>
        <w:t>13</w:t>
      </w:r>
    </w:p>
    <w:p w:rsidR="00F70BF8" w:rsidRPr="00120EC3" w:rsidRDefault="00F70BF8" w:rsidP="00FC79C1">
      <w:pPr>
        <w:pStyle w:val="Ttulo3"/>
        <w:spacing w:before="0" w:after="120" w:line="276" w:lineRule="auto"/>
        <w:jc w:val="both"/>
        <w:rPr>
          <w:rFonts w:ascii="Palatino Linotype" w:hAnsi="Palatino Linotype" w:cs="Times New Roman"/>
          <w:b w:val="0"/>
          <w:sz w:val="22"/>
          <w:szCs w:val="22"/>
          <w:vertAlign w:val="superscript"/>
        </w:rPr>
      </w:pPr>
      <w:r w:rsidRPr="00120EC3">
        <w:rPr>
          <w:rFonts w:ascii="Palatino Linotype" w:hAnsi="Palatino Linotype" w:cs="Times New Roman"/>
          <w:sz w:val="22"/>
          <w:szCs w:val="22"/>
        </w:rPr>
        <w:t>Área útil de lotes:</w:t>
      </w:r>
      <w:r w:rsidRPr="00120EC3">
        <w:rPr>
          <w:rFonts w:ascii="Palatino Linotype" w:hAnsi="Palatino Linotype" w:cs="Times New Roman"/>
          <w:sz w:val="22"/>
          <w:szCs w:val="22"/>
        </w:rPr>
        <w:tab/>
      </w:r>
      <w:r w:rsidRPr="00120EC3">
        <w:rPr>
          <w:rFonts w:ascii="Palatino Linotype" w:hAnsi="Palatino Linotype" w:cs="Times New Roman"/>
          <w:sz w:val="22"/>
          <w:szCs w:val="22"/>
        </w:rPr>
        <w:tab/>
        <w:t xml:space="preserve">        </w:t>
      </w:r>
      <w:r w:rsidRPr="00120EC3">
        <w:rPr>
          <w:rFonts w:ascii="Palatino Linotype" w:hAnsi="Palatino Linotype" w:cs="Times New Roman"/>
          <w:sz w:val="22"/>
          <w:szCs w:val="22"/>
        </w:rPr>
        <w:tab/>
        <w:t xml:space="preserve">           </w:t>
      </w:r>
      <w:r w:rsidRPr="00120EC3">
        <w:rPr>
          <w:rFonts w:ascii="Palatino Linotype" w:hAnsi="Palatino Linotype" w:cs="Times New Roman"/>
          <w:sz w:val="22"/>
          <w:szCs w:val="22"/>
        </w:rPr>
        <w:tab/>
      </w:r>
      <w:r w:rsidRPr="00120EC3">
        <w:rPr>
          <w:rFonts w:ascii="Palatino Linotype" w:eastAsia="Calibri" w:hAnsi="Palatino Linotype" w:cs="Times New Roman"/>
          <w:b w:val="0"/>
          <w:bCs w:val="0"/>
          <w:kern w:val="24"/>
          <w:sz w:val="22"/>
          <w:szCs w:val="22"/>
        </w:rPr>
        <w:t xml:space="preserve">2.701,33 </w:t>
      </w:r>
      <w:r w:rsidRPr="00120EC3">
        <w:rPr>
          <w:rFonts w:ascii="Palatino Linotype" w:hAnsi="Palatino Linotype"/>
          <w:b w:val="0"/>
          <w:sz w:val="22"/>
          <w:szCs w:val="22"/>
        </w:rPr>
        <w:t>m</w:t>
      </w:r>
      <w:r w:rsidRPr="00120EC3">
        <w:rPr>
          <w:rFonts w:ascii="Palatino Linotype" w:hAnsi="Palatino Linotype"/>
          <w:b w:val="0"/>
          <w:sz w:val="22"/>
          <w:szCs w:val="22"/>
          <w:vertAlign w:val="superscript"/>
        </w:rPr>
        <w:t>2</w:t>
      </w:r>
    </w:p>
    <w:p w:rsidR="00F70BF8" w:rsidRPr="00120EC3" w:rsidRDefault="00F70BF8" w:rsidP="00FC79C1">
      <w:pPr>
        <w:pStyle w:val="Ttulo3"/>
        <w:spacing w:before="0" w:after="120" w:line="276" w:lineRule="auto"/>
        <w:jc w:val="both"/>
        <w:rPr>
          <w:rFonts w:ascii="Palatino Linotype" w:hAnsi="Palatino Linotype" w:cs="Times New Roman"/>
          <w:sz w:val="22"/>
          <w:szCs w:val="22"/>
          <w:vertAlign w:val="superscript"/>
        </w:rPr>
      </w:pPr>
      <w:r w:rsidRPr="00120EC3">
        <w:rPr>
          <w:rFonts w:ascii="Palatino Linotype" w:hAnsi="Palatino Linotype" w:cs="Times New Roman"/>
          <w:sz w:val="22"/>
          <w:szCs w:val="22"/>
        </w:rPr>
        <w:t>Área de vías y pasajes:</w:t>
      </w:r>
      <w:r w:rsidRPr="00120EC3">
        <w:rPr>
          <w:rFonts w:ascii="Palatino Linotype" w:hAnsi="Palatino Linotype" w:cs="Times New Roman"/>
          <w:sz w:val="22"/>
          <w:szCs w:val="22"/>
        </w:rPr>
        <w:tab/>
      </w:r>
      <w:r w:rsidRPr="00120EC3">
        <w:rPr>
          <w:rFonts w:ascii="Palatino Linotype" w:hAnsi="Palatino Linotype" w:cs="Times New Roman"/>
          <w:sz w:val="22"/>
          <w:szCs w:val="22"/>
        </w:rPr>
        <w:tab/>
        <w:t xml:space="preserve">          </w:t>
      </w:r>
      <w:r w:rsidRPr="00120EC3">
        <w:rPr>
          <w:rFonts w:ascii="Palatino Linotype" w:hAnsi="Palatino Linotype" w:cs="Times New Roman"/>
          <w:sz w:val="22"/>
          <w:szCs w:val="22"/>
        </w:rPr>
        <w:tab/>
      </w:r>
      <w:r w:rsidRPr="00120EC3">
        <w:rPr>
          <w:rFonts w:ascii="Palatino Linotype" w:eastAsia="Calibri" w:hAnsi="Palatino Linotype" w:cs="Times New Roman"/>
          <w:b w:val="0"/>
          <w:bCs w:val="0"/>
          <w:kern w:val="24"/>
          <w:sz w:val="22"/>
          <w:szCs w:val="22"/>
        </w:rPr>
        <w:t xml:space="preserve">855,70 </w:t>
      </w:r>
      <w:r w:rsidRPr="00120EC3">
        <w:rPr>
          <w:rFonts w:ascii="Palatino Linotype" w:hAnsi="Palatino Linotype"/>
          <w:b w:val="0"/>
          <w:sz w:val="22"/>
          <w:szCs w:val="22"/>
        </w:rPr>
        <w:t>m</w:t>
      </w:r>
      <w:r w:rsidRPr="00120EC3">
        <w:rPr>
          <w:rFonts w:ascii="Palatino Linotype" w:hAnsi="Palatino Linotype"/>
          <w:b w:val="0"/>
          <w:sz w:val="22"/>
          <w:szCs w:val="22"/>
          <w:vertAlign w:val="superscript"/>
        </w:rPr>
        <w:t>2</w:t>
      </w:r>
    </w:p>
    <w:p w:rsidR="00F70BF8" w:rsidRPr="00120EC3" w:rsidRDefault="00F70BF8" w:rsidP="00FC79C1">
      <w:pPr>
        <w:spacing w:after="120" w:line="276" w:lineRule="auto"/>
        <w:rPr>
          <w:rFonts w:ascii="Palatino Linotype" w:hAnsi="Palatino Linotype"/>
          <w:b/>
          <w:sz w:val="22"/>
          <w:szCs w:val="22"/>
        </w:rPr>
      </w:pPr>
      <w:r w:rsidRPr="00120EC3">
        <w:rPr>
          <w:rFonts w:ascii="Palatino Linotype" w:hAnsi="Palatino Linotype"/>
          <w:b/>
          <w:sz w:val="22"/>
          <w:szCs w:val="22"/>
        </w:rPr>
        <w:t xml:space="preserve">Área Verde y Comunal: </w:t>
      </w:r>
      <w:r w:rsidRPr="00120EC3">
        <w:rPr>
          <w:rFonts w:ascii="Palatino Linotype" w:hAnsi="Palatino Linotype"/>
          <w:b/>
          <w:sz w:val="22"/>
          <w:szCs w:val="22"/>
        </w:rPr>
        <w:tab/>
      </w:r>
      <w:r w:rsidRPr="00120EC3">
        <w:rPr>
          <w:rFonts w:ascii="Palatino Linotype" w:hAnsi="Palatino Linotype"/>
          <w:b/>
          <w:sz w:val="22"/>
          <w:szCs w:val="22"/>
        </w:rPr>
        <w:tab/>
      </w:r>
      <w:r w:rsidRPr="00120EC3">
        <w:rPr>
          <w:rFonts w:ascii="Palatino Linotype" w:hAnsi="Palatino Linotype"/>
          <w:b/>
          <w:sz w:val="22"/>
          <w:szCs w:val="22"/>
        </w:rPr>
        <w:tab/>
      </w:r>
      <w:r w:rsidRPr="00120EC3">
        <w:rPr>
          <w:rFonts w:ascii="Palatino Linotype" w:eastAsia="Calibri" w:hAnsi="Palatino Linotype"/>
          <w:bCs/>
          <w:kern w:val="24"/>
          <w:sz w:val="22"/>
          <w:szCs w:val="22"/>
        </w:rPr>
        <w:t xml:space="preserve">465,46 </w:t>
      </w:r>
      <w:r w:rsidRPr="00120EC3">
        <w:rPr>
          <w:rFonts w:ascii="Palatino Linotype" w:hAnsi="Palatino Linotype"/>
          <w:sz w:val="22"/>
          <w:szCs w:val="22"/>
        </w:rPr>
        <w:t>m</w:t>
      </w:r>
      <w:r w:rsidRPr="00120EC3">
        <w:rPr>
          <w:rFonts w:ascii="Palatino Linotype" w:hAnsi="Palatino Linotype"/>
          <w:sz w:val="22"/>
          <w:szCs w:val="22"/>
          <w:vertAlign w:val="superscript"/>
        </w:rPr>
        <w:t>2</w:t>
      </w:r>
    </w:p>
    <w:p w:rsidR="00F70BF8" w:rsidRPr="00120EC3" w:rsidRDefault="00F70BF8" w:rsidP="00FC79C1">
      <w:pPr>
        <w:tabs>
          <w:tab w:val="left" w:pos="4253"/>
          <w:tab w:val="center" w:pos="4394"/>
        </w:tabs>
        <w:spacing w:after="120" w:line="276" w:lineRule="auto"/>
        <w:rPr>
          <w:rFonts w:ascii="Palatino Linotype" w:hAnsi="Palatino Linotype"/>
          <w:sz w:val="22"/>
          <w:szCs w:val="22"/>
          <w:lang w:val="es-EC"/>
        </w:rPr>
      </w:pPr>
      <w:r w:rsidRPr="00120EC3">
        <w:rPr>
          <w:rFonts w:ascii="Palatino Linotype" w:hAnsi="Palatino Linotype"/>
          <w:b/>
          <w:sz w:val="22"/>
          <w:szCs w:val="22"/>
        </w:rPr>
        <w:t xml:space="preserve">Área total de lote:                                             </w:t>
      </w:r>
      <w:r w:rsidRPr="00120EC3">
        <w:rPr>
          <w:rFonts w:ascii="Palatino Linotype" w:eastAsia="Calibri" w:hAnsi="Palatino Linotype"/>
          <w:bCs/>
          <w:kern w:val="24"/>
          <w:sz w:val="22"/>
          <w:szCs w:val="22"/>
        </w:rPr>
        <w:t xml:space="preserve">4.022,49 </w:t>
      </w:r>
      <w:r w:rsidRPr="00120EC3">
        <w:rPr>
          <w:rFonts w:ascii="Palatino Linotype" w:hAnsi="Palatino Linotype"/>
          <w:sz w:val="22"/>
          <w:szCs w:val="22"/>
        </w:rPr>
        <w:t>m</w:t>
      </w:r>
      <w:r w:rsidRPr="00120EC3">
        <w:rPr>
          <w:rFonts w:ascii="Palatino Linotype" w:hAnsi="Palatino Linotype"/>
          <w:sz w:val="22"/>
          <w:szCs w:val="22"/>
          <w:vertAlign w:val="superscript"/>
        </w:rPr>
        <w:t>2</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sz w:val="22"/>
          <w:szCs w:val="22"/>
        </w:rPr>
        <w:t>El número total de lotes es de 13 signados del uno (1) al trece (13), cuyo detalle es el que consta en los planos aprobatorios que forman parte de la presente ordenanza.</w:t>
      </w:r>
    </w:p>
    <w:p w:rsidR="00F70BF8" w:rsidRPr="00120EC3" w:rsidRDefault="00F70BF8" w:rsidP="00FC79C1">
      <w:pPr>
        <w:spacing w:after="120" w:line="276" w:lineRule="auto"/>
        <w:contextualSpacing/>
        <w:jc w:val="both"/>
        <w:rPr>
          <w:rFonts w:ascii="Palatino Linotype" w:hAnsi="Palatino Linotype"/>
          <w:sz w:val="22"/>
          <w:szCs w:val="22"/>
        </w:rPr>
      </w:pPr>
      <w:r w:rsidRPr="00120EC3">
        <w:rPr>
          <w:rFonts w:ascii="Palatino Linotype" w:hAnsi="Palatino Linotype"/>
          <w:b/>
          <w:bCs/>
          <w:sz w:val="22"/>
          <w:szCs w:val="22"/>
        </w:rPr>
        <w:t xml:space="preserve">Artículo 3.- Zonificación de los lotes.- </w:t>
      </w:r>
      <w:r w:rsidRPr="00120EC3">
        <w:rPr>
          <w:rFonts w:ascii="Palatino Linotype" w:hAnsi="Palatino Linotype"/>
          <w:bCs/>
          <w:sz w:val="22"/>
          <w:szCs w:val="22"/>
        </w:rPr>
        <w:t>Los lotes fraccionados cambiarán la</w:t>
      </w:r>
      <w:r w:rsidRPr="00120EC3">
        <w:rPr>
          <w:rFonts w:ascii="Palatino Linotype" w:hAnsi="Palatino Linotype"/>
          <w:sz w:val="22"/>
          <w:szCs w:val="22"/>
          <w:lang w:val="es-EC"/>
        </w:rPr>
        <w:t xml:space="preserve"> zonificación vigente par</w:t>
      </w:r>
      <w:r w:rsidRPr="00120EC3">
        <w:rPr>
          <w:rFonts w:ascii="Palatino Linotype" w:hAnsi="Palatino Linotype"/>
          <w:bCs/>
          <w:sz w:val="22"/>
          <w:szCs w:val="22"/>
        </w:rPr>
        <w:t xml:space="preserve">a los 13 lotes, conforme se detalla a continuación: </w:t>
      </w:r>
      <w:r w:rsidRPr="00120EC3">
        <w:rPr>
          <w:rFonts w:ascii="Palatino Linotype" w:hAnsi="Palatino Linotype"/>
          <w:sz w:val="22"/>
          <w:szCs w:val="22"/>
        </w:rPr>
        <w:t>D3(D203-80),  con área de lote mínimo 200 m</w:t>
      </w:r>
      <w:r w:rsidRPr="00120EC3">
        <w:rPr>
          <w:rFonts w:ascii="Palatino Linotype" w:hAnsi="Palatino Linotype"/>
          <w:sz w:val="22"/>
          <w:szCs w:val="22"/>
          <w:vertAlign w:val="superscript"/>
        </w:rPr>
        <w:t>2</w:t>
      </w:r>
      <w:r w:rsidRPr="00120EC3">
        <w:rPr>
          <w:rFonts w:ascii="Palatino Linotype" w:hAnsi="Palatino Linotype"/>
          <w:sz w:val="22"/>
          <w:szCs w:val="22"/>
        </w:rPr>
        <w:t>, uso principal del suelo  (RU2) Residencia Urbano 2 y forma de ocupación del suelo (D) Sobre línea de fábrica.</w:t>
      </w:r>
    </w:p>
    <w:p w:rsidR="00F70BF8" w:rsidRPr="00120EC3" w:rsidRDefault="00F70BF8" w:rsidP="00FC79C1">
      <w:pPr>
        <w:spacing w:after="120" w:line="276" w:lineRule="auto"/>
        <w:contextualSpacing/>
        <w:jc w:val="both"/>
        <w:rPr>
          <w:rFonts w:ascii="Palatino Linotype" w:hAnsi="Palatino Linotype"/>
          <w:b/>
          <w:sz w:val="22"/>
          <w:szCs w:val="22"/>
        </w:rPr>
      </w:pP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b/>
          <w:sz w:val="22"/>
          <w:szCs w:val="22"/>
        </w:rPr>
        <w:lastRenderedPageBreak/>
        <w:t xml:space="preserve">Artículo 4.- Clasificación del suelo.- </w:t>
      </w:r>
      <w:r w:rsidRPr="00120EC3">
        <w:rPr>
          <w:rFonts w:ascii="Palatino Linotype" w:hAnsi="Palatino Linotype"/>
          <w:sz w:val="22"/>
          <w:szCs w:val="22"/>
        </w:rPr>
        <w:t>Los lotes fraccionados mantendrán la clasificación vigente, esto es, (SU) Suelo Urbano.</w:t>
      </w:r>
    </w:p>
    <w:p w:rsidR="00F70BF8" w:rsidRPr="00120EC3" w:rsidRDefault="00F70BF8" w:rsidP="00FC79C1">
      <w:pPr>
        <w:spacing w:after="120" w:line="276" w:lineRule="auto"/>
        <w:jc w:val="both"/>
        <w:rPr>
          <w:rFonts w:ascii="Palatino Linotype" w:hAnsi="Palatino Linotype"/>
          <w:b/>
          <w:sz w:val="22"/>
          <w:szCs w:val="22"/>
        </w:rPr>
      </w:pPr>
      <w:r w:rsidRPr="00120EC3">
        <w:rPr>
          <w:rFonts w:ascii="Palatino Linotype" w:hAnsi="Palatino Linotype"/>
          <w:b/>
          <w:bCs/>
          <w:sz w:val="22"/>
          <w:szCs w:val="22"/>
        </w:rPr>
        <w:t>Artículo 5.-</w:t>
      </w:r>
      <w:r>
        <w:rPr>
          <w:rFonts w:ascii="Palatino Linotype" w:hAnsi="Palatino Linotype"/>
          <w:b/>
          <w:bCs/>
          <w:sz w:val="22"/>
          <w:szCs w:val="22"/>
        </w:rPr>
        <w:t xml:space="preserve"> </w:t>
      </w:r>
      <w:r w:rsidRPr="00120EC3">
        <w:rPr>
          <w:rFonts w:ascii="Palatino Linotype" w:hAnsi="Palatino Linotype"/>
          <w:b/>
          <w:bCs/>
          <w:sz w:val="22"/>
          <w:szCs w:val="22"/>
        </w:rPr>
        <w:t>Del área verde y área de equipamiento comunal</w:t>
      </w:r>
      <w:r w:rsidRPr="00120EC3">
        <w:rPr>
          <w:rFonts w:ascii="Palatino Linotype" w:hAnsi="Palatino Linotype"/>
          <w:bCs/>
          <w:sz w:val="22"/>
          <w:szCs w:val="22"/>
        </w:rPr>
        <w:t xml:space="preserve">.- El </w:t>
      </w:r>
      <w:r w:rsidRPr="00120EC3">
        <w:rPr>
          <w:rFonts w:ascii="Palatino Linotype" w:hAnsi="Palatino Linotype"/>
          <w:sz w:val="22"/>
          <w:szCs w:val="22"/>
        </w:rPr>
        <w:t xml:space="preserve">Asentamiento Humano de Hecho y Consolidado de Interés Social denominado </w:t>
      </w:r>
      <w:r w:rsidRPr="00120EC3">
        <w:rPr>
          <w:rFonts w:ascii="Palatino Linotype" w:hAnsi="Palatino Linotype"/>
          <w:bCs/>
          <w:iCs/>
          <w:sz w:val="22"/>
          <w:szCs w:val="22"/>
        </w:rPr>
        <w:t xml:space="preserve">“Santa Rosa de Guamaní” </w:t>
      </w:r>
      <w:r w:rsidRPr="00120EC3">
        <w:rPr>
          <w:rFonts w:ascii="Palatino Linotype" w:hAnsi="Palatino Linotype"/>
          <w:sz w:val="22"/>
          <w:szCs w:val="22"/>
        </w:rPr>
        <w:t xml:space="preserve">transfieren al Municipio del Distrito Metropolitano de Quito como contribución de áreas verdes y áreas de equipamiento comunal, un área total de </w:t>
      </w:r>
      <w:r w:rsidRPr="00120EC3">
        <w:rPr>
          <w:rFonts w:ascii="Palatino Linotype" w:hAnsi="Palatino Linotype"/>
          <w:bCs/>
          <w:kern w:val="24"/>
          <w:sz w:val="22"/>
          <w:szCs w:val="22"/>
        </w:rPr>
        <w:t xml:space="preserve">465,46 </w:t>
      </w:r>
      <w:r w:rsidRPr="00120EC3">
        <w:rPr>
          <w:rFonts w:ascii="Palatino Linotype" w:hAnsi="Palatino Linotype"/>
          <w:sz w:val="22"/>
          <w:szCs w:val="22"/>
        </w:rPr>
        <w:t>m</w:t>
      </w:r>
      <w:r w:rsidRPr="00120EC3">
        <w:rPr>
          <w:rFonts w:ascii="Palatino Linotype" w:hAnsi="Palatino Linotype"/>
          <w:sz w:val="22"/>
          <w:szCs w:val="22"/>
          <w:vertAlign w:val="superscript"/>
        </w:rPr>
        <w:t>2</w:t>
      </w:r>
      <w:r w:rsidRPr="00120EC3">
        <w:rPr>
          <w:rFonts w:ascii="Palatino Linotype" w:hAnsi="Palatino Linotype"/>
          <w:sz w:val="22"/>
          <w:szCs w:val="22"/>
        </w:rPr>
        <w:t xml:space="preserve"> del área útil de los lotes, de conformidad al siguiente detalle</w:t>
      </w:r>
      <w:r w:rsidRPr="00120EC3">
        <w:rPr>
          <w:rFonts w:ascii="Palatino Linotype" w:hAnsi="Palatino Linotype"/>
          <w:b/>
          <w:sz w:val="22"/>
          <w:szCs w:val="22"/>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1667"/>
      </w:tblGrid>
      <w:tr w:rsidR="00F70BF8" w:rsidRPr="00120EC3" w:rsidTr="00293270">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jc w:val="center"/>
              <w:rPr>
                <w:rFonts w:ascii="Palatino Linotype" w:hAnsi="Palatino Linotype"/>
                <w:b/>
                <w:sz w:val="22"/>
                <w:szCs w:val="22"/>
              </w:rPr>
            </w:pPr>
            <w:r w:rsidRPr="00120EC3">
              <w:rPr>
                <w:rFonts w:ascii="Palatino Linotype" w:hAnsi="Palatino Linotype"/>
                <w:b/>
                <w:sz w:val="22"/>
                <w:szCs w:val="22"/>
              </w:rPr>
              <w:t xml:space="preserve">Área </w:t>
            </w:r>
            <w:r w:rsidRPr="00120EC3">
              <w:rPr>
                <w:rFonts w:ascii="Palatino Linotype" w:hAnsi="Palatino Linotype"/>
                <w:b/>
                <w:sz w:val="22"/>
                <w:szCs w:val="22"/>
              </w:rPr>
              <w:t>verde y comunal</w:t>
            </w:r>
          </w:p>
        </w:tc>
      </w:tr>
      <w:tr w:rsidR="00F70BF8" w:rsidRPr="00120EC3" w:rsidTr="00293270">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0BF8" w:rsidRPr="00120EC3" w:rsidRDefault="00F70BF8" w:rsidP="00FC79C1">
            <w:pPr>
              <w:spacing w:after="120" w:line="276" w:lineRule="auto"/>
              <w:jc w:val="center"/>
              <w:rPr>
                <w:rFonts w:ascii="Palatino Linotype" w:hAnsi="Palatino Linotype"/>
                <w:b/>
                <w:sz w:val="22"/>
                <w:szCs w:val="22"/>
              </w:rPr>
            </w:pPr>
            <w:r w:rsidRPr="00120EC3">
              <w:rPr>
                <w:rFonts w:ascii="Palatino Linotype" w:hAnsi="Palatino Linotype"/>
                <w:b/>
                <w:sz w:val="22"/>
                <w:szCs w:val="22"/>
              </w:rPr>
              <w:t xml:space="preserve">Área verde y comunal </w:t>
            </w:r>
          </w:p>
          <w:p w:rsidR="00F70BF8" w:rsidRPr="00120EC3" w:rsidRDefault="00F70BF8" w:rsidP="00FC79C1">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70BF8" w:rsidRPr="00120EC3" w:rsidRDefault="00F70BF8" w:rsidP="00FC79C1">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F70BF8" w:rsidRPr="00120EC3" w:rsidRDefault="00F70BF8" w:rsidP="00FC79C1">
            <w:pPr>
              <w:spacing w:after="120" w:line="276" w:lineRule="auto"/>
              <w:jc w:val="center"/>
              <w:rPr>
                <w:rFonts w:ascii="Palatino Linotype" w:hAnsi="Palatino Linotype"/>
                <w:b/>
                <w:sz w:val="22"/>
                <w:szCs w:val="22"/>
              </w:rPr>
            </w:pPr>
            <w:r w:rsidRPr="00120EC3">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F70BF8" w:rsidRPr="00120EC3" w:rsidRDefault="00F70BF8" w:rsidP="00FC79C1">
            <w:pPr>
              <w:spacing w:after="120" w:line="276" w:lineRule="auto"/>
              <w:jc w:val="center"/>
              <w:rPr>
                <w:rFonts w:ascii="Palatino Linotype" w:hAnsi="Palatino Linotype"/>
                <w:b/>
                <w:sz w:val="22"/>
                <w:szCs w:val="22"/>
              </w:rPr>
            </w:pPr>
            <w:r w:rsidRPr="00120EC3">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jc w:val="center"/>
              <w:rPr>
                <w:rFonts w:ascii="Palatino Linotype" w:hAnsi="Palatino Linotype"/>
                <w:b/>
                <w:sz w:val="22"/>
                <w:szCs w:val="22"/>
              </w:rPr>
            </w:pPr>
            <w:r w:rsidRPr="00120EC3">
              <w:rPr>
                <w:rFonts w:ascii="Palatino Linotype" w:hAnsi="Palatino Linotype"/>
                <w:b/>
                <w:sz w:val="22"/>
                <w:szCs w:val="22"/>
              </w:rPr>
              <w:t>Total</w:t>
            </w:r>
          </w:p>
        </w:tc>
        <w:tc>
          <w:tcPr>
            <w:tcW w:w="1667"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70BF8" w:rsidRPr="00120EC3" w:rsidRDefault="00F70BF8" w:rsidP="00FC79C1">
            <w:pPr>
              <w:spacing w:after="120" w:line="276" w:lineRule="auto"/>
              <w:jc w:val="center"/>
              <w:rPr>
                <w:rFonts w:ascii="Palatino Linotype" w:hAnsi="Palatino Linotype"/>
                <w:sz w:val="22"/>
                <w:szCs w:val="22"/>
              </w:rPr>
            </w:pPr>
            <w:r w:rsidRPr="00120EC3">
              <w:rPr>
                <w:rFonts w:ascii="Palatino Linotype" w:hAnsi="Palatino Linotype"/>
                <w:b/>
                <w:sz w:val="22"/>
                <w:szCs w:val="22"/>
              </w:rPr>
              <w:t>Superficie</w:t>
            </w:r>
          </w:p>
        </w:tc>
      </w:tr>
      <w:tr w:rsidR="00F70BF8" w:rsidRPr="00120EC3" w:rsidTr="00293270">
        <w:trPr>
          <w:trHeight w:val="31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F70BF8" w:rsidRPr="00120EC3" w:rsidRDefault="00F70BF8" w:rsidP="00FC79C1">
            <w:pPr>
              <w:spacing w:after="120" w:line="276" w:lineRule="auto"/>
              <w:rPr>
                <w:rFonts w:ascii="Palatino Linotype" w:hAnsi="Palatino Linotype"/>
                <w:b/>
                <w:sz w:val="22"/>
                <w:szCs w:val="22"/>
              </w:rPr>
            </w:pPr>
            <w:r w:rsidRPr="00120EC3">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F70BF8" w:rsidRPr="00120EC3" w:rsidRDefault="00F70BF8" w:rsidP="00FC79C1">
            <w:pPr>
              <w:spacing w:after="120" w:line="276" w:lineRule="auto"/>
              <w:rPr>
                <w:rFonts w:ascii="Palatino Linotype" w:hAnsi="Palatino Linotype"/>
                <w:sz w:val="22"/>
                <w:szCs w:val="22"/>
              </w:rPr>
            </w:pPr>
            <w:r w:rsidRPr="00120EC3">
              <w:rPr>
                <w:rFonts w:ascii="Palatino Linotype" w:hAnsi="Palatino Linotype"/>
                <w:sz w:val="22"/>
                <w:szCs w:val="22"/>
              </w:rPr>
              <w:t>Lote “1”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jc w:val="center"/>
              <w:rPr>
                <w:rFonts w:ascii="Palatino Linotype" w:hAnsi="Palatino Linotype"/>
                <w:sz w:val="22"/>
                <w:szCs w:val="22"/>
              </w:rPr>
            </w:pPr>
            <w:r w:rsidRPr="00120EC3">
              <w:rPr>
                <w:rFonts w:ascii="Palatino Linotype" w:hAnsi="Palatino Linotype"/>
                <w:sz w:val="22"/>
                <w:szCs w:val="22"/>
              </w:rPr>
              <w:t>3,19 m.</w:t>
            </w:r>
          </w:p>
        </w:tc>
        <w:tc>
          <w:tcPr>
            <w:tcW w:w="16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jc w:val="center"/>
              <w:rPr>
                <w:rFonts w:ascii="Palatino Linotype" w:hAnsi="Palatino Linotype"/>
                <w:bCs/>
                <w:kern w:val="24"/>
                <w:sz w:val="22"/>
                <w:szCs w:val="22"/>
              </w:rPr>
            </w:pPr>
            <w:r w:rsidRPr="00120EC3">
              <w:rPr>
                <w:rFonts w:ascii="Palatino Linotype" w:hAnsi="Palatino Linotype"/>
                <w:bCs/>
                <w:kern w:val="24"/>
                <w:sz w:val="22"/>
                <w:szCs w:val="22"/>
              </w:rPr>
              <w:t xml:space="preserve">465,46 </w:t>
            </w:r>
            <w:r w:rsidRPr="00120EC3">
              <w:rPr>
                <w:rFonts w:ascii="Palatino Linotype" w:hAnsi="Palatino Linotype"/>
                <w:sz w:val="22"/>
                <w:szCs w:val="22"/>
              </w:rPr>
              <w:t>m</w:t>
            </w:r>
            <w:r w:rsidRPr="00120EC3">
              <w:rPr>
                <w:rFonts w:ascii="Palatino Linotype" w:hAnsi="Palatino Linotype"/>
                <w:sz w:val="22"/>
                <w:szCs w:val="22"/>
                <w:vertAlign w:val="superscript"/>
              </w:rPr>
              <w:t>2</w:t>
            </w:r>
          </w:p>
        </w:tc>
      </w:tr>
      <w:tr w:rsidR="00F70BF8" w:rsidRPr="00120EC3" w:rsidTr="00293270">
        <w:trPr>
          <w:trHeight w:val="43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F70BF8" w:rsidRPr="00120EC3" w:rsidRDefault="00F70BF8" w:rsidP="00FC79C1">
            <w:pPr>
              <w:spacing w:after="120" w:line="276" w:lineRule="auto"/>
              <w:rPr>
                <w:rFonts w:ascii="Palatino Linotype" w:hAnsi="Palatino Linotype"/>
                <w:b/>
                <w:sz w:val="22"/>
                <w:szCs w:val="22"/>
              </w:rPr>
            </w:pPr>
            <w:r w:rsidRPr="00120EC3">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F70BF8" w:rsidRPr="00120EC3" w:rsidRDefault="00F70BF8" w:rsidP="00FC79C1">
            <w:pPr>
              <w:spacing w:after="120" w:line="276" w:lineRule="auto"/>
              <w:rPr>
                <w:rFonts w:ascii="Palatino Linotype" w:hAnsi="Palatino Linotype"/>
                <w:sz w:val="22"/>
                <w:szCs w:val="22"/>
              </w:rPr>
            </w:pPr>
            <w:r w:rsidRPr="00120EC3">
              <w:rPr>
                <w:rFonts w:ascii="Palatino Linotype" w:hAnsi="Palatino Linotype"/>
                <w:bCs/>
                <w:kern w:val="24"/>
                <w:sz w:val="22"/>
                <w:szCs w:val="22"/>
              </w:rPr>
              <w:t>Curva de Retorno Pasaje “S51B”</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jc w:val="center"/>
              <w:rPr>
                <w:rFonts w:ascii="Palatino Linotype" w:hAnsi="Palatino Linotype"/>
                <w:sz w:val="22"/>
                <w:szCs w:val="22"/>
              </w:rPr>
            </w:pPr>
            <w:r w:rsidRPr="00120EC3">
              <w:rPr>
                <w:rFonts w:ascii="Palatino Linotype" w:hAnsi="Palatino Linotype"/>
                <w:sz w:val="22"/>
                <w:szCs w:val="22"/>
                <w:lang w:val="es-EC"/>
              </w:rPr>
              <w:t>11,01 m.</w:t>
            </w:r>
          </w:p>
        </w:tc>
        <w:tc>
          <w:tcPr>
            <w:tcW w:w="166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rPr>
                <w:rFonts w:ascii="Palatino Linotype" w:hAnsi="Palatino Linotype"/>
                <w:sz w:val="22"/>
                <w:szCs w:val="22"/>
              </w:rPr>
            </w:pPr>
          </w:p>
        </w:tc>
      </w:tr>
      <w:tr w:rsidR="00F70BF8" w:rsidRPr="00120EC3" w:rsidTr="00293270">
        <w:trPr>
          <w:trHeight w:val="321"/>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rPr>
                <w:rFonts w:ascii="Palatino Linotype" w:hAnsi="Palatino Linotype"/>
                <w:b/>
                <w:sz w:val="22"/>
                <w:szCs w:val="22"/>
              </w:rPr>
            </w:pPr>
            <w:r w:rsidRPr="00120EC3">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F70BF8" w:rsidRPr="00120EC3" w:rsidRDefault="00F70BF8" w:rsidP="00FC79C1">
            <w:pPr>
              <w:spacing w:after="120" w:line="276" w:lineRule="auto"/>
              <w:rPr>
                <w:rFonts w:ascii="Palatino Linotype" w:hAnsi="Palatino Linotype"/>
                <w:sz w:val="22"/>
                <w:szCs w:val="22"/>
                <w:lang w:val="en-US"/>
              </w:rPr>
            </w:pPr>
            <w:proofErr w:type="spellStart"/>
            <w:r w:rsidRPr="00120EC3">
              <w:rPr>
                <w:rFonts w:ascii="Palatino Linotype" w:hAnsi="Palatino Linotype"/>
                <w:sz w:val="22"/>
                <w:szCs w:val="22"/>
                <w:lang w:val="en-US"/>
              </w:rPr>
              <w:t>Lote</w:t>
            </w:r>
            <w:proofErr w:type="spellEnd"/>
            <w:r w:rsidRPr="00120EC3">
              <w:rPr>
                <w:rFonts w:ascii="Palatino Linotype" w:hAnsi="Palatino Linotype"/>
                <w:sz w:val="22"/>
                <w:szCs w:val="22"/>
                <w:lang w:val="en-US"/>
              </w:rPr>
              <w:t xml:space="preserve"> “2”</w:t>
            </w:r>
          </w:p>
          <w:p w:rsidR="00F70BF8" w:rsidRPr="00120EC3" w:rsidRDefault="00F70BF8" w:rsidP="00FC79C1">
            <w:pPr>
              <w:spacing w:after="120" w:line="276" w:lineRule="auto"/>
              <w:rPr>
                <w:rFonts w:ascii="Palatino Linotype" w:hAnsi="Palatino Linotype"/>
                <w:sz w:val="22"/>
                <w:szCs w:val="22"/>
                <w:lang w:val="en-US"/>
              </w:rPr>
            </w:pPr>
            <w:proofErr w:type="spellStart"/>
            <w:r w:rsidRPr="00120EC3">
              <w:rPr>
                <w:rFonts w:ascii="Palatino Linotype" w:hAnsi="Palatino Linotype"/>
                <w:sz w:val="22"/>
                <w:szCs w:val="22"/>
                <w:lang w:val="en-US"/>
              </w:rPr>
              <w:t>Lote</w:t>
            </w:r>
            <w:proofErr w:type="spellEnd"/>
            <w:r w:rsidRPr="00120EC3">
              <w:rPr>
                <w:rFonts w:ascii="Palatino Linotype" w:hAnsi="Palatino Linotype"/>
                <w:sz w:val="22"/>
                <w:szCs w:val="22"/>
                <w:lang w:val="en-US"/>
              </w:rPr>
              <w:t xml:space="preserve"> “3”</w:t>
            </w:r>
          </w:p>
          <w:p w:rsidR="00F70BF8" w:rsidRPr="00120EC3" w:rsidRDefault="00F70BF8" w:rsidP="00FC79C1">
            <w:pPr>
              <w:spacing w:after="120" w:line="276" w:lineRule="auto"/>
              <w:rPr>
                <w:rFonts w:ascii="Palatino Linotype" w:hAnsi="Palatino Linotype"/>
                <w:sz w:val="22"/>
                <w:szCs w:val="22"/>
                <w:lang w:val="en-US"/>
              </w:rPr>
            </w:pPr>
            <w:proofErr w:type="spellStart"/>
            <w:r w:rsidRPr="00120EC3">
              <w:rPr>
                <w:rFonts w:ascii="Palatino Linotype" w:hAnsi="Palatino Linotype"/>
                <w:sz w:val="22"/>
                <w:szCs w:val="22"/>
                <w:lang w:val="en-US"/>
              </w:rPr>
              <w:t>Lote</w:t>
            </w:r>
            <w:proofErr w:type="spellEnd"/>
            <w:r w:rsidRPr="00120EC3">
              <w:rPr>
                <w:rFonts w:ascii="Palatino Linotype" w:hAnsi="Palatino Linotype"/>
                <w:sz w:val="22"/>
                <w:szCs w:val="22"/>
                <w:lang w:val="en-US"/>
              </w:rPr>
              <w:t xml:space="preserve"> “4”</w:t>
            </w:r>
          </w:p>
          <w:p w:rsidR="00F70BF8" w:rsidRPr="00120EC3" w:rsidRDefault="00F70BF8" w:rsidP="00FC79C1">
            <w:pPr>
              <w:spacing w:after="120" w:line="276" w:lineRule="auto"/>
              <w:rPr>
                <w:rFonts w:ascii="Palatino Linotype" w:hAnsi="Palatino Linotype"/>
                <w:sz w:val="22"/>
                <w:szCs w:val="22"/>
                <w:lang w:val="en-US"/>
              </w:rPr>
            </w:pPr>
            <w:proofErr w:type="spellStart"/>
            <w:r w:rsidRPr="00120EC3">
              <w:rPr>
                <w:rFonts w:ascii="Palatino Linotype" w:hAnsi="Palatino Linotype"/>
                <w:sz w:val="22"/>
                <w:szCs w:val="22"/>
                <w:lang w:val="en-US"/>
              </w:rPr>
              <w:t>Lote</w:t>
            </w:r>
            <w:proofErr w:type="spellEnd"/>
            <w:r w:rsidRPr="00120EC3">
              <w:rPr>
                <w:rFonts w:ascii="Palatino Linotype" w:hAnsi="Palatino Linotype"/>
                <w:sz w:val="22"/>
                <w:szCs w:val="22"/>
                <w:lang w:val="en-US"/>
              </w:rPr>
              <w:t xml:space="preserve"> “5”</w:t>
            </w:r>
          </w:p>
          <w:p w:rsidR="00F70BF8" w:rsidRPr="00120EC3" w:rsidRDefault="00F70BF8" w:rsidP="00FC79C1">
            <w:pPr>
              <w:spacing w:after="120" w:line="276" w:lineRule="auto"/>
              <w:rPr>
                <w:rFonts w:ascii="Palatino Linotype" w:hAnsi="Palatino Linotype"/>
                <w:sz w:val="22"/>
                <w:szCs w:val="22"/>
                <w:lang w:val="en-US"/>
              </w:rPr>
            </w:pPr>
            <w:proofErr w:type="spellStart"/>
            <w:r w:rsidRPr="00120EC3">
              <w:rPr>
                <w:rFonts w:ascii="Palatino Linotype" w:hAnsi="Palatino Linotype"/>
                <w:sz w:val="22"/>
                <w:szCs w:val="22"/>
                <w:lang w:val="en-US"/>
              </w:rPr>
              <w:t>Lote</w:t>
            </w:r>
            <w:proofErr w:type="spellEnd"/>
            <w:r w:rsidRPr="00120EC3">
              <w:rPr>
                <w:rFonts w:ascii="Palatino Linotype" w:hAnsi="Palatino Linotype"/>
                <w:sz w:val="22"/>
                <w:szCs w:val="22"/>
                <w:lang w:val="en-US"/>
              </w:rPr>
              <w:t xml:space="preserve"> “6”</w:t>
            </w:r>
          </w:p>
          <w:p w:rsidR="00F70BF8" w:rsidRPr="00120EC3" w:rsidRDefault="00F70BF8" w:rsidP="00FC79C1">
            <w:pPr>
              <w:spacing w:after="120" w:line="276" w:lineRule="auto"/>
              <w:rPr>
                <w:rFonts w:ascii="Palatino Linotype" w:hAnsi="Palatino Linotype"/>
                <w:sz w:val="22"/>
                <w:szCs w:val="22"/>
                <w:lang w:val="en-US"/>
              </w:rPr>
            </w:pPr>
            <w:proofErr w:type="spellStart"/>
            <w:r w:rsidRPr="00120EC3">
              <w:rPr>
                <w:rFonts w:ascii="Palatino Linotype" w:hAnsi="Palatino Linotype"/>
                <w:sz w:val="22"/>
                <w:szCs w:val="22"/>
                <w:lang w:val="en-US"/>
              </w:rPr>
              <w:t>Lote</w:t>
            </w:r>
            <w:proofErr w:type="spellEnd"/>
            <w:r w:rsidRPr="00120EC3">
              <w:rPr>
                <w:rFonts w:ascii="Palatino Linotype" w:hAnsi="Palatino Linotype"/>
                <w:sz w:val="22"/>
                <w:szCs w:val="22"/>
                <w:lang w:val="en-US"/>
              </w:rPr>
              <w:t xml:space="preserve"> “7”</w:t>
            </w:r>
          </w:p>
          <w:p w:rsidR="00F70BF8" w:rsidRPr="00120EC3" w:rsidRDefault="00F70BF8" w:rsidP="00FC79C1">
            <w:pPr>
              <w:spacing w:after="120" w:line="276" w:lineRule="auto"/>
              <w:rPr>
                <w:rFonts w:ascii="Palatino Linotype" w:hAnsi="Palatino Linotype"/>
                <w:sz w:val="22"/>
                <w:szCs w:val="22"/>
                <w:lang w:val="en-US"/>
              </w:rPr>
            </w:pPr>
            <w:proofErr w:type="spellStart"/>
            <w:r w:rsidRPr="00120EC3">
              <w:rPr>
                <w:rFonts w:ascii="Palatino Linotype" w:hAnsi="Palatino Linotype"/>
                <w:sz w:val="22"/>
                <w:szCs w:val="22"/>
                <w:lang w:val="en-US"/>
              </w:rPr>
              <w:t>Lote</w:t>
            </w:r>
            <w:proofErr w:type="spellEnd"/>
            <w:r w:rsidRPr="00120EC3">
              <w:rPr>
                <w:rFonts w:ascii="Palatino Linotype" w:hAnsi="Palatino Linotype"/>
                <w:sz w:val="22"/>
                <w:szCs w:val="22"/>
                <w:lang w:val="en-US"/>
              </w:rPr>
              <w:t xml:space="preserve"> “8”</w:t>
            </w:r>
          </w:p>
          <w:p w:rsidR="00F70BF8" w:rsidRPr="00120EC3" w:rsidRDefault="00F70BF8" w:rsidP="00FC79C1">
            <w:pPr>
              <w:spacing w:after="120" w:line="276" w:lineRule="auto"/>
              <w:rPr>
                <w:rFonts w:ascii="Palatino Linotype" w:hAnsi="Palatino Linotype"/>
                <w:sz w:val="22"/>
                <w:szCs w:val="22"/>
                <w:lang w:val="en-US"/>
              </w:rPr>
            </w:pPr>
            <w:proofErr w:type="spellStart"/>
            <w:r w:rsidRPr="00120EC3">
              <w:rPr>
                <w:rFonts w:ascii="Palatino Linotype" w:hAnsi="Palatino Linotype"/>
                <w:sz w:val="22"/>
                <w:szCs w:val="22"/>
                <w:lang w:val="en-US"/>
              </w:rPr>
              <w:t>Lote</w:t>
            </w:r>
            <w:proofErr w:type="spellEnd"/>
            <w:r w:rsidRPr="00120EC3">
              <w:rPr>
                <w:rFonts w:ascii="Palatino Linotype" w:hAnsi="Palatino Linotype"/>
                <w:sz w:val="22"/>
                <w:szCs w:val="22"/>
                <w:lang w:val="en-US"/>
              </w:rPr>
              <w:t xml:space="preserve"> “9”</w:t>
            </w:r>
          </w:p>
          <w:p w:rsidR="00F70BF8" w:rsidRPr="00120EC3" w:rsidRDefault="00F70BF8" w:rsidP="00FC79C1">
            <w:pPr>
              <w:spacing w:after="120" w:line="276" w:lineRule="auto"/>
              <w:rPr>
                <w:rFonts w:ascii="Palatino Linotype" w:hAnsi="Palatino Linotype"/>
                <w:sz w:val="22"/>
                <w:szCs w:val="22"/>
                <w:lang w:val="en-US"/>
              </w:rPr>
            </w:pPr>
            <w:proofErr w:type="spellStart"/>
            <w:r w:rsidRPr="00120EC3">
              <w:rPr>
                <w:rFonts w:ascii="Palatino Linotype" w:hAnsi="Palatino Linotype"/>
                <w:sz w:val="22"/>
                <w:szCs w:val="22"/>
                <w:lang w:val="en-US"/>
              </w:rPr>
              <w:t>Lote</w:t>
            </w:r>
            <w:proofErr w:type="spellEnd"/>
            <w:r w:rsidRPr="00120EC3">
              <w:rPr>
                <w:rFonts w:ascii="Palatino Linotype" w:hAnsi="Palatino Linotype"/>
                <w:sz w:val="22"/>
                <w:szCs w:val="22"/>
                <w:lang w:val="en-US"/>
              </w:rPr>
              <w:t xml:space="preserve"> “10”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10,00 m.</w:t>
            </w:r>
          </w:p>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10,00 m.</w:t>
            </w:r>
          </w:p>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10,00 m.</w:t>
            </w:r>
          </w:p>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10,00 m.</w:t>
            </w:r>
          </w:p>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10,05 m.</w:t>
            </w:r>
          </w:p>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10,00 m.</w:t>
            </w:r>
          </w:p>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10,00 m</w:t>
            </w:r>
          </w:p>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10,00 m.</w:t>
            </w:r>
          </w:p>
          <w:p w:rsidR="00F70BF8" w:rsidRPr="00120EC3" w:rsidRDefault="00F70BF8" w:rsidP="00FC79C1">
            <w:pPr>
              <w:spacing w:after="120" w:line="276" w:lineRule="auto"/>
              <w:jc w:val="center"/>
              <w:rPr>
                <w:rFonts w:ascii="Palatino Linotype" w:hAnsi="Palatino Linotype"/>
                <w:sz w:val="22"/>
                <w:szCs w:val="22"/>
                <w:lang w:val="es-EC"/>
              </w:rPr>
            </w:pPr>
            <w:r w:rsidRPr="00120EC3">
              <w:rPr>
                <w:rFonts w:ascii="Palatino Linotype" w:hAnsi="Palatino Linotype"/>
                <w:sz w:val="22"/>
                <w:szCs w:val="22"/>
                <w:lang w:val="es-EC"/>
              </w:rPr>
              <w:t>4,80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jc w:val="center"/>
              <w:rPr>
                <w:rFonts w:ascii="Palatino Linotype" w:hAnsi="Palatino Linotype"/>
                <w:sz w:val="22"/>
                <w:szCs w:val="22"/>
              </w:rPr>
            </w:pPr>
            <w:r w:rsidRPr="00120EC3">
              <w:rPr>
                <w:rFonts w:ascii="Palatino Linotype" w:hAnsi="Palatino Linotype"/>
                <w:sz w:val="22"/>
                <w:szCs w:val="22"/>
              </w:rPr>
              <w:t>84,85 m.</w:t>
            </w:r>
          </w:p>
        </w:tc>
        <w:tc>
          <w:tcPr>
            <w:tcW w:w="166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rPr>
                <w:rFonts w:ascii="Palatino Linotype" w:hAnsi="Palatino Linotype"/>
                <w:sz w:val="22"/>
                <w:szCs w:val="22"/>
              </w:rPr>
            </w:pPr>
          </w:p>
        </w:tc>
      </w:tr>
      <w:tr w:rsidR="00F70BF8" w:rsidRPr="00120EC3" w:rsidTr="00293270">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F70BF8" w:rsidRPr="00120EC3" w:rsidRDefault="00F70BF8" w:rsidP="00FC79C1">
            <w:pPr>
              <w:spacing w:after="120" w:line="276" w:lineRule="auto"/>
              <w:rPr>
                <w:rFonts w:ascii="Palatino Linotype" w:hAnsi="Palatino Linotype"/>
                <w:b/>
                <w:sz w:val="22"/>
                <w:szCs w:val="22"/>
              </w:rPr>
            </w:pPr>
            <w:r w:rsidRPr="00120EC3">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F70BF8" w:rsidRPr="00120EC3" w:rsidRDefault="00F70BF8" w:rsidP="00FC79C1">
            <w:pPr>
              <w:spacing w:after="120" w:line="276" w:lineRule="auto"/>
              <w:rPr>
                <w:rFonts w:ascii="Palatino Linotype" w:hAnsi="Palatino Linotype"/>
                <w:sz w:val="22"/>
                <w:szCs w:val="22"/>
              </w:rPr>
            </w:pPr>
            <w:r w:rsidRPr="00120EC3">
              <w:rPr>
                <w:rFonts w:ascii="Palatino Linotype" w:hAnsi="Palatino Linotype"/>
                <w:sz w:val="22"/>
                <w:szCs w:val="22"/>
              </w:rPr>
              <w:t>Propiedad Particular</w:t>
            </w:r>
          </w:p>
          <w:p w:rsidR="00F70BF8" w:rsidRPr="00120EC3" w:rsidRDefault="00F70BF8" w:rsidP="00FC79C1">
            <w:pPr>
              <w:spacing w:after="120" w:line="276" w:lineRule="auto"/>
              <w:rPr>
                <w:rFonts w:ascii="Palatino Linotype" w:hAnsi="Palatino Linotype"/>
                <w:sz w:val="22"/>
                <w:szCs w:val="22"/>
              </w:rPr>
            </w:pPr>
            <w:r w:rsidRPr="00120EC3">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70BF8" w:rsidRPr="00120EC3" w:rsidRDefault="00F70BF8" w:rsidP="00FC79C1">
            <w:pPr>
              <w:spacing w:after="120" w:line="276" w:lineRule="auto"/>
              <w:jc w:val="center"/>
              <w:rPr>
                <w:rFonts w:ascii="Palatino Linotype" w:hAnsi="Palatino Linotype"/>
                <w:sz w:val="22"/>
                <w:szCs w:val="22"/>
              </w:rPr>
            </w:pPr>
            <w:r w:rsidRPr="00120EC3">
              <w:rPr>
                <w:rFonts w:ascii="Palatino Linotype" w:hAnsi="Palatino Linotype"/>
                <w:sz w:val="22"/>
                <w:szCs w:val="22"/>
              </w:rPr>
              <w:t>13,10 m.</w:t>
            </w:r>
          </w:p>
          <w:p w:rsidR="00F70BF8" w:rsidRPr="00120EC3" w:rsidRDefault="00F70BF8" w:rsidP="00FC79C1">
            <w:pPr>
              <w:spacing w:after="120" w:line="276" w:lineRule="auto"/>
              <w:jc w:val="center"/>
              <w:rPr>
                <w:rFonts w:ascii="Palatino Linotype" w:hAnsi="Palatino Linotype"/>
                <w:sz w:val="22"/>
                <w:szCs w:val="22"/>
              </w:rPr>
            </w:pPr>
            <w:r w:rsidRPr="00120EC3">
              <w:rPr>
                <w:rFonts w:ascii="Palatino Linotype" w:hAnsi="Palatino Linotype"/>
                <w:sz w:val="22"/>
                <w:szCs w:val="22"/>
              </w:rPr>
              <w:t>77,52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jc w:val="center"/>
              <w:rPr>
                <w:rFonts w:ascii="Palatino Linotype" w:hAnsi="Palatino Linotype"/>
                <w:sz w:val="22"/>
                <w:szCs w:val="22"/>
              </w:rPr>
            </w:pPr>
            <w:r w:rsidRPr="00120EC3">
              <w:rPr>
                <w:rFonts w:ascii="Palatino Linotype" w:hAnsi="Palatino Linotype"/>
                <w:sz w:val="22"/>
                <w:szCs w:val="22"/>
              </w:rPr>
              <w:t xml:space="preserve">90,62 m. </w:t>
            </w:r>
          </w:p>
        </w:tc>
        <w:tc>
          <w:tcPr>
            <w:tcW w:w="166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F70BF8" w:rsidRPr="00120EC3" w:rsidRDefault="00F70BF8" w:rsidP="00FC79C1">
            <w:pPr>
              <w:spacing w:after="120" w:line="276" w:lineRule="auto"/>
              <w:rPr>
                <w:rFonts w:ascii="Palatino Linotype" w:hAnsi="Palatino Linotype"/>
                <w:sz w:val="22"/>
                <w:szCs w:val="22"/>
              </w:rPr>
            </w:pPr>
          </w:p>
        </w:tc>
      </w:tr>
    </w:tbl>
    <w:p w:rsidR="00F70BF8" w:rsidRPr="00120EC3" w:rsidRDefault="00F70BF8" w:rsidP="00FC79C1">
      <w:pPr>
        <w:spacing w:after="120" w:line="276" w:lineRule="auto"/>
        <w:jc w:val="both"/>
        <w:rPr>
          <w:rFonts w:ascii="Palatino Linotype" w:hAnsi="Palatino Linotype"/>
          <w:b/>
          <w:bCs/>
          <w:sz w:val="22"/>
          <w:szCs w:val="22"/>
        </w:rPr>
      </w:pP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b/>
          <w:bCs/>
          <w:sz w:val="22"/>
          <w:szCs w:val="22"/>
        </w:rPr>
        <w:t xml:space="preserve">Artículo 6.- Informe Técnico de Evaluación de Riesgos de la Secretaría General de Seguridad y Gobernabilidad.- </w:t>
      </w:r>
      <w:r w:rsidRPr="00120EC3">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120EC3">
        <w:rPr>
          <w:rFonts w:ascii="Palatino Linotype" w:hAnsi="Palatino Linotype"/>
          <w:sz w:val="22"/>
          <w:szCs w:val="22"/>
        </w:rPr>
        <w:t xml:space="preserve">, caso contrario el </w:t>
      </w:r>
      <w:r w:rsidRPr="00120EC3">
        <w:rPr>
          <w:rFonts w:ascii="Palatino Linotype" w:hAnsi="Palatino Linotype"/>
          <w:sz w:val="22"/>
          <w:szCs w:val="22"/>
        </w:rPr>
        <w:lastRenderedPageBreak/>
        <w:t>Concejo Metropolitano podrá revocar la presente ordenanza, notificándose del particular a la Agencia Metropolitana de Control, para que se inicie las acciones pertinentes.</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bCs/>
          <w:sz w:val="22"/>
          <w:szCs w:val="22"/>
        </w:rPr>
        <w:t xml:space="preserve">Los copropietarios del </w:t>
      </w:r>
      <w:r w:rsidRPr="00120EC3">
        <w:rPr>
          <w:rFonts w:ascii="Palatino Linotype" w:hAnsi="Palatino Linotype"/>
          <w:sz w:val="22"/>
          <w:szCs w:val="22"/>
        </w:rPr>
        <w:t>Asentamiento Humano de Hecho y Consolidado de Interés Social</w:t>
      </w:r>
      <w:r w:rsidRPr="00120EC3">
        <w:rPr>
          <w:rFonts w:ascii="Palatino Linotype" w:hAnsi="Palatino Linotype"/>
          <w:bCs/>
          <w:sz w:val="22"/>
          <w:szCs w:val="22"/>
        </w:rPr>
        <w:t xml:space="preserve"> denominado “Santa Rosa de Guamaní” </w:t>
      </w:r>
      <w:r w:rsidRPr="00120EC3">
        <w:rPr>
          <w:rFonts w:ascii="Palatino Linotype" w:hAnsi="Palatino Linotype"/>
          <w:bCs/>
          <w:sz w:val="22"/>
          <w:szCs w:val="22"/>
          <w:lang w:val="es-EC"/>
        </w:rPr>
        <w:t xml:space="preserve">deberán cumplir con lo establecido dentro de la calificación del riesgo y acatar las recomendaciones que se encuentran determinadas </w:t>
      </w:r>
      <w:r w:rsidRPr="00120EC3">
        <w:rPr>
          <w:rFonts w:ascii="Palatino Linotype" w:hAnsi="Palatino Linotype"/>
          <w:sz w:val="22"/>
          <w:szCs w:val="22"/>
          <w:shd w:val="clear" w:color="auto" w:fill="FFFFFF"/>
        </w:rPr>
        <w:t xml:space="preserve">en el informe de la Dirección Metropolitana de Gestión de Riesgos </w:t>
      </w:r>
      <w:r w:rsidRPr="00120EC3">
        <w:rPr>
          <w:rFonts w:ascii="Palatino Linotype" w:hAnsi="Palatino Linotype"/>
          <w:bCs/>
          <w:sz w:val="22"/>
          <w:szCs w:val="22"/>
        </w:rPr>
        <w:t>No. 055 AT-DMGR-2017</w:t>
      </w:r>
      <w:r w:rsidRPr="00120EC3">
        <w:rPr>
          <w:rFonts w:ascii="Palatino Linotype" w:hAnsi="Palatino Linotype"/>
          <w:sz w:val="22"/>
          <w:szCs w:val="22"/>
        </w:rPr>
        <w:t xml:space="preserve">, de fecha 30 de marzo de 2017 </w:t>
      </w:r>
      <w:r w:rsidRPr="00120EC3">
        <w:rPr>
          <w:rFonts w:ascii="Palatino Linotype" w:hAnsi="Palatino Linotype"/>
          <w:bCs/>
          <w:sz w:val="22"/>
          <w:szCs w:val="22"/>
          <w:lang w:val="es-EC"/>
        </w:rPr>
        <w:t>el mismo que establece</w:t>
      </w:r>
      <w:r w:rsidRPr="00120EC3">
        <w:rPr>
          <w:rFonts w:ascii="Palatino Linotype" w:hAnsi="Palatino Linotype"/>
          <w:bCs/>
          <w:sz w:val="22"/>
          <w:szCs w:val="22"/>
        </w:rPr>
        <w:t>:</w:t>
      </w:r>
    </w:p>
    <w:p w:rsidR="00F70BF8" w:rsidRPr="00120EC3" w:rsidRDefault="00F70BF8" w:rsidP="00FC79C1">
      <w:pPr>
        <w:spacing w:after="120" w:line="276" w:lineRule="auto"/>
        <w:jc w:val="both"/>
        <w:rPr>
          <w:rFonts w:ascii="Palatino Linotype" w:hAnsi="Palatino Linotype"/>
          <w:i/>
          <w:sz w:val="22"/>
          <w:szCs w:val="22"/>
        </w:rPr>
      </w:pPr>
      <w:r w:rsidRPr="00120EC3">
        <w:rPr>
          <w:rFonts w:ascii="Palatino Linotype" w:hAnsi="Palatino Linotype"/>
          <w:sz w:val="22"/>
          <w:szCs w:val="22"/>
        </w:rPr>
        <w:t>“</w:t>
      </w:r>
      <w:r w:rsidRPr="00120EC3">
        <w:rPr>
          <w:rFonts w:ascii="Palatino Linotype" w:hAnsi="Palatino Linotype"/>
          <w:b/>
          <w:i/>
          <w:sz w:val="22"/>
          <w:szCs w:val="22"/>
        </w:rPr>
        <w:t>6 CALIFICACIÓN DEL RIESGO</w:t>
      </w:r>
    </w:p>
    <w:p w:rsidR="00F70BF8" w:rsidRPr="00120EC3" w:rsidRDefault="00F70BF8" w:rsidP="00FC79C1">
      <w:pPr>
        <w:spacing w:after="120" w:line="276" w:lineRule="auto"/>
        <w:jc w:val="both"/>
        <w:rPr>
          <w:rFonts w:ascii="Palatino Linotype" w:hAnsi="Palatino Linotype"/>
          <w:i/>
          <w:sz w:val="22"/>
          <w:szCs w:val="22"/>
        </w:rPr>
      </w:pPr>
      <w:r w:rsidRPr="00120EC3">
        <w:rPr>
          <w:rFonts w:ascii="Palatino Linotype" w:hAnsi="Palatino Linotype"/>
          <w:i/>
          <w:sz w:val="22"/>
          <w:szCs w:val="22"/>
        </w:rPr>
        <w:t>La zona en estudio, una vez realizada la inspección técnica al AHHYC “Santa Rosa de Guamaní” de la Parroquia La Guamaní, considerando las amenazas, elementos expuestos y vulnerabilidades se determina que:</w:t>
      </w:r>
    </w:p>
    <w:p w:rsidR="00F70BF8" w:rsidRPr="00120EC3" w:rsidRDefault="00F70BF8" w:rsidP="00FC79C1">
      <w:pPr>
        <w:spacing w:after="120" w:line="276" w:lineRule="auto"/>
        <w:jc w:val="both"/>
        <w:rPr>
          <w:rFonts w:ascii="Palatino Linotype" w:hAnsi="Palatino Linotype"/>
          <w:i/>
          <w:sz w:val="22"/>
          <w:szCs w:val="22"/>
        </w:rPr>
      </w:pPr>
      <w:r w:rsidRPr="00120EC3">
        <w:rPr>
          <w:rFonts w:ascii="Palatino Linotype" w:hAnsi="Palatino Linotype"/>
          <w:i/>
          <w:sz w:val="22"/>
          <w:szCs w:val="22"/>
        </w:rPr>
        <w:t xml:space="preserve">De acuerdo a las condiciones morfológicas, litológicas y elementos expuestos se manifiesta que presenta un Riesgo </w:t>
      </w:r>
      <w:r w:rsidRPr="00120EC3">
        <w:rPr>
          <w:rFonts w:ascii="Palatino Linotype" w:hAnsi="Palatino Linotype"/>
          <w:b/>
          <w:i/>
          <w:sz w:val="22"/>
          <w:szCs w:val="22"/>
        </w:rPr>
        <w:t xml:space="preserve">Moderado, </w:t>
      </w:r>
      <w:r w:rsidRPr="00120EC3">
        <w:rPr>
          <w:rFonts w:ascii="Palatino Linotype" w:hAnsi="Palatino Linotype"/>
          <w:i/>
          <w:sz w:val="22"/>
          <w:szCs w:val="22"/>
        </w:rPr>
        <w:t>frente a movimientos de remoción en masa.</w:t>
      </w:r>
    </w:p>
    <w:p w:rsidR="00F70BF8" w:rsidRPr="00120EC3" w:rsidRDefault="00F70BF8" w:rsidP="00FC79C1">
      <w:pPr>
        <w:spacing w:after="120" w:line="276" w:lineRule="auto"/>
        <w:jc w:val="both"/>
        <w:rPr>
          <w:rFonts w:ascii="Palatino Linotype" w:hAnsi="Palatino Linotype"/>
          <w:i/>
          <w:sz w:val="22"/>
          <w:szCs w:val="22"/>
        </w:rPr>
      </w:pPr>
      <w:r w:rsidRPr="00120EC3">
        <w:rPr>
          <w:rFonts w:ascii="Palatino Linotype" w:hAnsi="Palatino Linotype"/>
          <w:i/>
          <w:sz w:val="22"/>
          <w:szCs w:val="22"/>
        </w:rPr>
        <w:t xml:space="preserve">Con respecto a la amenaza sísmica el AHHYC “Santa Rosa de Guamaní” de la Parroquia Guamaní, presenta un nivel de riesgo </w:t>
      </w:r>
      <w:r w:rsidRPr="00120EC3">
        <w:rPr>
          <w:rFonts w:ascii="Palatino Linotype" w:hAnsi="Palatino Linotype"/>
          <w:b/>
          <w:i/>
          <w:sz w:val="22"/>
          <w:szCs w:val="22"/>
        </w:rPr>
        <w:t xml:space="preserve">Moderado </w:t>
      </w:r>
      <w:r w:rsidRPr="00120EC3">
        <w:rPr>
          <w:rFonts w:ascii="Palatino Linotype" w:hAnsi="Palatino Linotype"/>
          <w:i/>
          <w:sz w:val="22"/>
          <w:szCs w:val="22"/>
        </w:rPr>
        <w:t xml:space="preserve">por cuanto al ser construcciones informales, no cumplen la NEC y se considera viviendas con Alta vulnerabilidad. </w:t>
      </w:r>
    </w:p>
    <w:p w:rsidR="00F70BF8" w:rsidRPr="00120EC3" w:rsidRDefault="00F70BF8" w:rsidP="00FC79C1">
      <w:pPr>
        <w:spacing w:after="120" w:line="276" w:lineRule="auto"/>
        <w:jc w:val="both"/>
        <w:rPr>
          <w:rFonts w:ascii="Palatino Linotype" w:hAnsi="Palatino Linotype"/>
          <w:i/>
          <w:sz w:val="22"/>
          <w:szCs w:val="22"/>
        </w:rPr>
      </w:pPr>
      <w:r w:rsidRPr="00120EC3">
        <w:rPr>
          <w:rFonts w:ascii="Palatino Linotype" w:hAnsi="Palatino Linotype"/>
          <w:i/>
          <w:sz w:val="22"/>
          <w:szCs w:val="22"/>
        </w:rPr>
        <w:t xml:space="preserve">Adicionalmente con respecto a la amenaza volcánica el AHHYC “Santa Rosa de Guamaní” de la Parroquia Guamaní, presenta un nivel de riesgo </w:t>
      </w:r>
      <w:r w:rsidRPr="00120EC3">
        <w:rPr>
          <w:rFonts w:ascii="Palatino Linotype" w:hAnsi="Palatino Linotype"/>
          <w:b/>
          <w:i/>
          <w:sz w:val="22"/>
          <w:szCs w:val="22"/>
        </w:rPr>
        <w:t xml:space="preserve">Moderado </w:t>
      </w:r>
      <w:r w:rsidRPr="00120EC3">
        <w:rPr>
          <w:rFonts w:ascii="Palatino Linotype" w:hAnsi="Palatino Linotype"/>
          <w:i/>
          <w:sz w:val="22"/>
          <w:szCs w:val="22"/>
        </w:rPr>
        <w:t xml:space="preserve">por la probable caída de </w:t>
      </w:r>
      <w:proofErr w:type="spellStart"/>
      <w:r w:rsidRPr="00120EC3">
        <w:rPr>
          <w:rFonts w:ascii="Palatino Linotype" w:hAnsi="Palatino Linotype"/>
          <w:i/>
          <w:sz w:val="22"/>
          <w:szCs w:val="22"/>
        </w:rPr>
        <w:t>piroclastos</w:t>
      </w:r>
      <w:proofErr w:type="spellEnd"/>
      <w:r w:rsidRPr="00120EC3">
        <w:rPr>
          <w:rFonts w:ascii="Palatino Linotype" w:hAnsi="Palatino Linotype"/>
          <w:i/>
          <w:sz w:val="22"/>
          <w:szCs w:val="22"/>
        </w:rPr>
        <w:t xml:space="preserve"> (ceniza y lapilli de los volcanes Cotopaxi y  Guagua Pichincha.</w:t>
      </w:r>
    </w:p>
    <w:p w:rsidR="00F70BF8" w:rsidRPr="00120EC3" w:rsidRDefault="00F70BF8" w:rsidP="00FC79C1">
      <w:pPr>
        <w:spacing w:after="120" w:line="276" w:lineRule="auto"/>
        <w:jc w:val="both"/>
        <w:rPr>
          <w:rFonts w:ascii="Palatino Linotype" w:hAnsi="Palatino Linotype"/>
          <w:i/>
          <w:sz w:val="22"/>
          <w:szCs w:val="22"/>
        </w:rPr>
      </w:pPr>
      <w:r w:rsidRPr="00120EC3">
        <w:rPr>
          <w:rFonts w:ascii="Palatino Linotype" w:hAnsi="Palatino Linotype"/>
          <w:i/>
          <w:sz w:val="22"/>
          <w:szCs w:val="22"/>
        </w:rPr>
        <w:t xml:space="preserve">La calificación de la evaluación de la condición del riesgo está dada en base a la probabilidad de ocurrencia de eventos adversos y a las perdidas con su consecuente afectación. Por lo tanto, desde el análisis de la DMGR se expresa que es </w:t>
      </w:r>
      <w:r w:rsidRPr="00120EC3">
        <w:rPr>
          <w:rFonts w:ascii="Palatino Linotype" w:hAnsi="Palatino Linotype"/>
          <w:b/>
          <w:i/>
          <w:sz w:val="22"/>
          <w:szCs w:val="22"/>
        </w:rPr>
        <w:t>Factible</w:t>
      </w:r>
      <w:r w:rsidRPr="00120EC3">
        <w:rPr>
          <w:rFonts w:ascii="Palatino Linotype" w:hAnsi="Palatino Linotype"/>
          <w:i/>
          <w:sz w:val="22"/>
          <w:szCs w:val="22"/>
        </w:rPr>
        <w:t xml:space="preserve"> iniciar el proceso de regularización del AHHYC. Ya que siguiendo las recomendaciones que se describen en este informe a continuación contribuirá a garantizar la reducción del riesgo en la zona en análisis.</w:t>
      </w:r>
    </w:p>
    <w:p w:rsidR="00F70BF8" w:rsidRPr="00120EC3" w:rsidRDefault="00F70BF8" w:rsidP="00FC79C1">
      <w:pPr>
        <w:spacing w:after="120" w:line="276" w:lineRule="auto"/>
        <w:jc w:val="both"/>
        <w:rPr>
          <w:rFonts w:ascii="Palatino Linotype" w:hAnsi="Palatino Linotype"/>
          <w:b/>
          <w:i/>
          <w:sz w:val="22"/>
          <w:szCs w:val="22"/>
        </w:rPr>
      </w:pPr>
      <w:r w:rsidRPr="00120EC3">
        <w:rPr>
          <w:rFonts w:ascii="Palatino Linotype" w:hAnsi="Palatino Linotype"/>
          <w:b/>
          <w:i/>
          <w:sz w:val="22"/>
          <w:szCs w:val="22"/>
        </w:rPr>
        <w:t>7 RECOMENDACIONES</w:t>
      </w:r>
    </w:p>
    <w:p w:rsidR="00F70BF8" w:rsidRPr="00120EC3" w:rsidRDefault="00F70BF8" w:rsidP="00FC79C1">
      <w:pPr>
        <w:spacing w:after="120" w:line="276" w:lineRule="auto"/>
        <w:jc w:val="both"/>
        <w:rPr>
          <w:rFonts w:ascii="Palatino Linotype" w:hAnsi="Palatino Linotype"/>
          <w:i/>
          <w:sz w:val="22"/>
          <w:szCs w:val="22"/>
        </w:rPr>
      </w:pPr>
      <w:r w:rsidRPr="00120EC3">
        <w:rPr>
          <w:rFonts w:ascii="Palatino Linotype" w:hAnsi="Palatino Linotype"/>
          <w:i/>
          <w:sz w:val="22"/>
          <w:szCs w:val="22"/>
        </w:rPr>
        <w:t>NORMATIVA VIGENTE:</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 xml:space="preserve">Tomar en cuenta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w:t>
      </w:r>
      <w:r w:rsidRPr="00120EC3">
        <w:rPr>
          <w:rFonts w:ascii="Palatino Linotype" w:hAnsi="Palatino Linotype"/>
          <w:i/>
          <w:sz w:val="22"/>
          <w:szCs w:val="22"/>
        </w:rPr>
        <w:lastRenderedPageBreak/>
        <w:t xml:space="preserve">concurrente y de forma articulada por todos los niveles de gobierno de acuerdo con las políticas y los planes emitidos por el organismo nacional responsable, de acuerdo con la Constitución y la Ley. </w:t>
      </w:r>
      <w:r w:rsidRPr="00120EC3">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120EC3">
        <w:rPr>
          <w:rFonts w:ascii="Palatino Linotype" w:hAnsi="Palatino Linotype"/>
          <w:i/>
          <w:sz w:val="22"/>
          <w:szCs w:val="22"/>
        </w:rPr>
        <w:t>.</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Todos los procesos dentro del proyecto de regularización deben respetar la normativa vigente de las Ordenanzas Metropolitanas de: aprobación de los Planes Metropolitanos de Ordenamiento Territorial, (PMOT), Uso y Ocupación del Suelo, (PUOS)  y  Régimen Administrativo del Suelo en el D.M.Q. (Ordenanzas Metropolitanas N</w:t>
      </w:r>
      <w:r w:rsidRPr="00120EC3">
        <w:rPr>
          <w:rFonts w:ascii="Palatino Linotype" w:hAnsi="Palatino Linotype"/>
          <w:i/>
          <w:sz w:val="22"/>
          <w:szCs w:val="22"/>
          <w:vertAlign w:val="superscript"/>
        </w:rPr>
        <w:t>o</w:t>
      </w:r>
      <w:r w:rsidRPr="00120EC3">
        <w:rPr>
          <w:rFonts w:ascii="Palatino Linotype" w:hAnsi="Palatino Linotype"/>
          <w:i/>
          <w:sz w:val="22"/>
          <w:szCs w:val="22"/>
        </w:rPr>
        <w:t xml:space="preserve"> 171 y N</w:t>
      </w:r>
      <w:r w:rsidRPr="00120EC3">
        <w:rPr>
          <w:rFonts w:ascii="Palatino Linotype" w:hAnsi="Palatino Linotype"/>
          <w:i/>
          <w:sz w:val="22"/>
          <w:szCs w:val="22"/>
          <w:vertAlign w:val="superscript"/>
        </w:rPr>
        <w:t xml:space="preserve">o </w:t>
      </w:r>
      <w:r w:rsidRPr="00120EC3">
        <w:rPr>
          <w:rFonts w:ascii="Palatino Linotype" w:hAnsi="Palatino Linotype"/>
          <w:i/>
          <w:sz w:val="22"/>
          <w:szCs w:val="22"/>
        </w:rPr>
        <w:t>172 del año 2011, y sus Reformatorias N</w:t>
      </w:r>
      <w:r w:rsidRPr="00120EC3">
        <w:rPr>
          <w:rFonts w:ascii="Palatino Linotype" w:hAnsi="Palatino Linotype"/>
          <w:i/>
          <w:sz w:val="22"/>
          <w:szCs w:val="22"/>
          <w:vertAlign w:val="superscript"/>
        </w:rPr>
        <w:t>o</w:t>
      </w:r>
      <w:r w:rsidRPr="00120EC3">
        <w:rPr>
          <w:rFonts w:ascii="Palatino Linotype" w:hAnsi="Palatino Linotype"/>
          <w:i/>
          <w:sz w:val="22"/>
          <w:szCs w:val="22"/>
        </w:rPr>
        <w:t>. 447 y N</w:t>
      </w:r>
      <w:r w:rsidRPr="00120EC3">
        <w:rPr>
          <w:rFonts w:ascii="Palatino Linotype" w:hAnsi="Palatino Linotype"/>
          <w:i/>
          <w:sz w:val="22"/>
          <w:szCs w:val="22"/>
          <w:vertAlign w:val="superscript"/>
        </w:rPr>
        <w:t>o</w:t>
      </w:r>
      <w:r w:rsidRPr="00120EC3">
        <w:rPr>
          <w:rFonts w:ascii="Palatino Linotype" w:hAnsi="Palatino Linotype"/>
          <w:i/>
          <w:sz w:val="22"/>
          <w:szCs w:val="22"/>
        </w:rPr>
        <w:t>.432 del año 2013 y la Ordenanza N</w:t>
      </w:r>
      <w:r w:rsidRPr="00120EC3">
        <w:rPr>
          <w:rFonts w:ascii="Palatino Linotype" w:hAnsi="Palatino Linotype"/>
          <w:i/>
          <w:sz w:val="22"/>
          <w:szCs w:val="22"/>
          <w:vertAlign w:val="superscript"/>
        </w:rPr>
        <w:t>o</w:t>
      </w:r>
      <w:r w:rsidRPr="00120EC3">
        <w:rPr>
          <w:rFonts w:ascii="Palatino Linotype" w:hAnsi="Palatino Linotype"/>
          <w:i/>
          <w:sz w:val="22"/>
          <w:szCs w:val="22"/>
        </w:rPr>
        <w:t>. 127  del 25 de julio del 2016.</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F70BF8" w:rsidRPr="00120EC3" w:rsidRDefault="00F70BF8" w:rsidP="00FC79C1">
      <w:pPr>
        <w:spacing w:after="120" w:line="276" w:lineRule="auto"/>
        <w:jc w:val="both"/>
        <w:rPr>
          <w:rFonts w:ascii="Palatino Linotype" w:hAnsi="Palatino Linotype"/>
          <w:b/>
          <w:i/>
          <w:sz w:val="22"/>
          <w:szCs w:val="22"/>
        </w:rPr>
      </w:pPr>
      <w:r w:rsidRPr="00120EC3">
        <w:rPr>
          <w:rFonts w:ascii="Palatino Linotype" w:hAnsi="Palatino Linotype"/>
          <w:b/>
          <w:i/>
          <w:sz w:val="22"/>
          <w:szCs w:val="22"/>
        </w:rPr>
        <w:t>PARA LAS CONSTRUCCIONES:</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Para reducir el riesgo sísmico se debe tomar en cuenta la calidad de los materiales, el proceso constructivo y tipo de suelo sobre el cual se cimienta, además de un diseño estructural; por lo que las futuras edificaciones deberán contar un estudio de suelos (capacidad portantes, ángulo de fricción, estabilidad de taludes, etc.), diseño estructural  y proceso constructivo técnico aplicando  la Norma Ecuatoriana de la Construcción (NEC 2015 y sus posteriores actualizaciones), teniendo la Agencia Metropolitana de Control hacer cumplir la normativa vigente.</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En edificaciones en proceso de construcción, proyecciones a otra planta y demás edificaciones existentes  dentro del área en análisis que no dispongan con un diseño estructural, además el proceso constructivo no cuente con algún tipo de asesoría técnica, el propietario deberá contratar a un especialista (Ingeniero Civil con experiencia en Estructuras) para qué evalué el estado actual de la vivienda,  lo analice en conjunto con el resultado del estudio de suelos y proponga una solución a cada caso, como puede ser el diseño y ejecución de un sistema de reforzamiento estructural en caso de ameritarlo, el mencionado profesional respaldará dichas soluciones con su conocimiento y responsabilidad respectiva, caso contrario se prohíbe dichas modificaciones, ampliaciones a las construcciones ya existentes.</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lastRenderedPageBreak/>
        <w:t>En edificaciones en proceso de construcción, proyecciones a otro nivel y demás edificaciones dentro del área en análisis deberá contratar a un especialista (Ingeniero Civil con experiencia en Estructuras), para que el mismo realice los diseños de las obras de mitigación necesarios de ser el caso, con la finalidad de brindar seguridad a las personas que habitan en el inmueble y  que circulan por el sector.</w:t>
      </w:r>
    </w:p>
    <w:p w:rsidR="00F70BF8" w:rsidRPr="00120EC3" w:rsidRDefault="00F70BF8" w:rsidP="00FC79C1">
      <w:pPr>
        <w:spacing w:after="120" w:line="276" w:lineRule="auto"/>
        <w:jc w:val="both"/>
        <w:rPr>
          <w:rFonts w:ascii="Palatino Linotype" w:hAnsi="Palatino Linotype"/>
          <w:b/>
          <w:i/>
          <w:sz w:val="22"/>
          <w:szCs w:val="22"/>
        </w:rPr>
      </w:pPr>
      <w:r w:rsidRPr="00120EC3">
        <w:rPr>
          <w:rFonts w:ascii="Palatino Linotype" w:hAnsi="Palatino Linotype"/>
          <w:b/>
          <w:i/>
          <w:sz w:val="22"/>
          <w:szCs w:val="22"/>
        </w:rPr>
        <w:t>PARA LOS SUELOS O TERRENOS:</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La Dirección Metropolitana de Gestión de Riesgos (DMGR)  recomienda cumplir con la Ordenanza Metropolitana No. 0127, de 25 de julio de 2016, y su Anexo; Plan de Uso y Ocupación del Suelo (PUOS), sub numeral 1.3 RIESGOS, debe cumplir las Condiciones generales de edificabilidad para zonas susceptibles a amenazas naturales, cumplirán las siguientes condiciones conforme lo corresponde:</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Realizar el estudio geológico y geotécnico del suelo (en varios perfiles), donde se establezca parámetros como cohesión, ángulo de fricción, capacidad portante o de carga, así como la estabilidad del terreno en zonas de mayor pendiente considerando distintos escenarios (saturación de agua y cargas dinámicas ejercidas por sismos) de manera que se proponga el diseño estructural  y la ejecución de las obras de mitigación que se requieran con un profesional responsable a cargo, quien  deberá tener experiencia en estas obras de mitigación y costos de estas obras de mitigación  serán asumidas por la comunidad.</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La Dirección Metropolitana de Gestión de Riesgos recomienda que en las edificaciones levantadas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 Además el agua y el viento contribuyen a ocasionar cárcavas que con el paso del tiempo son factores detonantes para un deslizamiento.</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Realizar un estudio técnico que determine las medidas de mitigación frente a la amenaza o amenazas identificadas en el sector, con los respectivos diseños estructurales de las obras planteadas, que deberán ser sustentadas mediante un estudio geotécnico del suelo; así como un análisis estructural de la(s) edificaciones existentes (siempre que sea aplicable), la factibilidad de construcciones nuevas o ampliaciones o que impliquen cambio estructural. Conforme se pudo evidenciar en la inspección de campo se debe tener especial consideración con las viviendas construidas con bloque trabado.</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 xml:space="preserve">En caso que los estudios técnicos establezcan que no se cumplen con las condiciones necesarias e indispensables para la habilitación de suelo y construcción, la </w:t>
      </w:r>
      <w:r w:rsidRPr="00120EC3">
        <w:rPr>
          <w:rFonts w:ascii="Palatino Linotype" w:hAnsi="Palatino Linotype"/>
          <w:i/>
          <w:sz w:val="22"/>
          <w:szCs w:val="22"/>
        </w:rPr>
        <w:lastRenderedPageBreak/>
        <w:t>Administración Zonal Quitumbe que emiten los permisos de construcción, certificarán la prohibición correspondiente.</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 xml:space="preserve">Coordinar con la </w:t>
      </w:r>
      <w:r w:rsidRPr="00120EC3">
        <w:rPr>
          <w:rFonts w:ascii="Palatino Linotype" w:hAnsi="Palatino Linotype"/>
          <w:b/>
          <w:i/>
          <w:sz w:val="22"/>
          <w:szCs w:val="22"/>
        </w:rPr>
        <w:t xml:space="preserve">EPMMOP  </w:t>
      </w:r>
      <w:r w:rsidRPr="00120EC3">
        <w:rPr>
          <w:rFonts w:ascii="Palatino Linotype" w:hAnsi="Palatino Linotype"/>
          <w:i/>
          <w:sz w:val="22"/>
          <w:szCs w:val="22"/>
        </w:rPr>
        <w:t xml:space="preserve">para concluir el trazado de la red vial del pasaje y considerar el criterio técnico de la </w:t>
      </w:r>
      <w:r w:rsidRPr="00120EC3">
        <w:rPr>
          <w:rFonts w:ascii="Palatino Linotype" w:hAnsi="Palatino Linotype"/>
          <w:b/>
          <w:i/>
          <w:sz w:val="22"/>
          <w:szCs w:val="22"/>
        </w:rPr>
        <w:t xml:space="preserve">EPMAPS </w:t>
      </w:r>
      <w:r w:rsidRPr="00120EC3">
        <w:rPr>
          <w:rFonts w:ascii="Palatino Linotype" w:hAnsi="Palatino Linotype"/>
          <w:i/>
          <w:sz w:val="22"/>
          <w:szCs w:val="22"/>
        </w:rPr>
        <w:t>para</w:t>
      </w:r>
      <w:r w:rsidRPr="00120EC3">
        <w:rPr>
          <w:rFonts w:ascii="Palatino Linotype" w:hAnsi="Palatino Linotype"/>
          <w:b/>
          <w:i/>
          <w:sz w:val="22"/>
          <w:szCs w:val="22"/>
        </w:rPr>
        <w:t xml:space="preserve"> </w:t>
      </w:r>
      <w:r w:rsidRPr="00120EC3">
        <w:rPr>
          <w:rFonts w:ascii="Palatino Linotype" w:hAnsi="Palatino Linotype"/>
          <w:i/>
          <w:sz w:val="22"/>
          <w:szCs w:val="22"/>
        </w:rPr>
        <w:t>que implemente el sistema de alcantarillado pluvial y sanitario que evite la erosión del suelo por ser una zona con superficie plana o casi plana, ya que al momento recorren a favor de la  pequeña inclinación existente en el pasaje del lugar.</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i/>
          <w:sz w:val="22"/>
          <w:szCs w:val="22"/>
        </w:rPr>
      </w:pPr>
      <w:r w:rsidRPr="00120EC3">
        <w:rPr>
          <w:rFonts w:ascii="Palatino Linotype" w:hAnsi="Palatino Linotype"/>
          <w:i/>
          <w:sz w:val="22"/>
          <w:szCs w:val="22"/>
        </w:rPr>
        <w:t>Coordinar con la Comisaria de construcciones de la Administración Zonal Quitumbe para la inspección del área y verificar las edificaciones existentes si cuentan con los respectivos permisos y puedan emitir un informe correspondiente.</w:t>
      </w:r>
    </w:p>
    <w:p w:rsidR="00F70BF8" w:rsidRPr="00120EC3" w:rsidRDefault="00F70BF8" w:rsidP="00FC79C1">
      <w:pPr>
        <w:pStyle w:val="Prrafodelista"/>
        <w:numPr>
          <w:ilvl w:val="0"/>
          <w:numId w:val="41"/>
        </w:numPr>
        <w:spacing w:after="120" w:line="276" w:lineRule="auto"/>
        <w:contextualSpacing/>
        <w:jc w:val="both"/>
        <w:rPr>
          <w:rFonts w:ascii="Palatino Linotype" w:hAnsi="Palatino Linotype"/>
          <w:sz w:val="22"/>
          <w:szCs w:val="22"/>
        </w:rPr>
      </w:pPr>
      <w:r w:rsidRPr="00120EC3">
        <w:rPr>
          <w:rFonts w:ascii="Palatino Linotype" w:hAnsi="Palatino Linotype"/>
          <w:i/>
          <w:sz w:val="22"/>
          <w:szCs w:val="22"/>
        </w:rPr>
        <w:t>En los lotes baldíos donde todavía no se han construido y según lo permita el Plan de Uso y Ocupación de Suelo (PUOS) 2016, deberán respetar los parámetros de zonificación asignados, ya que con la visita de campo se pudo apreciar varias patologías estructurales</w:t>
      </w:r>
      <w:r w:rsidRPr="00120EC3">
        <w:rPr>
          <w:rFonts w:ascii="Palatino Linotype" w:hAnsi="Palatino Linotype"/>
          <w:sz w:val="22"/>
          <w:szCs w:val="22"/>
        </w:rPr>
        <w:t>.”</w:t>
      </w:r>
    </w:p>
    <w:p w:rsidR="00F70BF8" w:rsidRPr="00120EC3" w:rsidRDefault="00F70BF8" w:rsidP="00FC79C1">
      <w:pPr>
        <w:spacing w:after="120" w:line="276" w:lineRule="auto"/>
        <w:jc w:val="both"/>
        <w:rPr>
          <w:rFonts w:ascii="Palatino Linotype" w:hAnsi="Palatino Linotype"/>
          <w:bCs/>
        </w:rPr>
      </w:pPr>
      <w:r w:rsidRPr="00120EC3">
        <w:rPr>
          <w:rFonts w:ascii="Palatino Linotype" w:hAnsi="Palatino Linotype"/>
          <w:bCs/>
          <w:sz w:val="22"/>
          <w:szCs w:val="22"/>
        </w:rPr>
        <w:t xml:space="preserve">La Secretaría de Territorio, Hábitat y Vivienda, a través de la instancia correspondiente y una vez sancionada la presente </w:t>
      </w:r>
      <w:r w:rsidRPr="00120EC3">
        <w:rPr>
          <w:rFonts w:ascii="Palatino Linotype" w:hAnsi="Palatino Linotype"/>
          <w:bCs/>
        </w:rPr>
        <w:t>o</w:t>
      </w:r>
      <w:r w:rsidRPr="00120EC3">
        <w:rPr>
          <w:rFonts w:ascii="Palatino Linotype" w:hAnsi="Palatino Linotype"/>
          <w:bCs/>
          <w:sz w:val="22"/>
          <w:szCs w:val="22"/>
        </w:rPr>
        <w:t xml:space="preserve">rdenanza, deberá actualizar el Informe de Regulación Metropolitana (I.R.M.), de acuerdo con las observaciones o recomendaciones establecidas en el Informe Técnico de Evaluación de Riesgos de la Secretaría General de Seguridad y Gobernabilidad, </w:t>
      </w:r>
      <w:r w:rsidRPr="00120EC3">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120EC3">
        <w:rPr>
          <w:rFonts w:ascii="Palatino Linotype" w:hAnsi="Palatino Linotype"/>
          <w:bCs/>
          <w:sz w:val="22"/>
          <w:szCs w:val="22"/>
        </w:rPr>
        <w:t>.</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b/>
          <w:sz w:val="22"/>
          <w:szCs w:val="22"/>
        </w:rPr>
        <w:t>Articulo 7.-</w:t>
      </w:r>
      <w:r w:rsidRPr="00120EC3">
        <w:rPr>
          <w:rFonts w:ascii="Palatino Linotype" w:hAnsi="Palatino Linotype"/>
          <w:sz w:val="22"/>
          <w:szCs w:val="22"/>
        </w:rPr>
        <w:t xml:space="preserve"> </w:t>
      </w:r>
      <w:r w:rsidRPr="00120EC3">
        <w:rPr>
          <w:rFonts w:ascii="Palatino Linotype" w:hAnsi="Palatino Linotype"/>
          <w:b/>
          <w:bCs/>
          <w:sz w:val="22"/>
          <w:szCs w:val="22"/>
        </w:rPr>
        <w:t xml:space="preserve">De las vías.- </w:t>
      </w:r>
      <w:r w:rsidRPr="00120EC3">
        <w:rPr>
          <w:rFonts w:ascii="Palatino Linotype" w:hAnsi="Palatino Linotype"/>
          <w:sz w:val="22"/>
          <w:szCs w:val="22"/>
        </w:rPr>
        <w:t>El Asentamiento H</w:t>
      </w:r>
      <w:r w:rsidRPr="00120EC3">
        <w:rPr>
          <w:rFonts w:ascii="Palatino Linotype" w:hAnsi="Palatino Linotype"/>
          <w:bCs/>
          <w:iCs/>
          <w:sz w:val="22"/>
          <w:szCs w:val="22"/>
        </w:rPr>
        <w:t xml:space="preserve">umano de Hecho y Consolidado de Interés Social denominado “Santa Rosa de Guamaní” </w:t>
      </w:r>
      <w:r w:rsidRPr="00120EC3">
        <w:rPr>
          <w:rFonts w:ascii="Palatino Linotype" w:hAnsi="Palatino Linotype"/>
          <w:sz w:val="22"/>
          <w:szCs w:val="22"/>
        </w:rPr>
        <w:t>contempla un sistema vial de uso público, debido a que éste es un asentamiento h</w:t>
      </w:r>
      <w:r w:rsidRPr="00120EC3">
        <w:rPr>
          <w:rFonts w:ascii="Palatino Linotype" w:hAnsi="Palatino Linotype"/>
          <w:bCs/>
          <w:iCs/>
          <w:sz w:val="22"/>
          <w:szCs w:val="22"/>
        </w:rPr>
        <w:t xml:space="preserve">umano de hecho y consolidado de interés social </w:t>
      </w:r>
      <w:r w:rsidRPr="00120EC3">
        <w:rPr>
          <w:rFonts w:ascii="Palatino Linotype" w:hAnsi="Palatino Linotype"/>
          <w:sz w:val="22"/>
          <w:szCs w:val="22"/>
        </w:rPr>
        <w:t xml:space="preserve">de 11 años de existencia, con 53,85% de consolidación de viviendas y se encuentra ejecutando obras de infraestructura, razón por la cual los anchos viales se sujetarán al plano adjunto a la presente ordenanza. </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sz w:val="22"/>
          <w:szCs w:val="22"/>
        </w:rPr>
        <w:t xml:space="preserve">Se aprueban las vías y pasajes con los siguientes anchos: </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sz w:val="22"/>
          <w:szCs w:val="22"/>
        </w:rPr>
        <w:t>Pasaje “Oe3A” variable de 5,66 m a 6,00 m.</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sz w:val="22"/>
          <w:szCs w:val="22"/>
        </w:rPr>
        <w:t>Pasaje “S51B” de 6,00 m.</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b/>
          <w:bCs/>
          <w:sz w:val="22"/>
          <w:szCs w:val="22"/>
        </w:rPr>
        <w:t>Artículo 8</w:t>
      </w:r>
      <w:r>
        <w:rPr>
          <w:rFonts w:ascii="Palatino Linotype" w:hAnsi="Palatino Linotype"/>
          <w:b/>
          <w:bCs/>
          <w:sz w:val="22"/>
          <w:szCs w:val="22"/>
        </w:rPr>
        <w:t>.</w:t>
      </w:r>
      <w:r w:rsidRPr="00120EC3">
        <w:rPr>
          <w:rFonts w:ascii="Palatino Linotype" w:hAnsi="Palatino Linotype"/>
          <w:b/>
          <w:bCs/>
          <w:sz w:val="22"/>
          <w:szCs w:val="22"/>
        </w:rPr>
        <w:t xml:space="preserve">- De las obras a ejecutarse.- </w:t>
      </w:r>
      <w:r w:rsidRPr="00120EC3">
        <w:rPr>
          <w:rFonts w:ascii="Palatino Linotype" w:hAnsi="Palatino Linotype"/>
          <w:sz w:val="22"/>
          <w:szCs w:val="22"/>
        </w:rPr>
        <w:t>Las obras a ejecutarse en el asentamiento h</w:t>
      </w:r>
      <w:r w:rsidRPr="00120EC3">
        <w:rPr>
          <w:rFonts w:ascii="Palatino Linotype" w:hAnsi="Palatino Linotype"/>
          <w:bCs/>
          <w:iCs/>
          <w:sz w:val="22"/>
          <w:szCs w:val="22"/>
        </w:rPr>
        <w:t>umano de hecho y consolidado de interés social</w:t>
      </w:r>
      <w:r w:rsidRPr="00120EC3">
        <w:rPr>
          <w:rFonts w:ascii="Palatino Linotype" w:hAnsi="Palatino Linotype"/>
          <w:sz w:val="22"/>
          <w:szCs w:val="22"/>
        </w:rPr>
        <w:t xml:space="preserve">, son las siguientes: </w:t>
      </w:r>
    </w:p>
    <w:p w:rsidR="00F70BF8" w:rsidRPr="00120EC3" w:rsidRDefault="00F70BF8" w:rsidP="00FC79C1">
      <w:pPr>
        <w:spacing w:after="120" w:line="276" w:lineRule="auto"/>
        <w:jc w:val="both"/>
        <w:rPr>
          <w:rFonts w:ascii="Palatino Linotype" w:hAnsi="Palatino Linotype"/>
          <w:iCs/>
          <w:sz w:val="22"/>
          <w:szCs w:val="22"/>
        </w:rPr>
      </w:pPr>
      <w:r w:rsidRPr="00120EC3">
        <w:rPr>
          <w:rFonts w:ascii="Palatino Linotype" w:hAnsi="Palatino Linotype"/>
          <w:sz w:val="22"/>
          <w:szCs w:val="22"/>
        </w:rPr>
        <w:lastRenderedPageBreak/>
        <w:t xml:space="preserve">Calzadas:                  </w:t>
      </w:r>
      <w:r w:rsidRPr="00120EC3">
        <w:rPr>
          <w:rFonts w:ascii="Palatino Linotype" w:hAnsi="Palatino Linotype"/>
          <w:sz w:val="22"/>
          <w:szCs w:val="22"/>
        </w:rPr>
        <w:tab/>
        <w:t>100%</w:t>
      </w:r>
      <w:r w:rsidRPr="00120EC3">
        <w:rPr>
          <w:rFonts w:ascii="Palatino Linotype" w:hAnsi="Palatino Linotype"/>
          <w:sz w:val="22"/>
          <w:szCs w:val="22"/>
        </w:rPr>
        <w:tab/>
      </w:r>
      <w:r w:rsidRPr="00120EC3">
        <w:rPr>
          <w:rFonts w:ascii="Palatino Linotype" w:hAnsi="Palatino Linotype"/>
          <w:sz w:val="22"/>
          <w:szCs w:val="22"/>
        </w:rPr>
        <w:tab/>
      </w:r>
      <w:r w:rsidRPr="00120EC3">
        <w:rPr>
          <w:rFonts w:ascii="Palatino Linotype" w:hAnsi="Palatino Linotype"/>
          <w:sz w:val="22"/>
          <w:szCs w:val="22"/>
        </w:rPr>
        <w:tab/>
      </w:r>
      <w:r w:rsidRPr="00120EC3">
        <w:rPr>
          <w:rFonts w:ascii="Palatino Linotype" w:hAnsi="Palatino Linotype"/>
          <w:sz w:val="22"/>
          <w:szCs w:val="22"/>
        </w:rPr>
        <w:tab/>
        <w:t>Agua potable:             60%</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sz w:val="22"/>
          <w:szCs w:val="22"/>
        </w:rPr>
        <w:t xml:space="preserve">Alcantarillado:            </w:t>
      </w:r>
      <w:r w:rsidRPr="00120EC3">
        <w:rPr>
          <w:rFonts w:ascii="Palatino Linotype" w:hAnsi="Palatino Linotype"/>
          <w:sz w:val="22"/>
          <w:szCs w:val="22"/>
        </w:rPr>
        <w:tab/>
        <w:t>40%</w:t>
      </w:r>
      <w:r w:rsidRPr="00120EC3">
        <w:rPr>
          <w:rFonts w:ascii="Palatino Linotype" w:hAnsi="Palatino Linotype"/>
          <w:sz w:val="22"/>
          <w:szCs w:val="22"/>
        </w:rPr>
        <w:tab/>
      </w:r>
      <w:r w:rsidRPr="00120EC3">
        <w:rPr>
          <w:rFonts w:ascii="Palatino Linotype" w:hAnsi="Palatino Linotype"/>
          <w:sz w:val="22"/>
          <w:szCs w:val="22"/>
        </w:rPr>
        <w:tab/>
      </w:r>
      <w:r w:rsidRPr="00120EC3">
        <w:rPr>
          <w:rFonts w:ascii="Palatino Linotype" w:hAnsi="Palatino Linotype"/>
          <w:sz w:val="22"/>
          <w:szCs w:val="22"/>
        </w:rPr>
        <w:tab/>
      </w:r>
      <w:r w:rsidRPr="00120EC3">
        <w:rPr>
          <w:rFonts w:ascii="Palatino Linotype" w:hAnsi="Palatino Linotype"/>
          <w:sz w:val="22"/>
          <w:szCs w:val="22"/>
        </w:rPr>
        <w:tab/>
        <w:t>Energía eléctrica:</w:t>
      </w:r>
      <w:r w:rsidRPr="00120EC3">
        <w:rPr>
          <w:rFonts w:ascii="Palatino Linotype" w:hAnsi="Palatino Linotype"/>
          <w:sz w:val="22"/>
          <w:szCs w:val="22"/>
        </w:rPr>
        <w:tab/>
        <w:t>60%</w:t>
      </w:r>
    </w:p>
    <w:p w:rsidR="00F70BF8" w:rsidRPr="00120EC3" w:rsidRDefault="00F70BF8" w:rsidP="00FC79C1">
      <w:pPr>
        <w:spacing w:after="120" w:line="276" w:lineRule="auto"/>
        <w:jc w:val="both"/>
        <w:rPr>
          <w:rFonts w:ascii="Palatino Linotype" w:hAnsi="Palatino Linotype"/>
          <w:iCs/>
          <w:sz w:val="22"/>
          <w:szCs w:val="22"/>
        </w:rPr>
      </w:pPr>
      <w:r w:rsidRPr="00120EC3">
        <w:rPr>
          <w:rFonts w:ascii="Palatino Linotype" w:hAnsi="Palatino Linotype"/>
          <w:b/>
          <w:bCs/>
          <w:sz w:val="22"/>
          <w:szCs w:val="22"/>
        </w:rPr>
        <w:t>Artículo 9.- Del plazo de ejecución de las obras.-</w:t>
      </w:r>
      <w:r w:rsidRPr="00120EC3">
        <w:rPr>
          <w:rFonts w:ascii="Palatino Linotype" w:hAnsi="Palatino Linotype"/>
          <w:sz w:val="22"/>
          <w:szCs w:val="22"/>
        </w:rPr>
        <w:t xml:space="preserve"> </w:t>
      </w:r>
      <w:r w:rsidRPr="00120EC3">
        <w:rPr>
          <w:rFonts w:ascii="Palatino Linotype" w:hAnsi="Palatino Linotype"/>
          <w:sz w:val="22"/>
          <w:szCs w:val="22"/>
          <w:lang w:val="es-EC"/>
        </w:rPr>
        <w:t xml:space="preserve">El plazo de ejecución de la totalidad de las obras civiles y de infraestructura, será de cinco (5) años, </w:t>
      </w:r>
      <w:r w:rsidRPr="00120EC3">
        <w:rPr>
          <w:rFonts w:ascii="Palatino Linotype" w:hAnsi="Palatino Linotype"/>
          <w:iCs/>
          <w:sz w:val="22"/>
          <w:szCs w:val="22"/>
        </w:rPr>
        <w:t xml:space="preserve">de conformidad al cronograma de obras presentado por </w:t>
      </w:r>
      <w:r w:rsidRPr="00120EC3">
        <w:rPr>
          <w:rFonts w:ascii="Palatino Linotype" w:hAnsi="Palatino Linotype"/>
          <w:sz w:val="22"/>
          <w:szCs w:val="22"/>
        </w:rPr>
        <w:t>los copropietarios  del inmueble donde se ubica el Asentamiento H</w:t>
      </w:r>
      <w:r w:rsidRPr="00120EC3">
        <w:rPr>
          <w:rFonts w:ascii="Palatino Linotype" w:hAnsi="Palatino Linotype"/>
          <w:bCs/>
          <w:iCs/>
          <w:sz w:val="22"/>
          <w:szCs w:val="22"/>
        </w:rPr>
        <w:t>umano de Hecho y Consolidado de Interés Social</w:t>
      </w:r>
      <w:r w:rsidRPr="00120EC3">
        <w:rPr>
          <w:rFonts w:ascii="Palatino Linotype" w:hAnsi="Palatino Linotype"/>
          <w:b/>
          <w:sz w:val="22"/>
          <w:szCs w:val="22"/>
        </w:rPr>
        <w:t xml:space="preserve">, </w:t>
      </w:r>
      <w:r w:rsidRPr="00120EC3">
        <w:rPr>
          <w:rFonts w:ascii="Palatino Linotype" w:hAnsi="Palatino Linotype"/>
          <w:iCs/>
          <w:sz w:val="22"/>
          <w:szCs w:val="22"/>
        </w:rPr>
        <w:t>plazo que se contará a partir de la fecha de inscripción de la presente ordenanza en el Registro de la Propiedad del Distrito Metropolitano de Quito.</w:t>
      </w:r>
    </w:p>
    <w:p w:rsidR="00F70BF8" w:rsidRPr="00120EC3" w:rsidRDefault="00F70BF8" w:rsidP="00FC79C1">
      <w:pPr>
        <w:spacing w:after="120" w:line="276" w:lineRule="auto"/>
        <w:jc w:val="both"/>
        <w:rPr>
          <w:rFonts w:ascii="Palatino Linotype" w:hAnsi="Palatino Linotype"/>
          <w:iCs/>
          <w:sz w:val="22"/>
          <w:szCs w:val="22"/>
        </w:rPr>
      </w:pPr>
      <w:r w:rsidRPr="00120EC3">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F70BF8" w:rsidRPr="00120EC3" w:rsidRDefault="00F70BF8" w:rsidP="00FC79C1">
      <w:pPr>
        <w:spacing w:after="120" w:line="276" w:lineRule="auto"/>
        <w:jc w:val="both"/>
        <w:rPr>
          <w:rFonts w:ascii="Palatino Linotype" w:hAnsi="Palatino Linotype"/>
          <w:sz w:val="22"/>
          <w:szCs w:val="22"/>
        </w:rPr>
      </w:pPr>
      <w:r w:rsidRPr="00120EC3">
        <w:rPr>
          <w:rFonts w:ascii="Palatino Linotype" w:hAnsi="Palatino Linotype"/>
          <w:b/>
          <w:bCs/>
          <w:sz w:val="22"/>
          <w:szCs w:val="22"/>
        </w:rPr>
        <w:t>Artículo 10</w:t>
      </w:r>
      <w:r w:rsidRPr="00120EC3">
        <w:rPr>
          <w:rFonts w:ascii="Palatino Linotype" w:hAnsi="Palatino Linotype"/>
          <w:b/>
          <w:bCs/>
          <w:sz w:val="22"/>
          <w:szCs w:val="22"/>
          <w:lang w:val="es-ES_tradnl"/>
        </w:rPr>
        <w:t xml:space="preserve">.- Del control de ejecución de las obras.- </w:t>
      </w:r>
      <w:r w:rsidRPr="00120EC3">
        <w:rPr>
          <w:rFonts w:ascii="Palatino Linotype" w:hAnsi="Palatino Linotype"/>
          <w:sz w:val="22"/>
          <w:szCs w:val="22"/>
        </w:rPr>
        <w:t xml:space="preserve">La Administración Zonal Quitumbe </w:t>
      </w:r>
      <w:r w:rsidRPr="00120EC3">
        <w:rPr>
          <w:rFonts w:ascii="Palatino Linotype" w:hAnsi="Palatino Linotype"/>
          <w:iCs/>
          <w:sz w:val="22"/>
          <w:szCs w:val="22"/>
          <w:lang w:val="es-EC"/>
        </w:rPr>
        <w:t>r</w:t>
      </w:r>
      <w:r w:rsidRPr="00120EC3">
        <w:rPr>
          <w:rFonts w:ascii="Palatino Linotype" w:hAnsi="Palatino Linotype"/>
          <w:sz w:val="22"/>
          <w:szCs w:val="22"/>
          <w:lang w:val="es-EC"/>
        </w:rPr>
        <w:t xml:space="preserve">ealizará el seguimiento en la ejecución y avance de las obras civiles y de infraestructura hasta la terminación de las mismas, </w:t>
      </w:r>
      <w:r w:rsidRPr="00120EC3">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F70BF8" w:rsidRPr="00120EC3" w:rsidRDefault="00F70BF8" w:rsidP="00FC79C1">
      <w:pPr>
        <w:shd w:val="clear" w:color="auto" w:fill="FFFFFF"/>
        <w:spacing w:after="120" w:line="276" w:lineRule="auto"/>
        <w:jc w:val="both"/>
        <w:rPr>
          <w:rFonts w:ascii="Palatino Linotype" w:hAnsi="Palatino Linotype"/>
          <w:sz w:val="22"/>
          <w:szCs w:val="22"/>
        </w:rPr>
      </w:pPr>
      <w:r w:rsidRPr="00120EC3">
        <w:rPr>
          <w:rFonts w:ascii="Palatino Linotype" w:hAnsi="Palatino Linotype"/>
          <w:b/>
          <w:bCs/>
          <w:sz w:val="22"/>
          <w:szCs w:val="22"/>
        </w:rPr>
        <w:t>Artículo</w:t>
      </w:r>
      <w:r w:rsidRPr="00120EC3">
        <w:rPr>
          <w:rFonts w:ascii="Palatino Linotype" w:hAnsi="Palatino Linotype"/>
          <w:b/>
          <w:bCs/>
          <w:sz w:val="22"/>
          <w:szCs w:val="22"/>
          <w:lang w:val="es-ES_tradnl"/>
        </w:rPr>
        <w:t xml:space="preserve"> 11.- De la multa por retraso en ejecución de obras.- </w:t>
      </w:r>
      <w:r w:rsidRPr="00120EC3">
        <w:rPr>
          <w:rFonts w:ascii="Palatino Linotype" w:hAnsi="Palatino Linotype"/>
          <w:sz w:val="22"/>
          <w:szCs w:val="22"/>
          <w:lang w:val="es-ES_tradnl"/>
        </w:rPr>
        <w:t xml:space="preserve">En caso de retraso en la ejecución de las obras </w:t>
      </w:r>
      <w:r w:rsidRPr="00120EC3">
        <w:rPr>
          <w:rFonts w:ascii="Palatino Linotype" w:hAnsi="Palatino Linotype"/>
          <w:sz w:val="22"/>
          <w:szCs w:val="22"/>
          <w:lang w:val="es-EC"/>
        </w:rPr>
        <w:t>obras civiles y de infraestructura</w:t>
      </w:r>
      <w:r w:rsidRPr="00120EC3">
        <w:rPr>
          <w:rFonts w:ascii="Palatino Linotype" w:hAnsi="Palatino Linotype"/>
          <w:sz w:val="22"/>
          <w:szCs w:val="22"/>
          <w:lang w:val="es-ES_tradnl"/>
        </w:rPr>
        <w:t>,</w:t>
      </w:r>
      <w:r w:rsidRPr="00120EC3">
        <w:rPr>
          <w:rFonts w:ascii="Palatino Linotype" w:hAnsi="Palatino Linotype"/>
          <w:sz w:val="22"/>
          <w:szCs w:val="22"/>
        </w:rPr>
        <w:t xml:space="preserve"> los copropietarios del inmueble sobre el cual se ubica el Asentamiento Humano de hecho y Consolidado de Interés Social denominado  “Santa Rosa de Guamaní” </w:t>
      </w:r>
      <w:r w:rsidRPr="00120EC3">
        <w:rPr>
          <w:rFonts w:ascii="Palatino Linotype" w:hAnsi="Palatino Linotype"/>
          <w:bCs/>
          <w:sz w:val="22"/>
          <w:szCs w:val="22"/>
        </w:rPr>
        <w:t>se sujetará a las sanciones contempladas en el ordenamiento jurídico nacional y metropolitano.</w:t>
      </w:r>
    </w:p>
    <w:p w:rsidR="00F70BF8" w:rsidRPr="00120EC3" w:rsidRDefault="00F70BF8" w:rsidP="00FC79C1">
      <w:pPr>
        <w:pStyle w:val="Textoindependiente"/>
        <w:tabs>
          <w:tab w:val="left" w:pos="1306"/>
        </w:tabs>
        <w:spacing w:line="276" w:lineRule="auto"/>
        <w:jc w:val="both"/>
        <w:rPr>
          <w:rFonts w:ascii="Palatino Linotype" w:hAnsi="Palatino Linotype"/>
          <w:sz w:val="22"/>
          <w:szCs w:val="22"/>
        </w:rPr>
      </w:pPr>
      <w:r w:rsidRPr="00120EC3">
        <w:rPr>
          <w:rFonts w:ascii="Palatino Linotype" w:hAnsi="Palatino Linotype"/>
          <w:b/>
          <w:bCs/>
          <w:iCs/>
          <w:sz w:val="22"/>
          <w:szCs w:val="22"/>
        </w:rPr>
        <w:t xml:space="preserve">Artículo 12.- De la garantía de ejecución de las obras.- </w:t>
      </w:r>
      <w:r w:rsidRPr="00120EC3">
        <w:rPr>
          <w:rFonts w:ascii="Palatino Linotype" w:hAnsi="Palatino Linotype"/>
          <w:sz w:val="22"/>
          <w:szCs w:val="22"/>
        </w:rPr>
        <w:t>Los lotes producto del fraccionamiento del predio donde se encuentra ubicado el</w:t>
      </w:r>
      <w:r w:rsidRPr="00120EC3">
        <w:rPr>
          <w:rStyle w:val="apple-converted-space"/>
          <w:rFonts w:ascii="Palatino Linotype" w:hAnsi="Palatino Linotype"/>
          <w:sz w:val="22"/>
          <w:szCs w:val="22"/>
        </w:rPr>
        <w:t> </w:t>
      </w:r>
      <w:r w:rsidRPr="00120EC3">
        <w:rPr>
          <w:rFonts w:ascii="Palatino Linotype" w:hAnsi="Palatino Linotype"/>
          <w:sz w:val="22"/>
          <w:szCs w:val="22"/>
        </w:rPr>
        <w:t xml:space="preserve">Asentamiento </w:t>
      </w:r>
      <w:r w:rsidRPr="00120EC3">
        <w:rPr>
          <w:rFonts w:ascii="Palatino Linotype" w:hAnsi="Palatino Linotype"/>
          <w:bCs/>
          <w:iCs/>
          <w:sz w:val="22"/>
          <w:szCs w:val="22"/>
        </w:rPr>
        <w:t xml:space="preserve">Humano de Hecho y Consolidado de Interés Social denominado “Santa Rosa de Guamaní” </w:t>
      </w:r>
      <w:r w:rsidRPr="00120EC3">
        <w:rPr>
          <w:rFonts w:ascii="Palatino Linotype" w:hAnsi="Palatino Linotype"/>
          <w:sz w:val="22"/>
          <w:szCs w:val="22"/>
        </w:rPr>
        <w:t>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F70BF8" w:rsidRPr="00120EC3" w:rsidRDefault="00F70BF8" w:rsidP="00FC79C1">
      <w:pPr>
        <w:pStyle w:val="Textoindependiente"/>
        <w:tabs>
          <w:tab w:val="left" w:pos="1306"/>
        </w:tabs>
        <w:spacing w:line="276" w:lineRule="auto"/>
        <w:jc w:val="both"/>
        <w:rPr>
          <w:rFonts w:ascii="Palatino Linotype" w:hAnsi="Palatino Linotype"/>
          <w:sz w:val="22"/>
          <w:szCs w:val="22"/>
          <w:lang w:val="es-ES_tradnl"/>
        </w:rPr>
      </w:pPr>
      <w:r w:rsidRPr="00120EC3">
        <w:rPr>
          <w:rFonts w:ascii="Palatino Linotype" w:hAnsi="Palatino Linotype"/>
          <w:b/>
          <w:bCs/>
          <w:sz w:val="22"/>
          <w:szCs w:val="22"/>
        </w:rPr>
        <w:t>Artículo</w:t>
      </w:r>
      <w:r w:rsidRPr="00120EC3">
        <w:rPr>
          <w:rFonts w:ascii="Palatino Linotype" w:hAnsi="Palatino Linotype"/>
          <w:b/>
          <w:bCs/>
          <w:sz w:val="22"/>
          <w:szCs w:val="22"/>
          <w:lang w:val="es-ES_tradnl"/>
        </w:rPr>
        <w:t xml:space="preserve"> 13.- De la protocolización e inscripción de la ordenanza.-  </w:t>
      </w:r>
      <w:r w:rsidRPr="00120EC3">
        <w:rPr>
          <w:rFonts w:ascii="Palatino Linotype" w:hAnsi="Palatino Linotype"/>
          <w:sz w:val="22"/>
          <w:szCs w:val="22"/>
          <w:lang w:val="es-EC"/>
        </w:rPr>
        <w:t>Los copropietarios del predio del Asentamiento Humano de Hecho y Consolidado de Interés Social denominado “Santa Rosa de Guamaní”</w:t>
      </w:r>
      <w:r w:rsidRPr="00120EC3">
        <w:rPr>
          <w:rFonts w:ascii="Palatino Linotype" w:hAnsi="Palatino Linotype"/>
          <w:sz w:val="22"/>
          <w:szCs w:val="22"/>
          <w:lang w:val="es-ES_tradnl"/>
        </w:rPr>
        <w:t xml:space="preserve">, deberán </w:t>
      </w:r>
      <w:r w:rsidRPr="00120EC3">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120EC3">
        <w:rPr>
          <w:rFonts w:ascii="Palatino Linotype" w:hAnsi="Palatino Linotype"/>
          <w:sz w:val="22"/>
          <w:szCs w:val="22"/>
          <w:lang w:val="es-EC"/>
        </w:rPr>
        <w:t xml:space="preserve">rdenanza ante Notario Público e inscribirla en el Registro de la Propiedad del Distrito Metropolitano de Quito, </w:t>
      </w:r>
      <w:r w:rsidRPr="00120EC3">
        <w:rPr>
          <w:rFonts w:ascii="Palatino Linotype" w:hAnsi="Palatino Linotype"/>
          <w:sz w:val="22"/>
          <w:szCs w:val="22"/>
          <w:lang w:val="es-ES_tradnl"/>
        </w:rPr>
        <w:t>con todos sus documentos habilitantes</w:t>
      </w:r>
      <w:r w:rsidRPr="00120EC3">
        <w:rPr>
          <w:rFonts w:ascii="Palatino Linotype" w:hAnsi="Palatino Linotype"/>
          <w:sz w:val="22"/>
          <w:szCs w:val="22"/>
          <w:lang w:val="es-EC"/>
        </w:rPr>
        <w:t>.</w:t>
      </w:r>
    </w:p>
    <w:p w:rsidR="00F70BF8" w:rsidRPr="00120EC3" w:rsidRDefault="00F70BF8" w:rsidP="00FC79C1">
      <w:pPr>
        <w:spacing w:after="120" w:line="276" w:lineRule="auto"/>
        <w:ind w:left="1"/>
        <w:jc w:val="both"/>
        <w:rPr>
          <w:rFonts w:ascii="Palatino Linotype" w:hAnsi="Palatino Linotype"/>
          <w:bCs/>
          <w:sz w:val="22"/>
          <w:szCs w:val="22"/>
          <w:lang w:val="es-ES_tradnl"/>
        </w:rPr>
      </w:pPr>
      <w:r w:rsidRPr="00120EC3">
        <w:rPr>
          <w:rFonts w:ascii="Palatino Linotype" w:hAnsi="Palatino Linotype"/>
          <w:bCs/>
          <w:sz w:val="22"/>
          <w:szCs w:val="22"/>
          <w:lang w:val="es-ES_tradnl"/>
        </w:rPr>
        <w:lastRenderedPageBreak/>
        <w:t>En caso no legalizar la presente ordenanza, ésta caducará conforme lo determinado en la normativa nacional vigente.</w:t>
      </w:r>
    </w:p>
    <w:p w:rsidR="00F70BF8" w:rsidRPr="00120EC3" w:rsidRDefault="00F70BF8" w:rsidP="00FC79C1">
      <w:pPr>
        <w:spacing w:after="120" w:line="276" w:lineRule="auto"/>
        <w:jc w:val="both"/>
        <w:rPr>
          <w:rFonts w:ascii="Palatino Linotype" w:hAnsi="Palatino Linotype"/>
          <w:sz w:val="22"/>
          <w:szCs w:val="22"/>
          <w:lang w:val="es-ES_tradnl"/>
        </w:rPr>
      </w:pPr>
      <w:r w:rsidRPr="00120EC3">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F70BF8" w:rsidRPr="00120EC3" w:rsidRDefault="00F70BF8" w:rsidP="00FC79C1">
      <w:pPr>
        <w:spacing w:after="120" w:line="276" w:lineRule="auto"/>
        <w:jc w:val="both"/>
        <w:rPr>
          <w:rFonts w:ascii="Palatino Linotype" w:hAnsi="Palatino Linotype"/>
          <w:sz w:val="22"/>
          <w:szCs w:val="22"/>
          <w:lang w:val="es-ES_tradnl"/>
        </w:rPr>
      </w:pPr>
      <w:r w:rsidRPr="00120EC3">
        <w:rPr>
          <w:rFonts w:ascii="Palatino Linotype" w:hAnsi="Palatino Linotype"/>
          <w:b/>
          <w:sz w:val="22"/>
          <w:szCs w:val="22"/>
          <w:lang w:val="es-ES_tradnl"/>
        </w:rPr>
        <w:t>Artículo 14.- De la partición y adjudicación.-</w:t>
      </w:r>
      <w:r w:rsidRPr="00120EC3">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w:t>
      </w:r>
      <w:r>
        <w:rPr>
          <w:rFonts w:ascii="Palatino Linotype" w:hAnsi="Palatino Linotype"/>
          <w:sz w:val="22"/>
          <w:szCs w:val="22"/>
          <w:lang w:val="es-ES_tradnl"/>
        </w:rPr>
        <w:t>r</w:t>
      </w:r>
      <w:r w:rsidRPr="00120EC3">
        <w:rPr>
          <w:rFonts w:ascii="Palatino Linotype" w:hAnsi="Palatino Linotype"/>
          <w:sz w:val="22"/>
          <w:szCs w:val="22"/>
          <w:lang w:val="es-ES_tradnl"/>
        </w:rPr>
        <w:t xml:space="preserve"> el juez competente en juicio ordinario.  </w:t>
      </w:r>
    </w:p>
    <w:p w:rsidR="00F70BF8" w:rsidRPr="00120EC3" w:rsidRDefault="00F70BF8" w:rsidP="00FC79C1">
      <w:pPr>
        <w:spacing w:after="120" w:line="276" w:lineRule="auto"/>
        <w:jc w:val="both"/>
        <w:rPr>
          <w:rFonts w:ascii="Palatino Linotype" w:hAnsi="Palatino Linotype"/>
          <w:bCs/>
          <w:sz w:val="22"/>
          <w:szCs w:val="22"/>
          <w:lang w:val="es-ES_tradnl"/>
        </w:rPr>
      </w:pPr>
      <w:r w:rsidRPr="00120EC3">
        <w:rPr>
          <w:rFonts w:ascii="Palatino Linotype" w:hAnsi="Palatino Linotype"/>
          <w:b/>
          <w:bCs/>
          <w:sz w:val="22"/>
          <w:szCs w:val="22"/>
          <w:lang w:val="es-ES_tradnl"/>
        </w:rPr>
        <w:t xml:space="preserve">Artículo 15.- Solicitudes de ampliación de plazo.- </w:t>
      </w:r>
      <w:r w:rsidRPr="00120EC3">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F70BF8" w:rsidRPr="00120EC3" w:rsidRDefault="00F70BF8" w:rsidP="00FC79C1">
      <w:pPr>
        <w:spacing w:after="120" w:line="276" w:lineRule="auto"/>
        <w:jc w:val="both"/>
        <w:rPr>
          <w:rFonts w:ascii="Palatino Linotype" w:hAnsi="Palatino Linotype"/>
          <w:bCs/>
          <w:sz w:val="22"/>
          <w:szCs w:val="22"/>
          <w:lang w:val="es-ES_tradnl"/>
        </w:rPr>
      </w:pPr>
      <w:r w:rsidRPr="00120EC3">
        <w:rPr>
          <w:rFonts w:ascii="Palatino Linotype" w:hAnsi="Palatino Linotype"/>
          <w:b/>
          <w:bCs/>
          <w:sz w:val="22"/>
          <w:szCs w:val="22"/>
          <w:lang w:val="es-ES_tradnl"/>
        </w:rPr>
        <w:t>Artículo 16.- Potestad de ejecución.-</w:t>
      </w:r>
      <w:r w:rsidRPr="00120EC3">
        <w:rPr>
          <w:rFonts w:ascii="Palatino Linotype" w:hAnsi="Palatino Linotype"/>
          <w:bCs/>
          <w:sz w:val="22"/>
          <w:szCs w:val="22"/>
          <w:lang w:val="es-ES_tradnl"/>
        </w:rPr>
        <w:t xml:space="preserve"> Para el fiel cumplimient</w:t>
      </w:r>
      <w:r>
        <w:rPr>
          <w:rFonts w:ascii="Palatino Linotype" w:hAnsi="Palatino Linotype"/>
          <w:bCs/>
          <w:sz w:val="22"/>
          <w:szCs w:val="22"/>
          <w:lang w:val="es-ES_tradnl"/>
        </w:rPr>
        <w:t>o de las disposiciones de esta o</w:t>
      </w:r>
      <w:r w:rsidRPr="00120EC3">
        <w:rPr>
          <w:rFonts w:ascii="Palatino Linotype" w:hAnsi="Palatino Linotype"/>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FB2176" w:rsidRDefault="00683507" w:rsidP="00FB2176">
      <w:pPr>
        <w:spacing w:after="120" w:line="276" w:lineRule="auto"/>
        <w:ind w:left="-76"/>
        <w:jc w:val="both"/>
        <w:rPr>
          <w:rFonts w:ascii="Palatino Linotype" w:hAnsi="Palatino Linotype"/>
          <w:b/>
          <w:bCs/>
          <w:sz w:val="22"/>
          <w:szCs w:val="22"/>
        </w:rPr>
      </w:pPr>
      <w:r w:rsidRPr="00091622">
        <w:rPr>
          <w:rFonts w:ascii="Palatino Linotype" w:hAnsi="Palatino Linotype"/>
          <w:b/>
          <w:sz w:val="22"/>
          <w:szCs w:val="22"/>
          <w:lang w:val="es-ES_tradnl"/>
        </w:rPr>
        <w:t xml:space="preserve">Disposición </w:t>
      </w:r>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 xml:space="preserve">inal.-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91622" w:rsidRDefault="00AF343E" w:rsidP="00D52745">
      <w:pPr>
        <w:spacing w:after="120" w:line="276" w:lineRule="auto"/>
        <w:jc w:val="both"/>
        <w:rPr>
          <w:rFonts w:ascii="Palatino Linotype" w:hAnsi="Palatino Linotype"/>
          <w:i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92596C" w:rsidRPr="00091622" w:rsidRDefault="0092596C"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F70BF8" w:rsidRDefault="00F70BF8" w:rsidP="00AF343E">
      <w:pPr>
        <w:pStyle w:val="Textopredeterminado"/>
        <w:shd w:val="clear" w:color="auto" w:fill="FFFFFF"/>
        <w:jc w:val="both"/>
        <w:rPr>
          <w:rFonts w:ascii="Palatino Linotype" w:hAnsi="Palatino Linotype"/>
          <w:sz w:val="22"/>
          <w:szCs w:val="22"/>
          <w:lang w:val="es-ES"/>
        </w:rPr>
      </w:pPr>
    </w:p>
    <w:p w:rsidR="00F70BF8" w:rsidRDefault="00F70BF8" w:rsidP="00AF343E">
      <w:pPr>
        <w:pStyle w:val="Textopredeterminado"/>
        <w:shd w:val="clear" w:color="auto" w:fill="FFFFFF"/>
        <w:jc w:val="both"/>
        <w:rPr>
          <w:rFonts w:ascii="Palatino Linotype" w:hAnsi="Palatino Linotype"/>
          <w:sz w:val="22"/>
          <w:szCs w:val="22"/>
          <w:lang w:val="es-ES"/>
        </w:rPr>
      </w:pPr>
    </w:p>
    <w:p w:rsidR="00F70BF8" w:rsidRDefault="00F70BF8"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lastRenderedPageBreak/>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FB2176">
        <w:rPr>
          <w:rFonts w:ascii="Palatino Linotype" w:eastAsia="MS Mincho" w:hAnsi="Palatino Linotype"/>
          <w:sz w:val="22"/>
          <w:szCs w:val="22"/>
          <w:lang w:val="es-EC"/>
        </w:rPr>
        <w:t>7</w:t>
      </w:r>
      <w:r w:rsidR="00D427EA" w:rsidRPr="00091622">
        <w:rPr>
          <w:rFonts w:ascii="Palatino Linotype" w:eastAsia="MS Mincho" w:hAnsi="Palatino Linotype"/>
          <w:sz w:val="22"/>
          <w:szCs w:val="22"/>
          <w:lang w:val="es-EC"/>
        </w:rPr>
        <w:t xml:space="preserve"> de </w:t>
      </w:r>
      <w:r w:rsidR="00FB2176">
        <w:rPr>
          <w:rFonts w:ascii="Palatino Linotype" w:eastAsia="MS Mincho" w:hAnsi="Palatino Linotype"/>
          <w:sz w:val="22"/>
          <w:szCs w:val="22"/>
          <w:lang w:val="es-EC"/>
        </w:rPr>
        <w:t xml:space="preserve">marzo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0DCB" w:rsidRDefault="00F30DC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ALCALDÍA DEL DISTRITO METROPOLITANO DE QUITO.-</w:t>
      </w:r>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bookmarkStart w:id="0" w:name="_GoBack"/>
      <w:bookmarkEnd w:id="0"/>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C7" w:rsidRDefault="000343C7">
      <w:r>
        <w:separator/>
      </w:r>
    </w:p>
  </w:endnote>
  <w:endnote w:type="continuationSeparator" w:id="0">
    <w:p w:rsidR="000343C7" w:rsidRDefault="0003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1D6DAA">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F70BF8">
              <w:rPr>
                <w:rFonts w:ascii="Palatino Linotype" w:hAnsi="Palatino Linotype"/>
                <w:b/>
                <w:bCs/>
                <w:sz w:val="22"/>
                <w:szCs w:val="22"/>
              </w:rPr>
              <w:t>2</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1D6DAA">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F70BF8">
              <w:rPr>
                <w:rFonts w:ascii="Palatino Linotype" w:hAnsi="Palatino Linotype"/>
                <w:b/>
                <w:bCs/>
                <w:sz w:val="22"/>
                <w:szCs w:val="22"/>
              </w:rPr>
              <w:t>2</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C7" w:rsidRDefault="000343C7">
      <w:r>
        <w:separator/>
      </w:r>
    </w:p>
  </w:footnote>
  <w:footnote w:type="continuationSeparator" w:id="0">
    <w:p w:rsidR="000343C7" w:rsidRDefault="00034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5"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0"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11"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DED4706"/>
    <w:multiLevelType w:val="multilevel"/>
    <w:tmpl w:val="D90C4B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8"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0"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2E5822E9"/>
    <w:multiLevelType w:val="hybridMultilevel"/>
    <w:tmpl w:val="E2CC3EB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74B5513"/>
    <w:multiLevelType w:val="multilevel"/>
    <w:tmpl w:val="B0D695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64C4EE3"/>
    <w:multiLevelType w:val="hybridMultilevel"/>
    <w:tmpl w:val="D7B4B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7" w15:restartNumberingAfterBreak="0">
    <w:nsid w:val="77925DB4"/>
    <w:multiLevelType w:val="hybridMultilevel"/>
    <w:tmpl w:val="FAAEB200"/>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2"/>
  </w:num>
  <w:num w:numId="2">
    <w:abstractNumId w:val="0"/>
  </w:num>
  <w:num w:numId="3">
    <w:abstractNumId w:val="30"/>
  </w:num>
  <w:num w:numId="4">
    <w:abstractNumId w:val="24"/>
  </w:num>
  <w:num w:numId="5">
    <w:abstractNumId w:val="34"/>
  </w:num>
  <w:num w:numId="6">
    <w:abstractNumId w:val="25"/>
  </w:num>
  <w:num w:numId="7">
    <w:abstractNumId w:val="35"/>
  </w:num>
  <w:num w:numId="8">
    <w:abstractNumId w:val="26"/>
  </w:num>
  <w:num w:numId="9">
    <w:abstractNumId w:val="19"/>
  </w:num>
  <w:num w:numId="10">
    <w:abstractNumId w:val="17"/>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8"/>
  </w:num>
  <w:num w:numId="15">
    <w:abstractNumId w:val="13"/>
  </w:num>
  <w:num w:numId="16">
    <w:abstractNumId w:val="2"/>
  </w:num>
  <w:num w:numId="17">
    <w:abstractNumId w:val="31"/>
  </w:num>
  <w:num w:numId="18">
    <w:abstractNumId w:val="28"/>
  </w:num>
  <w:num w:numId="19">
    <w:abstractNumId w:val="16"/>
  </w:num>
  <w:num w:numId="20">
    <w:abstractNumId w:val="23"/>
  </w:num>
  <w:num w:numId="21">
    <w:abstractNumId w:val="11"/>
  </w:num>
  <w:num w:numId="22">
    <w:abstractNumId w:val="38"/>
  </w:num>
  <w:num w:numId="23">
    <w:abstractNumId w:val="36"/>
  </w:num>
  <w:num w:numId="24">
    <w:abstractNumId w:val="18"/>
  </w:num>
  <w:num w:numId="25">
    <w:abstractNumId w:val="10"/>
  </w:num>
  <w:num w:numId="26">
    <w:abstractNumId w:val="27"/>
  </w:num>
  <w:num w:numId="27">
    <w:abstractNumId w:val="14"/>
  </w:num>
  <w:num w:numId="28">
    <w:abstractNumId w:val="15"/>
  </w:num>
  <w:num w:numId="29">
    <w:abstractNumId w:val="9"/>
  </w:num>
  <w:num w:numId="30">
    <w:abstractNumId w:val="3"/>
  </w:num>
  <w:num w:numId="31">
    <w:abstractNumId w:val="32"/>
  </w:num>
  <w:num w:numId="32">
    <w:abstractNumId w:val="22"/>
  </w:num>
  <w:num w:numId="33">
    <w:abstractNumId w:val="29"/>
  </w:num>
  <w:num w:numId="34">
    <w:abstractNumId w:val="1"/>
  </w:num>
  <w:num w:numId="35">
    <w:abstractNumId w:val="6"/>
  </w:num>
  <w:num w:numId="36">
    <w:abstractNumId w:val="7"/>
  </w:num>
  <w:num w:numId="37">
    <w:abstractNumId w:val="37"/>
  </w:num>
  <w:num w:numId="38">
    <w:abstractNumId w:val="4"/>
  </w:num>
  <w:num w:numId="39">
    <w:abstractNumId w:val="33"/>
  </w:num>
  <w:num w:numId="40">
    <w:abstractNumId w:val="21"/>
  </w:num>
  <w:num w:numId="4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43C7"/>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93832"/>
    <w:rsid w:val="00195FBA"/>
    <w:rsid w:val="001A5E4F"/>
    <w:rsid w:val="001A60FB"/>
    <w:rsid w:val="001A646F"/>
    <w:rsid w:val="001B3F1F"/>
    <w:rsid w:val="001B50BD"/>
    <w:rsid w:val="001B5C35"/>
    <w:rsid w:val="001B7625"/>
    <w:rsid w:val="001C0B43"/>
    <w:rsid w:val="001C18BB"/>
    <w:rsid w:val="001C4F66"/>
    <w:rsid w:val="001C562E"/>
    <w:rsid w:val="001C7554"/>
    <w:rsid w:val="001D38BE"/>
    <w:rsid w:val="001D6DAA"/>
    <w:rsid w:val="001D7068"/>
    <w:rsid w:val="001E3366"/>
    <w:rsid w:val="001E6302"/>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196D"/>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24F28"/>
    <w:rsid w:val="00335588"/>
    <w:rsid w:val="00342AED"/>
    <w:rsid w:val="00356DE9"/>
    <w:rsid w:val="0036107B"/>
    <w:rsid w:val="00361728"/>
    <w:rsid w:val="00365574"/>
    <w:rsid w:val="00367FAA"/>
    <w:rsid w:val="00371551"/>
    <w:rsid w:val="00374C76"/>
    <w:rsid w:val="0038547F"/>
    <w:rsid w:val="00386397"/>
    <w:rsid w:val="00387B4A"/>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2288"/>
    <w:rsid w:val="00494DA4"/>
    <w:rsid w:val="00495C11"/>
    <w:rsid w:val="00495CE4"/>
    <w:rsid w:val="004A0A42"/>
    <w:rsid w:val="004A0B78"/>
    <w:rsid w:val="004A2C96"/>
    <w:rsid w:val="004A518A"/>
    <w:rsid w:val="004A5216"/>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06E"/>
    <w:rsid w:val="0051624D"/>
    <w:rsid w:val="00517D13"/>
    <w:rsid w:val="00525A91"/>
    <w:rsid w:val="00527DB8"/>
    <w:rsid w:val="00532CEB"/>
    <w:rsid w:val="00540D68"/>
    <w:rsid w:val="00542C2E"/>
    <w:rsid w:val="00543455"/>
    <w:rsid w:val="00543798"/>
    <w:rsid w:val="00543D2D"/>
    <w:rsid w:val="00545777"/>
    <w:rsid w:val="00546F26"/>
    <w:rsid w:val="00547E5B"/>
    <w:rsid w:val="0055517B"/>
    <w:rsid w:val="0056347D"/>
    <w:rsid w:val="0057093C"/>
    <w:rsid w:val="005719B6"/>
    <w:rsid w:val="005738F5"/>
    <w:rsid w:val="00574769"/>
    <w:rsid w:val="005752B0"/>
    <w:rsid w:val="0058023A"/>
    <w:rsid w:val="005906F1"/>
    <w:rsid w:val="00590A7F"/>
    <w:rsid w:val="00592C7E"/>
    <w:rsid w:val="005949B7"/>
    <w:rsid w:val="00597AAE"/>
    <w:rsid w:val="005A0C0A"/>
    <w:rsid w:val="005A1B82"/>
    <w:rsid w:val="005A3ADC"/>
    <w:rsid w:val="005A4E6A"/>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A650E"/>
    <w:rsid w:val="006B0FB6"/>
    <w:rsid w:val="006B14E4"/>
    <w:rsid w:val="006B1565"/>
    <w:rsid w:val="006B3C7E"/>
    <w:rsid w:val="006B417D"/>
    <w:rsid w:val="006B68BA"/>
    <w:rsid w:val="006B68D0"/>
    <w:rsid w:val="006B7B40"/>
    <w:rsid w:val="006C0309"/>
    <w:rsid w:val="006C1106"/>
    <w:rsid w:val="006C1935"/>
    <w:rsid w:val="006C3F46"/>
    <w:rsid w:val="006C417C"/>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31D1"/>
    <w:rsid w:val="007E5FCB"/>
    <w:rsid w:val="007E7D33"/>
    <w:rsid w:val="007F2761"/>
    <w:rsid w:val="007F46C0"/>
    <w:rsid w:val="007F6391"/>
    <w:rsid w:val="007F72E6"/>
    <w:rsid w:val="00804857"/>
    <w:rsid w:val="00806F9C"/>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5AA5"/>
    <w:rsid w:val="00856DB0"/>
    <w:rsid w:val="00857903"/>
    <w:rsid w:val="00860836"/>
    <w:rsid w:val="00865BDD"/>
    <w:rsid w:val="00874F69"/>
    <w:rsid w:val="00875EF6"/>
    <w:rsid w:val="008865E1"/>
    <w:rsid w:val="00887AA2"/>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00B"/>
    <w:rsid w:val="008F37A1"/>
    <w:rsid w:val="00905AAC"/>
    <w:rsid w:val="00907ED5"/>
    <w:rsid w:val="00917AF0"/>
    <w:rsid w:val="00917D16"/>
    <w:rsid w:val="00920038"/>
    <w:rsid w:val="0092596C"/>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6D96"/>
    <w:rsid w:val="009B7BDE"/>
    <w:rsid w:val="009C6867"/>
    <w:rsid w:val="009D2C97"/>
    <w:rsid w:val="009E2994"/>
    <w:rsid w:val="009E3F50"/>
    <w:rsid w:val="009E46C0"/>
    <w:rsid w:val="009E5817"/>
    <w:rsid w:val="009F52E9"/>
    <w:rsid w:val="00A0106D"/>
    <w:rsid w:val="00A0291B"/>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B7C7C"/>
    <w:rsid w:val="00CC152F"/>
    <w:rsid w:val="00CC2464"/>
    <w:rsid w:val="00CC46FB"/>
    <w:rsid w:val="00CC706E"/>
    <w:rsid w:val="00CD245F"/>
    <w:rsid w:val="00CD265A"/>
    <w:rsid w:val="00CD4FDB"/>
    <w:rsid w:val="00CD6D82"/>
    <w:rsid w:val="00CE1C2E"/>
    <w:rsid w:val="00CE3CC2"/>
    <w:rsid w:val="00CE672C"/>
    <w:rsid w:val="00CF6000"/>
    <w:rsid w:val="00D0120A"/>
    <w:rsid w:val="00D054F7"/>
    <w:rsid w:val="00D0612E"/>
    <w:rsid w:val="00D15879"/>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1311"/>
    <w:rsid w:val="00D621C0"/>
    <w:rsid w:val="00D70153"/>
    <w:rsid w:val="00D707BE"/>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4D15"/>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B5054"/>
    <w:rsid w:val="00EC0DB0"/>
    <w:rsid w:val="00EC1415"/>
    <w:rsid w:val="00EC1823"/>
    <w:rsid w:val="00ED4F82"/>
    <w:rsid w:val="00ED5D2C"/>
    <w:rsid w:val="00EE2B78"/>
    <w:rsid w:val="00EE2FEB"/>
    <w:rsid w:val="00EE3533"/>
    <w:rsid w:val="00EF4A0A"/>
    <w:rsid w:val="00EF4A1B"/>
    <w:rsid w:val="00EF53F9"/>
    <w:rsid w:val="00EF5BDA"/>
    <w:rsid w:val="00EF6BAD"/>
    <w:rsid w:val="00F00DBC"/>
    <w:rsid w:val="00F02637"/>
    <w:rsid w:val="00F0471D"/>
    <w:rsid w:val="00F112F0"/>
    <w:rsid w:val="00F13C3F"/>
    <w:rsid w:val="00F15ECF"/>
    <w:rsid w:val="00F24272"/>
    <w:rsid w:val="00F27B21"/>
    <w:rsid w:val="00F27DAE"/>
    <w:rsid w:val="00F305C9"/>
    <w:rsid w:val="00F30C45"/>
    <w:rsid w:val="00F30DCB"/>
    <w:rsid w:val="00F32486"/>
    <w:rsid w:val="00F32BFE"/>
    <w:rsid w:val="00F364D8"/>
    <w:rsid w:val="00F36FDA"/>
    <w:rsid w:val="00F43E5D"/>
    <w:rsid w:val="00F45308"/>
    <w:rsid w:val="00F5600A"/>
    <w:rsid w:val="00F56D6F"/>
    <w:rsid w:val="00F63B2E"/>
    <w:rsid w:val="00F643EC"/>
    <w:rsid w:val="00F64D90"/>
    <w:rsid w:val="00F65222"/>
    <w:rsid w:val="00F67CD0"/>
    <w:rsid w:val="00F70BF8"/>
    <w:rsid w:val="00F777FF"/>
    <w:rsid w:val="00F9008F"/>
    <w:rsid w:val="00F974EC"/>
    <w:rsid w:val="00FA0EAF"/>
    <w:rsid w:val="00FA264E"/>
    <w:rsid w:val="00FA2919"/>
    <w:rsid w:val="00FA3D45"/>
    <w:rsid w:val="00FA7B32"/>
    <w:rsid w:val="00FB0CB1"/>
    <w:rsid w:val="00FB2176"/>
    <w:rsid w:val="00FB2364"/>
    <w:rsid w:val="00FB29DD"/>
    <w:rsid w:val="00FC0670"/>
    <w:rsid w:val="00FC29F6"/>
    <w:rsid w:val="00FC3E54"/>
    <w:rsid w:val="00FC413B"/>
    <w:rsid w:val="00FC572F"/>
    <w:rsid w:val="00FC7853"/>
    <w:rsid w:val="00FC79C1"/>
    <w:rsid w:val="00FD56C4"/>
    <w:rsid w:val="00FE0EDA"/>
    <w:rsid w:val="00FE2036"/>
    <w:rsid w:val="00FE37F4"/>
    <w:rsid w:val="00FF0651"/>
    <w:rsid w:val="00FF2621"/>
    <w:rsid w:val="00FF333C"/>
    <w:rsid w:val="00FF3CDC"/>
    <w:rsid w:val="00FF4FF8"/>
    <w:rsid w:val="00FF6098"/>
    <w:rsid w:val="00FF6996"/>
    <w:rsid w:val="00FF72F8"/>
    <w:rsid w:val="00FF775C"/>
    <w:rsid w:val="00FF7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63C0"/>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 w:type="paragraph" w:customStyle="1" w:styleId="ecxmsonormal">
    <w:name w:val="ecxmsonormal"/>
    <w:basedOn w:val="Normal"/>
    <w:rsid w:val="00CB7C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E4CF1-2383-4691-9855-919365A4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4478</Words>
  <Characters>24629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6</cp:revision>
  <cp:lastPrinted>2019-04-29T15:01:00Z</cp:lastPrinted>
  <dcterms:created xsi:type="dcterms:W3CDTF">2019-04-29T14:39:00Z</dcterms:created>
  <dcterms:modified xsi:type="dcterms:W3CDTF">2019-04-29T15:01:00Z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