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E4E" w:rsidRPr="00B90328" w:rsidRDefault="00B21E4E" w:rsidP="00CF35EE">
      <w:pPr>
        <w:spacing w:after="120"/>
        <w:jc w:val="center"/>
        <w:rPr>
          <w:rFonts w:ascii="Palatino Linotype" w:eastAsia="Times New Roman" w:hAnsi="Palatino Linotype" w:cs="Arial"/>
          <w:b/>
          <w:bCs/>
          <w:lang w:eastAsia="es-ES"/>
        </w:rPr>
      </w:pPr>
      <w:bookmarkStart w:id="0" w:name="_GoBack"/>
      <w:bookmarkEnd w:id="0"/>
      <w:r w:rsidRPr="00B90328">
        <w:rPr>
          <w:rFonts w:ascii="Palatino Linotype" w:eastAsia="Times New Roman" w:hAnsi="Palatino Linotype" w:cs="Arial"/>
          <w:b/>
          <w:bCs/>
          <w:lang w:eastAsia="es-ES"/>
        </w:rPr>
        <w:t>EXPOSICIÓN DE MOTIVOS</w:t>
      </w:r>
    </w:p>
    <w:p w:rsidR="00B21E4E" w:rsidRPr="00B90328" w:rsidRDefault="00B21E4E" w:rsidP="00CF35EE">
      <w:pPr>
        <w:spacing w:after="120"/>
        <w:ind w:firstLine="708"/>
        <w:jc w:val="both"/>
        <w:rPr>
          <w:rFonts w:ascii="Palatino Linotype" w:eastAsia="Times New Roman" w:hAnsi="Palatino Linotype" w:cs="Arial"/>
          <w:bCs/>
          <w:lang w:eastAsia="es-ES"/>
        </w:rPr>
      </w:pPr>
      <w:r w:rsidRPr="00B90328">
        <w:rPr>
          <w:rFonts w:ascii="Palatino Linotype" w:eastAsia="Times New Roman" w:hAnsi="Palatino Linotype" w:cs="Arial"/>
          <w:bCs/>
          <w:lang w:eastAsia="es-ES"/>
        </w:rPr>
        <w:t xml:space="preserve">La Constitución de la República del Ecuador, en su artículo 264, numeral uno,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 </w:t>
      </w:r>
    </w:p>
    <w:p w:rsidR="00B21E4E" w:rsidRPr="00B90328" w:rsidRDefault="00B21E4E" w:rsidP="00CF35EE">
      <w:pPr>
        <w:spacing w:after="120"/>
        <w:ind w:firstLine="708"/>
        <w:jc w:val="both"/>
        <w:rPr>
          <w:rFonts w:ascii="Palatino Linotype" w:eastAsia="Times New Roman" w:hAnsi="Palatino Linotype" w:cs="Arial"/>
          <w:bCs/>
          <w:lang w:eastAsia="es-ES"/>
        </w:rPr>
      </w:pPr>
      <w:r w:rsidRPr="00B90328">
        <w:rPr>
          <w:rFonts w:ascii="Palatino Linotype" w:eastAsia="Times New Roman" w:hAnsi="Palatino Linotype" w:cs="Arial"/>
          <w:bCs/>
          <w:lang w:eastAsia="es-ES"/>
        </w:rPr>
        <w:t xml:space="preserve">El literal v) del artículo 87, del Código Orgánico de Organización Territorial, Autonomía y Descentralización, en lo que respecta de las atribuciones del Concejo Metropolitano </w:t>
      </w:r>
      <w:r w:rsidR="00766F65" w:rsidRPr="00B90328">
        <w:rPr>
          <w:rFonts w:ascii="Palatino Linotype" w:eastAsia="Times New Roman" w:hAnsi="Palatino Linotype" w:cs="Arial"/>
          <w:bCs/>
          <w:lang w:eastAsia="es-ES"/>
        </w:rPr>
        <w:t>está</w:t>
      </w:r>
      <w:r w:rsidRPr="00B90328">
        <w:rPr>
          <w:rFonts w:ascii="Palatino Linotype" w:eastAsia="Times New Roman" w:hAnsi="Palatino Linotype" w:cs="Arial"/>
          <w:bCs/>
          <w:lang w:eastAsia="es-ES"/>
        </w:rPr>
        <w:t xml:space="preserve"> la de regular y controlar el uso de suelo en el territorio del Distrito Metropolitano, de conformidad con las leyes sobre la materia, y establecer el régimen urbanístico de la tierra.</w:t>
      </w:r>
    </w:p>
    <w:p w:rsidR="00B21E4E" w:rsidRPr="00B90328" w:rsidRDefault="00B21E4E" w:rsidP="00CF35EE">
      <w:pPr>
        <w:spacing w:after="120"/>
        <w:ind w:firstLine="708"/>
        <w:jc w:val="both"/>
        <w:rPr>
          <w:rFonts w:ascii="Palatino Linotype" w:eastAsia="Times New Roman" w:hAnsi="Palatino Linotype" w:cs="Arial"/>
          <w:bCs/>
          <w:lang w:eastAsia="es-ES"/>
        </w:rPr>
      </w:pPr>
      <w:r w:rsidRPr="00B90328">
        <w:rPr>
          <w:rFonts w:ascii="Palatino Linotype" w:eastAsia="Times New Roman" w:hAnsi="Palatino Linotype" w:cs="Arial"/>
          <w:bCs/>
          <w:lang w:eastAsia="es-ES"/>
        </w:rPr>
        <w:t>El numeral 1 del artículo… (69) de la Ordenanza Metropolitana 172, en cuanto a los proyectos de urbanizaciones textualmente señala: “Los proyectos de Urbanización son propuestas de iniciativa municipal o privada que tienen por finalidad la división y habilitación del suelo en áreas de la circunscripción territorial del Distrito Metropolitano de Quito calificadas exclusivamente como suelo urbano y las que tengan asignaci</w:t>
      </w:r>
      <w:r w:rsidR="00477CE7" w:rsidRPr="00B90328">
        <w:rPr>
          <w:rFonts w:ascii="Palatino Linotype" w:eastAsia="Times New Roman" w:hAnsi="Palatino Linotype" w:cs="Arial"/>
          <w:bCs/>
          <w:lang w:eastAsia="es-ES"/>
        </w:rPr>
        <w:t>ón Residencial Rural 1 (RR1) y R</w:t>
      </w:r>
      <w:r w:rsidRPr="00B90328">
        <w:rPr>
          <w:rFonts w:ascii="Palatino Linotype" w:eastAsia="Times New Roman" w:hAnsi="Palatino Linotype" w:cs="Arial"/>
          <w:bCs/>
          <w:lang w:eastAsia="es-ES"/>
        </w:rPr>
        <w:t>esidencial Rural 2 (RR2) por el PMOT u otros instrumentos de planificación. En urbanizaciones, la  división del suelo contemplará más de diez lotes, además del correspondiente al de las áreas de equipamiento comunal y áreas verdes</w:t>
      </w:r>
    </w:p>
    <w:p w:rsidR="00B21E4E" w:rsidRPr="00B90328" w:rsidRDefault="00B21E4E" w:rsidP="00CF35EE">
      <w:pPr>
        <w:spacing w:after="120"/>
        <w:ind w:firstLine="708"/>
        <w:jc w:val="both"/>
        <w:rPr>
          <w:rFonts w:ascii="Palatino Linotype" w:eastAsia="Times New Roman" w:hAnsi="Palatino Linotype" w:cs="Arial"/>
          <w:bCs/>
          <w:lang w:eastAsia="es-ES"/>
        </w:rPr>
      </w:pPr>
      <w:r w:rsidRPr="00B90328">
        <w:rPr>
          <w:rFonts w:ascii="Palatino Linotype" w:eastAsia="Times New Roman" w:hAnsi="Palatino Linotype" w:cs="Arial"/>
          <w:bCs/>
          <w:lang w:eastAsia="es-ES"/>
        </w:rPr>
        <w:t xml:space="preserve">El señor David Mesías Vaca Albán, en calidad de Presidente del Comité </w:t>
      </w:r>
      <w:proofErr w:type="spellStart"/>
      <w:r w:rsidRPr="00B90328">
        <w:rPr>
          <w:rFonts w:ascii="Palatino Linotype" w:eastAsia="Times New Roman" w:hAnsi="Palatino Linotype" w:cs="Arial"/>
          <w:bCs/>
          <w:lang w:eastAsia="es-ES"/>
        </w:rPr>
        <w:t>Promejoras</w:t>
      </w:r>
      <w:proofErr w:type="spellEnd"/>
      <w:r w:rsidRPr="00B90328">
        <w:rPr>
          <w:rFonts w:ascii="Palatino Linotype" w:eastAsia="Times New Roman" w:hAnsi="Palatino Linotype" w:cs="Arial"/>
          <w:bCs/>
          <w:lang w:eastAsia="es-ES"/>
        </w:rPr>
        <w:t xml:space="preserve"> Barrio “Vista Hermosa de Monjas”</w:t>
      </w:r>
      <w:r w:rsidR="00CF35EE" w:rsidRPr="00B90328">
        <w:rPr>
          <w:rFonts w:ascii="Palatino Linotype" w:eastAsia="Times New Roman" w:hAnsi="Palatino Linotype" w:cs="Arial"/>
          <w:bCs/>
          <w:lang w:eastAsia="es-ES"/>
        </w:rPr>
        <w:t>,</w:t>
      </w:r>
      <w:r w:rsidRPr="00B90328">
        <w:rPr>
          <w:rFonts w:ascii="Palatino Linotype" w:eastAsia="Times New Roman" w:hAnsi="Palatino Linotype" w:cs="Arial"/>
          <w:bCs/>
          <w:lang w:eastAsia="es-ES"/>
        </w:rPr>
        <w:t xml:space="preserve"> solicita se continúe con lo que corresponda con el fin de obtener la aprobación de la urbanización de Interés Social “</w:t>
      </w:r>
      <w:r w:rsidR="00CF35EE" w:rsidRPr="00B90328">
        <w:rPr>
          <w:rFonts w:ascii="Palatino Linotype" w:eastAsia="Times New Roman" w:hAnsi="Palatino Linotype" w:cs="Arial"/>
          <w:bCs/>
          <w:lang w:eastAsia="es-ES"/>
        </w:rPr>
        <w:t xml:space="preserve">Comité </w:t>
      </w:r>
      <w:proofErr w:type="spellStart"/>
      <w:r w:rsidR="00CF35EE" w:rsidRPr="00B90328">
        <w:rPr>
          <w:rFonts w:ascii="Palatino Linotype" w:eastAsia="Times New Roman" w:hAnsi="Palatino Linotype" w:cs="Arial"/>
          <w:bCs/>
          <w:lang w:eastAsia="es-ES"/>
        </w:rPr>
        <w:t>Promejoras</w:t>
      </w:r>
      <w:proofErr w:type="spellEnd"/>
      <w:r w:rsidR="00CF35EE" w:rsidRPr="00B90328">
        <w:rPr>
          <w:rFonts w:ascii="Palatino Linotype" w:eastAsia="Times New Roman" w:hAnsi="Palatino Linotype" w:cs="Arial"/>
          <w:bCs/>
          <w:lang w:eastAsia="es-ES"/>
        </w:rPr>
        <w:t xml:space="preserve"> Vista Hermosa</w:t>
      </w:r>
      <w:r w:rsidRPr="00B90328">
        <w:rPr>
          <w:rFonts w:ascii="Palatino Linotype" w:eastAsia="Times New Roman" w:hAnsi="Palatino Linotype" w:cs="Arial"/>
          <w:bCs/>
          <w:lang w:eastAsia="es-ES"/>
        </w:rPr>
        <w:t xml:space="preserve">” a desarrollarse en el predio No. 372495 con clave catastral </w:t>
      </w:r>
      <w:r w:rsidR="00CF35EE" w:rsidRPr="00B90328">
        <w:rPr>
          <w:rFonts w:ascii="Palatino Linotype" w:eastAsia="Times New Roman" w:hAnsi="Palatino Linotype" w:cs="Arial"/>
          <w:bCs/>
          <w:lang w:eastAsia="es-ES"/>
        </w:rPr>
        <w:t>No.</w:t>
      </w:r>
      <w:r w:rsidRPr="00B90328">
        <w:rPr>
          <w:rFonts w:ascii="Palatino Linotype" w:eastAsia="Times New Roman" w:hAnsi="Palatino Linotype" w:cs="Arial"/>
          <w:bCs/>
          <w:lang w:eastAsia="es-ES"/>
        </w:rPr>
        <w:t xml:space="preserve"> 20006-06-001, ubicado en el en sector Monjas, parroquia Puengasí de este Distrito.  </w:t>
      </w:r>
    </w:p>
    <w:p w:rsidR="00B21E4E" w:rsidRPr="00B90328" w:rsidRDefault="00B21E4E" w:rsidP="00CF35EE">
      <w:pPr>
        <w:spacing w:after="120"/>
        <w:ind w:firstLine="708"/>
        <w:jc w:val="both"/>
        <w:rPr>
          <w:rFonts w:ascii="Palatino Linotype" w:eastAsia="Times New Roman" w:hAnsi="Palatino Linotype" w:cs="Arial"/>
          <w:bCs/>
          <w:lang w:eastAsia="es-ES"/>
        </w:rPr>
      </w:pPr>
      <w:r w:rsidRPr="00B90328">
        <w:rPr>
          <w:rFonts w:ascii="Palatino Linotype" w:eastAsia="Times New Roman" w:hAnsi="Palatino Linotype" w:cs="Arial"/>
          <w:bCs/>
          <w:lang w:eastAsia="es-ES"/>
        </w:rPr>
        <w:t>Conociendo el déficit de vivienda a nivel del Distrito Metropolitano de Quito, y como deber primordial de erradicar la pobreza y promover el progreso económico, social y cultural, el Municipio del Distrito Metropolitano de Quito, atiende prioritariamente la presente urbanización de interés social, de conformidad con las  políticas de la presente administración y para servir a la población más vulnerable pobre y desposeída del país que no cuentan con vivienda propia.</w:t>
      </w:r>
    </w:p>
    <w:p w:rsidR="00B21E4E" w:rsidRPr="00B90328" w:rsidRDefault="00B21E4E" w:rsidP="00CF35EE">
      <w:pPr>
        <w:spacing w:after="120"/>
        <w:ind w:firstLine="708"/>
        <w:jc w:val="both"/>
        <w:rPr>
          <w:rFonts w:ascii="Palatino Linotype" w:eastAsia="Times New Roman" w:hAnsi="Palatino Linotype" w:cs="Arial"/>
          <w:bCs/>
          <w:lang w:eastAsia="es-ES"/>
        </w:rPr>
      </w:pPr>
      <w:r w:rsidRPr="00B90328">
        <w:rPr>
          <w:rFonts w:ascii="Palatino Linotype" w:eastAsia="Times New Roman" w:hAnsi="Palatino Linotype" w:cs="Arial"/>
          <w:bCs/>
          <w:lang w:eastAsia="es-ES"/>
        </w:rPr>
        <w:t xml:space="preserve"> Mediante oficio No. 0721</w:t>
      </w:r>
      <w:r w:rsidR="00CF35EE" w:rsidRPr="00B90328">
        <w:rPr>
          <w:rFonts w:ascii="Palatino Linotype" w:eastAsia="Times New Roman" w:hAnsi="Palatino Linotype" w:cs="Arial"/>
          <w:bCs/>
          <w:lang w:eastAsia="es-ES"/>
        </w:rPr>
        <w:t>,</w:t>
      </w:r>
      <w:r w:rsidRPr="00B90328">
        <w:rPr>
          <w:rFonts w:ascii="Palatino Linotype" w:eastAsia="Times New Roman" w:hAnsi="Palatino Linotype" w:cs="Arial"/>
          <w:bCs/>
          <w:lang w:eastAsia="es-ES"/>
        </w:rPr>
        <w:t xml:space="preserve"> de 14 de febrero de 2017, la  Dirección Metropolitana de Gestión Territorial de la Secretaría de Territorio, Hábitat y Vivienda, emite informe técnico favorable para la aprobación de la Urbanización de Interés Social “</w:t>
      </w:r>
      <w:r w:rsidR="00CF35EE" w:rsidRPr="00B90328">
        <w:rPr>
          <w:rFonts w:ascii="Palatino Linotype" w:eastAsia="Times New Roman" w:hAnsi="Palatino Linotype" w:cs="Arial"/>
          <w:bCs/>
          <w:lang w:eastAsia="es-ES"/>
        </w:rPr>
        <w:t xml:space="preserve">Comité </w:t>
      </w:r>
      <w:proofErr w:type="spellStart"/>
      <w:r w:rsidR="00CF35EE" w:rsidRPr="00B90328">
        <w:rPr>
          <w:rFonts w:ascii="Palatino Linotype" w:eastAsia="Times New Roman" w:hAnsi="Palatino Linotype" w:cs="Arial"/>
          <w:bCs/>
          <w:lang w:eastAsia="es-ES"/>
        </w:rPr>
        <w:t>Promejoras</w:t>
      </w:r>
      <w:proofErr w:type="spellEnd"/>
      <w:r w:rsidR="00CF35EE" w:rsidRPr="00B90328">
        <w:rPr>
          <w:rFonts w:ascii="Palatino Linotype" w:eastAsia="Times New Roman" w:hAnsi="Palatino Linotype" w:cs="Arial"/>
          <w:bCs/>
          <w:lang w:eastAsia="es-ES"/>
        </w:rPr>
        <w:t xml:space="preserve"> Vista Hermosa</w:t>
      </w:r>
      <w:r w:rsidRPr="00B90328">
        <w:rPr>
          <w:rFonts w:ascii="Palatino Linotype" w:eastAsia="Times New Roman" w:hAnsi="Palatino Linotype" w:cs="Arial"/>
          <w:bCs/>
          <w:lang w:eastAsia="es-ES"/>
        </w:rPr>
        <w:t>”.</w:t>
      </w:r>
    </w:p>
    <w:p w:rsidR="00CF35EE" w:rsidRPr="00B90328" w:rsidRDefault="00B21E4E" w:rsidP="00CF35EE">
      <w:pPr>
        <w:spacing w:after="120"/>
        <w:ind w:firstLine="708"/>
        <w:jc w:val="both"/>
        <w:rPr>
          <w:rFonts w:ascii="Palatino Linotype" w:hAnsi="Palatino Linotype"/>
          <w:noProof/>
          <w:lang w:eastAsia="es-ES"/>
        </w:rPr>
        <w:sectPr w:rsidR="00CF35EE" w:rsidRPr="00B90328" w:rsidSect="00CF35EE">
          <w:headerReference w:type="default" r:id="rId7"/>
          <w:pgSz w:w="11906" w:h="16838"/>
          <w:pgMar w:top="2517" w:right="1274" w:bottom="1191" w:left="1560" w:header="709" w:footer="567" w:gutter="0"/>
          <w:cols w:space="720"/>
        </w:sectPr>
      </w:pPr>
      <w:r w:rsidRPr="00B90328">
        <w:rPr>
          <w:rFonts w:ascii="Palatino Linotype" w:eastAsia="Times New Roman" w:hAnsi="Palatino Linotype" w:cs="Arial"/>
          <w:bCs/>
          <w:lang w:eastAsia="es-ES"/>
        </w:rPr>
        <w:t xml:space="preserve">  </w:t>
      </w:r>
      <w:r w:rsidRPr="00B90328">
        <w:rPr>
          <w:rFonts w:ascii="Palatino Linotype" w:hAnsi="Palatino Linotype"/>
          <w:noProof/>
          <w:lang w:eastAsia="es-ES"/>
        </w:rPr>
        <w:t xml:space="preserve"> </w:t>
      </w:r>
    </w:p>
    <w:p w:rsidR="00B21E4E" w:rsidRPr="00B90328" w:rsidRDefault="00B21E4E" w:rsidP="00CF35EE">
      <w:pPr>
        <w:spacing w:after="120"/>
        <w:jc w:val="both"/>
        <w:rPr>
          <w:rFonts w:ascii="Palatino Linotype" w:hAnsi="Palatino Linotype"/>
        </w:rPr>
      </w:pPr>
      <w:r w:rsidRPr="00B90328">
        <w:rPr>
          <w:rFonts w:ascii="Palatino Linotype" w:hAnsi="Palatino Linotype"/>
          <w:noProof/>
          <w:lang w:eastAsia="es-ES"/>
        </w:rPr>
        <w:lastRenderedPageBreak/>
        <w:t xml:space="preserve">                                        </w:t>
      </w:r>
      <w:r w:rsidRPr="00B90328">
        <w:rPr>
          <w:rFonts w:ascii="Palatino Linotype" w:hAnsi="Palatino Linotype"/>
          <w:b/>
        </w:rPr>
        <w:t>EL CONCEJO METROPOLITANO DE QUITO</w:t>
      </w:r>
    </w:p>
    <w:p w:rsidR="00B21E4E" w:rsidRPr="00B90328" w:rsidRDefault="00B21E4E" w:rsidP="00CF35EE">
      <w:pPr>
        <w:pStyle w:val="Textopredeterminado"/>
        <w:spacing w:after="120" w:line="276" w:lineRule="auto"/>
        <w:jc w:val="both"/>
        <w:rPr>
          <w:rFonts w:ascii="Palatino Linotype" w:hAnsi="Palatino Linotype"/>
          <w:sz w:val="22"/>
          <w:szCs w:val="22"/>
        </w:rPr>
      </w:pPr>
      <w:r w:rsidRPr="00B90328">
        <w:rPr>
          <w:rFonts w:ascii="Palatino Linotype" w:hAnsi="Palatino Linotype"/>
          <w:sz w:val="22"/>
          <w:szCs w:val="22"/>
        </w:rPr>
        <w:t>Visto el informe No. IC</w:t>
      </w:r>
      <w:r w:rsidR="00CF35EE" w:rsidRPr="00B90328">
        <w:rPr>
          <w:rFonts w:ascii="Palatino Linotype" w:hAnsi="Palatino Linotype"/>
          <w:sz w:val="22"/>
          <w:szCs w:val="22"/>
        </w:rPr>
        <w:t xml:space="preserve">-O-2017-176, </w:t>
      </w:r>
      <w:r w:rsidRPr="00B90328">
        <w:rPr>
          <w:rFonts w:ascii="Palatino Linotype" w:hAnsi="Palatino Linotype"/>
          <w:sz w:val="22"/>
          <w:szCs w:val="22"/>
        </w:rPr>
        <w:t>de</w:t>
      </w:r>
      <w:r w:rsidR="00CF35EE" w:rsidRPr="00B90328">
        <w:rPr>
          <w:rFonts w:ascii="Palatino Linotype" w:hAnsi="Palatino Linotype"/>
          <w:sz w:val="22"/>
          <w:szCs w:val="22"/>
        </w:rPr>
        <w:t xml:space="preserve"> 10 de julio de 2017, </w:t>
      </w:r>
      <w:r w:rsidRPr="00B90328">
        <w:rPr>
          <w:rFonts w:ascii="Palatino Linotype" w:hAnsi="Palatino Linotype"/>
          <w:sz w:val="22"/>
          <w:szCs w:val="22"/>
        </w:rPr>
        <w:t>emitido por la Comisión de Uso de Suelo.</w:t>
      </w:r>
    </w:p>
    <w:p w:rsidR="00B21E4E" w:rsidRPr="00B90328" w:rsidRDefault="00B21E4E" w:rsidP="00CF35EE">
      <w:pPr>
        <w:shd w:val="clear" w:color="auto" w:fill="FFFFFF"/>
        <w:spacing w:after="120"/>
        <w:jc w:val="center"/>
        <w:rPr>
          <w:rFonts w:ascii="Palatino Linotype" w:eastAsia="Times New Roman" w:hAnsi="Palatino Linotype" w:cs="Tahoma"/>
          <w:b/>
          <w:lang w:val="es-EC" w:eastAsia="es-ES"/>
        </w:rPr>
      </w:pPr>
      <w:r w:rsidRPr="00B90328">
        <w:rPr>
          <w:rFonts w:ascii="Palatino Linotype" w:eastAsia="Times New Roman" w:hAnsi="Palatino Linotype" w:cs="Tahoma"/>
          <w:b/>
          <w:lang w:val="es-EC" w:eastAsia="es-ES"/>
        </w:rPr>
        <w:t>CONSIDERANDO:</w:t>
      </w:r>
    </w:p>
    <w:p w:rsidR="00B21E4E" w:rsidRPr="00B90328" w:rsidRDefault="00B21E4E" w:rsidP="00CF35EE">
      <w:pPr>
        <w:spacing w:after="120"/>
        <w:ind w:left="708" w:hanging="708"/>
        <w:jc w:val="both"/>
        <w:rPr>
          <w:rFonts w:ascii="Palatino Linotype" w:eastAsia="Times New Roman" w:hAnsi="Palatino Linotype" w:cs="Tahoma"/>
          <w:lang w:val="es-EC" w:eastAsia="es-ES"/>
        </w:rPr>
      </w:pPr>
      <w:r w:rsidRPr="00B90328">
        <w:rPr>
          <w:rFonts w:ascii="Palatino Linotype" w:eastAsia="Times New Roman" w:hAnsi="Palatino Linotype" w:cs="Tahoma"/>
          <w:b/>
          <w:lang w:val="es-EC" w:eastAsia="es-ES"/>
        </w:rPr>
        <w:t>Que,</w:t>
      </w:r>
      <w:r w:rsidRPr="00B90328">
        <w:rPr>
          <w:rFonts w:ascii="Palatino Linotype" w:eastAsia="Times New Roman" w:hAnsi="Palatino Linotype" w:cs="Tahoma"/>
          <w:lang w:val="es-EC" w:eastAsia="es-ES"/>
        </w:rPr>
        <w:t xml:space="preserve"> </w:t>
      </w:r>
      <w:r w:rsidRPr="00B90328">
        <w:rPr>
          <w:rFonts w:ascii="Palatino Linotype" w:eastAsia="Times New Roman" w:hAnsi="Palatino Linotype" w:cs="Tahoma"/>
          <w:lang w:val="es-EC" w:eastAsia="es-ES"/>
        </w:rPr>
        <w:tab/>
        <w:t xml:space="preserve">el artículo 240 de la Constitución de la República del Ecuador establece que: </w:t>
      </w:r>
      <w:r w:rsidRPr="00B90328">
        <w:rPr>
          <w:rFonts w:ascii="Palatino Linotype" w:eastAsia="Times New Roman" w:hAnsi="Palatino Linotype" w:cs="Tahoma"/>
          <w:i/>
          <w:lang w:val="es-EC" w:eastAsia="es-ES"/>
        </w:rPr>
        <w:t>Los gobiernos autónomos descentralizados de las regiones, distritos metropolitanos, provincias y cantones tendrán facultades legislativas en el ámbito de sus competencias y jurisdicciones territoriales (…)”</w:t>
      </w:r>
      <w:r w:rsidRPr="00B90328">
        <w:rPr>
          <w:rFonts w:ascii="Palatino Linotype" w:eastAsia="Times New Roman" w:hAnsi="Palatino Linotype" w:cs="Tahoma"/>
          <w:lang w:val="es-EC" w:eastAsia="es-ES"/>
        </w:rPr>
        <w:t>;</w:t>
      </w:r>
    </w:p>
    <w:p w:rsidR="00B21E4E" w:rsidRPr="00B90328" w:rsidRDefault="00B21E4E" w:rsidP="00CF35EE">
      <w:pPr>
        <w:spacing w:after="120"/>
        <w:ind w:left="709" w:hanging="709"/>
        <w:jc w:val="both"/>
        <w:rPr>
          <w:rFonts w:ascii="Palatino Linotype" w:eastAsia="Times New Roman" w:hAnsi="Palatino Linotype" w:cs="Tahoma"/>
          <w:lang w:val="es-EC" w:eastAsia="es-ES"/>
        </w:rPr>
      </w:pPr>
      <w:r w:rsidRPr="00B90328">
        <w:rPr>
          <w:rFonts w:ascii="Palatino Linotype" w:eastAsia="Times New Roman" w:hAnsi="Palatino Linotype" w:cs="Tahoma"/>
          <w:b/>
          <w:lang w:val="es-EC" w:eastAsia="es-ES"/>
        </w:rPr>
        <w:t>Que,</w:t>
      </w:r>
      <w:r w:rsidRPr="00B90328">
        <w:rPr>
          <w:rFonts w:ascii="Palatino Linotype" w:eastAsia="Times New Roman" w:hAnsi="Palatino Linotype" w:cs="Tahoma"/>
          <w:lang w:val="es-EC" w:eastAsia="es-ES"/>
        </w:rPr>
        <w:t xml:space="preserve"> </w:t>
      </w:r>
      <w:r w:rsidRPr="00B90328">
        <w:rPr>
          <w:rFonts w:ascii="Palatino Linotype" w:eastAsia="Times New Roman" w:hAnsi="Palatino Linotype" w:cs="Tahoma"/>
          <w:lang w:val="es-EC" w:eastAsia="es-ES"/>
        </w:rPr>
        <w:tab/>
        <w:t>el numeral 1 del artículo 264 ibídem,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B21E4E" w:rsidRPr="00B90328" w:rsidRDefault="00B21E4E" w:rsidP="00CF35EE">
      <w:pPr>
        <w:spacing w:after="120"/>
        <w:ind w:left="709" w:hanging="709"/>
        <w:jc w:val="both"/>
        <w:rPr>
          <w:rFonts w:ascii="Palatino Linotype" w:eastAsia="Times New Roman" w:hAnsi="Palatino Linotype" w:cs="Tahoma"/>
          <w:lang w:val="es-EC" w:eastAsia="es-ES"/>
        </w:rPr>
      </w:pPr>
      <w:r w:rsidRPr="00B90328">
        <w:rPr>
          <w:rFonts w:ascii="Palatino Linotype" w:eastAsia="Times New Roman" w:hAnsi="Palatino Linotype" w:cs="Tahoma"/>
          <w:b/>
          <w:lang w:val="es-EC" w:eastAsia="es-ES"/>
        </w:rPr>
        <w:t>Que,</w:t>
      </w:r>
      <w:r w:rsidRPr="00B90328">
        <w:rPr>
          <w:rFonts w:ascii="Palatino Linotype" w:eastAsia="Times New Roman" w:hAnsi="Palatino Linotype" w:cs="Tahoma"/>
          <w:lang w:val="es-EC" w:eastAsia="es-ES"/>
        </w:rPr>
        <w:t xml:space="preserve"> </w:t>
      </w:r>
      <w:r w:rsidRPr="00B90328">
        <w:rPr>
          <w:rFonts w:ascii="Palatino Linotype" w:eastAsia="Times New Roman" w:hAnsi="Palatino Linotype" w:cs="Tahoma"/>
          <w:lang w:val="es-EC" w:eastAsia="es-ES"/>
        </w:rPr>
        <w:tab/>
        <w:t xml:space="preserve">el literal c) del artículo 54 y 84  del Código Orgánico de Organización Territorial, Autonomía y Descentralización prevé como función del Gobierno Autónomo Descentralizado Municipal y Metropolitano la de establecer el régimen de uso del suelo y urbanístico, parcelación, lotización, división o cualquier otra forma de fraccionamiento de conformidad con la planificación cantonal, asegurando porcentajes para zonas verdes y áreas comunales;    </w:t>
      </w:r>
    </w:p>
    <w:p w:rsidR="00B21E4E" w:rsidRPr="00B90328" w:rsidRDefault="00B21E4E" w:rsidP="00CF35EE">
      <w:pPr>
        <w:spacing w:after="120"/>
        <w:ind w:left="709" w:hanging="709"/>
        <w:jc w:val="both"/>
        <w:rPr>
          <w:rFonts w:ascii="Palatino Linotype" w:eastAsia="Times New Roman" w:hAnsi="Palatino Linotype" w:cs="Tahoma"/>
          <w:lang w:val="es-EC" w:eastAsia="es-ES"/>
        </w:rPr>
      </w:pPr>
      <w:r w:rsidRPr="00B90328">
        <w:rPr>
          <w:rFonts w:ascii="Palatino Linotype" w:eastAsia="Times New Roman" w:hAnsi="Palatino Linotype" w:cs="Tahoma"/>
          <w:b/>
          <w:lang w:val="es-EC" w:eastAsia="es-ES"/>
        </w:rPr>
        <w:t>Que</w:t>
      </w:r>
      <w:r w:rsidRPr="00B90328">
        <w:rPr>
          <w:rFonts w:ascii="Palatino Linotype" w:eastAsia="Times New Roman" w:hAnsi="Palatino Linotype" w:cs="Tahoma"/>
          <w:lang w:val="es-EC" w:eastAsia="es-ES"/>
        </w:rPr>
        <w:t xml:space="preserve">,  </w:t>
      </w:r>
      <w:r w:rsidR="00CF35EE" w:rsidRPr="00B90328">
        <w:rPr>
          <w:rFonts w:ascii="Palatino Linotype" w:eastAsia="Times New Roman" w:hAnsi="Palatino Linotype" w:cs="Tahoma"/>
          <w:lang w:val="es-EC" w:eastAsia="es-ES"/>
        </w:rPr>
        <w:tab/>
      </w:r>
      <w:r w:rsidRPr="00B90328">
        <w:rPr>
          <w:rFonts w:ascii="Palatino Linotype" w:eastAsia="Times New Roman" w:hAnsi="Palatino Linotype" w:cs="Tahoma"/>
          <w:lang w:val="es-EC" w:eastAsia="es-ES"/>
        </w:rPr>
        <w:t>los literales a) y x) del artículo 57, en concordancia con el artículo 87 del mismo Código respecto de las atribuciones del Concejo Municipal y Metropolitano señalan: “</w:t>
      </w:r>
      <w:r w:rsidRPr="00B90328">
        <w:rPr>
          <w:rFonts w:ascii="Palatino Linotype" w:eastAsia="Times New Roman" w:hAnsi="Palatino Linotype" w:cs="Tahoma"/>
          <w:i/>
          <w:lang w:val="es-EC" w:eastAsia="es-ES"/>
        </w:rPr>
        <w:t>a) El  ejercicio de la facultad normativa en las materias de competencia del gobierno autónomo descentralizado municipal, mediante la expedición de ordenanzas cantonales, acuerdos y resoluciones; y, (…) x) Regular y controlar, mediante la normativa cantonal correspondiente, el uso del suelo en el territorio del cantón, de conformidad con las leyes sobre la materia, y establecer el régimen urbanístico de la tierra”</w:t>
      </w:r>
      <w:r w:rsidRPr="00B90328">
        <w:rPr>
          <w:rFonts w:ascii="Palatino Linotype" w:eastAsia="Times New Roman" w:hAnsi="Palatino Linotype" w:cs="Tahoma"/>
          <w:lang w:val="es-EC" w:eastAsia="es-ES"/>
        </w:rPr>
        <w:t xml:space="preserve">; </w:t>
      </w:r>
    </w:p>
    <w:p w:rsidR="00B21E4E" w:rsidRPr="00B90328" w:rsidRDefault="00B21E4E" w:rsidP="00CF35EE">
      <w:pPr>
        <w:spacing w:after="120"/>
        <w:ind w:left="709" w:hanging="709"/>
        <w:jc w:val="both"/>
        <w:rPr>
          <w:rFonts w:ascii="Palatino Linotype" w:eastAsia="Times New Roman" w:hAnsi="Palatino Linotype" w:cs="Tahoma"/>
          <w:lang w:val="es-EC" w:eastAsia="es-ES"/>
        </w:rPr>
      </w:pPr>
      <w:r w:rsidRPr="00B90328">
        <w:rPr>
          <w:rFonts w:ascii="Palatino Linotype" w:eastAsia="Times New Roman" w:hAnsi="Palatino Linotype" w:cs="Tahoma"/>
          <w:b/>
          <w:lang w:val="es-EC" w:eastAsia="es-ES"/>
        </w:rPr>
        <w:t>Que,</w:t>
      </w:r>
      <w:r w:rsidRPr="00B90328">
        <w:rPr>
          <w:rFonts w:ascii="Palatino Linotype" w:eastAsia="Times New Roman" w:hAnsi="Palatino Linotype" w:cs="Tahoma"/>
          <w:lang w:val="es-EC" w:eastAsia="es-ES"/>
        </w:rPr>
        <w:t xml:space="preserve"> </w:t>
      </w:r>
      <w:r w:rsidRPr="00B90328">
        <w:rPr>
          <w:rFonts w:ascii="Palatino Linotype" w:eastAsia="Times New Roman" w:hAnsi="Palatino Linotype" w:cs="Tahoma"/>
          <w:lang w:val="es-EC" w:eastAsia="es-ES"/>
        </w:rPr>
        <w:tab/>
        <w:t>el artículo 322 Ibídem establece el procedimiento para la emisión de ordenanzas municipales;</w:t>
      </w:r>
    </w:p>
    <w:p w:rsidR="00B21E4E" w:rsidRPr="00B90328" w:rsidRDefault="00B21E4E" w:rsidP="00CF35EE">
      <w:pPr>
        <w:spacing w:after="120"/>
        <w:ind w:left="709" w:hanging="709"/>
        <w:jc w:val="both"/>
        <w:rPr>
          <w:rFonts w:ascii="Palatino Linotype" w:eastAsia="Times New Roman" w:hAnsi="Palatino Linotype" w:cs="Tahoma"/>
          <w:lang w:val="es-EC" w:eastAsia="es-ES"/>
        </w:rPr>
      </w:pPr>
      <w:r w:rsidRPr="00B90328">
        <w:rPr>
          <w:rFonts w:ascii="Palatino Linotype" w:eastAsia="Times New Roman" w:hAnsi="Palatino Linotype" w:cs="Tahoma"/>
          <w:b/>
          <w:lang w:val="es-EC" w:eastAsia="es-ES"/>
        </w:rPr>
        <w:t>Que,</w:t>
      </w:r>
      <w:r w:rsidRPr="00B90328">
        <w:rPr>
          <w:rFonts w:ascii="Palatino Linotype" w:eastAsia="Times New Roman" w:hAnsi="Palatino Linotype" w:cs="Tahoma"/>
          <w:lang w:val="es-EC" w:eastAsia="es-ES"/>
        </w:rPr>
        <w:t xml:space="preserve"> </w:t>
      </w:r>
      <w:r w:rsidRPr="00B90328">
        <w:rPr>
          <w:rFonts w:ascii="Palatino Linotype" w:eastAsia="Times New Roman" w:hAnsi="Palatino Linotype" w:cs="Tahoma"/>
          <w:lang w:val="es-EC" w:eastAsia="es-ES"/>
        </w:rPr>
        <w:tab/>
        <w:t>el artículo 2, numeral 1 de la Ley de Régimen para el Distrito Metropolitano de Quito, tiene la competencia exclusiva y privativa de regular el uso y la adecuada ocupación del suelo, ejerciendo control sobre el mismo;</w:t>
      </w:r>
    </w:p>
    <w:p w:rsidR="00B21E4E" w:rsidRPr="00B90328" w:rsidRDefault="00B21E4E" w:rsidP="00CF35EE">
      <w:pPr>
        <w:spacing w:after="120"/>
        <w:ind w:left="709" w:hanging="709"/>
        <w:jc w:val="both"/>
        <w:rPr>
          <w:rFonts w:ascii="Palatino Linotype" w:eastAsia="Times New Roman" w:hAnsi="Palatino Linotype" w:cs="Tahoma"/>
          <w:lang w:val="es-EC" w:eastAsia="es-ES"/>
        </w:rPr>
      </w:pPr>
      <w:r w:rsidRPr="00B90328">
        <w:rPr>
          <w:rFonts w:ascii="Palatino Linotype" w:eastAsia="Times New Roman" w:hAnsi="Palatino Linotype" w:cs="Tahoma"/>
          <w:b/>
          <w:lang w:val="es-EC" w:eastAsia="es-ES"/>
        </w:rPr>
        <w:t>Que,</w:t>
      </w:r>
      <w:r w:rsidRPr="00B90328">
        <w:rPr>
          <w:rFonts w:ascii="Palatino Linotype" w:eastAsia="Times New Roman" w:hAnsi="Palatino Linotype" w:cs="Tahoma"/>
          <w:lang w:val="es-EC" w:eastAsia="es-ES"/>
        </w:rPr>
        <w:t xml:space="preserve"> </w:t>
      </w:r>
      <w:r w:rsidRPr="00B90328">
        <w:rPr>
          <w:rFonts w:ascii="Palatino Linotype" w:eastAsia="Times New Roman" w:hAnsi="Palatino Linotype" w:cs="Tahoma"/>
          <w:lang w:val="es-EC" w:eastAsia="es-ES"/>
        </w:rPr>
        <w:tab/>
        <w:t xml:space="preserve">el artículo 8, numeral 1 del mismo cuerpo normativo establece que le corresponde al Concejo Metropolitano, decidir mediante ordenanza, sobre los </w:t>
      </w:r>
      <w:r w:rsidRPr="00B90328">
        <w:rPr>
          <w:rFonts w:ascii="Palatino Linotype" w:eastAsia="Times New Roman" w:hAnsi="Palatino Linotype" w:cs="Tahoma"/>
          <w:lang w:val="es-EC" w:eastAsia="es-ES"/>
        </w:rPr>
        <w:lastRenderedPageBreak/>
        <w:t>asuntos de interés general relativos al desarrollo integral y a la ordenación urbanística del Distrito;</w:t>
      </w:r>
    </w:p>
    <w:p w:rsidR="00B21E4E" w:rsidRPr="00B90328" w:rsidRDefault="00B21E4E" w:rsidP="00CF35EE">
      <w:pPr>
        <w:spacing w:after="120"/>
        <w:ind w:left="709" w:hanging="709"/>
        <w:jc w:val="both"/>
        <w:rPr>
          <w:rFonts w:ascii="Palatino Linotype" w:eastAsia="Times New Roman" w:hAnsi="Palatino Linotype" w:cs="Arial"/>
          <w:bCs/>
          <w:lang w:eastAsia="es-ES"/>
        </w:rPr>
      </w:pPr>
      <w:r w:rsidRPr="00B90328">
        <w:rPr>
          <w:rFonts w:ascii="Palatino Linotype" w:eastAsia="Times New Roman" w:hAnsi="Palatino Linotype" w:cs="Tahoma"/>
          <w:b/>
          <w:lang w:val="es-EC" w:eastAsia="es-ES"/>
        </w:rPr>
        <w:t>Que,</w:t>
      </w:r>
      <w:r w:rsidRPr="00B90328">
        <w:rPr>
          <w:rFonts w:ascii="Palatino Linotype" w:eastAsia="Times New Roman" w:hAnsi="Palatino Linotype" w:cs="Tahoma"/>
          <w:lang w:val="es-EC" w:eastAsia="es-ES"/>
        </w:rPr>
        <w:t xml:space="preserve"> </w:t>
      </w:r>
      <w:r w:rsidRPr="00B90328">
        <w:rPr>
          <w:rFonts w:ascii="Palatino Linotype" w:eastAsia="Times New Roman" w:hAnsi="Palatino Linotype" w:cs="Tahoma"/>
          <w:lang w:val="es-EC" w:eastAsia="es-ES"/>
        </w:rPr>
        <w:tab/>
      </w:r>
      <w:r w:rsidR="00A4432E" w:rsidRPr="00B90328">
        <w:rPr>
          <w:rFonts w:ascii="Palatino Linotype" w:eastAsia="Times New Roman" w:hAnsi="Palatino Linotype" w:cs="Arial"/>
          <w:bCs/>
          <w:lang w:val="es-EC" w:eastAsia="es-ES"/>
        </w:rPr>
        <w:t>e</w:t>
      </w:r>
      <w:r w:rsidRPr="00B90328">
        <w:rPr>
          <w:rFonts w:ascii="Palatino Linotype" w:eastAsia="Times New Roman" w:hAnsi="Palatino Linotype" w:cs="Arial"/>
          <w:bCs/>
          <w:lang w:eastAsia="es-ES"/>
        </w:rPr>
        <w:t>l numeral 1 del artículo… (69) de la Ordenanza Metropolitana 172, que establece el Régimen Administrativo del Suelo en el Distrito Metropolitano de Quito, manifiesta que los proyectos de Urbanización son propuestas de iniciativa municipal o privada que tienen por finalidad la división y habilitación del suelo en áreas de la circunscripción territorial del Distrito Metropolitano de Quito calificadas exclusivamente como suelo urbano y las que tengan asignaci</w:t>
      </w:r>
      <w:r w:rsidR="009E4246" w:rsidRPr="00B90328">
        <w:rPr>
          <w:rFonts w:ascii="Palatino Linotype" w:eastAsia="Times New Roman" w:hAnsi="Palatino Linotype" w:cs="Arial"/>
          <w:bCs/>
          <w:lang w:eastAsia="es-ES"/>
        </w:rPr>
        <w:t>ón Residencial Rural 1 (RR1) y R</w:t>
      </w:r>
      <w:r w:rsidRPr="00B90328">
        <w:rPr>
          <w:rFonts w:ascii="Palatino Linotype" w:eastAsia="Times New Roman" w:hAnsi="Palatino Linotype" w:cs="Arial"/>
          <w:bCs/>
          <w:lang w:eastAsia="es-ES"/>
        </w:rPr>
        <w:t>esidencial Rural 2 (RR2) por el PMOT u otros instrumentos de planificación. En urbanizaciones, la  división del suelo contemplará más de diez lotes, además del correspondiente al de las áreas de equipamiento comunal y áreas verdes</w:t>
      </w:r>
      <w:r w:rsidR="00CF35EE" w:rsidRPr="00B90328">
        <w:rPr>
          <w:rFonts w:ascii="Palatino Linotype" w:eastAsia="Times New Roman" w:hAnsi="Palatino Linotype" w:cs="Arial"/>
          <w:bCs/>
          <w:lang w:eastAsia="es-ES"/>
        </w:rPr>
        <w:t>;</w:t>
      </w:r>
    </w:p>
    <w:p w:rsidR="00B21E4E" w:rsidRPr="00B90328" w:rsidRDefault="00B21E4E" w:rsidP="00CF35EE">
      <w:pPr>
        <w:spacing w:after="120"/>
        <w:ind w:left="709" w:hanging="709"/>
        <w:jc w:val="both"/>
        <w:rPr>
          <w:rFonts w:ascii="Palatino Linotype" w:eastAsia="Times New Roman" w:hAnsi="Palatino Linotype" w:cs="Arial"/>
          <w:bCs/>
          <w:lang w:eastAsia="es-ES"/>
        </w:rPr>
      </w:pPr>
      <w:r w:rsidRPr="00B90328">
        <w:rPr>
          <w:rFonts w:ascii="Palatino Linotype" w:eastAsia="Times New Roman" w:hAnsi="Palatino Linotype" w:cs="Tahoma"/>
          <w:b/>
          <w:lang w:val="es-EC" w:eastAsia="es-ES"/>
        </w:rPr>
        <w:t xml:space="preserve">Que,   </w:t>
      </w:r>
      <w:r w:rsidRPr="00B90328">
        <w:rPr>
          <w:rFonts w:ascii="Palatino Linotype" w:eastAsia="Times New Roman" w:hAnsi="Palatino Linotype" w:cs="Tahoma"/>
          <w:lang w:val="es-EC" w:eastAsia="es-ES"/>
        </w:rPr>
        <w:t>el artículo 36, letra a) de la Ordenanza Metropolitana No. 156, manifiesta: “</w:t>
      </w:r>
      <w:r w:rsidRPr="00B90328">
        <w:rPr>
          <w:rFonts w:ascii="Palatino Linotype" w:eastAsia="Times New Roman" w:hAnsi="Palatino Linotype" w:cs="Tahoma"/>
          <w:i/>
          <w:lang w:val="es-EC" w:eastAsia="es-ES"/>
        </w:rPr>
        <w:t>La Secretaría de Territorio, Hábitat y Vivienda es el órgano competente en materia de LMU (10) dentro del procedimiento especial, para el caso de Urbanizaciones, Subdivisiones Especiales y Reestructuraciones Parcelarias Especiales. Emitirá el informe para el Concejo Metropolitano de Quito, efectuando las recomendaciones técnicas que se consideren aplicables al caso, previa la expedición de la Ordenanza respectiva.</w:t>
      </w:r>
      <w:r w:rsidRPr="00B90328">
        <w:rPr>
          <w:rFonts w:ascii="Palatino Linotype" w:eastAsia="Times New Roman" w:hAnsi="Palatino Linotype" w:cs="Tahoma"/>
          <w:lang w:val="es-EC" w:eastAsia="es-ES"/>
        </w:rPr>
        <w:t>”</w:t>
      </w:r>
      <w:r w:rsidR="00CF35EE" w:rsidRPr="00B90328">
        <w:rPr>
          <w:rFonts w:ascii="Palatino Linotype" w:eastAsia="Times New Roman" w:hAnsi="Palatino Linotype" w:cs="Tahoma"/>
          <w:lang w:val="es-EC" w:eastAsia="es-ES"/>
        </w:rPr>
        <w:t>;</w:t>
      </w:r>
    </w:p>
    <w:p w:rsidR="00367CBC" w:rsidRPr="00B90328" w:rsidRDefault="00367CBC" w:rsidP="00CF35EE">
      <w:pPr>
        <w:spacing w:after="120"/>
        <w:ind w:left="709" w:hanging="709"/>
        <w:jc w:val="both"/>
        <w:rPr>
          <w:rFonts w:ascii="Palatino Linotype" w:eastAsia="Times New Roman" w:hAnsi="Palatino Linotype" w:cs="Tahoma"/>
          <w:lang w:val="es-EC" w:eastAsia="es-ES"/>
        </w:rPr>
      </w:pPr>
      <w:r w:rsidRPr="00B90328">
        <w:rPr>
          <w:rFonts w:ascii="Palatino Linotype" w:eastAsia="Times New Roman" w:hAnsi="Palatino Linotype" w:cs="Tahoma"/>
          <w:b/>
          <w:lang w:val="es-EC" w:eastAsia="es-ES"/>
        </w:rPr>
        <w:t>Que,</w:t>
      </w:r>
      <w:r w:rsidR="00A4432E" w:rsidRPr="00B90328">
        <w:rPr>
          <w:rFonts w:ascii="Palatino Linotype" w:eastAsia="Times New Roman" w:hAnsi="Palatino Linotype" w:cs="Tahoma"/>
          <w:lang w:val="es-EC" w:eastAsia="es-ES"/>
        </w:rPr>
        <w:t xml:space="preserve"> </w:t>
      </w:r>
      <w:r w:rsidR="00A4432E" w:rsidRPr="00B90328">
        <w:rPr>
          <w:rFonts w:ascii="Palatino Linotype" w:eastAsia="Times New Roman" w:hAnsi="Palatino Linotype" w:cs="Tahoma"/>
          <w:lang w:val="es-EC" w:eastAsia="es-ES"/>
        </w:rPr>
        <w:tab/>
        <w:t>l</w:t>
      </w:r>
      <w:r w:rsidRPr="00B90328">
        <w:rPr>
          <w:rFonts w:ascii="Palatino Linotype" w:eastAsia="Times New Roman" w:hAnsi="Palatino Linotype" w:cs="Tahoma"/>
          <w:lang w:val="es-EC" w:eastAsia="es-ES"/>
        </w:rPr>
        <w:t>a Ordenanza Metropolitana No. 0156 reformada por la Ordenanza Metropolitana No.</w:t>
      </w:r>
      <w:r w:rsidR="00106061" w:rsidRPr="00B90328">
        <w:rPr>
          <w:rFonts w:ascii="Palatino Linotype" w:eastAsia="Times New Roman" w:hAnsi="Palatino Linotype" w:cs="Tahoma"/>
          <w:lang w:val="es-EC" w:eastAsia="es-ES"/>
        </w:rPr>
        <w:t xml:space="preserve"> 0433, que establece el Régimen Administrativo del Suelo en el Distrito Metropolitano de Quito: De las Licencias Metropolitanas Urbanísticas, Art. 33, Numeral 3, determina: “</w:t>
      </w:r>
      <w:r w:rsidR="00106061" w:rsidRPr="00B90328">
        <w:rPr>
          <w:rFonts w:ascii="Palatino Linotype" w:eastAsia="Times New Roman" w:hAnsi="Palatino Linotype" w:cs="Tahoma"/>
          <w:i/>
          <w:lang w:val="es-EC" w:eastAsia="es-ES"/>
        </w:rPr>
        <w:t>En las urbanizaciones de interés social de desarrollo progresivo efectuadas por organizaciones sociales aprobadas por el Ministerio sectorial competente únicamente servirán como garantía de ejecución de las obras la hipoteca de los lotes.</w:t>
      </w:r>
      <w:r w:rsidR="00106061" w:rsidRPr="00B90328">
        <w:rPr>
          <w:rFonts w:ascii="Palatino Linotype" w:eastAsia="Times New Roman" w:hAnsi="Palatino Linotype" w:cs="Tahoma"/>
          <w:lang w:val="es-EC" w:eastAsia="es-ES"/>
        </w:rPr>
        <w:t>”</w:t>
      </w:r>
      <w:r w:rsidR="00CF35EE" w:rsidRPr="00B90328">
        <w:rPr>
          <w:rFonts w:ascii="Palatino Linotype" w:eastAsia="Times New Roman" w:hAnsi="Palatino Linotype" w:cs="Tahoma"/>
          <w:lang w:val="es-EC" w:eastAsia="es-ES"/>
        </w:rPr>
        <w:t>; y,</w:t>
      </w:r>
    </w:p>
    <w:p w:rsidR="00B21E4E" w:rsidRPr="00B90328" w:rsidRDefault="00B21E4E" w:rsidP="00CF35EE">
      <w:pPr>
        <w:spacing w:after="120"/>
        <w:ind w:left="709" w:hanging="709"/>
        <w:jc w:val="both"/>
        <w:rPr>
          <w:rFonts w:ascii="Palatino Linotype" w:eastAsia="Times New Roman" w:hAnsi="Palatino Linotype" w:cs="Tahoma"/>
          <w:lang w:val="es-EC" w:eastAsia="es-ES"/>
        </w:rPr>
      </w:pPr>
      <w:r w:rsidRPr="00B90328">
        <w:rPr>
          <w:rFonts w:ascii="Palatino Linotype" w:eastAsia="Times New Roman" w:hAnsi="Palatino Linotype" w:cs="Tahoma"/>
          <w:b/>
          <w:lang w:val="es-EC" w:eastAsia="es-ES"/>
        </w:rPr>
        <w:t>Que,</w:t>
      </w:r>
      <w:r w:rsidRPr="00B90328">
        <w:rPr>
          <w:rFonts w:ascii="Palatino Linotype" w:eastAsia="Times New Roman" w:hAnsi="Palatino Linotype" w:cs="Tahoma"/>
          <w:lang w:val="es-EC" w:eastAsia="es-ES"/>
        </w:rPr>
        <w:t xml:space="preserve"> </w:t>
      </w:r>
      <w:r w:rsidRPr="00B90328">
        <w:rPr>
          <w:rFonts w:ascii="Palatino Linotype" w:eastAsia="Times New Roman" w:hAnsi="Palatino Linotype" w:cs="Tahoma"/>
          <w:lang w:val="es-EC" w:eastAsia="es-ES"/>
        </w:rPr>
        <w:tab/>
      </w:r>
      <w:r w:rsidR="00A4432E" w:rsidRPr="00B90328">
        <w:rPr>
          <w:rFonts w:ascii="Palatino Linotype" w:eastAsia="Times New Roman" w:hAnsi="Palatino Linotype" w:cs="Tahoma"/>
          <w:lang w:val="es-EC" w:eastAsia="es-ES"/>
        </w:rPr>
        <w:t>l</w:t>
      </w:r>
      <w:r w:rsidR="00FC54F4" w:rsidRPr="00B90328">
        <w:rPr>
          <w:rFonts w:ascii="Palatino Linotype" w:eastAsia="Times New Roman" w:hAnsi="Palatino Linotype" w:cs="Tahoma"/>
          <w:lang w:val="es-EC" w:eastAsia="es-ES"/>
        </w:rPr>
        <w:t>a Secretarí</w:t>
      </w:r>
      <w:r w:rsidRPr="00B90328">
        <w:rPr>
          <w:rFonts w:ascii="Palatino Linotype" w:eastAsia="Times New Roman" w:hAnsi="Palatino Linotype" w:cs="Tahoma"/>
          <w:lang w:val="es-EC" w:eastAsia="es-ES"/>
        </w:rPr>
        <w:t>a de Territorio, Hábitat y Vivienda ha emitido el informe técnico constante en oficio No. 0721</w:t>
      </w:r>
      <w:r w:rsidR="00CF35EE" w:rsidRPr="00B90328">
        <w:rPr>
          <w:rFonts w:ascii="Palatino Linotype" w:eastAsia="Times New Roman" w:hAnsi="Palatino Linotype" w:cs="Tahoma"/>
          <w:lang w:val="es-EC" w:eastAsia="es-ES"/>
        </w:rPr>
        <w:t>,</w:t>
      </w:r>
      <w:r w:rsidRPr="00B90328">
        <w:rPr>
          <w:rFonts w:ascii="Palatino Linotype" w:eastAsia="Times New Roman" w:hAnsi="Palatino Linotype" w:cs="Tahoma"/>
          <w:lang w:val="es-EC" w:eastAsia="es-ES"/>
        </w:rPr>
        <w:t xml:space="preserve"> de 14 de febrero de 2017.</w:t>
      </w:r>
    </w:p>
    <w:p w:rsidR="00B21E4E" w:rsidRPr="00B90328" w:rsidRDefault="00B21E4E" w:rsidP="00CF35EE">
      <w:pPr>
        <w:spacing w:after="120"/>
        <w:jc w:val="both"/>
        <w:rPr>
          <w:rFonts w:ascii="Palatino Linotype" w:eastAsia="Times New Roman" w:hAnsi="Palatino Linotype" w:cs="Tahoma"/>
          <w:b/>
          <w:lang w:val="es-EC" w:eastAsia="es-ES"/>
        </w:rPr>
      </w:pPr>
      <w:r w:rsidRPr="00B90328">
        <w:rPr>
          <w:rFonts w:ascii="Palatino Linotype" w:eastAsia="Times New Roman" w:hAnsi="Palatino Linotype" w:cs="Tahoma"/>
          <w:b/>
          <w:lang w:val="es-EC" w:eastAsia="es-ES"/>
        </w:rPr>
        <w:t>En ejercicio de sus atribuciones legales constantes en los artículos 240 y 264 numerales 1 y 2 de Constitución de la República;  54 y 84 literal c), 57 literales a), x), 87 literales a) y v) y 322 del Código Orgánico de Organización Territorial, Autonomía y Descentralización; 2 numeral 1, 8  numeral 1 de la Ley Orgánica de Régimen para el Distrito Metropolitano de Quito; 36 de la Ordenanza Metropolitana No. 156; y, 69 de la Ordenanza Metropolitana 172.</w:t>
      </w:r>
    </w:p>
    <w:p w:rsidR="00B21E4E" w:rsidRPr="00B90328" w:rsidRDefault="00B21E4E" w:rsidP="00CF35EE">
      <w:pPr>
        <w:pStyle w:val="Textopredeterminado"/>
        <w:spacing w:after="120" w:line="276" w:lineRule="auto"/>
        <w:jc w:val="center"/>
        <w:rPr>
          <w:rFonts w:ascii="Palatino Linotype" w:hAnsi="Palatino Linotype"/>
          <w:b/>
          <w:sz w:val="22"/>
          <w:szCs w:val="22"/>
        </w:rPr>
      </w:pPr>
      <w:r w:rsidRPr="00B90328">
        <w:rPr>
          <w:rFonts w:ascii="Palatino Linotype" w:hAnsi="Palatino Linotype"/>
          <w:b/>
          <w:sz w:val="22"/>
          <w:szCs w:val="22"/>
        </w:rPr>
        <w:t>EXPIDE</w:t>
      </w:r>
      <w:r w:rsidR="00CF35EE" w:rsidRPr="00B90328">
        <w:rPr>
          <w:rFonts w:ascii="Palatino Linotype" w:hAnsi="Palatino Linotype"/>
          <w:b/>
          <w:sz w:val="22"/>
          <w:szCs w:val="22"/>
        </w:rPr>
        <w:t xml:space="preserve"> LA SIGUIENTE:</w:t>
      </w:r>
    </w:p>
    <w:p w:rsidR="00B21E4E" w:rsidRPr="00B90328" w:rsidRDefault="00B21E4E" w:rsidP="00CF35EE">
      <w:pPr>
        <w:pStyle w:val="Textopredeterminado"/>
        <w:spacing w:after="120" w:line="276" w:lineRule="auto"/>
        <w:jc w:val="center"/>
        <w:rPr>
          <w:rFonts w:ascii="Palatino Linotype" w:hAnsi="Palatino Linotype"/>
          <w:sz w:val="22"/>
          <w:szCs w:val="22"/>
        </w:rPr>
      </w:pPr>
    </w:p>
    <w:p w:rsidR="00B21E4E" w:rsidRPr="00B90328" w:rsidRDefault="00B21E4E" w:rsidP="00CF35EE">
      <w:pPr>
        <w:pStyle w:val="Textopredeterminado"/>
        <w:spacing w:after="120" w:line="276" w:lineRule="auto"/>
        <w:jc w:val="center"/>
        <w:rPr>
          <w:rFonts w:ascii="Palatino Linotype" w:hAnsi="Palatino Linotype"/>
          <w:b/>
          <w:caps/>
          <w:sz w:val="22"/>
          <w:szCs w:val="22"/>
        </w:rPr>
      </w:pPr>
      <w:r w:rsidRPr="00B90328">
        <w:rPr>
          <w:rFonts w:ascii="Palatino Linotype" w:hAnsi="Palatino Linotype"/>
          <w:b/>
          <w:caps/>
          <w:sz w:val="22"/>
          <w:szCs w:val="22"/>
        </w:rPr>
        <w:lastRenderedPageBreak/>
        <w:t>ordenanza DE APROBACIÓN DE LA URBANIZACIÓN DE INTERÉS SOCIAL “COMITÉ PRO MEJORAS VISTA HERMOSA”</w:t>
      </w:r>
    </w:p>
    <w:p w:rsidR="00CF35EE" w:rsidRPr="00B90328" w:rsidRDefault="00B21E4E" w:rsidP="00CF35EE">
      <w:pPr>
        <w:pStyle w:val="Textopredeterminado"/>
        <w:spacing w:after="120" w:line="276" w:lineRule="auto"/>
        <w:jc w:val="both"/>
        <w:rPr>
          <w:rFonts w:ascii="Palatino Linotype" w:hAnsi="Palatino Linotype"/>
          <w:sz w:val="22"/>
          <w:szCs w:val="22"/>
        </w:rPr>
      </w:pPr>
      <w:r w:rsidRPr="00B90328">
        <w:rPr>
          <w:rFonts w:ascii="Palatino Linotype" w:hAnsi="Palatino Linotype"/>
          <w:b/>
          <w:sz w:val="22"/>
          <w:szCs w:val="22"/>
        </w:rPr>
        <w:t>Art</w:t>
      </w:r>
      <w:r w:rsidR="00CF35EE" w:rsidRPr="00B90328">
        <w:rPr>
          <w:rFonts w:ascii="Palatino Linotype" w:hAnsi="Palatino Linotype"/>
          <w:b/>
          <w:sz w:val="22"/>
          <w:szCs w:val="22"/>
        </w:rPr>
        <w:t>ículo</w:t>
      </w:r>
      <w:r w:rsidRPr="00B90328">
        <w:rPr>
          <w:rFonts w:ascii="Palatino Linotype" w:hAnsi="Palatino Linotype"/>
          <w:b/>
          <w:sz w:val="22"/>
          <w:szCs w:val="22"/>
        </w:rPr>
        <w:t xml:space="preserve"> 1.- </w:t>
      </w:r>
      <w:r w:rsidRPr="00B90328">
        <w:rPr>
          <w:rFonts w:ascii="Palatino Linotype" w:hAnsi="Palatino Linotype"/>
          <w:sz w:val="22"/>
          <w:szCs w:val="22"/>
        </w:rPr>
        <w:t>La Urbanización de  Interés Social “Comité Pro Mejoras Vista Hermosa”, se regirá por los siguientes datos y especificaciones técnicas:</w:t>
      </w:r>
    </w:p>
    <w:p w:rsidR="00CF35EE" w:rsidRPr="00B90328" w:rsidRDefault="00CF35EE" w:rsidP="00CF35EE">
      <w:pPr>
        <w:pStyle w:val="Textopredeterminado"/>
        <w:spacing w:after="120" w:line="276" w:lineRule="auto"/>
        <w:ind w:left="3540" w:hanging="3540"/>
        <w:jc w:val="both"/>
        <w:rPr>
          <w:rFonts w:ascii="Palatino Linotype" w:hAnsi="Palatino Linotype" w:cs="Tahoma"/>
          <w:sz w:val="22"/>
          <w:szCs w:val="22"/>
        </w:rPr>
      </w:pPr>
      <w:r w:rsidRPr="00B90328">
        <w:rPr>
          <w:rFonts w:ascii="Palatino Linotype" w:hAnsi="Palatino Linotype" w:cs="Tahoma"/>
          <w:b/>
          <w:sz w:val="22"/>
          <w:szCs w:val="22"/>
        </w:rPr>
        <w:t>Propietarios:</w:t>
      </w:r>
      <w:r w:rsidR="00B90328">
        <w:rPr>
          <w:rFonts w:ascii="Palatino Linotype" w:hAnsi="Palatino Linotype" w:cs="Tahoma"/>
          <w:sz w:val="22"/>
          <w:szCs w:val="22"/>
        </w:rPr>
        <w:tab/>
      </w:r>
      <w:r w:rsidR="00B21E4E" w:rsidRPr="00B90328">
        <w:rPr>
          <w:rFonts w:ascii="Palatino Linotype" w:hAnsi="Palatino Linotype" w:cs="Tahoma"/>
          <w:sz w:val="22"/>
          <w:szCs w:val="22"/>
        </w:rPr>
        <w:t xml:space="preserve">Comité </w:t>
      </w:r>
      <w:proofErr w:type="spellStart"/>
      <w:r w:rsidR="00B21E4E" w:rsidRPr="00B90328">
        <w:rPr>
          <w:rFonts w:ascii="Palatino Linotype" w:hAnsi="Palatino Linotype" w:cs="Tahoma"/>
          <w:sz w:val="22"/>
          <w:szCs w:val="22"/>
        </w:rPr>
        <w:t>Promejoras</w:t>
      </w:r>
      <w:proofErr w:type="spellEnd"/>
      <w:r w:rsidR="00B21E4E" w:rsidRPr="00B90328">
        <w:rPr>
          <w:rFonts w:ascii="Palatino Linotype" w:hAnsi="Palatino Linotype" w:cs="Tahoma"/>
          <w:sz w:val="22"/>
          <w:szCs w:val="22"/>
        </w:rPr>
        <w:t xml:space="preserve"> Barrio “Vista Hermosa de Monjas”</w:t>
      </w:r>
    </w:p>
    <w:p w:rsidR="00CF35EE" w:rsidRPr="00B90328" w:rsidRDefault="00B21E4E" w:rsidP="00CF35EE">
      <w:pPr>
        <w:pStyle w:val="Textopredeterminado"/>
        <w:spacing w:after="120" w:line="276" w:lineRule="auto"/>
        <w:jc w:val="both"/>
        <w:rPr>
          <w:rFonts w:ascii="Palatino Linotype" w:hAnsi="Palatino Linotype" w:cs="Tahoma"/>
          <w:sz w:val="22"/>
          <w:szCs w:val="22"/>
        </w:rPr>
      </w:pPr>
      <w:r w:rsidRPr="00B90328">
        <w:rPr>
          <w:rFonts w:ascii="Palatino Linotype" w:hAnsi="Palatino Linotype" w:cs="Tahoma"/>
          <w:b/>
          <w:sz w:val="22"/>
          <w:szCs w:val="22"/>
        </w:rPr>
        <w:t>No. P</w:t>
      </w:r>
      <w:r w:rsidR="00CF35EE" w:rsidRPr="00B90328">
        <w:rPr>
          <w:rFonts w:ascii="Palatino Linotype" w:hAnsi="Palatino Linotype" w:cs="Tahoma"/>
          <w:b/>
          <w:sz w:val="22"/>
          <w:szCs w:val="22"/>
        </w:rPr>
        <w:t>redio</w:t>
      </w:r>
      <w:r w:rsidRPr="00B90328">
        <w:rPr>
          <w:rFonts w:ascii="Palatino Linotype" w:hAnsi="Palatino Linotype" w:cs="Tahoma"/>
          <w:b/>
          <w:sz w:val="22"/>
          <w:szCs w:val="22"/>
        </w:rPr>
        <w:t>:</w:t>
      </w:r>
      <w:r w:rsidRPr="00B90328">
        <w:rPr>
          <w:rFonts w:ascii="Palatino Linotype" w:hAnsi="Palatino Linotype" w:cs="Tahoma"/>
          <w:sz w:val="22"/>
          <w:szCs w:val="22"/>
        </w:rPr>
        <w:tab/>
      </w:r>
      <w:r w:rsidRPr="00B90328">
        <w:rPr>
          <w:rFonts w:ascii="Palatino Linotype" w:hAnsi="Palatino Linotype" w:cs="Tahoma"/>
          <w:sz w:val="22"/>
          <w:szCs w:val="22"/>
        </w:rPr>
        <w:tab/>
        <w:t xml:space="preserve">       </w:t>
      </w:r>
      <w:r w:rsidR="00CF35EE" w:rsidRPr="00B90328">
        <w:rPr>
          <w:rFonts w:ascii="Palatino Linotype" w:hAnsi="Palatino Linotype" w:cs="Tahoma"/>
          <w:sz w:val="22"/>
          <w:szCs w:val="22"/>
        </w:rPr>
        <w:tab/>
      </w:r>
      <w:r w:rsidR="00CF35EE" w:rsidRPr="00B90328">
        <w:rPr>
          <w:rFonts w:ascii="Palatino Linotype" w:hAnsi="Palatino Linotype" w:cs="Tahoma"/>
          <w:sz w:val="22"/>
          <w:szCs w:val="22"/>
        </w:rPr>
        <w:tab/>
      </w:r>
      <w:r w:rsidRPr="00B90328">
        <w:rPr>
          <w:rFonts w:ascii="Palatino Linotype" w:hAnsi="Palatino Linotype" w:cs="Tahoma"/>
          <w:sz w:val="22"/>
          <w:szCs w:val="22"/>
        </w:rPr>
        <w:t>372495</w:t>
      </w:r>
    </w:p>
    <w:p w:rsidR="00CF35EE" w:rsidRPr="00B90328" w:rsidRDefault="00CF35EE" w:rsidP="00CF35EE">
      <w:pPr>
        <w:pStyle w:val="Textopredeterminado"/>
        <w:spacing w:after="120" w:line="276" w:lineRule="auto"/>
        <w:jc w:val="both"/>
        <w:rPr>
          <w:rFonts w:ascii="Palatino Linotype" w:hAnsi="Palatino Linotype" w:cs="Tahoma"/>
          <w:sz w:val="22"/>
          <w:szCs w:val="22"/>
        </w:rPr>
      </w:pPr>
      <w:r w:rsidRPr="00B90328">
        <w:rPr>
          <w:rFonts w:ascii="Palatino Linotype" w:hAnsi="Palatino Linotype" w:cs="Tahoma"/>
          <w:b/>
          <w:sz w:val="22"/>
          <w:szCs w:val="22"/>
        </w:rPr>
        <w:t xml:space="preserve">Clave catastral:    </w:t>
      </w:r>
      <w:r w:rsidRPr="00B90328">
        <w:rPr>
          <w:rFonts w:ascii="Palatino Linotype" w:hAnsi="Palatino Linotype" w:cs="Tahoma"/>
          <w:b/>
          <w:sz w:val="22"/>
          <w:szCs w:val="22"/>
        </w:rPr>
        <w:tab/>
      </w:r>
      <w:r w:rsidRPr="00B90328">
        <w:rPr>
          <w:rFonts w:ascii="Palatino Linotype" w:hAnsi="Palatino Linotype" w:cs="Tahoma"/>
          <w:b/>
          <w:sz w:val="22"/>
          <w:szCs w:val="22"/>
        </w:rPr>
        <w:tab/>
      </w:r>
      <w:r w:rsidRPr="00B90328">
        <w:rPr>
          <w:rFonts w:ascii="Palatino Linotype" w:hAnsi="Palatino Linotype" w:cs="Tahoma"/>
          <w:b/>
          <w:sz w:val="22"/>
          <w:szCs w:val="22"/>
        </w:rPr>
        <w:tab/>
      </w:r>
      <w:r w:rsidR="00B21E4E" w:rsidRPr="00B90328">
        <w:rPr>
          <w:rFonts w:ascii="Palatino Linotype" w:hAnsi="Palatino Linotype" w:cs="Tahoma"/>
          <w:sz w:val="22"/>
          <w:szCs w:val="22"/>
        </w:rPr>
        <w:t>20006-06-001</w:t>
      </w:r>
    </w:p>
    <w:p w:rsidR="00CF35EE" w:rsidRPr="00B90328" w:rsidRDefault="00CF35EE" w:rsidP="00CF35EE">
      <w:pPr>
        <w:pStyle w:val="Textopredeterminado"/>
        <w:spacing w:after="120" w:line="276" w:lineRule="auto"/>
        <w:jc w:val="both"/>
        <w:rPr>
          <w:rFonts w:ascii="Palatino Linotype" w:hAnsi="Palatino Linotype" w:cs="Tahoma"/>
          <w:sz w:val="22"/>
          <w:szCs w:val="22"/>
        </w:rPr>
      </w:pPr>
      <w:r w:rsidRPr="00B90328">
        <w:rPr>
          <w:rFonts w:ascii="Palatino Linotype" w:hAnsi="Palatino Linotype" w:cs="Tahoma"/>
          <w:b/>
          <w:sz w:val="22"/>
          <w:szCs w:val="22"/>
        </w:rPr>
        <w:t>Sector/Barrio</w:t>
      </w:r>
      <w:r w:rsidR="00B21E4E" w:rsidRPr="00B90328">
        <w:rPr>
          <w:rFonts w:ascii="Palatino Linotype" w:hAnsi="Palatino Linotype" w:cs="Tahoma"/>
          <w:sz w:val="22"/>
          <w:szCs w:val="22"/>
        </w:rPr>
        <w:t>:</w:t>
      </w:r>
      <w:r w:rsidR="00B21E4E" w:rsidRPr="00B90328">
        <w:rPr>
          <w:rFonts w:ascii="Palatino Linotype" w:hAnsi="Palatino Linotype" w:cs="Tahoma"/>
          <w:sz w:val="22"/>
          <w:szCs w:val="22"/>
        </w:rPr>
        <w:tab/>
        <w:t xml:space="preserve">      </w:t>
      </w:r>
      <w:r w:rsidRPr="00B90328">
        <w:rPr>
          <w:rFonts w:ascii="Palatino Linotype" w:hAnsi="Palatino Linotype" w:cs="Tahoma"/>
          <w:sz w:val="22"/>
          <w:szCs w:val="22"/>
        </w:rPr>
        <w:tab/>
      </w:r>
      <w:r w:rsidRPr="00B90328">
        <w:rPr>
          <w:rFonts w:ascii="Palatino Linotype" w:hAnsi="Palatino Linotype" w:cs="Tahoma"/>
          <w:sz w:val="22"/>
          <w:szCs w:val="22"/>
        </w:rPr>
        <w:tab/>
      </w:r>
      <w:r w:rsidRPr="00B90328">
        <w:rPr>
          <w:rFonts w:ascii="Palatino Linotype" w:hAnsi="Palatino Linotype" w:cs="Tahoma"/>
          <w:sz w:val="22"/>
          <w:szCs w:val="22"/>
        </w:rPr>
        <w:tab/>
      </w:r>
      <w:r w:rsidR="00B21E4E" w:rsidRPr="00B90328">
        <w:rPr>
          <w:rFonts w:ascii="Palatino Linotype" w:hAnsi="Palatino Linotype" w:cs="Tahoma"/>
          <w:sz w:val="22"/>
          <w:szCs w:val="22"/>
        </w:rPr>
        <w:t>Sector Monjas</w:t>
      </w:r>
    </w:p>
    <w:p w:rsidR="00CF35EE" w:rsidRPr="00B90328" w:rsidRDefault="00CF35EE" w:rsidP="00CF35EE">
      <w:pPr>
        <w:pStyle w:val="Textopredeterminado"/>
        <w:spacing w:after="120" w:line="276" w:lineRule="auto"/>
        <w:jc w:val="both"/>
        <w:rPr>
          <w:rFonts w:ascii="Palatino Linotype" w:hAnsi="Palatino Linotype" w:cs="Tahoma"/>
          <w:sz w:val="22"/>
          <w:szCs w:val="22"/>
        </w:rPr>
      </w:pPr>
      <w:r w:rsidRPr="00B90328">
        <w:rPr>
          <w:rFonts w:ascii="Palatino Linotype" w:hAnsi="Palatino Linotype" w:cs="Tahoma"/>
          <w:b/>
          <w:sz w:val="22"/>
          <w:szCs w:val="22"/>
        </w:rPr>
        <w:t>Parroquia:</w:t>
      </w:r>
      <w:r w:rsidR="00B21E4E" w:rsidRPr="00B90328">
        <w:rPr>
          <w:rFonts w:ascii="Palatino Linotype" w:hAnsi="Palatino Linotype" w:cs="Tahoma"/>
          <w:sz w:val="22"/>
          <w:szCs w:val="22"/>
        </w:rPr>
        <w:tab/>
      </w:r>
      <w:r w:rsidR="00B21E4E" w:rsidRPr="00B90328">
        <w:rPr>
          <w:rFonts w:ascii="Palatino Linotype" w:hAnsi="Palatino Linotype" w:cs="Tahoma"/>
          <w:sz w:val="22"/>
          <w:szCs w:val="22"/>
        </w:rPr>
        <w:tab/>
        <w:t xml:space="preserve">      </w:t>
      </w:r>
      <w:r w:rsidRPr="00B90328">
        <w:rPr>
          <w:rFonts w:ascii="Palatino Linotype" w:hAnsi="Palatino Linotype" w:cs="Tahoma"/>
          <w:sz w:val="22"/>
          <w:szCs w:val="22"/>
        </w:rPr>
        <w:tab/>
      </w:r>
      <w:r w:rsidRPr="00B90328">
        <w:rPr>
          <w:rFonts w:ascii="Palatino Linotype" w:hAnsi="Palatino Linotype" w:cs="Tahoma"/>
          <w:sz w:val="22"/>
          <w:szCs w:val="22"/>
        </w:rPr>
        <w:tab/>
      </w:r>
      <w:proofErr w:type="spellStart"/>
      <w:r w:rsidR="00B21E4E" w:rsidRPr="00B90328">
        <w:rPr>
          <w:rFonts w:ascii="Palatino Linotype" w:hAnsi="Palatino Linotype" w:cs="Tahoma"/>
          <w:sz w:val="22"/>
          <w:szCs w:val="22"/>
        </w:rPr>
        <w:t>Puengasí</w:t>
      </w:r>
      <w:proofErr w:type="spellEnd"/>
    </w:p>
    <w:p w:rsidR="00CF35EE" w:rsidRPr="00B90328" w:rsidRDefault="00CF35EE" w:rsidP="00CF35EE">
      <w:pPr>
        <w:pStyle w:val="Textopredeterminado"/>
        <w:spacing w:after="120" w:line="276" w:lineRule="auto"/>
        <w:jc w:val="both"/>
        <w:rPr>
          <w:rFonts w:ascii="Palatino Linotype" w:hAnsi="Palatino Linotype" w:cs="Tahoma"/>
          <w:sz w:val="22"/>
          <w:szCs w:val="22"/>
        </w:rPr>
      </w:pPr>
      <w:r w:rsidRPr="00B90328">
        <w:rPr>
          <w:rFonts w:ascii="Palatino Linotype" w:hAnsi="Palatino Linotype" w:cs="Tahoma"/>
          <w:b/>
          <w:sz w:val="22"/>
          <w:szCs w:val="22"/>
        </w:rPr>
        <w:t xml:space="preserve">Área total del terreno: </w:t>
      </w:r>
      <w:r w:rsidRPr="00B90328">
        <w:rPr>
          <w:rFonts w:ascii="Palatino Linotype" w:hAnsi="Palatino Linotype" w:cs="Tahoma"/>
          <w:b/>
          <w:sz w:val="22"/>
          <w:szCs w:val="22"/>
        </w:rPr>
        <w:tab/>
      </w:r>
      <w:r w:rsidRPr="00B90328">
        <w:rPr>
          <w:rFonts w:ascii="Palatino Linotype" w:hAnsi="Palatino Linotype" w:cs="Tahoma"/>
          <w:b/>
          <w:sz w:val="22"/>
          <w:szCs w:val="22"/>
        </w:rPr>
        <w:tab/>
      </w:r>
      <w:r w:rsidR="00B21E4E" w:rsidRPr="00B90328">
        <w:rPr>
          <w:rFonts w:ascii="Palatino Linotype" w:hAnsi="Palatino Linotype" w:cs="Tahoma"/>
          <w:sz w:val="22"/>
          <w:szCs w:val="22"/>
        </w:rPr>
        <w:t>18.162,00 m</w:t>
      </w:r>
      <w:r w:rsidR="00B21E4E" w:rsidRPr="00B90328">
        <w:rPr>
          <w:rFonts w:ascii="Palatino Linotype" w:hAnsi="Palatino Linotype" w:cs="Tahoma"/>
          <w:sz w:val="22"/>
          <w:szCs w:val="22"/>
          <w:vertAlign w:val="superscript"/>
        </w:rPr>
        <w:t>2</w:t>
      </w:r>
    </w:p>
    <w:p w:rsidR="00CF35EE" w:rsidRPr="00B90328" w:rsidRDefault="00CF35EE" w:rsidP="00CF35EE">
      <w:pPr>
        <w:pStyle w:val="Textopredeterminado"/>
        <w:spacing w:after="120" w:line="276" w:lineRule="auto"/>
        <w:jc w:val="both"/>
        <w:rPr>
          <w:rFonts w:ascii="Palatino Linotype" w:hAnsi="Palatino Linotype" w:cs="Tahoma"/>
          <w:b/>
          <w:sz w:val="22"/>
          <w:szCs w:val="22"/>
        </w:rPr>
      </w:pPr>
      <w:r w:rsidRPr="00B90328">
        <w:rPr>
          <w:rFonts w:ascii="Palatino Linotype" w:hAnsi="Palatino Linotype" w:cs="Tahoma"/>
          <w:b/>
          <w:sz w:val="22"/>
          <w:szCs w:val="22"/>
        </w:rPr>
        <w:t>Linderos:</w:t>
      </w:r>
    </w:p>
    <w:p w:rsidR="00CF35EE" w:rsidRPr="00B90328" w:rsidRDefault="00CF35EE" w:rsidP="00CF35EE">
      <w:pPr>
        <w:pStyle w:val="Textopredeterminado"/>
        <w:spacing w:after="120" w:line="276" w:lineRule="auto"/>
        <w:jc w:val="both"/>
        <w:rPr>
          <w:rFonts w:ascii="Palatino Linotype" w:hAnsi="Palatino Linotype" w:cs="Tahoma"/>
          <w:sz w:val="22"/>
          <w:szCs w:val="22"/>
        </w:rPr>
      </w:pPr>
      <w:r w:rsidRPr="00B90328">
        <w:rPr>
          <w:rFonts w:ascii="Palatino Linotype" w:hAnsi="Palatino Linotype" w:cs="Tahoma"/>
          <w:b/>
          <w:sz w:val="22"/>
          <w:szCs w:val="22"/>
        </w:rPr>
        <w:t>Norte:</w:t>
      </w:r>
      <w:r w:rsidR="00B21E4E" w:rsidRPr="00B90328">
        <w:rPr>
          <w:rFonts w:ascii="Palatino Linotype" w:hAnsi="Palatino Linotype" w:cs="Tahoma"/>
          <w:sz w:val="22"/>
          <w:szCs w:val="22"/>
        </w:rPr>
        <w:tab/>
        <w:t xml:space="preserve">                 </w:t>
      </w:r>
      <w:r w:rsidRPr="00B90328">
        <w:rPr>
          <w:rFonts w:ascii="Palatino Linotype" w:hAnsi="Palatino Linotype" w:cs="Tahoma"/>
          <w:sz w:val="22"/>
          <w:szCs w:val="22"/>
        </w:rPr>
        <w:tab/>
      </w:r>
      <w:r w:rsidRPr="00B90328">
        <w:rPr>
          <w:rFonts w:ascii="Palatino Linotype" w:hAnsi="Palatino Linotype" w:cs="Tahoma"/>
          <w:sz w:val="22"/>
          <w:szCs w:val="22"/>
        </w:rPr>
        <w:tab/>
      </w:r>
      <w:r w:rsidRPr="00B90328">
        <w:rPr>
          <w:rFonts w:ascii="Palatino Linotype" w:hAnsi="Palatino Linotype" w:cs="Tahoma"/>
          <w:sz w:val="22"/>
          <w:szCs w:val="22"/>
        </w:rPr>
        <w:tab/>
      </w:r>
      <w:r w:rsidR="00B90328">
        <w:rPr>
          <w:rFonts w:ascii="Palatino Linotype" w:hAnsi="Palatino Linotype" w:cs="Tahoma"/>
          <w:sz w:val="22"/>
          <w:szCs w:val="22"/>
        </w:rPr>
        <w:t>150,00 m. con q</w:t>
      </w:r>
      <w:r w:rsidR="00B21E4E" w:rsidRPr="00B90328">
        <w:rPr>
          <w:rFonts w:ascii="Palatino Linotype" w:hAnsi="Palatino Linotype" w:cs="Tahoma"/>
          <w:sz w:val="22"/>
          <w:szCs w:val="22"/>
        </w:rPr>
        <w:t>uebradilla</w:t>
      </w:r>
    </w:p>
    <w:p w:rsidR="00CF35EE" w:rsidRPr="00B90328" w:rsidRDefault="00B21E4E" w:rsidP="00CF35EE">
      <w:pPr>
        <w:pStyle w:val="Textopredeterminado"/>
        <w:spacing w:after="120" w:line="276" w:lineRule="auto"/>
        <w:jc w:val="both"/>
        <w:rPr>
          <w:rFonts w:ascii="Palatino Linotype" w:hAnsi="Palatino Linotype" w:cs="Tahoma"/>
          <w:sz w:val="22"/>
          <w:szCs w:val="22"/>
        </w:rPr>
      </w:pPr>
      <w:r w:rsidRPr="00B90328">
        <w:rPr>
          <w:rFonts w:ascii="Palatino Linotype" w:hAnsi="Palatino Linotype" w:cs="Tahoma"/>
          <w:b/>
          <w:sz w:val="22"/>
          <w:szCs w:val="22"/>
        </w:rPr>
        <w:t>S</w:t>
      </w:r>
      <w:r w:rsidR="00CF35EE" w:rsidRPr="00B90328">
        <w:rPr>
          <w:rFonts w:ascii="Palatino Linotype" w:hAnsi="Palatino Linotype" w:cs="Tahoma"/>
          <w:b/>
          <w:sz w:val="22"/>
          <w:szCs w:val="22"/>
        </w:rPr>
        <w:t>ur</w:t>
      </w:r>
      <w:r w:rsidRPr="00B90328">
        <w:rPr>
          <w:rFonts w:ascii="Palatino Linotype" w:hAnsi="Palatino Linotype" w:cs="Tahoma"/>
          <w:b/>
          <w:sz w:val="22"/>
          <w:szCs w:val="22"/>
        </w:rPr>
        <w:t>:</w:t>
      </w:r>
      <w:r w:rsidRPr="00B90328">
        <w:rPr>
          <w:rFonts w:ascii="Palatino Linotype" w:hAnsi="Palatino Linotype" w:cs="Tahoma"/>
          <w:sz w:val="22"/>
          <w:szCs w:val="22"/>
        </w:rPr>
        <w:tab/>
        <w:t xml:space="preserve">                             </w:t>
      </w:r>
      <w:r w:rsidR="00CF35EE" w:rsidRPr="00B90328">
        <w:rPr>
          <w:rFonts w:ascii="Palatino Linotype" w:hAnsi="Palatino Linotype" w:cs="Tahoma"/>
          <w:sz w:val="22"/>
          <w:szCs w:val="22"/>
        </w:rPr>
        <w:tab/>
      </w:r>
      <w:r w:rsidR="00CF35EE" w:rsidRPr="00B90328">
        <w:rPr>
          <w:rFonts w:ascii="Palatino Linotype" w:hAnsi="Palatino Linotype" w:cs="Tahoma"/>
          <w:sz w:val="22"/>
          <w:szCs w:val="22"/>
        </w:rPr>
        <w:tab/>
      </w:r>
      <w:r w:rsidR="00B90328">
        <w:rPr>
          <w:rFonts w:ascii="Palatino Linotype" w:hAnsi="Palatino Linotype" w:cs="Tahoma"/>
          <w:sz w:val="22"/>
          <w:szCs w:val="22"/>
        </w:rPr>
        <w:t>98,00 m. con q</w:t>
      </w:r>
      <w:r w:rsidRPr="00B90328">
        <w:rPr>
          <w:rFonts w:ascii="Palatino Linotype" w:hAnsi="Palatino Linotype" w:cs="Tahoma"/>
          <w:sz w:val="22"/>
          <w:szCs w:val="22"/>
        </w:rPr>
        <w:t>uebradilla</w:t>
      </w:r>
    </w:p>
    <w:p w:rsidR="00CF35EE" w:rsidRPr="00B90328" w:rsidRDefault="00B21E4E" w:rsidP="00CF35EE">
      <w:pPr>
        <w:pStyle w:val="Textopredeterminado"/>
        <w:spacing w:after="120" w:line="276" w:lineRule="auto"/>
        <w:jc w:val="both"/>
        <w:rPr>
          <w:rFonts w:ascii="Palatino Linotype" w:hAnsi="Palatino Linotype" w:cs="Tahoma"/>
          <w:sz w:val="22"/>
          <w:szCs w:val="22"/>
        </w:rPr>
      </w:pPr>
      <w:r w:rsidRPr="00B90328">
        <w:rPr>
          <w:rFonts w:ascii="Palatino Linotype" w:hAnsi="Palatino Linotype" w:cs="Tahoma"/>
          <w:b/>
          <w:sz w:val="22"/>
          <w:szCs w:val="22"/>
        </w:rPr>
        <w:t>E</w:t>
      </w:r>
      <w:r w:rsidR="00CF35EE" w:rsidRPr="00B90328">
        <w:rPr>
          <w:rFonts w:ascii="Palatino Linotype" w:hAnsi="Palatino Linotype" w:cs="Tahoma"/>
          <w:b/>
          <w:sz w:val="22"/>
          <w:szCs w:val="22"/>
        </w:rPr>
        <w:t>ste</w:t>
      </w:r>
      <w:r w:rsidRPr="00B90328">
        <w:rPr>
          <w:rFonts w:ascii="Palatino Linotype" w:hAnsi="Palatino Linotype" w:cs="Tahoma"/>
          <w:b/>
          <w:sz w:val="22"/>
          <w:szCs w:val="22"/>
        </w:rPr>
        <w:t>:</w:t>
      </w:r>
      <w:r w:rsidRPr="00B90328">
        <w:rPr>
          <w:rFonts w:ascii="Palatino Linotype" w:hAnsi="Palatino Linotype" w:cs="Tahoma"/>
          <w:sz w:val="22"/>
          <w:szCs w:val="22"/>
        </w:rPr>
        <w:t xml:space="preserve">                               </w:t>
      </w:r>
      <w:r w:rsidR="00CF35EE" w:rsidRPr="00B90328">
        <w:rPr>
          <w:rFonts w:ascii="Palatino Linotype" w:hAnsi="Palatino Linotype" w:cs="Tahoma"/>
          <w:sz w:val="22"/>
          <w:szCs w:val="22"/>
        </w:rPr>
        <w:tab/>
      </w:r>
      <w:r w:rsidR="00CF35EE" w:rsidRPr="00B90328">
        <w:rPr>
          <w:rFonts w:ascii="Palatino Linotype" w:hAnsi="Palatino Linotype" w:cs="Tahoma"/>
          <w:sz w:val="22"/>
          <w:szCs w:val="22"/>
        </w:rPr>
        <w:tab/>
      </w:r>
      <w:r w:rsidRPr="00B90328">
        <w:rPr>
          <w:rFonts w:ascii="Palatino Linotype" w:hAnsi="Palatino Linotype" w:cs="Tahoma"/>
          <w:sz w:val="22"/>
          <w:szCs w:val="22"/>
        </w:rPr>
        <w:t>70,70 m. con Barrio El Guabo</w:t>
      </w:r>
    </w:p>
    <w:p w:rsidR="00CF35EE" w:rsidRPr="00B90328" w:rsidRDefault="00B21E4E" w:rsidP="00CF35EE">
      <w:pPr>
        <w:pStyle w:val="Textopredeterminado"/>
        <w:spacing w:after="120" w:line="276" w:lineRule="auto"/>
        <w:jc w:val="both"/>
        <w:rPr>
          <w:rFonts w:ascii="Palatino Linotype" w:hAnsi="Palatino Linotype" w:cs="Tahoma"/>
          <w:sz w:val="22"/>
          <w:szCs w:val="22"/>
        </w:rPr>
      </w:pPr>
      <w:r w:rsidRPr="00B90328">
        <w:rPr>
          <w:rFonts w:ascii="Palatino Linotype" w:hAnsi="Palatino Linotype" w:cs="Tahoma"/>
          <w:b/>
          <w:sz w:val="22"/>
          <w:szCs w:val="22"/>
        </w:rPr>
        <w:t>O</w:t>
      </w:r>
      <w:r w:rsidR="00CF35EE" w:rsidRPr="00B90328">
        <w:rPr>
          <w:rFonts w:ascii="Palatino Linotype" w:hAnsi="Palatino Linotype" w:cs="Tahoma"/>
          <w:b/>
          <w:sz w:val="22"/>
          <w:szCs w:val="22"/>
        </w:rPr>
        <w:t>este</w:t>
      </w:r>
      <w:r w:rsidRPr="00B90328">
        <w:rPr>
          <w:rFonts w:ascii="Palatino Linotype" w:hAnsi="Palatino Linotype" w:cs="Tahoma"/>
          <w:b/>
          <w:sz w:val="22"/>
          <w:szCs w:val="22"/>
        </w:rPr>
        <w:t>:</w:t>
      </w:r>
      <w:r w:rsidRPr="00B90328">
        <w:rPr>
          <w:rFonts w:ascii="Palatino Linotype" w:hAnsi="Palatino Linotype" w:cs="Tahoma"/>
          <w:sz w:val="22"/>
          <w:szCs w:val="22"/>
        </w:rPr>
        <w:t xml:space="preserve">                            </w:t>
      </w:r>
      <w:r w:rsidR="00CF35EE" w:rsidRPr="00B90328">
        <w:rPr>
          <w:rFonts w:ascii="Palatino Linotype" w:hAnsi="Palatino Linotype" w:cs="Tahoma"/>
          <w:sz w:val="22"/>
          <w:szCs w:val="22"/>
        </w:rPr>
        <w:tab/>
      </w:r>
      <w:r w:rsidR="00CF35EE" w:rsidRPr="00B90328">
        <w:rPr>
          <w:rFonts w:ascii="Palatino Linotype" w:hAnsi="Palatino Linotype" w:cs="Tahoma"/>
          <w:sz w:val="22"/>
          <w:szCs w:val="22"/>
        </w:rPr>
        <w:tab/>
      </w:r>
      <w:r w:rsidRPr="00B90328">
        <w:rPr>
          <w:rFonts w:ascii="Palatino Linotype" w:hAnsi="Palatino Linotype" w:cs="Tahoma"/>
          <w:sz w:val="22"/>
          <w:szCs w:val="22"/>
        </w:rPr>
        <w:t xml:space="preserve">172,00 m. con </w:t>
      </w:r>
      <w:r w:rsidR="00CF35EE" w:rsidRPr="00B90328">
        <w:rPr>
          <w:rFonts w:ascii="Palatino Linotype" w:hAnsi="Palatino Linotype" w:cs="Tahoma"/>
          <w:sz w:val="22"/>
          <w:szCs w:val="22"/>
        </w:rPr>
        <w:t>R</w:t>
      </w:r>
      <w:r w:rsidRPr="00B90328">
        <w:rPr>
          <w:rFonts w:ascii="Palatino Linotype" w:hAnsi="Palatino Linotype" w:cs="Tahoma"/>
          <w:sz w:val="22"/>
          <w:szCs w:val="22"/>
        </w:rPr>
        <w:t xml:space="preserve">ío </w:t>
      </w:r>
      <w:proofErr w:type="spellStart"/>
      <w:r w:rsidRPr="00B90328">
        <w:rPr>
          <w:rFonts w:ascii="Palatino Linotype" w:hAnsi="Palatino Linotype" w:cs="Tahoma"/>
          <w:sz w:val="22"/>
          <w:szCs w:val="22"/>
        </w:rPr>
        <w:t>Machángara</w:t>
      </w:r>
      <w:proofErr w:type="spellEnd"/>
      <w:r w:rsidRPr="00B90328">
        <w:rPr>
          <w:rFonts w:ascii="Palatino Linotype" w:hAnsi="Palatino Linotype" w:cs="Tahoma"/>
          <w:sz w:val="22"/>
          <w:szCs w:val="22"/>
        </w:rPr>
        <w:tab/>
      </w:r>
    </w:p>
    <w:p w:rsidR="00CF35EE" w:rsidRPr="00B90328" w:rsidRDefault="00CF35EE" w:rsidP="00CF35EE">
      <w:pPr>
        <w:pStyle w:val="Textopredeterminado"/>
        <w:spacing w:after="120" w:line="276" w:lineRule="auto"/>
        <w:jc w:val="both"/>
        <w:rPr>
          <w:rFonts w:ascii="Palatino Linotype" w:hAnsi="Palatino Linotype" w:cs="Tahoma"/>
          <w:b/>
          <w:sz w:val="22"/>
          <w:szCs w:val="22"/>
        </w:rPr>
      </w:pPr>
      <w:r w:rsidRPr="00B90328">
        <w:rPr>
          <w:rFonts w:ascii="Palatino Linotype" w:hAnsi="Palatino Linotype" w:cs="Tahoma"/>
          <w:b/>
          <w:sz w:val="22"/>
          <w:szCs w:val="22"/>
        </w:rPr>
        <w:t xml:space="preserve">Responsable </w:t>
      </w:r>
      <w:r w:rsidR="00B90328" w:rsidRPr="00B90328">
        <w:rPr>
          <w:rFonts w:ascii="Palatino Linotype" w:hAnsi="Palatino Linotype" w:cs="Tahoma"/>
          <w:b/>
          <w:sz w:val="22"/>
          <w:szCs w:val="22"/>
        </w:rPr>
        <w:t>t</w:t>
      </w:r>
      <w:r w:rsidRPr="00B90328">
        <w:rPr>
          <w:rFonts w:ascii="Palatino Linotype" w:hAnsi="Palatino Linotype" w:cs="Tahoma"/>
          <w:b/>
          <w:sz w:val="22"/>
          <w:szCs w:val="22"/>
        </w:rPr>
        <w:t>écnico:</w:t>
      </w:r>
    </w:p>
    <w:p w:rsidR="00CF35EE" w:rsidRPr="00B90328" w:rsidRDefault="00CF35EE" w:rsidP="00CF35EE">
      <w:pPr>
        <w:pStyle w:val="Textopredeterminado"/>
        <w:spacing w:after="120" w:line="276" w:lineRule="auto"/>
        <w:jc w:val="both"/>
        <w:rPr>
          <w:rFonts w:ascii="Palatino Linotype" w:hAnsi="Palatino Linotype" w:cs="Tahoma"/>
          <w:sz w:val="22"/>
          <w:szCs w:val="22"/>
        </w:rPr>
      </w:pPr>
      <w:r w:rsidRPr="00B90328">
        <w:rPr>
          <w:rFonts w:ascii="Palatino Linotype" w:hAnsi="Palatino Linotype" w:cs="Tahoma"/>
          <w:b/>
          <w:sz w:val="22"/>
          <w:szCs w:val="22"/>
        </w:rPr>
        <w:t>Nombre:</w:t>
      </w:r>
      <w:r w:rsidRPr="00B90328">
        <w:rPr>
          <w:rFonts w:ascii="Palatino Linotype" w:hAnsi="Palatino Linotype" w:cs="Tahoma"/>
          <w:b/>
          <w:sz w:val="22"/>
          <w:szCs w:val="22"/>
        </w:rPr>
        <w:tab/>
      </w:r>
      <w:r w:rsidRPr="00B90328">
        <w:rPr>
          <w:rFonts w:ascii="Palatino Linotype" w:hAnsi="Palatino Linotype" w:cs="Tahoma"/>
          <w:b/>
          <w:sz w:val="22"/>
          <w:szCs w:val="22"/>
        </w:rPr>
        <w:tab/>
      </w:r>
      <w:r w:rsidRPr="00B90328">
        <w:rPr>
          <w:rFonts w:ascii="Palatino Linotype" w:hAnsi="Palatino Linotype" w:cs="Tahoma"/>
          <w:b/>
          <w:sz w:val="22"/>
          <w:szCs w:val="22"/>
        </w:rPr>
        <w:tab/>
      </w:r>
      <w:r w:rsidRPr="00B90328">
        <w:rPr>
          <w:rFonts w:ascii="Palatino Linotype" w:hAnsi="Palatino Linotype" w:cs="Tahoma"/>
          <w:b/>
          <w:sz w:val="22"/>
          <w:szCs w:val="22"/>
        </w:rPr>
        <w:tab/>
      </w:r>
      <w:r w:rsidR="00B21E4E" w:rsidRPr="00B90328">
        <w:rPr>
          <w:rFonts w:ascii="Palatino Linotype" w:hAnsi="Palatino Linotype" w:cs="Tahoma"/>
          <w:sz w:val="22"/>
          <w:szCs w:val="22"/>
        </w:rPr>
        <w:t>Arq. Óscar Toscano Méndez</w:t>
      </w:r>
    </w:p>
    <w:p w:rsidR="00CF35EE" w:rsidRPr="00B90328" w:rsidRDefault="00CF35EE" w:rsidP="00CF35EE">
      <w:pPr>
        <w:pStyle w:val="Textopredeterminado"/>
        <w:spacing w:after="120" w:line="276" w:lineRule="auto"/>
        <w:jc w:val="both"/>
        <w:rPr>
          <w:rFonts w:ascii="Palatino Linotype" w:hAnsi="Palatino Linotype" w:cs="Tahoma"/>
          <w:sz w:val="22"/>
          <w:szCs w:val="22"/>
        </w:rPr>
      </w:pPr>
      <w:r w:rsidRPr="00B90328">
        <w:rPr>
          <w:rFonts w:ascii="Palatino Linotype" w:hAnsi="Palatino Linotype" w:cs="Tahoma"/>
          <w:b/>
          <w:sz w:val="22"/>
          <w:szCs w:val="22"/>
        </w:rPr>
        <w:t>Licencia municipal:</w:t>
      </w:r>
      <w:r w:rsidRPr="00B90328">
        <w:rPr>
          <w:rFonts w:ascii="Palatino Linotype" w:hAnsi="Palatino Linotype" w:cs="Tahoma"/>
          <w:b/>
          <w:sz w:val="22"/>
          <w:szCs w:val="22"/>
        </w:rPr>
        <w:tab/>
      </w:r>
      <w:r w:rsidRPr="00B90328">
        <w:rPr>
          <w:rFonts w:ascii="Palatino Linotype" w:hAnsi="Palatino Linotype" w:cs="Tahoma"/>
          <w:b/>
          <w:sz w:val="22"/>
          <w:szCs w:val="22"/>
        </w:rPr>
        <w:tab/>
      </w:r>
      <w:r w:rsidRPr="00B90328">
        <w:rPr>
          <w:rFonts w:ascii="Palatino Linotype" w:hAnsi="Palatino Linotype" w:cs="Tahoma"/>
          <w:b/>
          <w:sz w:val="22"/>
          <w:szCs w:val="22"/>
        </w:rPr>
        <w:tab/>
      </w:r>
      <w:r w:rsidR="00B21E4E" w:rsidRPr="00B90328">
        <w:rPr>
          <w:rFonts w:ascii="Palatino Linotype" w:hAnsi="Palatino Linotype" w:cs="Tahoma"/>
          <w:sz w:val="22"/>
          <w:szCs w:val="22"/>
        </w:rPr>
        <w:t>AM-2997</w:t>
      </w:r>
    </w:p>
    <w:p w:rsidR="00CF35EE" w:rsidRPr="00B90328" w:rsidRDefault="00CF35EE" w:rsidP="00CF35EE">
      <w:pPr>
        <w:pStyle w:val="Textopredeterminado"/>
        <w:spacing w:after="120" w:line="276" w:lineRule="auto"/>
        <w:jc w:val="both"/>
        <w:rPr>
          <w:rFonts w:ascii="Palatino Linotype" w:hAnsi="Palatino Linotype" w:cs="Tahoma"/>
          <w:sz w:val="22"/>
          <w:szCs w:val="22"/>
        </w:rPr>
      </w:pPr>
      <w:r w:rsidRPr="00B90328">
        <w:rPr>
          <w:rFonts w:ascii="Palatino Linotype" w:hAnsi="Palatino Linotype" w:cs="Tahoma"/>
          <w:b/>
          <w:sz w:val="22"/>
          <w:szCs w:val="22"/>
        </w:rPr>
        <w:t xml:space="preserve">Certificado </w:t>
      </w:r>
      <w:proofErr w:type="gramStart"/>
      <w:r w:rsidRPr="00B90328">
        <w:rPr>
          <w:rFonts w:ascii="Palatino Linotype" w:hAnsi="Palatino Linotype" w:cs="Tahoma"/>
          <w:b/>
          <w:sz w:val="22"/>
          <w:szCs w:val="22"/>
        </w:rPr>
        <w:t>registro</w:t>
      </w:r>
      <w:proofErr w:type="gramEnd"/>
      <w:r w:rsidRPr="00B90328">
        <w:rPr>
          <w:rFonts w:ascii="Palatino Linotype" w:hAnsi="Palatino Linotype" w:cs="Tahoma"/>
          <w:b/>
          <w:sz w:val="22"/>
          <w:szCs w:val="22"/>
        </w:rPr>
        <w:t xml:space="preserve"> </w:t>
      </w:r>
      <w:r w:rsidR="00B21E4E" w:rsidRPr="00B90328">
        <w:rPr>
          <w:rFonts w:ascii="Palatino Linotype" w:hAnsi="Palatino Linotype" w:cs="Tahoma"/>
          <w:b/>
          <w:sz w:val="22"/>
          <w:szCs w:val="22"/>
        </w:rPr>
        <w:t>CONESUP:</w:t>
      </w:r>
      <w:r w:rsidR="00B21E4E" w:rsidRPr="00B90328">
        <w:rPr>
          <w:rFonts w:ascii="Palatino Linotype" w:hAnsi="Palatino Linotype" w:cs="Tahoma"/>
          <w:b/>
          <w:sz w:val="22"/>
          <w:szCs w:val="22"/>
        </w:rPr>
        <w:tab/>
      </w:r>
      <w:r w:rsidR="00B21E4E" w:rsidRPr="00B90328">
        <w:rPr>
          <w:rFonts w:ascii="Palatino Linotype" w:hAnsi="Palatino Linotype" w:cs="Tahoma"/>
          <w:sz w:val="22"/>
          <w:szCs w:val="22"/>
        </w:rPr>
        <w:t>1005-09-907617</w:t>
      </w:r>
    </w:p>
    <w:p w:rsidR="00CF35EE" w:rsidRPr="00B90328" w:rsidRDefault="00CF35EE" w:rsidP="00CF35EE">
      <w:pPr>
        <w:pStyle w:val="Textopredeterminado"/>
        <w:spacing w:after="120" w:line="276" w:lineRule="auto"/>
        <w:jc w:val="both"/>
        <w:rPr>
          <w:rFonts w:ascii="Palatino Linotype" w:hAnsi="Palatino Linotype" w:cs="Tahoma"/>
          <w:b/>
          <w:sz w:val="22"/>
          <w:szCs w:val="22"/>
        </w:rPr>
      </w:pPr>
      <w:r w:rsidRPr="00B90328">
        <w:rPr>
          <w:rFonts w:ascii="Palatino Linotype" w:hAnsi="Palatino Linotype" w:cs="Tahoma"/>
          <w:b/>
          <w:sz w:val="22"/>
          <w:szCs w:val="22"/>
        </w:rPr>
        <w:t>Especificaciones Técnicas:</w:t>
      </w:r>
    </w:p>
    <w:p w:rsidR="00CF35EE" w:rsidRPr="00B90328" w:rsidRDefault="00CF35EE" w:rsidP="00CF35EE">
      <w:pPr>
        <w:pStyle w:val="Textopredeterminado"/>
        <w:spacing w:after="120" w:line="276" w:lineRule="auto"/>
        <w:jc w:val="both"/>
        <w:rPr>
          <w:rFonts w:ascii="Palatino Linotype" w:hAnsi="Palatino Linotype" w:cs="Tahoma"/>
          <w:sz w:val="22"/>
          <w:szCs w:val="22"/>
        </w:rPr>
      </w:pPr>
      <w:r w:rsidRPr="00B90328">
        <w:rPr>
          <w:rFonts w:ascii="Palatino Linotype" w:hAnsi="Palatino Linotype" w:cs="Tahoma"/>
          <w:b/>
          <w:sz w:val="22"/>
          <w:szCs w:val="22"/>
        </w:rPr>
        <w:t>Zonificación:</w:t>
      </w:r>
      <w:r w:rsidR="00B21E4E" w:rsidRPr="00B90328">
        <w:rPr>
          <w:rFonts w:ascii="Palatino Linotype" w:hAnsi="Palatino Linotype" w:cs="Tahoma"/>
          <w:sz w:val="22"/>
          <w:szCs w:val="22"/>
        </w:rPr>
        <w:tab/>
      </w:r>
      <w:r w:rsidR="00B21E4E" w:rsidRPr="00B90328">
        <w:rPr>
          <w:rFonts w:ascii="Palatino Linotype" w:hAnsi="Palatino Linotype" w:cs="Tahoma"/>
          <w:sz w:val="22"/>
          <w:szCs w:val="22"/>
        </w:rPr>
        <w:tab/>
      </w:r>
      <w:r w:rsidR="00B21E4E" w:rsidRPr="00B90328">
        <w:rPr>
          <w:rFonts w:ascii="Palatino Linotype" w:hAnsi="Palatino Linotype" w:cs="Tahoma"/>
          <w:sz w:val="22"/>
          <w:szCs w:val="22"/>
        </w:rPr>
        <w:tab/>
      </w:r>
      <w:r w:rsidRPr="00B90328">
        <w:rPr>
          <w:rFonts w:ascii="Palatino Linotype" w:hAnsi="Palatino Linotype" w:cs="Tahoma"/>
          <w:sz w:val="22"/>
          <w:szCs w:val="22"/>
        </w:rPr>
        <w:tab/>
      </w:r>
      <w:r w:rsidR="00B21E4E" w:rsidRPr="00B90328">
        <w:rPr>
          <w:rFonts w:ascii="Palatino Linotype" w:hAnsi="Palatino Linotype" w:cs="Tahoma"/>
          <w:sz w:val="22"/>
          <w:szCs w:val="22"/>
        </w:rPr>
        <w:t xml:space="preserve">D3 (D203-80), y </w:t>
      </w:r>
      <w:proofErr w:type="gramStart"/>
      <w:r w:rsidR="00B21E4E" w:rsidRPr="00B90328">
        <w:rPr>
          <w:rFonts w:ascii="Palatino Linotype" w:hAnsi="Palatino Linotype" w:cs="Tahoma"/>
          <w:sz w:val="22"/>
          <w:szCs w:val="22"/>
        </w:rPr>
        <w:t>A31(</w:t>
      </w:r>
      <w:proofErr w:type="gramEnd"/>
      <w:r w:rsidR="00B21E4E" w:rsidRPr="00B90328">
        <w:rPr>
          <w:rFonts w:ascii="Palatino Linotype" w:hAnsi="Palatino Linotype" w:cs="Tahoma"/>
          <w:sz w:val="22"/>
          <w:szCs w:val="22"/>
        </w:rPr>
        <w:t>PQ)</w:t>
      </w:r>
    </w:p>
    <w:p w:rsidR="00CF35EE" w:rsidRPr="00B90328" w:rsidRDefault="00CF35EE" w:rsidP="00CF35EE">
      <w:pPr>
        <w:pStyle w:val="Textopredeterminado"/>
        <w:spacing w:after="120" w:line="276" w:lineRule="auto"/>
        <w:jc w:val="both"/>
        <w:rPr>
          <w:rFonts w:ascii="Palatino Linotype" w:hAnsi="Palatino Linotype" w:cs="Tahoma"/>
          <w:sz w:val="22"/>
          <w:szCs w:val="22"/>
        </w:rPr>
      </w:pPr>
      <w:r w:rsidRPr="00B90328">
        <w:rPr>
          <w:rFonts w:ascii="Palatino Linotype" w:hAnsi="Palatino Linotype" w:cs="Tahoma"/>
          <w:b/>
          <w:sz w:val="22"/>
          <w:szCs w:val="22"/>
        </w:rPr>
        <w:t>Uso de suelo:</w:t>
      </w:r>
      <w:r w:rsidRPr="00B90328">
        <w:rPr>
          <w:rFonts w:ascii="Palatino Linotype" w:hAnsi="Palatino Linotype" w:cs="Tahoma"/>
          <w:b/>
          <w:sz w:val="22"/>
          <w:szCs w:val="22"/>
        </w:rPr>
        <w:tab/>
        <w:t xml:space="preserve">          </w:t>
      </w:r>
      <w:r w:rsidRPr="00B90328">
        <w:rPr>
          <w:rFonts w:ascii="Palatino Linotype" w:hAnsi="Palatino Linotype" w:cs="Tahoma"/>
          <w:b/>
          <w:sz w:val="22"/>
          <w:szCs w:val="22"/>
        </w:rPr>
        <w:tab/>
      </w:r>
      <w:r w:rsidRPr="00B90328">
        <w:rPr>
          <w:rFonts w:ascii="Palatino Linotype" w:hAnsi="Palatino Linotype" w:cs="Tahoma"/>
          <w:b/>
          <w:sz w:val="22"/>
          <w:szCs w:val="22"/>
        </w:rPr>
        <w:tab/>
      </w:r>
      <w:r w:rsidR="00B90328" w:rsidRPr="00B90328">
        <w:rPr>
          <w:rFonts w:ascii="Palatino Linotype" w:hAnsi="Palatino Linotype" w:cs="Tahoma"/>
          <w:b/>
          <w:sz w:val="22"/>
          <w:szCs w:val="22"/>
        </w:rPr>
        <w:tab/>
      </w:r>
      <w:r w:rsidR="00FC54F4" w:rsidRPr="00B90328">
        <w:rPr>
          <w:rFonts w:ascii="Palatino Linotype" w:hAnsi="Palatino Linotype" w:cs="Tahoma"/>
          <w:sz w:val="22"/>
          <w:szCs w:val="22"/>
        </w:rPr>
        <w:t>Residencial u</w:t>
      </w:r>
      <w:r w:rsidR="00B21E4E" w:rsidRPr="00B90328">
        <w:rPr>
          <w:rFonts w:ascii="Palatino Linotype" w:hAnsi="Palatino Linotype" w:cs="Tahoma"/>
          <w:sz w:val="22"/>
          <w:szCs w:val="22"/>
        </w:rPr>
        <w:t>rbano 1 (RU1) y Protección</w:t>
      </w:r>
    </w:p>
    <w:p w:rsidR="00CF35EE" w:rsidRPr="00B90328" w:rsidRDefault="00B21E4E" w:rsidP="00B90328">
      <w:pPr>
        <w:pStyle w:val="Textopredeterminado"/>
        <w:spacing w:after="120" w:line="276" w:lineRule="auto"/>
        <w:ind w:left="2832" w:firstLine="708"/>
        <w:jc w:val="both"/>
        <w:rPr>
          <w:rFonts w:ascii="Palatino Linotype" w:hAnsi="Palatino Linotype" w:cs="Tahoma"/>
          <w:sz w:val="22"/>
          <w:szCs w:val="22"/>
        </w:rPr>
      </w:pPr>
      <w:r w:rsidRPr="00B90328">
        <w:rPr>
          <w:rFonts w:ascii="Palatino Linotype" w:hAnsi="Palatino Linotype" w:cs="Tahoma"/>
          <w:sz w:val="22"/>
          <w:szCs w:val="22"/>
        </w:rPr>
        <w:t>Ecológica/Áreas Naturales (PQ)</w:t>
      </w:r>
    </w:p>
    <w:p w:rsidR="00CF35EE" w:rsidRPr="00B90328" w:rsidRDefault="00B21E4E" w:rsidP="00CF35EE">
      <w:pPr>
        <w:pStyle w:val="Textopredeterminado"/>
        <w:spacing w:after="120" w:line="276" w:lineRule="auto"/>
        <w:jc w:val="both"/>
        <w:rPr>
          <w:rFonts w:ascii="Palatino Linotype" w:hAnsi="Palatino Linotype" w:cs="Tahoma"/>
          <w:sz w:val="22"/>
          <w:szCs w:val="22"/>
        </w:rPr>
      </w:pPr>
      <w:r w:rsidRPr="00B90328">
        <w:rPr>
          <w:rFonts w:ascii="Palatino Linotype" w:hAnsi="Palatino Linotype" w:cs="Tahoma"/>
          <w:b/>
          <w:sz w:val="22"/>
          <w:szCs w:val="22"/>
        </w:rPr>
        <w:t xml:space="preserve">No. </w:t>
      </w:r>
      <w:r w:rsidR="00B90328" w:rsidRPr="00B90328">
        <w:rPr>
          <w:rFonts w:ascii="Palatino Linotype" w:hAnsi="Palatino Linotype" w:cs="Tahoma"/>
          <w:b/>
          <w:sz w:val="22"/>
          <w:szCs w:val="22"/>
        </w:rPr>
        <w:t>de lotes</w:t>
      </w:r>
      <w:r w:rsidRPr="00B90328">
        <w:rPr>
          <w:rFonts w:ascii="Palatino Linotype" w:hAnsi="Palatino Linotype" w:cs="Tahoma"/>
          <w:b/>
          <w:sz w:val="22"/>
          <w:szCs w:val="22"/>
        </w:rPr>
        <w:t>:</w:t>
      </w:r>
      <w:r w:rsidRPr="00B90328">
        <w:rPr>
          <w:rFonts w:ascii="Palatino Linotype" w:hAnsi="Palatino Linotype" w:cs="Tahoma"/>
          <w:sz w:val="22"/>
          <w:szCs w:val="22"/>
        </w:rPr>
        <w:tab/>
      </w:r>
      <w:r w:rsidRPr="00B90328">
        <w:rPr>
          <w:rFonts w:ascii="Palatino Linotype" w:hAnsi="Palatino Linotype" w:cs="Tahoma"/>
          <w:sz w:val="22"/>
          <w:szCs w:val="22"/>
        </w:rPr>
        <w:tab/>
      </w:r>
      <w:r w:rsidRPr="00B90328">
        <w:rPr>
          <w:rFonts w:ascii="Palatino Linotype" w:hAnsi="Palatino Linotype" w:cs="Tahoma"/>
          <w:sz w:val="22"/>
          <w:szCs w:val="22"/>
        </w:rPr>
        <w:tab/>
        <w:t xml:space="preserve"> </w:t>
      </w:r>
      <w:r w:rsidR="009139F4" w:rsidRPr="00B90328">
        <w:rPr>
          <w:rFonts w:ascii="Palatino Linotype" w:hAnsi="Palatino Linotype" w:cs="Tahoma"/>
          <w:sz w:val="22"/>
          <w:szCs w:val="22"/>
        </w:rPr>
        <w:tab/>
      </w:r>
      <w:r w:rsidRPr="00B90328">
        <w:rPr>
          <w:rFonts w:ascii="Palatino Linotype" w:hAnsi="Palatino Linotype" w:cs="Tahoma"/>
          <w:sz w:val="22"/>
          <w:szCs w:val="22"/>
        </w:rPr>
        <w:t>14</w:t>
      </w:r>
    </w:p>
    <w:p w:rsidR="00CF35EE" w:rsidRPr="00B90328" w:rsidRDefault="00B90328" w:rsidP="00CF35EE">
      <w:pPr>
        <w:pStyle w:val="Textopredeterminado"/>
        <w:spacing w:after="120" w:line="276" w:lineRule="auto"/>
        <w:jc w:val="both"/>
        <w:rPr>
          <w:rFonts w:ascii="Palatino Linotype" w:hAnsi="Palatino Linotype" w:cs="Tahoma"/>
          <w:sz w:val="22"/>
          <w:szCs w:val="22"/>
        </w:rPr>
      </w:pPr>
      <w:r w:rsidRPr="00B90328">
        <w:rPr>
          <w:rFonts w:ascii="Palatino Linotype" w:hAnsi="Palatino Linotype" w:cs="Tahoma"/>
          <w:b/>
          <w:sz w:val="22"/>
          <w:szCs w:val="22"/>
        </w:rPr>
        <w:t>Área útil de lotes:</w:t>
      </w:r>
      <w:r w:rsidRPr="00B90328">
        <w:rPr>
          <w:rFonts w:ascii="Palatino Linotype" w:hAnsi="Palatino Linotype" w:cs="Tahoma"/>
          <w:b/>
          <w:sz w:val="22"/>
          <w:szCs w:val="22"/>
        </w:rPr>
        <w:tab/>
      </w:r>
      <w:r w:rsidRPr="00B90328">
        <w:rPr>
          <w:rFonts w:ascii="Palatino Linotype" w:hAnsi="Palatino Linotype" w:cs="Tahoma"/>
          <w:b/>
          <w:sz w:val="22"/>
          <w:szCs w:val="22"/>
        </w:rPr>
        <w:tab/>
      </w:r>
      <w:r w:rsidR="00B21E4E" w:rsidRPr="00B90328">
        <w:rPr>
          <w:rFonts w:ascii="Palatino Linotype" w:hAnsi="Palatino Linotype" w:cs="Tahoma"/>
          <w:sz w:val="22"/>
          <w:szCs w:val="22"/>
        </w:rPr>
        <w:t xml:space="preserve"> </w:t>
      </w:r>
      <w:r w:rsidR="00C474D7" w:rsidRPr="00B90328">
        <w:rPr>
          <w:rFonts w:ascii="Palatino Linotype" w:hAnsi="Palatino Linotype" w:cs="Tahoma"/>
          <w:sz w:val="22"/>
          <w:szCs w:val="22"/>
        </w:rPr>
        <w:tab/>
      </w:r>
      <w:r w:rsidR="00B21E4E" w:rsidRPr="00B90328">
        <w:rPr>
          <w:rFonts w:ascii="Palatino Linotype" w:hAnsi="Palatino Linotype" w:cs="Tahoma"/>
          <w:sz w:val="22"/>
          <w:szCs w:val="22"/>
        </w:rPr>
        <w:t>2.643,92 m</w:t>
      </w:r>
      <w:r w:rsidR="00B21E4E" w:rsidRPr="00B90328">
        <w:rPr>
          <w:rFonts w:ascii="Palatino Linotype" w:hAnsi="Palatino Linotype" w:cs="Tahoma"/>
          <w:sz w:val="22"/>
          <w:szCs w:val="22"/>
          <w:vertAlign w:val="superscript"/>
        </w:rPr>
        <w:t>2</w:t>
      </w:r>
    </w:p>
    <w:p w:rsidR="00CF35EE" w:rsidRPr="00B90328" w:rsidRDefault="00B90328" w:rsidP="00CF35EE">
      <w:pPr>
        <w:pStyle w:val="Textopredeterminado"/>
        <w:spacing w:after="120" w:line="276" w:lineRule="auto"/>
        <w:jc w:val="both"/>
        <w:rPr>
          <w:rFonts w:ascii="Palatino Linotype" w:hAnsi="Palatino Linotype" w:cs="Tahoma"/>
          <w:sz w:val="22"/>
          <w:szCs w:val="22"/>
        </w:rPr>
      </w:pPr>
      <w:r w:rsidRPr="00B90328">
        <w:rPr>
          <w:rFonts w:ascii="Palatino Linotype" w:hAnsi="Palatino Linotype" w:cs="Tahoma"/>
          <w:b/>
          <w:sz w:val="22"/>
          <w:szCs w:val="22"/>
        </w:rPr>
        <w:t>Área de vías proyectadas:</w:t>
      </w:r>
      <w:r w:rsidRPr="00B90328">
        <w:rPr>
          <w:rFonts w:ascii="Palatino Linotype" w:hAnsi="Palatino Linotype" w:cs="Tahoma"/>
          <w:b/>
          <w:sz w:val="22"/>
          <w:szCs w:val="22"/>
        </w:rPr>
        <w:tab/>
      </w:r>
      <w:r w:rsidR="00B21E4E" w:rsidRPr="00B90328">
        <w:rPr>
          <w:rFonts w:ascii="Palatino Linotype" w:hAnsi="Palatino Linotype" w:cs="Tahoma"/>
          <w:sz w:val="22"/>
          <w:szCs w:val="22"/>
        </w:rPr>
        <w:t xml:space="preserve"> </w:t>
      </w:r>
      <w:r w:rsidR="00C474D7" w:rsidRPr="00B90328">
        <w:rPr>
          <w:rFonts w:ascii="Palatino Linotype" w:hAnsi="Palatino Linotype" w:cs="Tahoma"/>
          <w:sz w:val="22"/>
          <w:szCs w:val="22"/>
        </w:rPr>
        <w:tab/>
      </w:r>
      <w:r w:rsidR="00963CCB" w:rsidRPr="00B90328">
        <w:rPr>
          <w:rFonts w:ascii="Palatino Linotype" w:hAnsi="Palatino Linotype" w:cs="Tahoma"/>
          <w:sz w:val="22"/>
          <w:szCs w:val="22"/>
        </w:rPr>
        <w:t xml:space="preserve">2.222,25 </w:t>
      </w:r>
      <w:r w:rsidR="00B21E4E" w:rsidRPr="00B90328">
        <w:rPr>
          <w:rFonts w:ascii="Palatino Linotype" w:hAnsi="Palatino Linotype" w:cs="Tahoma"/>
          <w:sz w:val="22"/>
          <w:szCs w:val="22"/>
        </w:rPr>
        <w:t>m</w:t>
      </w:r>
      <w:r w:rsidR="00B21E4E" w:rsidRPr="00B90328">
        <w:rPr>
          <w:rFonts w:ascii="Palatino Linotype" w:hAnsi="Palatino Linotype" w:cs="Tahoma"/>
          <w:sz w:val="22"/>
          <w:szCs w:val="22"/>
          <w:vertAlign w:val="superscript"/>
        </w:rPr>
        <w:t xml:space="preserve">2 </w:t>
      </w:r>
    </w:p>
    <w:p w:rsidR="00CF35EE" w:rsidRPr="00B90328" w:rsidRDefault="00B90328" w:rsidP="00CF35EE">
      <w:pPr>
        <w:pStyle w:val="Textopredeterminado"/>
        <w:spacing w:after="120" w:line="276" w:lineRule="auto"/>
        <w:jc w:val="both"/>
        <w:rPr>
          <w:rFonts w:ascii="Palatino Linotype" w:hAnsi="Palatino Linotype" w:cs="Tahoma"/>
          <w:sz w:val="22"/>
          <w:szCs w:val="22"/>
        </w:rPr>
      </w:pPr>
      <w:r w:rsidRPr="00B90328">
        <w:rPr>
          <w:rFonts w:ascii="Palatino Linotype" w:hAnsi="Palatino Linotype" w:cs="Tahoma"/>
          <w:b/>
          <w:sz w:val="22"/>
          <w:szCs w:val="22"/>
        </w:rPr>
        <w:t>Área verde comunal:</w:t>
      </w:r>
      <w:r w:rsidRPr="00B90328">
        <w:rPr>
          <w:rFonts w:ascii="Palatino Linotype" w:hAnsi="Palatino Linotype" w:cs="Tahoma"/>
          <w:b/>
          <w:sz w:val="22"/>
          <w:szCs w:val="22"/>
        </w:rPr>
        <w:tab/>
      </w:r>
      <w:r w:rsidRPr="00B90328">
        <w:rPr>
          <w:rFonts w:ascii="Palatino Linotype" w:hAnsi="Palatino Linotype" w:cs="Tahoma"/>
          <w:b/>
          <w:sz w:val="22"/>
          <w:szCs w:val="22"/>
        </w:rPr>
        <w:tab/>
      </w:r>
      <w:r w:rsidR="00B21E4E" w:rsidRPr="00B90328">
        <w:rPr>
          <w:rFonts w:ascii="Palatino Linotype" w:hAnsi="Palatino Linotype" w:cs="Tahoma"/>
          <w:b/>
          <w:sz w:val="22"/>
          <w:szCs w:val="22"/>
        </w:rPr>
        <w:t xml:space="preserve"> </w:t>
      </w:r>
      <w:r w:rsidR="00C474D7" w:rsidRPr="00B90328">
        <w:rPr>
          <w:rFonts w:ascii="Palatino Linotype" w:hAnsi="Palatino Linotype" w:cs="Tahoma"/>
          <w:b/>
          <w:sz w:val="22"/>
          <w:szCs w:val="22"/>
        </w:rPr>
        <w:tab/>
      </w:r>
      <w:r w:rsidR="00B21E4E" w:rsidRPr="00B90328">
        <w:rPr>
          <w:rFonts w:ascii="Palatino Linotype" w:hAnsi="Palatino Linotype" w:cs="Tahoma"/>
          <w:sz w:val="22"/>
          <w:szCs w:val="22"/>
        </w:rPr>
        <w:t>464,05 m</w:t>
      </w:r>
      <w:r w:rsidR="00B21E4E" w:rsidRPr="00B90328">
        <w:rPr>
          <w:rFonts w:ascii="Palatino Linotype" w:hAnsi="Palatino Linotype" w:cs="Tahoma"/>
          <w:sz w:val="22"/>
          <w:szCs w:val="22"/>
          <w:vertAlign w:val="superscript"/>
        </w:rPr>
        <w:t>2</w:t>
      </w:r>
    </w:p>
    <w:p w:rsidR="00CF35EE" w:rsidRPr="00B90328" w:rsidRDefault="00B90328" w:rsidP="00CF35EE">
      <w:pPr>
        <w:pStyle w:val="Textopredeterminado"/>
        <w:spacing w:after="120" w:line="276" w:lineRule="auto"/>
        <w:jc w:val="both"/>
        <w:rPr>
          <w:rFonts w:ascii="Palatino Linotype" w:hAnsi="Palatino Linotype" w:cs="Tahoma"/>
          <w:sz w:val="22"/>
          <w:szCs w:val="22"/>
        </w:rPr>
      </w:pPr>
      <w:r w:rsidRPr="00B90328">
        <w:rPr>
          <w:rFonts w:ascii="Palatino Linotype" w:hAnsi="Palatino Linotype" w:cs="Tahoma"/>
          <w:b/>
          <w:sz w:val="22"/>
          <w:szCs w:val="22"/>
        </w:rPr>
        <w:t>Área de protección de quebrada:</w:t>
      </w:r>
      <w:r w:rsidRPr="00B90328">
        <w:rPr>
          <w:rFonts w:ascii="Palatino Linotype" w:hAnsi="Palatino Linotype" w:cs="Tahoma"/>
          <w:b/>
          <w:sz w:val="22"/>
          <w:szCs w:val="22"/>
        </w:rPr>
        <w:tab/>
      </w:r>
      <w:r w:rsidR="00B21E4E" w:rsidRPr="00B90328">
        <w:rPr>
          <w:rFonts w:ascii="Palatino Linotype" w:hAnsi="Palatino Linotype" w:cs="Tahoma"/>
          <w:sz w:val="22"/>
          <w:szCs w:val="22"/>
        </w:rPr>
        <w:t>2.719,40 m</w:t>
      </w:r>
      <w:r w:rsidR="00B21E4E" w:rsidRPr="00B90328">
        <w:rPr>
          <w:rFonts w:ascii="Palatino Linotype" w:hAnsi="Palatino Linotype" w:cs="Tahoma"/>
          <w:sz w:val="22"/>
          <w:szCs w:val="22"/>
          <w:vertAlign w:val="superscript"/>
        </w:rPr>
        <w:t>2</w:t>
      </w:r>
    </w:p>
    <w:p w:rsidR="00CF35EE" w:rsidRPr="00B90328" w:rsidRDefault="00B90328" w:rsidP="00CF35EE">
      <w:pPr>
        <w:pStyle w:val="Textopredeterminado"/>
        <w:spacing w:after="120" w:line="276" w:lineRule="auto"/>
        <w:jc w:val="both"/>
        <w:rPr>
          <w:rFonts w:ascii="Palatino Linotype" w:hAnsi="Palatino Linotype" w:cs="Tahoma"/>
          <w:sz w:val="22"/>
          <w:szCs w:val="22"/>
        </w:rPr>
      </w:pPr>
      <w:r w:rsidRPr="00B90328">
        <w:rPr>
          <w:rFonts w:ascii="Palatino Linotype" w:hAnsi="Palatino Linotype" w:cs="Tahoma"/>
          <w:b/>
          <w:sz w:val="22"/>
          <w:szCs w:val="22"/>
        </w:rPr>
        <w:lastRenderedPageBreak/>
        <w:t xml:space="preserve">Área de protección de río:             </w:t>
      </w:r>
      <w:r w:rsidRPr="00B90328">
        <w:rPr>
          <w:rFonts w:ascii="Palatino Linotype" w:hAnsi="Palatino Linotype" w:cs="Tahoma"/>
          <w:b/>
          <w:sz w:val="22"/>
          <w:szCs w:val="22"/>
        </w:rPr>
        <w:tab/>
      </w:r>
      <w:r w:rsidR="00B21E4E" w:rsidRPr="00B90328">
        <w:rPr>
          <w:rFonts w:ascii="Palatino Linotype" w:hAnsi="Palatino Linotype" w:cs="Tahoma"/>
          <w:sz w:val="22"/>
          <w:szCs w:val="22"/>
        </w:rPr>
        <w:t>10.112,38 m</w:t>
      </w:r>
      <w:r w:rsidR="00B21E4E" w:rsidRPr="00B90328">
        <w:rPr>
          <w:rFonts w:ascii="Palatino Linotype" w:hAnsi="Palatino Linotype" w:cs="Tahoma"/>
          <w:sz w:val="22"/>
          <w:szCs w:val="22"/>
          <w:vertAlign w:val="superscript"/>
        </w:rPr>
        <w:t xml:space="preserve">2  </w:t>
      </w:r>
    </w:p>
    <w:p w:rsidR="00B90328" w:rsidRPr="00B90328" w:rsidRDefault="00B90328" w:rsidP="00B90328">
      <w:pPr>
        <w:pStyle w:val="Textopredeterminado"/>
        <w:spacing w:after="120" w:line="276" w:lineRule="auto"/>
        <w:jc w:val="both"/>
        <w:rPr>
          <w:rFonts w:ascii="Palatino Linotype" w:hAnsi="Palatino Linotype" w:cs="Tahoma"/>
          <w:sz w:val="22"/>
          <w:szCs w:val="22"/>
          <w:vertAlign w:val="superscript"/>
        </w:rPr>
      </w:pPr>
      <w:r w:rsidRPr="00B90328">
        <w:rPr>
          <w:rFonts w:ascii="Palatino Linotype" w:hAnsi="Palatino Linotype" w:cs="Tahoma"/>
          <w:b/>
          <w:sz w:val="22"/>
          <w:szCs w:val="22"/>
        </w:rPr>
        <w:t>Área total predio:</w:t>
      </w:r>
      <w:r w:rsidRPr="00B90328">
        <w:rPr>
          <w:rFonts w:ascii="Palatino Linotype" w:hAnsi="Palatino Linotype" w:cs="Tahoma"/>
          <w:b/>
          <w:sz w:val="22"/>
          <w:szCs w:val="22"/>
        </w:rPr>
        <w:tab/>
      </w:r>
      <w:r w:rsidRPr="00B90328">
        <w:rPr>
          <w:rFonts w:ascii="Palatino Linotype" w:hAnsi="Palatino Linotype" w:cs="Tahoma"/>
          <w:sz w:val="22"/>
          <w:szCs w:val="22"/>
        </w:rPr>
        <w:t xml:space="preserve">                      </w:t>
      </w:r>
      <w:r w:rsidRPr="00B90328">
        <w:rPr>
          <w:rFonts w:ascii="Palatino Linotype" w:hAnsi="Palatino Linotype" w:cs="Tahoma"/>
          <w:sz w:val="22"/>
          <w:szCs w:val="22"/>
        </w:rPr>
        <w:tab/>
      </w:r>
      <w:r w:rsidR="00B21E4E" w:rsidRPr="00B90328">
        <w:rPr>
          <w:rFonts w:ascii="Palatino Linotype" w:hAnsi="Palatino Linotype" w:cs="Tahoma"/>
          <w:sz w:val="22"/>
          <w:szCs w:val="22"/>
        </w:rPr>
        <w:t>18.162,00 m</w:t>
      </w:r>
      <w:r w:rsidR="00B21E4E" w:rsidRPr="00B90328">
        <w:rPr>
          <w:rFonts w:ascii="Palatino Linotype" w:hAnsi="Palatino Linotype" w:cs="Tahoma"/>
          <w:sz w:val="22"/>
          <w:szCs w:val="22"/>
          <w:vertAlign w:val="superscript"/>
        </w:rPr>
        <w:t>2</w:t>
      </w:r>
    </w:p>
    <w:p w:rsidR="00B90328" w:rsidRPr="00B90328" w:rsidRDefault="00B90328" w:rsidP="00B90328">
      <w:pPr>
        <w:pStyle w:val="Textopredeterminado"/>
        <w:spacing w:after="120" w:line="276" w:lineRule="auto"/>
        <w:jc w:val="both"/>
        <w:rPr>
          <w:rFonts w:ascii="Palatino Linotype" w:hAnsi="Palatino Linotype" w:cs="Tahoma"/>
          <w:sz w:val="22"/>
          <w:szCs w:val="22"/>
        </w:rPr>
      </w:pPr>
      <w:r w:rsidRPr="00B90328">
        <w:rPr>
          <w:rFonts w:ascii="Palatino Linotype" w:hAnsi="Palatino Linotype"/>
          <w:b/>
          <w:sz w:val="22"/>
          <w:szCs w:val="22"/>
        </w:rPr>
        <w:t>Artículo</w:t>
      </w:r>
      <w:r w:rsidR="00B21E4E" w:rsidRPr="00B90328">
        <w:rPr>
          <w:rFonts w:ascii="Palatino Linotype" w:hAnsi="Palatino Linotype"/>
          <w:b/>
          <w:sz w:val="22"/>
          <w:szCs w:val="22"/>
        </w:rPr>
        <w:t xml:space="preserve"> 2.- A</w:t>
      </w:r>
      <w:r w:rsidRPr="00B90328">
        <w:rPr>
          <w:rFonts w:ascii="Palatino Linotype" w:hAnsi="Palatino Linotype"/>
          <w:b/>
          <w:sz w:val="22"/>
          <w:szCs w:val="22"/>
        </w:rPr>
        <w:t>porte de áreas verde y equipamiento</w:t>
      </w:r>
      <w:r w:rsidR="00B21E4E" w:rsidRPr="00B90328">
        <w:rPr>
          <w:rFonts w:ascii="Palatino Linotype" w:hAnsi="Palatino Linotype"/>
          <w:b/>
          <w:sz w:val="22"/>
          <w:szCs w:val="22"/>
        </w:rPr>
        <w:t xml:space="preserve">.- </w:t>
      </w:r>
      <w:r w:rsidR="00B21E4E" w:rsidRPr="00B90328">
        <w:rPr>
          <w:rFonts w:ascii="Palatino Linotype" w:hAnsi="Palatino Linotype"/>
          <w:sz w:val="22"/>
          <w:szCs w:val="22"/>
        </w:rPr>
        <w:t>La urbanización</w:t>
      </w:r>
      <w:r w:rsidR="00B21E4E" w:rsidRPr="00B90328">
        <w:rPr>
          <w:rFonts w:ascii="Palatino Linotype" w:hAnsi="Palatino Linotype" w:cs="Tahoma"/>
          <w:sz w:val="22"/>
          <w:szCs w:val="22"/>
        </w:rPr>
        <w:t xml:space="preserve"> cumple con el área verde y equipamiento público a favor del Municipio del  Distrito Metropolitano de Quito, la superficie de 464,05 </w:t>
      </w:r>
      <w:r w:rsidRPr="00B90328">
        <w:rPr>
          <w:rFonts w:ascii="Palatino Linotype" w:hAnsi="Palatino Linotype" w:cs="Tahoma"/>
          <w:sz w:val="22"/>
          <w:szCs w:val="22"/>
        </w:rPr>
        <w:t>m</w:t>
      </w:r>
      <w:r w:rsidRPr="00B90328">
        <w:rPr>
          <w:rFonts w:ascii="Palatino Linotype" w:hAnsi="Palatino Linotype" w:cs="Tahoma"/>
          <w:sz w:val="22"/>
          <w:szCs w:val="22"/>
          <w:vertAlign w:val="superscript"/>
        </w:rPr>
        <w:t>2</w:t>
      </w:r>
      <w:r w:rsidRPr="00B90328">
        <w:rPr>
          <w:rFonts w:ascii="Palatino Linotype" w:hAnsi="Palatino Linotype" w:cs="Tahoma"/>
          <w:sz w:val="22"/>
          <w:szCs w:val="22"/>
        </w:rPr>
        <w:t>, d</w:t>
      </w:r>
      <w:r w:rsidR="00B21E4E" w:rsidRPr="00B90328">
        <w:rPr>
          <w:rFonts w:ascii="Palatino Linotype" w:hAnsi="Palatino Linotype" w:cs="Tahoma"/>
          <w:sz w:val="22"/>
          <w:szCs w:val="22"/>
        </w:rPr>
        <w:t>e acuerdo al Informe Técnico constante en el oficio No. 0001287</w:t>
      </w:r>
      <w:r w:rsidRPr="00B90328">
        <w:rPr>
          <w:rFonts w:ascii="Palatino Linotype" w:hAnsi="Palatino Linotype" w:cs="Tahoma"/>
          <w:sz w:val="22"/>
          <w:szCs w:val="22"/>
        </w:rPr>
        <w:t>,</w:t>
      </w:r>
      <w:r w:rsidR="00B21E4E" w:rsidRPr="00B90328">
        <w:rPr>
          <w:rFonts w:ascii="Palatino Linotype" w:hAnsi="Palatino Linotype" w:cs="Tahoma"/>
          <w:sz w:val="22"/>
          <w:szCs w:val="22"/>
        </w:rPr>
        <w:t xml:space="preserve"> de 5 de febrero de 2014</w:t>
      </w:r>
      <w:r w:rsidRPr="00B90328">
        <w:rPr>
          <w:rFonts w:ascii="Palatino Linotype" w:hAnsi="Palatino Linotype" w:cs="Tahoma"/>
          <w:sz w:val="22"/>
          <w:szCs w:val="22"/>
        </w:rPr>
        <w:t>,</w:t>
      </w:r>
      <w:r w:rsidR="00B21E4E" w:rsidRPr="00B90328">
        <w:rPr>
          <w:rFonts w:ascii="Palatino Linotype" w:hAnsi="Palatino Linotype" w:cs="Tahoma"/>
          <w:sz w:val="22"/>
          <w:szCs w:val="22"/>
        </w:rPr>
        <w:t xml:space="preserve"> de la Dire</w:t>
      </w:r>
      <w:r w:rsidR="00367CBC" w:rsidRPr="00B90328">
        <w:rPr>
          <w:rFonts w:ascii="Palatino Linotype" w:hAnsi="Palatino Linotype" w:cs="Tahoma"/>
          <w:sz w:val="22"/>
          <w:szCs w:val="22"/>
        </w:rPr>
        <w:t>cción Metropolitana de Catastro</w:t>
      </w:r>
      <w:r w:rsidR="00B21E4E" w:rsidRPr="00B90328">
        <w:rPr>
          <w:rFonts w:ascii="Palatino Linotype" w:hAnsi="Palatino Linotype" w:cs="Tahoma"/>
          <w:sz w:val="22"/>
          <w:szCs w:val="22"/>
        </w:rPr>
        <w:t>, área que tienen los siguientes datos:</w:t>
      </w:r>
    </w:p>
    <w:p w:rsidR="00B90328" w:rsidRPr="00B90328" w:rsidRDefault="00B90328" w:rsidP="00B90328">
      <w:pPr>
        <w:pStyle w:val="Textopredeterminado"/>
        <w:spacing w:after="120" w:line="276" w:lineRule="auto"/>
        <w:jc w:val="both"/>
        <w:rPr>
          <w:rFonts w:ascii="Palatino Linotype" w:hAnsi="Palatino Linotype" w:cs="Tahoma"/>
          <w:b/>
          <w:sz w:val="22"/>
          <w:szCs w:val="22"/>
        </w:rPr>
      </w:pPr>
      <w:r w:rsidRPr="00B90328">
        <w:rPr>
          <w:rFonts w:ascii="Palatino Linotype" w:hAnsi="Palatino Linotype" w:cs="Tahoma"/>
          <w:b/>
          <w:sz w:val="22"/>
          <w:szCs w:val="22"/>
        </w:rPr>
        <w:t>Área verde comunal:</w:t>
      </w:r>
    </w:p>
    <w:p w:rsidR="00B90328" w:rsidRPr="00B90328" w:rsidRDefault="00B21E4E" w:rsidP="00B90328">
      <w:pPr>
        <w:pStyle w:val="Textopredeterminado"/>
        <w:spacing w:after="120" w:line="276" w:lineRule="auto"/>
        <w:jc w:val="both"/>
        <w:rPr>
          <w:rFonts w:ascii="Palatino Linotype" w:hAnsi="Palatino Linotype" w:cs="Tahoma"/>
          <w:sz w:val="22"/>
          <w:szCs w:val="22"/>
        </w:rPr>
      </w:pPr>
      <w:r w:rsidRPr="00B90328">
        <w:rPr>
          <w:rFonts w:ascii="Palatino Linotype" w:hAnsi="Palatino Linotype" w:cs="Tahoma"/>
          <w:b/>
          <w:sz w:val="22"/>
          <w:szCs w:val="22"/>
        </w:rPr>
        <w:t>Ubicación:</w:t>
      </w:r>
      <w:r w:rsidRPr="00B90328">
        <w:rPr>
          <w:rFonts w:ascii="Palatino Linotype" w:hAnsi="Palatino Linotype" w:cs="Tahoma"/>
          <w:sz w:val="22"/>
          <w:szCs w:val="22"/>
        </w:rPr>
        <w:tab/>
        <w:t>Calle “2” de la urbanización</w:t>
      </w:r>
    </w:p>
    <w:p w:rsidR="00B90328" w:rsidRPr="00B90328" w:rsidRDefault="00B21E4E" w:rsidP="00B90328">
      <w:pPr>
        <w:pStyle w:val="Textopredeterminado"/>
        <w:spacing w:after="120" w:line="276" w:lineRule="auto"/>
        <w:jc w:val="both"/>
        <w:rPr>
          <w:rFonts w:ascii="Palatino Linotype" w:hAnsi="Palatino Linotype" w:cs="Tahoma"/>
          <w:sz w:val="22"/>
          <w:szCs w:val="22"/>
        </w:rPr>
      </w:pPr>
      <w:r w:rsidRPr="00B90328">
        <w:rPr>
          <w:rFonts w:ascii="Palatino Linotype" w:hAnsi="Palatino Linotype" w:cs="Tahoma"/>
          <w:b/>
          <w:sz w:val="22"/>
          <w:szCs w:val="22"/>
        </w:rPr>
        <w:t>Referencia:</w:t>
      </w:r>
      <w:r w:rsidRPr="00B90328">
        <w:rPr>
          <w:rFonts w:ascii="Palatino Linotype" w:hAnsi="Palatino Linotype" w:cs="Tahoma"/>
          <w:sz w:val="22"/>
          <w:szCs w:val="22"/>
        </w:rPr>
        <w:tab/>
        <w:t>Hoja Catastral 20006</w:t>
      </w:r>
    </w:p>
    <w:p w:rsidR="00B90328" w:rsidRPr="00B90328" w:rsidRDefault="00B21E4E" w:rsidP="00B90328">
      <w:pPr>
        <w:pStyle w:val="Textopredeterminado"/>
        <w:spacing w:after="120" w:line="276" w:lineRule="auto"/>
        <w:jc w:val="both"/>
        <w:rPr>
          <w:rFonts w:ascii="Palatino Linotype" w:hAnsi="Palatino Linotype" w:cs="Tahoma"/>
          <w:sz w:val="22"/>
          <w:szCs w:val="22"/>
        </w:rPr>
      </w:pPr>
      <w:r w:rsidRPr="00B90328">
        <w:rPr>
          <w:rFonts w:ascii="Palatino Linotype" w:hAnsi="Palatino Linotype" w:cs="Tahoma"/>
          <w:b/>
          <w:sz w:val="22"/>
          <w:szCs w:val="22"/>
        </w:rPr>
        <w:t>Superficie:</w:t>
      </w:r>
      <w:r w:rsidRPr="00B90328">
        <w:rPr>
          <w:rFonts w:ascii="Palatino Linotype" w:hAnsi="Palatino Linotype" w:cs="Tahoma"/>
          <w:sz w:val="22"/>
          <w:szCs w:val="22"/>
        </w:rPr>
        <w:tab/>
        <w:t>464,05 m</w:t>
      </w:r>
      <w:r w:rsidRPr="00B90328">
        <w:rPr>
          <w:rFonts w:ascii="Palatino Linotype" w:hAnsi="Palatino Linotype" w:cs="Tahoma"/>
          <w:sz w:val="22"/>
          <w:szCs w:val="22"/>
          <w:vertAlign w:val="superscript"/>
        </w:rPr>
        <w:t>2</w:t>
      </w:r>
    </w:p>
    <w:p w:rsidR="00B90328" w:rsidRPr="00B90328" w:rsidRDefault="00B21E4E" w:rsidP="00B90328">
      <w:pPr>
        <w:pStyle w:val="Textopredeterminado"/>
        <w:spacing w:after="120" w:line="276" w:lineRule="auto"/>
        <w:jc w:val="both"/>
        <w:rPr>
          <w:rFonts w:ascii="Palatino Linotype" w:hAnsi="Palatino Linotype" w:cs="Tahoma"/>
          <w:sz w:val="22"/>
          <w:szCs w:val="22"/>
        </w:rPr>
      </w:pPr>
      <w:r w:rsidRPr="00B90328">
        <w:rPr>
          <w:rFonts w:ascii="Palatino Linotype" w:hAnsi="Palatino Linotype" w:cs="Tahoma"/>
          <w:b/>
          <w:sz w:val="22"/>
          <w:szCs w:val="22"/>
        </w:rPr>
        <w:t>Pendiente:</w:t>
      </w:r>
      <w:r w:rsidRPr="00B90328">
        <w:rPr>
          <w:rFonts w:ascii="Palatino Linotype" w:hAnsi="Palatino Linotype" w:cs="Tahoma"/>
          <w:b/>
          <w:sz w:val="22"/>
          <w:szCs w:val="22"/>
        </w:rPr>
        <w:tab/>
      </w:r>
      <w:r w:rsidRPr="00B90328">
        <w:rPr>
          <w:rFonts w:ascii="Palatino Linotype" w:hAnsi="Palatino Linotype" w:cs="Tahoma"/>
          <w:sz w:val="22"/>
          <w:szCs w:val="22"/>
        </w:rPr>
        <w:t>10°</w:t>
      </w:r>
    </w:p>
    <w:p w:rsidR="00B90328" w:rsidRPr="00B90328" w:rsidRDefault="00B90328" w:rsidP="00B90328">
      <w:pPr>
        <w:pStyle w:val="Textopredeterminado"/>
        <w:spacing w:after="120" w:line="276" w:lineRule="auto"/>
        <w:jc w:val="both"/>
        <w:rPr>
          <w:rFonts w:ascii="Palatino Linotype" w:hAnsi="Palatino Linotype" w:cs="Tahoma"/>
          <w:b/>
          <w:sz w:val="22"/>
          <w:szCs w:val="22"/>
        </w:rPr>
      </w:pPr>
      <w:r w:rsidRPr="00B90328">
        <w:rPr>
          <w:rFonts w:ascii="Palatino Linotype" w:hAnsi="Palatino Linotype" w:cs="Tahoma"/>
          <w:b/>
          <w:sz w:val="22"/>
          <w:szCs w:val="22"/>
        </w:rPr>
        <w:t>Linderos:</w:t>
      </w:r>
    </w:p>
    <w:p w:rsidR="00B90328" w:rsidRPr="00B90328" w:rsidRDefault="00B21E4E" w:rsidP="00B90328">
      <w:pPr>
        <w:pStyle w:val="Textopredeterminado"/>
        <w:spacing w:after="120" w:line="276" w:lineRule="auto"/>
        <w:jc w:val="both"/>
        <w:rPr>
          <w:rFonts w:ascii="Palatino Linotype" w:hAnsi="Palatino Linotype" w:cs="Tahoma"/>
          <w:sz w:val="22"/>
          <w:szCs w:val="22"/>
        </w:rPr>
      </w:pPr>
      <w:r w:rsidRPr="00B90328">
        <w:rPr>
          <w:rFonts w:ascii="Palatino Linotype" w:hAnsi="Palatino Linotype" w:cs="Tahoma"/>
          <w:b/>
          <w:sz w:val="22"/>
          <w:szCs w:val="22"/>
        </w:rPr>
        <w:t>N</w:t>
      </w:r>
      <w:r w:rsidR="00B90328">
        <w:rPr>
          <w:rFonts w:ascii="Palatino Linotype" w:hAnsi="Palatino Linotype" w:cs="Tahoma"/>
          <w:b/>
          <w:sz w:val="22"/>
          <w:szCs w:val="22"/>
        </w:rPr>
        <w:t>orte</w:t>
      </w:r>
      <w:r w:rsidRPr="00B90328">
        <w:rPr>
          <w:rFonts w:ascii="Palatino Linotype" w:hAnsi="Palatino Linotype" w:cs="Tahoma"/>
          <w:b/>
          <w:sz w:val="22"/>
          <w:szCs w:val="22"/>
        </w:rPr>
        <w:t>:</w:t>
      </w:r>
      <w:r w:rsidRPr="00B90328">
        <w:rPr>
          <w:rFonts w:ascii="Palatino Linotype" w:hAnsi="Palatino Linotype" w:cs="Tahoma"/>
          <w:sz w:val="22"/>
          <w:szCs w:val="22"/>
        </w:rPr>
        <w:tab/>
      </w:r>
      <w:r w:rsidR="00B90328">
        <w:rPr>
          <w:rFonts w:ascii="Palatino Linotype" w:hAnsi="Palatino Linotype" w:cs="Tahoma"/>
          <w:sz w:val="22"/>
          <w:szCs w:val="22"/>
        </w:rPr>
        <w:tab/>
      </w:r>
      <w:r w:rsidRPr="00B90328">
        <w:rPr>
          <w:rFonts w:ascii="Palatino Linotype" w:hAnsi="Palatino Linotype" w:cs="Tahoma"/>
          <w:sz w:val="22"/>
          <w:szCs w:val="22"/>
        </w:rPr>
        <w:t>Calle “2” en 25,35 m.</w:t>
      </w:r>
    </w:p>
    <w:p w:rsidR="00B90328" w:rsidRPr="00B90328" w:rsidRDefault="00B21E4E" w:rsidP="00B90328">
      <w:pPr>
        <w:pStyle w:val="Textopredeterminado"/>
        <w:spacing w:after="120" w:line="276" w:lineRule="auto"/>
        <w:jc w:val="both"/>
        <w:rPr>
          <w:rFonts w:ascii="Palatino Linotype" w:hAnsi="Palatino Linotype" w:cs="Tahoma"/>
          <w:sz w:val="22"/>
          <w:szCs w:val="22"/>
        </w:rPr>
      </w:pPr>
      <w:r w:rsidRPr="00B90328">
        <w:rPr>
          <w:rFonts w:ascii="Palatino Linotype" w:hAnsi="Palatino Linotype" w:cs="Tahoma"/>
          <w:b/>
          <w:sz w:val="22"/>
          <w:szCs w:val="22"/>
        </w:rPr>
        <w:t>S</w:t>
      </w:r>
      <w:r w:rsidR="00B90328" w:rsidRPr="00B90328">
        <w:rPr>
          <w:rFonts w:ascii="Palatino Linotype" w:hAnsi="Palatino Linotype" w:cs="Tahoma"/>
          <w:b/>
          <w:sz w:val="22"/>
          <w:szCs w:val="22"/>
        </w:rPr>
        <w:t>ur</w:t>
      </w:r>
      <w:r w:rsidRPr="00B90328">
        <w:rPr>
          <w:rFonts w:ascii="Palatino Linotype" w:hAnsi="Palatino Linotype" w:cs="Tahoma"/>
          <w:b/>
          <w:sz w:val="22"/>
          <w:szCs w:val="22"/>
        </w:rPr>
        <w:t>:</w:t>
      </w:r>
      <w:r w:rsidRPr="00B90328">
        <w:rPr>
          <w:rFonts w:ascii="Palatino Linotype" w:hAnsi="Palatino Linotype" w:cs="Tahoma"/>
          <w:sz w:val="22"/>
          <w:szCs w:val="22"/>
        </w:rPr>
        <w:tab/>
      </w:r>
      <w:r w:rsidRPr="00B90328">
        <w:rPr>
          <w:rFonts w:ascii="Palatino Linotype" w:hAnsi="Palatino Linotype" w:cs="Tahoma"/>
          <w:sz w:val="22"/>
          <w:szCs w:val="22"/>
        </w:rPr>
        <w:tab/>
        <w:t>Faja de protección en 23,35 m.</w:t>
      </w:r>
    </w:p>
    <w:p w:rsidR="00B90328" w:rsidRPr="00B90328" w:rsidRDefault="00B21E4E" w:rsidP="00B90328">
      <w:pPr>
        <w:pStyle w:val="Textopredeterminado"/>
        <w:spacing w:after="120" w:line="276" w:lineRule="auto"/>
        <w:jc w:val="both"/>
        <w:rPr>
          <w:rFonts w:ascii="Palatino Linotype" w:hAnsi="Palatino Linotype" w:cs="Tahoma"/>
          <w:sz w:val="22"/>
          <w:szCs w:val="22"/>
        </w:rPr>
      </w:pPr>
      <w:r w:rsidRPr="00B90328">
        <w:rPr>
          <w:rFonts w:ascii="Palatino Linotype" w:hAnsi="Palatino Linotype" w:cs="Tahoma"/>
          <w:b/>
          <w:sz w:val="22"/>
          <w:szCs w:val="22"/>
        </w:rPr>
        <w:t>E</w:t>
      </w:r>
      <w:r w:rsidR="00B90328" w:rsidRPr="00B90328">
        <w:rPr>
          <w:rFonts w:ascii="Palatino Linotype" w:hAnsi="Palatino Linotype" w:cs="Tahoma"/>
          <w:b/>
          <w:sz w:val="22"/>
          <w:szCs w:val="22"/>
        </w:rPr>
        <w:t>ste</w:t>
      </w:r>
      <w:r w:rsidRPr="00B90328">
        <w:rPr>
          <w:rFonts w:ascii="Palatino Linotype" w:hAnsi="Palatino Linotype" w:cs="Tahoma"/>
          <w:b/>
          <w:sz w:val="22"/>
          <w:szCs w:val="22"/>
        </w:rPr>
        <w:t>:</w:t>
      </w:r>
      <w:r w:rsidRPr="00B90328">
        <w:rPr>
          <w:rFonts w:ascii="Palatino Linotype" w:hAnsi="Palatino Linotype" w:cs="Tahoma"/>
          <w:sz w:val="22"/>
          <w:szCs w:val="22"/>
        </w:rPr>
        <w:tab/>
      </w:r>
      <w:r w:rsidRPr="00B90328">
        <w:rPr>
          <w:rFonts w:ascii="Palatino Linotype" w:hAnsi="Palatino Linotype" w:cs="Tahoma"/>
          <w:sz w:val="22"/>
          <w:szCs w:val="22"/>
        </w:rPr>
        <w:tab/>
        <w:t xml:space="preserve">Prolongación calle S/N en 15,80 m.  </w:t>
      </w:r>
    </w:p>
    <w:p w:rsidR="00B90328" w:rsidRDefault="00B21E4E" w:rsidP="00B90328">
      <w:pPr>
        <w:pStyle w:val="Textopredeterminado"/>
        <w:spacing w:after="120" w:line="276" w:lineRule="auto"/>
        <w:jc w:val="both"/>
        <w:rPr>
          <w:rFonts w:ascii="Palatino Linotype" w:hAnsi="Palatino Linotype" w:cs="Tahoma"/>
          <w:sz w:val="22"/>
          <w:szCs w:val="22"/>
        </w:rPr>
      </w:pPr>
      <w:r w:rsidRPr="00B90328">
        <w:rPr>
          <w:rFonts w:ascii="Palatino Linotype" w:hAnsi="Palatino Linotype" w:cs="Tahoma"/>
          <w:b/>
          <w:sz w:val="22"/>
          <w:szCs w:val="22"/>
        </w:rPr>
        <w:t>O</w:t>
      </w:r>
      <w:r w:rsidR="00B90328" w:rsidRPr="00B90328">
        <w:rPr>
          <w:rFonts w:ascii="Palatino Linotype" w:hAnsi="Palatino Linotype" w:cs="Tahoma"/>
          <w:b/>
          <w:sz w:val="22"/>
          <w:szCs w:val="22"/>
        </w:rPr>
        <w:t>este</w:t>
      </w:r>
      <w:r w:rsidRPr="00B90328">
        <w:rPr>
          <w:rFonts w:ascii="Palatino Linotype" w:hAnsi="Palatino Linotype" w:cs="Tahoma"/>
          <w:b/>
          <w:sz w:val="22"/>
          <w:szCs w:val="22"/>
        </w:rPr>
        <w:t>:</w:t>
      </w:r>
      <w:r w:rsidR="00B90328">
        <w:rPr>
          <w:rFonts w:ascii="Palatino Linotype" w:hAnsi="Palatino Linotype" w:cs="Tahoma"/>
          <w:sz w:val="22"/>
          <w:szCs w:val="22"/>
        </w:rPr>
        <w:tab/>
      </w:r>
      <w:r w:rsidRPr="00B90328">
        <w:rPr>
          <w:rFonts w:ascii="Palatino Linotype" w:hAnsi="Palatino Linotype" w:cs="Tahoma"/>
          <w:sz w:val="22"/>
          <w:szCs w:val="22"/>
        </w:rPr>
        <w:tab/>
        <w:t>Faja de protección en 7,20 m y 9,70 m.</w:t>
      </w:r>
    </w:p>
    <w:p w:rsidR="00B90328" w:rsidRPr="00B90328" w:rsidRDefault="00B21E4E" w:rsidP="00B90328">
      <w:pPr>
        <w:pStyle w:val="Textopredeterminado"/>
        <w:spacing w:after="120" w:line="276" w:lineRule="auto"/>
        <w:jc w:val="both"/>
        <w:rPr>
          <w:rFonts w:ascii="Palatino Linotype" w:hAnsi="Palatino Linotype" w:cs="Tahoma"/>
          <w:sz w:val="22"/>
          <w:szCs w:val="22"/>
        </w:rPr>
      </w:pPr>
      <w:r w:rsidRPr="00B90328">
        <w:rPr>
          <w:rFonts w:ascii="Palatino Linotype" w:hAnsi="Palatino Linotype"/>
          <w:b/>
          <w:sz w:val="22"/>
          <w:szCs w:val="22"/>
        </w:rPr>
        <w:t>Art</w:t>
      </w:r>
      <w:r w:rsidR="00B90328">
        <w:rPr>
          <w:rFonts w:ascii="Palatino Linotype" w:hAnsi="Palatino Linotype"/>
          <w:b/>
          <w:sz w:val="22"/>
          <w:szCs w:val="22"/>
        </w:rPr>
        <w:t>ículo</w:t>
      </w:r>
      <w:r w:rsidRPr="00B90328">
        <w:rPr>
          <w:rFonts w:ascii="Palatino Linotype" w:hAnsi="Palatino Linotype"/>
          <w:b/>
          <w:sz w:val="22"/>
          <w:szCs w:val="22"/>
        </w:rPr>
        <w:t xml:space="preserve"> 3.- D</w:t>
      </w:r>
      <w:r w:rsidR="00B90328">
        <w:rPr>
          <w:rFonts w:ascii="Palatino Linotype" w:hAnsi="Palatino Linotype"/>
          <w:b/>
          <w:sz w:val="22"/>
          <w:szCs w:val="22"/>
        </w:rPr>
        <w:t>e las vías</w:t>
      </w:r>
      <w:r w:rsidR="00B90328">
        <w:rPr>
          <w:rFonts w:ascii="Palatino Linotype" w:hAnsi="Palatino Linotype"/>
          <w:sz w:val="22"/>
          <w:szCs w:val="22"/>
        </w:rPr>
        <w:t>.-</w:t>
      </w:r>
      <w:r w:rsidRPr="00B90328">
        <w:rPr>
          <w:rFonts w:ascii="Palatino Linotype" w:hAnsi="Palatino Linotype"/>
          <w:sz w:val="22"/>
          <w:szCs w:val="22"/>
        </w:rPr>
        <w:t xml:space="preserve"> </w:t>
      </w:r>
      <w:r w:rsidRPr="00B90328">
        <w:rPr>
          <w:rFonts w:ascii="Palatino Linotype" w:hAnsi="Palatino Linotype" w:cs="Tahoma"/>
          <w:sz w:val="22"/>
          <w:szCs w:val="22"/>
        </w:rPr>
        <w:t xml:space="preserve">Las vías planificadas en la urbanización cumplen con lo estipulado en el Cuadro No. 1 del Anexo Único de la Ordenanza No. 172 que establece el Régimen Administrativo del Suelo en el DMQ. </w:t>
      </w:r>
    </w:p>
    <w:p w:rsidR="00B21E4E" w:rsidRPr="00B90328" w:rsidRDefault="00B21E4E" w:rsidP="00B90328">
      <w:pPr>
        <w:pStyle w:val="Textopredeterminado"/>
        <w:spacing w:after="120" w:line="276" w:lineRule="auto"/>
        <w:jc w:val="both"/>
        <w:rPr>
          <w:rFonts w:ascii="Palatino Linotype" w:hAnsi="Palatino Linotype" w:cs="Tahoma"/>
          <w:sz w:val="22"/>
          <w:szCs w:val="22"/>
        </w:rPr>
      </w:pPr>
      <w:r w:rsidRPr="00B90328">
        <w:rPr>
          <w:rFonts w:ascii="Palatino Linotype" w:hAnsi="Palatino Linotype" w:cs="Tahoma"/>
          <w:b/>
          <w:sz w:val="22"/>
          <w:szCs w:val="22"/>
        </w:rPr>
        <w:t>Art</w:t>
      </w:r>
      <w:r w:rsidR="00B90328">
        <w:rPr>
          <w:rFonts w:ascii="Palatino Linotype" w:hAnsi="Palatino Linotype" w:cs="Tahoma"/>
          <w:b/>
          <w:sz w:val="22"/>
          <w:szCs w:val="22"/>
        </w:rPr>
        <w:t>ículo</w:t>
      </w:r>
      <w:r w:rsidRPr="00B90328">
        <w:rPr>
          <w:rFonts w:ascii="Palatino Linotype" w:hAnsi="Palatino Linotype" w:cs="Tahoma"/>
          <w:b/>
          <w:sz w:val="22"/>
          <w:szCs w:val="22"/>
        </w:rPr>
        <w:t xml:space="preserve"> 4.- G</w:t>
      </w:r>
      <w:r w:rsidR="00B90328" w:rsidRPr="00B90328">
        <w:rPr>
          <w:rFonts w:ascii="Palatino Linotype" w:hAnsi="Palatino Linotype" w:cs="Tahoma"/>
          <w:b/>
          <w:sz w:val="22"/>
          <w:szCs w:val="22"/>
        </w:rPr>
        <w:t xml:space="preserve">arantía para ejecución de </w:t>
      </w:r>
      <w:r w:rsidR="00B90328">
        <w:rPr>
          <w:rFonts w:ascii="Palatino Linotype" w:hAnsi="Palatino Linotype" w:cs="Tahoma"/>
          <w:b/>
          <w:sz w:val="22"/>
          <w:szCs w:val="22"/>
        </w:rPr>
        <w:t>o</w:t>
      </w:r>
      <w:r w:rsidR="00B90328" w:rsidRPr="00B90328">
        <w:rPr>
          <w:rFonts w:ascii="Palatino Linotype" w:hAnsi="Palatino Linotype" w:cs="Tahoma"/>
          <w:b/>
          <w:sz w:val="22"/>
          <w:szCs w:val="22"/>
        </w:rPr>
        <w:t>bras</w:t>
      </w:r>
      <w:r w:rsidR="00B90328">
        <w:rPr>
          <w:rFonts w:ascii="Palatino Linotype" w:hAnsi="Palatino Linotype" w:cs="Tahoma"/>
          <w:sz w:val="22"/>
          <w:szCs w:val="22"/>
        </w:rPr>
        <w:t>.-</w:t>
      </w:r>
      <w:r w:rsidRPr="00B90328">
        <w:rPr>
          <w:rFonts w:ascii="Palatino Linotype" w:hAnsi="Palatino Linotype" w:cs="Tahoma"/>
          <w:sz w:val="22"/>
          <w:szCs w:val="22"/>
        </w:rPr>
        <w:t xml:space="preserve"> La Ordenanza Metropolitana No. 0156</w:t>
      </w:r>
      <w:r w:rsidR="00B90328">
        <w:rPr>
          <w:rFonts w:ascii="Palatino Linotype" w:hAnsi="Palatino Linotype" w:cs="Tahoma"/>
          <w:sz w:val="22"/>
          <w:szCs w:val="22"/>
        </w:rPr>
        <w:t>,</w:t>
      </w:r>
      <w:r w:rsidRPr="00B90328">
        <w:rPr>
          <w:rFonts w:ascii="Palatino Linotype" w:hAnsi="Palatino Linotype" w:cs="Tahoma"/>
          <w:sz w:val="22"/>
          <w:szCs w:val="22"/>
        </w:rPr>
        <w:t xml:space="preserve"> reformada por la Ordenanza Metropolitana No. 0433, que establece el Régimen Administrativo del Suelo en el Distrito Metropolitano de Quito: De las Licencias Metropolitanas Urbanísticas,</w:t>
      </w:r>
      <w:r w:rsidR="00B90328">
        <w:rPr>
          <w:rFonts w:ascii="Palatino Linotype" w:hAnsi="Palatino Linotype" w:cs="Tahoma"/>
          <w:sz w:val="22"/>
          <w:szCs w:val="22"/>
        </w:rPr>
        <w:t xml:space="preserve"> artículo</w:t>
      </w:r>
      <w:r w:rsidRPr="00B90328">
        <w:rPr>
          <w:rFonts w:ascii="Palatino Linotype" w:hAnsi="Palatino Linotype" w:cs="Tahoma"/>
          <w:sz w:val="22"/>
          <w:szCs w:val="22"/>
        </w:rPr>
        <w:t xml:space="preserve"> 33, Numeral 3, determina:</w:t>
      </w:r>
      <w:r w:rsidR="00B90328">
        <w:rPr>
          <w:rFonts w:ascii="Palatino Linotype" w:hAnsi="Palatino Linotype" w:cs="Tahoma"/>
          <w:sz w:val="22"/>
          <w:szCs w:val="22"/>
        </w:rPr>
        <w:t xml:space="preserve"> </w:t>
      </w:r>
      <w:r w:rsidRPr="00B90328">
        <w:rPr>
          <w:rFonts w:ascii="Palatino Linotype" w:hAnsi="Palatino Linotype" w:cs="Tahoma"/>
          <w:sz w:val="22"/>
          <w:szCs w:val="22"/>
        </w:rPr>
        <w:t>“</w:t>
      </w:r>
      <w:r w:rsidRPr="00B90328">
        <w:rPr>
          <w:rFonts w:ascii="Palatino Linotype" w:hAnsi="Palatino Linotype" w:cs="Tahoma"/>
          <w:i/>
          <w:sz w:val="22"/>
          <w:szCs w:val="22"/>
        </w:rPr>
        <w:t>En las urbanizaciones de interés social de desarrollo progresivo efectuadas por organizaciones sociales aprobadas por el Ministerio sectorial competente únicamente servirán como garantía de ejecución de las obras la hipoteca de los lotes.</w:t>
      </w:r>
      <w:r w:rsidRPr="00B90328">
        <w:rPr>
          <w:rFonts w:ascii="Palatino Linotype" w:hAnsi="Palatino Linotype" w:cs="Tahoma"/>
          <w:sz w:val="22"/>
          <w:szCs w:val="22"/>
        </w:rPr>
        <w:t>”</w:t>
      </w:r>
    </w:p>
    <w:p w:rsidR="00B21E4E" w:rsidRPr="00B90328" w:rsidRDefault="00B21E4E" w:rsidP="00CF35EE">
      <w:pPr>
        <w:spacing w:after="120"/>
        <w:contextualSpacing/>
        <w:jc w:val="both"/>
        <w:rPr>
          <w:rFonts w:ascii="Palatino Linotype" w:hAnsi="Palatino Linotype" w:cs="Tahoma"/>
        </w:rPr>
      </w:pPr>
      <w:r w:rsidRPr="00B90328">
        <w:rPr>
          <w:rFonts w:ascii="Palatino Linotype" w:hAnsi="Palatino Linotype" w:cs="Tahoma"/>
        </w:rPr>
        <w:t>Mediante Acta No. 01-STHV-EPMMOP-2015</w:t>
      </w:r>
      <w:r w:rsidR="00B90328">
        <w:rPr>
          <w:rFonts w:ascii="Palatino Linotype" w:hAnsi="Palatino Linotype" w:cs="Tahoma"/>
        </w:rPr>
        <w:t>, de</w:t>
      </w:r>
      <w:r w:rsidRPr="00B90328">
        <w:rPr>
          <w:rFonts w:ascii="Palatino Linotype" w:hAnsi="Palatino Linotype" w:cs="Tahoma"/>
        </w:rPr>
        <w:t xml:space="preserve"> 17 de abril de 2015</w:t>
      </w:r>
      <w:r w:rsidR="00B90328">
        <w:rPr>
          <w:rFonts w:ascii="Palatino Linotype" w:hAnsi="Palatino Linotype" w:cs="Tahoma"/>
        </w:rPr>
        <w:t>,</w:t>
      </w:r>
      <w:r w:rsidRPr="00B90328">
        <w:rPr>
          <w:rFonts w:ascii="Palatino Linotype" w:hAnsi="Palatino Linotype" w:cs="Tahoma"/>
        </w:rPr>
        <w:t xml:space="preserve"> se establece que el valor por metro cuadrado para la ejecución de obras en urbanizaciones se obtiene de la suma del costo por metro cuadrado de vía e infraestructura proyectada, más el 15% de este valor para la ejecución de obras en las áreas verdes y comunales; y, de acuerdo al </w:t>
      </w:r>
      <w:r w:rsidR="00B90328">
        <w:rPr>
          <w:rFonts w:ascii="Palatino Linotype" w:hAnsi="Palatino Linotype" w:cs="Tahoma"/>
        </w:rPr>
        <w:t>o</w:t>
      </w:r>
      <w:r w:rsidRPr="00B90328">
        <w:rPr>
          <w:rFonts w:ascii="Palatino Linotype" w:hAnsi="Palatino Linotype" w:cs="Tahoma"/>
        </w:rPr>
        <w:t>ficio No. 4011-GG-SG-005797</w:t>
      </w:r>
      <w:r w:rsidR="00B90328">
        <w:rPr>
          <w:rFonts w:ascii="Palatino Linotype" w:hAnsi="Palatino Linotype" w:cs="Tahoma"/>
        </w:rPr>
        <w:t>,</w:t>
      </w:r>
      <w:r w:rsidRPr="00B90328">
        <w:rPr>
          <w:rFonts w:ascii="Palatino Linotype" w:hAnsi="Palatino Linotype" w:cs="Tahoma"/>
        </w:rPr>
        <w:t xml:space="preserve"> de 28 de noviembre de 2016</w:t>
      </w:r>
      <w:r w:rsidR="00B90328">
        <w:rPr>
          <w:rFonts w:ascii="Palatino Linotype" w:hAnsi="Palatino Linotype" w:cs="Tahoma"/>
        </w:rPr>
        <w:t>,</w:t>
      </w:r>
      <w:r w:rsidR="00AD67A8">
        <w:rPr>
          <w:rFonts w:ascii="Palatino Linotype" w:hAnsi="Palatino Linotype" w:cs="Tahoma"/>
        </w:rPr>
        <w:t xml:space="preserve"> y m</w:t>
      </w:r>
      <w:r w:rsidRPr="00B90328">
        <w:rPr>
          <w:rFonts w:ascii="Palatino Linotype" w:hAnsi="Palatino Linotype" w:cs="Tahoma"/>
        </w:rPr>
        <w:t>emorando No. 284-UCPP</w:t>
      </w:r>
      <w:r w:rsidR="00B90328">
        <w:rPr>
          <w:rFonts w:ascii="Palatino Linotype" w:hAnsi="Palatino Linotype" w:cs="Tahoma"/>
        </w:rPr>
        <w:t>, de</w:t>
      </w:r>
      <w:r w:rsidRPr="00B90328">
        <w:rPr>
          <w:rFonts w:ascii="Palatino Linotype" w:hAnsi="Palatino Linotype" w:cs="Tahoma"/>
        </w:rPr>
        <w:t xml:space="preserve"> 16 de noviembre de 2016</w:t>
      </w:r>
      <w:r w:rsidR="00B90328">
        <w:rPr>
          <w:rFonts w:ascii="Palatino Linotype" w:hAnsi="Palatino Linotype" w:cs="Tahoma"/>
        </w:rPr>
        <w:t>,</w:t>
      </w:r>
      <w:r w:rsidRPr="00B90328">
        <w:rPr>
          <w:rFonts w:ascii="Palatino Linotype" w:hAnsi="Palatino Linotype" w:cs="Tahoma"/>
        </w:rPr>
        <w:t xml:space="preserve"> de la Empresa Pública Metropolitana de </w:t>
      </w:r>
      <w:r w:rsidRPr="00B90328">
        <w:rPr>
          <w:rFonts w:ascii="Palatino Linotype" w:hAnsi="Palatino Linotype" w:cs="Tahoma"/>
        </w:rPr>
        <w:lastRenderedPageBreak/>
        <w:t xml:space="preserve">Movilidad y Obras Públicas (EPMMOP), se establece en USD 46,63 </w:t>
      </w:r>
      <w:r w:rsidR="00AD67A8">
        <w:rPr>
          <w:rFonts w:ascii="Palatino Linotype" w:hAnsi="Palatino Linotype" w:cs="Tahoma"/>
        </w:rPr>
        <w:t xml:space="preserve">(cuarenta y tres con 63/100 </w:t>
      </w:r>
      <w:r w:rsidRPr="00B90328">
        <w:rPr>
          <w:rFonts w:ascii="Palatino Linotype" w:hAnsi="Palatino Linotype" w:cs="Tahoma"/>
        </w:rPr>
        <w:t>dólares</w:t>
      </w:r>
      <w:r w:rsidR="00AD67A8">
        <w:rPr>
          <w:rFonts w:ascii="Palatino Linotype" w:hAnsi="Palatino Linotype" w:cs="Tahoma"/>
        </w:rPr>
        <w:t xml:space="preserve"> americanos)</w:t>
      </w:r>
      <w:r w:rsidRPr="00B90328">
        <w:rPr>
          <w:rFonts w:ascii="Palatino Linotype" w:hAnsi="Palatino Linotype" w:cs="Tahoma"/>
        </w:rPr>
        <w:t xml:space="preserve"> el costo unitario del metro cuadrado de vías (incluye obras de infraestructura) en urbanizaciones.</w:t>
      </w:r>
    </w:p>
    <w:p w:rsidR="00B90328" w:rsidRPr="00B90328" w:rsidRDefault="00B21E4E" w:rsidP="00B90328">
      <w:pPr>
        <w:pStyle w:val="Textopredeterminado"/>
        <w:spacing w:after="120" w:line="276" w:lineRule="auto"/>
        <w:jc w:val="both"/>
        <w:rPr>
          <w:rFonts w:ascii="Palatino Linotype" w:hAnsi="Palatino Linotype" w:cs="Tahoma"/>
          <w:sz w:val="22"/>
          <w:szCs w:val="22"/>
        </w:rPr>
      </w:pPr>
      <w:r w:rsidRPr="00B90328">
        <w:rPr>
          <w:rFonts w:ascii="Palatino Linotype" w:hAnsi="Palatino Linotype" w:cs="Tahoma"/>
          <w:sz w:val="22"/>
          <w:szCs w:val="22"/>
        </w:rPr>
        <w:t>En base a lo expuesto, el valor de las obras de la Urbanización de Interés Social “</w:t>
      </w:r>
      <w:r w:rsidR="00B90328" w:rsidRPr="00B90328">
        <w:rPr>
          <w:rFonts w:ascii="Palatino Linotype" w:hAnsi="Palatino Linotype" w:cs="Tahoma"/>
          <w:sz w:val="22"/>
          <w:szCs w:val="22"/>
        </w:rPr>
        <w:t>Comité Pro Mejoras Vista Hermosa</w:t>
      </w:r>
      <w:r w:rsidRPr="00B90328">
        <w:rPr>
          <w:rFonts w:ascii="Palatino Linotype" w:hAnsi="Palatino Linotype" w:cs="Tahoma"/>
          <w:sz w:val="22"/>
          <w:szCs w:val="22"/>
        </w:rPr>
        <w:t>”, es de USD</w:t>
      </w:r>
      <w:r w:rsidR="00B90328">
        <w:rPr>
          <w:rFonts w:ascii="Palatino Linotype" w:hAnsi="Palatino Linotype" w:cs="Tahoma"/>
          <w:sz w:val="22"/>
          <w:szCs w:val="22"/>
        </w:rPr>
        <w:t>.</w:t>
      </w:r>
      <w:r w:rsidRPr="00B90328">
        <w:rPr>
          <w:rFonts w:ascii="Palatino Linotype" w:hAnsi="Palatino Linotype" w:cs="Tahoma"/>
          <w:sz w:val="22"/>
          <w:szCs w:val="22"/>
        </w:rPr>
        <w:t xml:space="preserve"> 119.167,05 (</w:t>
      </w:r>
      <w:r w:rsidR="00B90328" w:rsidRPr="00B90328">
        <w:rPr>
          <w:rFonts w:ascii="Palatino Linotype" w:hAnsi="Palatino Linotype" w:cs="Tahoma"/>
          <w:sz w:val="22"/>
          <w:szCs w:val="22"/>
        </w:rPr>
        <w:t>ciento diecinueve mil ciento sesenta y siete con 05/100</w:t>
      </w:r>
      <w:r w:rsidR="00B90328">
        <w:rPr>
          <w:rFonts w:ascii="Palatino Linotype" w:hAnsi="Palatino Linotype" w:cs="Tahoma"/>
          <w:sz w:val="22"/>
          <w:szCs w:val="22"/>
        </w:rPr>
        <w:t xml:space="preserve">, </w:t>
      </w:r>
      <w:r w:rsidR="00B90328" w:rsidRPr="00B90328">
        <w:rPr>
          <w:rFonts w:ascii="Palatino Linotype" w:hAnsi="Palatino Linotype" w:cs="Tahoma"/>
          <w:sz w:val="22"/>
          <w:szCs w:val="22"/>
        </w:rPr>
        <w:t>dólares americanos</w:t>
      </w:r>
      <w:r w:rsidRPr="00B90328">
        <w:rPr>
          <w:rFonts w:ascii="Palatino Linotype" w:hAnsi="Palatino Linotype" w:cs="Tahoma"/>
          <w:sz w:val="22"/>
          <w:szCs w:val="22"/>
        </w:rPr>
        <w:t>), en tal razón para garantizar dichas obras quedan gravados todos los lotes con primera, especial y preferente hipoteca a favor del Municipio del Distrito Metropolitano de Quito, la cual subsistirá hasta la ejecución de la totalidad de las obras.</w:t>
      </w:r>
      <w:r w:rsidR="00B90328">
        <w:rPr>
          <w:rFonts w:ascii="Palatino Linotype" w:hAnsi="Palatino Linotype" w:cs="Tahoma"/>
          <w:sz w:val="22"/>
          <w:szCs w:val="22"/>
        </w:rPr>
        <w:t xml:space="preserve"> </w:t>
      </w:r>
    </w:p>
    <w:p w:rsidR="00B90328" w:rsidRPr="00B90328" w:rsidRDefault="00B90328" w:rsidP="00B90328">
      <w:pPr>
        <w:pStyle w:val="Textopredeterminado"/>
        <w:spacing w:after="120" w:line="276" w:lineRule="auto"/>
        <w:jc w:val="both"/>
        <w:rPr>
          <w:rFonts w:ascii="Palatino Linotype" w:hAnsi="Palatino Linotype" w:cs="Tahoma"/>
          <w:sz w:val="22"/>
          <w:szCs w:val="22"/>
        </w:rPr>
      </w:pPr>
      <w:r>
        <w:rPr>
          <w:rFonts w:ascii="Palatino Linotype" w:hAnsi="Palatino Linotype"/>
          <w:b/>
          <w:sz w:val="22"/>
          <w:szCs w:val="22"/>
        </w:rPr>
        <w:t>Artículo</w:t>
      </w:r>
      <w:r w:rsidR="00B21E4E" w:rsidRPr="00B90328">
        <w:rPr>
          <w:rFonts w:ascii="Palatino Linotype" w:hAnsi="Palatino Linotype"/>
          <w:b/>
          <w:sz w:val="22"/>
          <w:szCs w:val="22"/>
        </w:rPr>
        <w:t xml:space="preserve"> 5.-</w:t>
      </w:r>
      <w:r w:rsidR="00B21E4E" w:rsidRPr="00B90328">
        <w:rPr>
          <w:rFonts w:ascii="Palatino Linotype" w:hAnsi="Palatino Linotype"/>
          <w:sz w:val="22"/>
          <w:szCs w:val="22"/>
        </w:rPr>
        <w:t xml:space="preserve"> </w:t>
      </w:r>
      <w:r w:rsidR="00B21E4E" w:rsidRPr="00B90328">
        <w:rPr>
          <w:rFonts w:ascii="Palatino Linotype" w:hAnsi="Palatino Linotype" w:cs="Tahoma"/>
          <w:b/>
          <w:sz w:val="22"/>
          <w:szCs w:val="22"/>
        </w:rPr>
        <w:t>P</w:t>
      </w:r>
      <w:r w:rsidRPr="00B90328">
        <w:rPr>
          <w:rFonts w:ascii="Palatino Linotype" w:hAnsi="Palatino Linotype" w:cs="Tahoma"/>
          <w:b/>
          <w:sz w:val="22"/>
          <w:szCs w:val="22"/>
        </w:rPr>
        <w:t>lazo para la ejecución de las obras</w:t>
      </w:r>
      <w:r w:rsidR="00B21E4E" w:rsidRPr="00B90328">
        <w:rPr>
          <w:rFonts w:ascii="Palatino Linotype" w:hAnsi="Palatino Linotype" w:cs="Tahoma"/>
          <w:b/>
          <w:sz w:val="22"/>
          <w:szCs w:val="22"/>
        </w:rPr>
        <w:t xml:space="preserve">.- </w:t>
      </w:r>
      <w:r w:rsidR="00B21E4E" w:rsidRPr="00B90328">
        <w:rPr>
          <w:rFonts w:ascii="Palatino Linotype" w:hAnsi="Palatino Linotype" w:cs="Tahoma"/>
          <w:sz w:val="22"/>
          <w:szCs w:val="22"/>
        </w:rPr>
        <w:t xml:space="preserve">De acuerdo al </w:t>
      </w:r>
      <w:r>
        <w:rPr>
          <w:rFonts w:ascii="Palatino Linotype" w:hAnsi="Palatino Linotype" w:cs="Tahoma"/>
          <w:sz w:val="22"/>
          <w:szCs w:val="22"/>
        </w:rPr>
        <w:t>c</w:t>
      </w:r>
      <w:r w:rsidR="00B21E4E" w:rsidRPr="00B90328">
        <w:rPr>
          <w:rFonts w:ascii="Palatino Linotype" w:hAnsi="Palatino Linotype" w:cs="Tahoma"/>
          <w:sz w:val="22"/>
          <w:szCs w:val="22"/>
        </w:rPr>
        <w:t xml:space="preserve">ronograma  </w:t>
      </w:r>
      <w:r>
        <w:rPr>
          <w:rFonts w:ascii="Palatino Linotype" w:hAnsi="Palatino Linotype" w:cs="Tahoma"/>
          <w:sz w:val="22"/>
          <w:szCs w:val="22"/>
        </w:rPr>
        <w:t>v</w:t>
      </w:r>
      <w:r w:rsidR="00B21E4E" w:rsidRPr="00B90328">
        <w:rPr>
          <w:rFonts w:ascii="Palatino Linotype" w:hAnsi="Palatino Linotype" w:cs="Tahoma"/>
          <w:sz w:val="22"/>
          <w:szCs w:val="22"/>
        </w:rPr>
        <w:t xml:space="preserve">alorado de </w:t>
      </w:r>
      <w:r>
        <w:rPr>
          <w:rFonts w:ascii="Palatino Linotype" w:hAnsi="Palatino Linotype" w:cs="Tahoma"/>
          <w:sz w:val="22"/>
          <w:szCs w:val="22"/>
        </w:rPr>
        <w:t>o</w:t>
      </w:r>
      <w:r w:rsidR="00B21E4E" w:rsidRPr="00B90328">
        <w:rPr>
          <w:rFonts w:ascii="Palatino Linotype" w:hAnsi="Palatino Linotype" w:cs="Tahoma"/>
          <w:sz w:val="22"/>
          <w:szCs w:val="22"/>
        </w:rPr>
        <w:t>bras constante en el plano que contiene la implantación del proyecto el plazo para la ejecución de las obras de urbanización es de 3 años, contados a partir de la sanción de la presente ordenanza.</w:t>
      </w:r>
    </w:p>
    <w:p w:rsidR="00B90328" w:rsidRPr="00B90328" w:rsidRDefault="00B21E4E" w:rsidP="00B90328">
      <w:pPr>
        <w:pStyle w:val="Textopredeterminado"/>
        <w:spacing w:after="120" w:line="276" w:lineRule="auto"/>
        <w:jc w:val="both"/>
        <w:rPr>
          <w:rFonts w:ascii="Palatino Linotype" w:hAnsi="Palatino Linotype" w:cs="Tahoma"/>
          <w:sz w:val="22"/>
          <w:szCs w:val="22"/>
        </w:rPr>
      </w:pPr>
      <w:r w:rsidRPr="00B90328">
        <w:rPr>
          <w:rFonts w:ascii="Palatino Linotype" w:hAnsi="Palatino Linotype" w:cs="Tahoma"/>
          <w:sz w:val="22"/>
          <w:szCs w:val="22"/>
        </w:rPr>
        <w:t>De las obras de urbanización, se deberá pagar las contribuciones de ley; y, deberá cancelarse la tasa retributiva por gastos administrativos correspondientes al registro de la urbanización, de conformidad con la normativa vigente.</w:t>
      </w:r>
    </w:p>
    <w:p w:rsidR="00B90328" w:rsidRPr="00B90328" w:rsidRDefault="00B21E4E" w:rsidP="00B90328">
      <w:pPr>
        <w:pStyle w:val="Textopredeterminado"/>
        <w:spacing w:after="120" w:line="276" w:lineRule="auto"/>
        <w:jc w:val="both"/>
        <w:rPr>
          <w:rFonts w:ascii="Palatino Linotype" w:hAnsi="Palatino Linotype" w:cs="Tahoma"/>
          <w:sz w:val="22"/>
          <w:szCs w:val="22"/>
        </w:rPr>
      </w:pPr>
      <w:r w:rsidRPr="00B90328">
        <w:rPr>
          <w:rFonts w:ascii="Palatino Linotype" w:hAnsi="Palatino Linotype" w:cs="Tahoma"/>
          <w:b/>
          <w:sz w:val="22"/>
          <w:szCs w:val="22"/>
        </w:rPr>
        <w:t>Art</w:t>
      </w:r>
      <w:r w:rsidR="00B90328">
        <w:rPr>
          <w:rFonts w:ascii="Palatino Linotype" w:hAnsi="Palatino Linotype" w:cs="Tahoma"/>
          <w:b/>
          <w:sz w:val="22"/>
          <w:szCs w:val="22"/>
        </w:rPr>
        <w:t>ículo</w:t>
      </w:r>
      <w:r w:rsidRPr="00B90328">
        <w:rPr>
          <w:rFonts w:ascii="Palatino Linotype" w:hAnsi="Palatino Linotype" w:cs="Tahoma"/>
          <w:b/>
          <w:sz w:val="22"/>
          <w:szCs w:val="22"/>
        </w:rPr>
        <w:t xml:space="preserve"> 6.- D</w:t>
      </w:r>
      <w:r w:rsidR="00B90328" w:rsidRPr="00B90328">
        <w:rPr>
          <w:rFonts w:ascii="Palatino Linotype" w:hAnsi="Palatino Linotype" w:cs="Tahoma"/>
          <w:b/>
          <w:sz w:val="22"/>
          <w:szCs w:val="22"/>
        </w:rPr>
        <w:t xml:space="preserve">el control de </w:t>
      </w:r>
      <w:r w:rsidR="00B90328">
        <w:rPr>
          <w:rFonts w:ascii="Palatino Linotype" w:hAnsi="Palatino Linotype" w:cs="Tahoma"/>
          <w:b/>
          <w:sz w:val="22"/>
          <w:szCs w:val="22"/>
        </w:rPr>
        <w:t>e</w:t>
      </w:r>
      <w:r w:rsidR="00B90328" w:rsidRPr="00B90328">
        <w:rPr>
          <w:rFonts w:ascii="Palatino Linotype" w:hAnsi="Palatino Linotype" w:cs="Tahoma"/>
          <w:b/>
          <w:sz w:val="22"/>
          <w:szCs w:val="22"/>
        </w:rPr>
        <w:t>jecución de las obras</w:t>
      </w:r>
      <w:r w:rsidRPr="00B90328">
        <w:rPr>
          <w:rFonts w:ascii="Palatino Linotype" w:hAnsi="Palatino Linotype" w:cs="Tahoma"/>
          <w:sz w:val="22"/>
          <w:szCs w:val="22"/>
        </w:rPr>
        <w:t xml:space="preserve">.-La Administración Zonal </w:t>
      </w:r>
      <w:r w:rsidR="00AD67A8">
        <w:rPr>
          <w:rFonts w:ascii="Palatino Linotype" w:hAnsi="Palatino Linotype" w:cs="Tahoma"/>
          <w:sz w:val="22"/>
          <w:szCs w:val="22"/>
        </w:rPr>
        <w:t xml:space="preserve">Centro “Manuela Sáenz” </w:t>
      </w:r>
      <w:r w:rsidRPr="00B90328">
        <w:rPr>
          <w:rFonts w:ascii="Palatino Linotype" w:hAnsi="Palatino Linotype" w:cs="Tahoma"/>
          <w:sz w:val="22"/>
          <w:szCs w:val="22"/>
        </w:rPr>
        <w:t>realizará el control y seguimiento de la ejecución de las obras de urbanización hasta la terminación de las mismas.</w:t>
      </w:r>
    </w:p>
    <w:p w:rsidR="00B90328" w:rsidRPr="00B90328" w:rsidRDefault="00AD67A8" w:rsidP="00B90328">
      <w:pPr>
        <w:pStyle w:val="Textopredeterminado"/>
        <w:spacing w:after="120" w:line="276" w:lineRule="auto"/>
        <w:jc w:val="both"/>
        <w:rPr>
          <w:rFonts w:ascii="Palatino Linotype" w:hAnsi="Palatino Linotype" w:cs="Tahoma"/>
          <w:sz w:val="22"/>
          <w:szCs w:val="22"/>
        </w:rPr>
      </w:pPr>
      <w:r>
        <w:rPr>
          <w:rFonts w:ascii="Palatino Linotype" w:hAnsi="Palatino Linotype" w:cs="Tahoma"/>
          <w:b/>
          <w:sz w:val="22"/>
          <w:szCs w:val="22"/>
        </w:rPr>
        <w:t>Artículo</w:t>
      </w:r>
      <w:r w:rsidR="00B21E4E" w:rsidRPr="00B90328">
        <w:rPr>
          <w:rFonts w:ascii="Palatino Linotype" w:hAnsi="Palatino Linotype" w:cs="Tahoma"/>
          <w:b/>
          <w:sz w:val="22"/>
          <w:szCs w:val="22"/>
        </w:rPr>
        <w:t xml:space="preserve"> 7.- D</w:t>
      </w:r>
      <w:r w:rsidRPr="00B90328">
        <w:rPr>
          <w:rFonts w:ascii="Palatino Linotype" w:hAnsi="Palatino Linotype" w:cs="Tahoma"/>
          <w:b/>
          <w:sz w:val="22"/>
          <w:szCs w:val="22"/>
        </w:rPr>
        <w:t>el retraso en la ejecución de las obras</w:t>
      </w:r>
      <w:r w:rsidR="00B21E4E" w:rsidRPr="00B90328">
        <w:rPr>
          <w:rFonts w:ascii="Palatino Linotype" w:hAnsi="Palatino Linotype" w:cs="Tahoma"/>
          <w:b/>
          <w:sz w:val="22"/>
          <w:szCs w:val="22"/>
        </w:rPr>
        <w:t>.-</w:t>
      </w:r>
      <w:r w:rsidR="00B21E4E" w:rsidRPr="00B90328">
        <w:rPr>
          <w:rFonts w:ascii="Palatino Linotype" w:hAnsi="Palatino Linotype" w:cs="Tahoma"/>
          <w:sz w:val="22"/>
          <w:szCs w:val="22"/>
        </w:rPr>
        <w:t xml:space="preserve"> En caso de retraso en la ejecución de las obras de urbanización, los propietarios pagarán a la Municipalidad en  calidad de multa el uno por mil por cada día de retraso, calculado del costo de las obras no ejecutadas, cuyo monto se establecerá previo los informes técnicos correspondientes, por incumplimiento de las obras de urbanización, y a su vez se notificará a la Dirección Metropolitana Financiera para que se emita el título de crédito respectivo y proceder a su cobro, incluso por la vía coactiva.</w:t>
      </w:r>
    </w:p>
    <w:p w:rsidR="00B90328" w:rsidRPr="00B90328" w:rsidRDefault="00B21E4E" w:rsidP="00B90328">
      <w:pPr>
        <w:pStyle w:val="Textopredeterminado"/>
        <w:spacing w:after="120" w:line="276" w:lineRule="auto"/>
        <w:jc w:val="both"/>
        <w:rPr>
          <w:rFonts w:ascii="Palatino Linotype" w:hAnsi="Palatino Linotype" w:cs="Tahoma"/>
          <w:sz w:val="22"/>
          <w:szCs w:val="22"/>
          <w:lang w:val="es-EC"/>
        </w:rPr>
      </w:pPr>
      <w:r w:rsidRPr="00B90328">
        <w:rPr>
          <w:rFonts w:ascii="Palatino Linotype" w:hAnsi="Palatino Linotype" w:cs="Tahoma"/>
          <w:b/>
          <w:sz w:val="22"/>
          <w:szCs w:val="22"/>
        </w:rPr>
        <w:t>Art</w:t>
      </w:r>
      <w:r w:rsidR="00AD67A8">
        <w:rPr>
          <w:rFonts w:ascii="Palatino Linotype" w:hAnsi="Palatino Linotype" w:cs="Tahoma"/>
          <w:b/>
          <w:sz w:val="22"/>
          <w:szCs w:val="22"/>
        </w:rPr>
        <w:t>ículo</w:t>
      </w:r>
      <w:r w:rsidRPr="00B90328">
        <w:rPr>
          <w:rFonts w:ascii="Palatino Linotype" w:hAnsi="Palatino Linotype" w:cs="Tahoma"/>
          <w:b/>
          <w:sz w:val="22"/>
          <w:szCs w:val="22"/>
        </w:rPr>
        <w:t xml:space="preserve"> 8.-</w:t>
      </w:r>
      <w:r w:rsidRPr="00B90328">
        <w:rPr>
          <w:rFonts w:ascii="Palatino Linotype" w:hAnsi="Palatino Linotype" w:cs="Tahoma"/>
          <w:sz w:val="22"/>
          <w:szCs w:val="22"/>
        </w:rPr>
        <w:t xml:space="preserve"> </w:t>
      </w:r>
      <w:r w:rsidRPr="00B90328">
        <w:rPr>
          <w:rFonts w:ascii="Palatino Linotype" w:hAnsi="Palatino Linotype" w:cs="Tahoma"/>
          <w:sz w:val="22"/>
          <w:szCs w:val="22"/>
          <w:lang w:val="es-EC"/>
        </w:rPr>
        <w:t>En caso de comprobarse ocultamiento o falsedad en planos, datos, documentos o de existir reclamos de terceros afectados, o de no presentar la garantía para la ejecución de obras de infraestructura de la urbanización, el Concejo Metropolitano revocará la presente ordenanza bajo exclusiva responsabilidad de los propietarios y proyectista de la urbanización, mismos que no podrán alegar a su favor que se encuentran ejecutadas las obras de urbanización o celebradas escrituras de transferencia de dominio a favor de terceros.</w:t>
      </w:r>
    </w:p>
    <w:p w:rsidR="00B21E4E" w:rsidRPr="00B90328" w:rsidRDefault="00AD67A8" w:rsidP="00B90328">
      <w:pPr>
        <w:pStyle w:val="Textopredeterminado"/>
        <w:spacing w:after="120" w:line="276" w:lineRule="auto"/>
        <w:jc w:val="both"/>
        <w:rPr>
          <w:rFonts w:ascii="Palatino Linotype" w:hAnsi="Palatino Linotype"/>
          <w:sz w:val="22"/>
          <w:szCs w:val="22"/>
        </w:rPr>
      </w:pPr>
      <w:r>
        <w:rPr>
          <w:rFonts w:ascii="Palatino Linotype" w:hAnsi="Palatino Linotype" w:cs="Tahoma"/>
          <w:b/>
          <w:sz w:val="22"/>
          <w:szCs w:val="22"/>
          <w:lang w:val="es-EC"/>
        </w:rPr>
        <w:t>Artículo</w:t>
      </w:r>
      <w:r w:rsidR="00B21E4E" w:rsidRPr="00B90328">
        <w:rPr>
          <w:rFonts w:ascii="Palatino Linotype" w:hAnsi="Palatino Linotype" w:cs="Tahoma"/>
          <w:b/>
          <w:sz w:val="22"/>
          <w:szCs w:val="22"/>
          <w:lang w:val="es-EC"/>
        </w:rPr>
        <w:t xml:space="preserve"> 9</w:t>
      </w:r>
      <w:r w:rsidR="00B21E4E" w:rsidRPr="00B90328">
        <w:rPr>
          <w:rFonts w:ascii="Palatino Linotype" w:hAnsi="Palatino Linotype" w:cs="Tahoma"/>
          <w:sz w:val="22"/>
          <w:szCs w:val="22"/>
          <w:lang w:val="es-EC"/>
        </w:rPr>
        <w:t xml:space="preserve">.- Los urbanizadores </w:t>
      </w:r>
      <w:r>
        <w:rPr>
          <w:rFonts w:ascii="Palatino Linotype" w:hAnsi="Palatino Linotype" w:cs="Tahoma"/>
          <w:sz w:val="22"/>
          <w:szCs w:val="22"/>
          <w:lang w:val="es-EC"/>
        </w:rPr>
        <w:t>se comprometen en el plazo de 18</w:t>
      </w:r>
      <w:r w:rsidR="00B21E4E" w:rsidRPr="00B90328">
        <w:rPr>
          <w:rFonts w:ascii="Palatino Linotype" w:hAnsi="Palatino Linotype" w:cs="Tahoma"/>
          <w:sz w:val="22"/>
          <w:szCs w:val="22"/>
          <w:lang w:val="es-EC"/>
        </w:rPr>
        <w:t>0 días, contados a partir de l</w:t>
      </w:r>
      <w:r>
        <w:rPr>
          <w:rFonts w:ascii="Palatino Linotype" w:hAnsi="Palatino Linotype" w:cs="Tahoma"/>
          <w:sz w:val="22"/>
          <w:szCs w:val="22"/>
          <w:lang w:val="es-EC"/>
        </w:rPr>
        <w:t>a notificación con la presente O</w:t>
      </w:r>
      <w:r w:rsidR="00B21E4E" w:rsidRPr="00B90328">
        <w:rPr>
          <w:rFonts w:ascii="Palatino Linotype" w:hAnsi="Palatino Linotype" w:cs="Tahoma"/>
          <w:sz w:val="22"/>
          <w:szCs w:val="22"/>
          <w:lang w:val="es-EC"/>
        </w:rPr>
        <w:t>rdenanza</w:t>
      </w:r>
      <w:r>
        <w:rPr>
          <w:rFonts w:ascii="Palatino Linotype" w:hAnsi="Palatino Linotype" w:cs="Tahoma"/>
          <w:sz w:val="22"/>
          <w:szCs w:val="22"/>
          <w:lang w:val="es-EC"/>
        </w:rPr>
        <w:t>,</w:t>
      </w:r>
      <w:r w:rsidR="00B21E4E" w:rsidRPr="00B90328">
        <w:rPr>
          <w:rFonts w:ascii="Palatino Linotype" w:hAnsi="Palatino Linotype" w:cs="Tahoma"/>
          <w:sz w:val="22"/>
          <w:szCs w:val="22"/>
          <w:lang w:val="es-EC"/>
        </w:rPr>
        <w:t xml:space="preserve"> a protocolizarla con todos documentos habilitantes en una </w:t>
      </w:r>
      <w:r>
        <w:rPr>
          <w:rFonts w:ascii="Palatino Linotype" w:hAnsi="Palatino Linotype" w:cs="Tahoma"/>
          <w:sz w:val="22"/>
          <w:szCs w:val="22"/>
          <w:lang w:val="es-EC"/>
        </w:rPr>
        <w:t>N</w:t>
      </w:r>
      <w:r w:rsidR="00B21E4E" w:rsidRPr="00B90328">
        <w:rPr>
          <w:rFonts w:ascii="Palatino Linotype" w:hAnsi="Palatino Linotype" w:cs="Tahoma"/>
          <w:sz w:val="22"/>
          <w:szCs w:val="22"/>
          <w:lang w:val="es-EC"/>
        </w:rPr>
        <w:t xml:space="preserve">otaría e inscribirla en el Registro de la Propiedad, </w:t>
      </w:r>
      <w:r w:rsidR="00B21E4E" w:rsidRPr="00B90328">
        <w:rPr>
          <w:rFonts w:ascii="Palatino Linotype" w:hAnsi="Palatino Linotype" w:cs="Tahoma"/>
          <w:sz w:val="22"/>
          <w:szCs w:val="22"/>
          <w:lang w:val="es-EC"/>
        </w:rPr>
        <w:lastRenderedPageBreak/>
        <w:t xml:space="preserve">para que constituya título de transferencia de dominio de las áreas de uso público, verdes y comunales a favor del Municipio del Distrito Metropolitano de Quito, caso contrario el Concejo Metropolitano revocará la presente </w:t>
      </w:r>
      <w:r>
        <w:rPr>
          <w:rFonts w:ascii="Palatino Linotype" w:hAnsi="Palatino Linotype" w:cs="Tahoma"/>
          <w:sz w:val="22"/>
          <w:szCs w:val="22"/>
          <w:lang w:val="es-EC"/>
        </w:rPr>
        <w:t>O</w:t>
      </w:r>
      <w:r w:rsidR="00B21E4E" w:rsidRPr="00B90328">
        <w:rPr>
          <w:rFonts w:ascii="Palatino Linotype" w:hAnsi="Palatino Linotype" w:cs="Tahoma"/>
          <w:sz w:val="22"/>
          <w:szCs w:val="22"/>
          <w:lang w:val="es-EC"/>
        </w:rPr>
        <w:t xml:space="preserve">rdenanza, notificándose del particular a la Agencia </w:t>
      </w:r>
      <w:r>
        <w:rPr>
          <w:rFonts w:ascii="Palatino Linotype" w:hAnsi="Palatino Linotype" w:cs="Tahoma"/>
          <w:sz w:val="22"/>
          <w:szCs w:val="22"/>
          <w:lang w:val="es-EC"/>
        </w:rPr>
        <w:t xml:space="preserve">Metropolitana </w:t>
      </w:r>
      <w:r w:rsidR="00B21E4E" w:rsidRPr="00B90328">
        <w:rPr>
          <w:rFonts w:ascii="Palatino Linotype" w:hAnsi="Palatino Linotype" w:cs="Tahoma"/>
          <w:sz w:val="22"/>
          <w:szCs w:val="22"/>
          <w:lang w:val="es-EC"/>
        </w:rPr>
        <w:t>de Control para que inicie las acciones legales pertinentes.</w:t>
      </w:r>
    </w:p>
    <w:p w:rsidR="00B21E4E" w:rsidRDefault="00B21E4E" w:rsidP="00CF35EE">
      <w:pPr>
        <w:spacing w:after="120"/>
        <w:contextualSpacing/>
        <w:jc w:val="both"/>
        <w:rPr>
          <w:rFonts w:ascii="Palatino Linotype" w:hAnsi="Palatino Linotype"/>
          <w:b/>
        </w:rPr>
      </w:pPr>
      <w:r w:rsidRPr="00B90328">
        <w:rPr>
          <w:rFonts w:ascii="Palatino Linotype" w:hAnsi="Palatino Linotype"/>
          <w:b/>
        </w:rPr>
        <w:t xml:space="preserve">Disposición Final.- </w:t>
      </w:r>
      <w:r w:rsidRPr="00B90328">
        <w:rPr>
          <w:rFonts w:ascii="Palatino Linotype" w:hAnsi="Palatino Linotype"/>
        </w:rPr>
        <w:t>Esta ordenanza entrará en vigencia a partir de la fecha de su sanción, sin perjuicio de su publicación en la página web institucional de la Municipalidad.</w:t>
      </w:r>
      <w:r w:rsidRPr="00B90328">
        <w:rPr>
          <w:rFonts w:ascii="Palatino Linotype" w:hAnsi="Palatino Linotype"/>
          <w:b/>
        </w:rPr>
        <w:t xml:space="preserve"> </w:t>
      </w:r>
    </w:p>
    <w:p w:rsidR="00AD67A8" w:rsidRPr="00DD5629" w:rsidRDefault="00AD67A8" w:rsidP="00AD67A8">
      <w:pPr>
        <w:kinsoku w:val="0"/>
        <w:overflowPunct w:val="0"/>
        <w:spacing w:before="186"/>
        <w:jc w:val="both"/>
        <w:textAlignment w:val="baseline"/>
        <w:rPr>
          <w:rFonts w:ascii="Palatino Linotype" w:hAnsi="Palatino Linotype" w:cs="Garamond"/>
          <w:lang w:eastAsia="es-ES"/>
        </w:rPr>
      </w:pPr>
      <w:r w:rsidRPr="00DD5629">
        <w:rPr>
          <w:rFonts w:ascii="Palatino Linotype" w:hAnsi="Palatino Linotype"/>
          <w:lang w:val="es-EC"/>
        </w:rPr>
        <w:t xml:space="preserve">Dada, en la Sala de Sesiones del Concejo Metropolitano de Quito, el </w:t>
      </w:r>
      <w:r w:rsidR="008D7804">
        <w:rPr>
          <w:rFonts w:ascii="Palatino Linotype" w:hAnsi="Palatino Linotype"/>
          <w:lang w:val="es-EC"/>
        </w:rPr>
        <w:t>16</w:t>
      </w:r>
      <w:r w:rsidRPr="00DD5629">
        <w:rPr>
          <w:rFonts w:ascii="Palatino Linotype" w:hAnsi="Palatino Linotype"/>
          <w:lang w:val="es-EC"/>
        </w:rPr>
        <w:t xml:space="preserve"> de </w:t>
      </w:r>
      <w:r w:rsidR="008D7804">
        <w:rPr>
          <w:rFonts w:ascii="Palatino Linotype" w:hAnsi="Palatino Linotype"/>
          <w:lang w:val="es-EC"/>
        </w:rPr>
        <w:t>noviembre</w:t>
      </w:r>
      <w:r w:rsidRPr="00DD5629">
        <w:rPr>
          <w:rFonts w:ascii="Palatino Linotype" w:hAnsi="Palatino Linotype"/>
          <w:lang w:val="es-EC"/>
        </w:rPr>
        <w:t xml:space="preserve"> de 2017.</w:t>
      </w:r>
    </w:p>
    <w:p w:rsidR="00AD67A8" w:rsidRDefault="00AD67A8" w:rsidP="00AD67A8">
      <w:pPr>
        <w:pStyle w:val="Textopredeterminado"/>
        <w:shd w:val="clear" w:color="auto" w:fill="FFFFFF"/>
        <w:jc w:val="both"/>
        <w:rPr>
          <w:rFonts w:ascii="Palatino Linotype" w:hAnsi="Palatino Linotype"/>
          <w:sz w:val="22"/>
          <w:szCs w:val="22"/>
          <w:lang w:val="es-EC"/>
        </w:rPr>
      </w:pPr>
    </w:p>
    <w:p w:rsidR="00AD67A8" w:rsidRPr="00C77C4B" w:rsidRDefault="00AD67A8" w:rsidP="00AD67A8">
      <w:pPr>
        <w:pStyle w:val="Textopredeterminado"/>
        <w:shd w:val="clear" w:color="auto" w:fill="FFFFFF"/>
        <w:jc w:val="both"/>
        <w:rPr>
          <w:rFonts w:ascii="Palatino Linotype" w:hAnsi="Palatino Linotype"/>
          <w:sz w:val="22"/>
          <w:szCs w:val="22"/>
          <w:lang w:val="es-EC"/>
        </w:rPr>
      </w:pPr>
    </w:p>
    <w:p w:rsidR="00AD67A8" w:rsidRPr="00C77C4B" w:rsidRDefault="00AD67A8" w:rsidP="00AD67A8">
      <w:pPr>
        <w:pStyle w:val="Textopredeterminado"/>
        <w:shd w:val="clear" w:color="auto" w:fill="FFFFFF"/>
        <w:jc w:val="both"/>
        <w:rPr>
          <w:rFonts w:ascii="Palatino Linotype" w:hAnsi="Palatino Linotype"/>
          <w:sz w:val="22"/>
          <w:szCs w:val="22"/>
          <w:lang w:val="es-EC"/>
        </w:rPr>
      </w:pPr>
    </w:p>
    <w:tbl>
      <w:tblPr>
        <w:tblW w:w="10899" w:type="dxa"/>
        <w:jc w:val="center"/>
        <w:tblLook w:val="04A0" w:firstRow="1" w:lastRow="0" w:firstColumn="1" w:lastColumn="0" w:noHBand="0" w:noVBand="1"/>
      </w:tblPr>
      <w:tblGrid>
        <w:gridCol w:w="5575"/>
        <w:gridCol w:w="5324"/>
      </w:tblGrid>
      <w:tr w:rsidR="00AD67A8" w:rsidRPr="008D7804" w:rsidTr="002A1B45">
        <w:trPr>
          <w:jc w:val="center"/>
        </w:trPr>
        <w:tc>
          <w:tcPr>
            <w:tcW w:w="5575" w:type="dxa"/>
            <w:hideMark/>
          </w:tcPr>
          <w:p w:rsidR="00AD67A8" w:rsidRPr="008D7804" w:rsidRDefault="00AD67A8" w:rsidP="002A1B45">
            <w:pPr>
              <w:pStyle w:val="Textopredeterminado"/>
              <w:jc w:val="center"/>
              <w:rPr>
                <w:rFonts w:ascii="Palatino Linotype" w:hAnsi="Palatino Linotype"/>
                <w:sz w:val="22"/>
                <w:szCs w:val="22"/>
                <w:lang w:val="es-EC"/>
              </w:rPr>
            </w:pPr>
            <w:r w:rsidRPr="008D7804">
              <w:rPr>
                <w:rFonts w:ascii="Palatino Linotype" w:hAnsi="Palatino Linotype"/>
                <w:sz w:val="22"/>
                <w:szCs w:val="22"/>
                <w:lang w:val="es-EC"/>
              </w:rPr>
              <w:t>Abg. Eduardo Del Pozo</w:t>
            </w:r>
          </w:p>
          <w:p w:rsidR="00AD67A8" w:rsidRPr="008D7804" w:rsidRDefault="00AD67A8" w:rsidP="002A1B45">
            <w:pPr>
              <w:pStyle w:val="Textopredeterminado"/>
              <w:jc w:val="center"/>
              <w:rPr>
                <w:rFonts w:ascii="Palatino Linotype" w:hAnsi="Palatino Linotype"/>
                <w:b/>
                <w:sz w:val="22"/>
                <w:szCs w:val="22"/>
                <w:lang w:val="es-EC"/>
              </w:rPr>
            </w:pPr>
            <w:r w:rsidRPr="008D7804">
              <w:rPr>
                <w:rFonts w:ascii="Palatino Linotype" w:hAnsi="Palatino Linotype"/>
                <w:b/>
                <w:sz w:val="22"/>
                <w:szCs w:val="22"/>
                <w:lang w:val="es-EC"/>
              </w:rPr>
              <w:t>Primer Vicepresidente del Concejo Metropolitano de Quito</w:t>
            </w:r>
          </w:p>
        </w:tc>
        <w:tc>
          <w:tcPr>
            <w:tcW w:w="5324" w:type="dxa"/>
            <w:hideMark/>
          </w:tcPr>
          <w:p w:rsidR="00AD67A8" w:rsidRPr="008D7804" w:rsidRDefault="00AD67A8" w:rsidP="002A1B45">
            <w:pPr>
              <w:pStyle w:val="Textopredeterminado"/>
              <w:jc w:val="center"/>
              <w:rPr>
                <w:rFonts w:ascii="Palatino Linotype" w:hAnsi="Palatino Linotype"/>
                <w:sz w:val="22"/>
                <w:szCs w:val="22"/>
                <w:lang w:val="es-EC"/>
              </w:rPr>
            </w:pPr>
            <w:r w:rsidRPr="008D7804">
              <w:rPr>
                <w:rFonts w:ascii="Palatino Linotype" w:hAnsi="Palatino Linotype"/>
                <w:sz w:val="22"/>
                <w:szCs w:val="22"/>
                <w:lang w:val="es-EC"/>
              </w:rPr>
              <w:t xml:space="preserve">Abg. </w:t>
            </w:r>
            <w:r w:rsidR="008D7804" w:rsidRPr="008D7804">
              <w:rPr>
                <w:rFonts w:ascii="Palatino Linotype" w:hAnsi="Palatino Linotype"/>
                <w:sz w:val="22"/>
                <w:szCs w:val="22"/>
                <w:lang w:val="es-EC"/>
              </w:rPr>
              <w:t>Jaime Morán Paredes</w:t>
            </w:r>
          </w:p>
          <w:p w:rsidR="00AD67A8" w:rsidRPr="008D7804" w:rsidRDefault="00AD67A8" w:rsidP="002A1B45">
            <w:pPr>
              <w:pStyle w:val="Textopredeterminado"/>
              <w:jc w:val="center"/>
              <w:rPr>
                <w:rFonts w:ascii="Palatino Linotype" w:hAnsi="Palatino Linotype"/>
                <w:b/>
                <w:sz w:val="22"/>
                <w:szCs w:val="22"/>
                <w:lang w:val="es-EC"/>
              </w:rPr>
            </w:pPr>
            <w:r w:rsidRPr="008D7804">
              <w:rPr>
                <w:rFonts w:ascii="Palatino Linotype" w:hAnsi="Palatino Linotype"/>
                <w:b/>
                <w:sz w:val="22"/>
                <w:szCs w:val="22"/>
                <w:lang w:val="es-EC"/>
              </w:rPr>
              <w:t>Secretario General del Concejo Metropolitano de Quito</w:t>
            </w:r>
            <w:r w:rsidR="008D7804">
              <w:rPr>
                <w:rFonts w:ascii="Palatino Linotype" w:hAnsi="Palatino Linotype"/>
                <w:b/>
                <w:sz w:val="22"/>
                <w:szCs w:val="22"/>
                <w:lang w:val="es-EC"/>
              </w:rPr>
              <w:t xml:space="preserve"> (S)</w:t>
            </w:r>
          </w:p>
          <w:p w:rsidR="00AD67A8" w:rsidRPr="008D7804" w:rsidRDefault="00AD67A8" w:rsidP="002A1B45">
            <w:pPr>
              <w:pStyle w:val="Textopredeterminado"/>
              <w:rPr>
                <w:rFonts w:ascii="Palatino Linotype" w:hAnsi="Palatino Linotype"/>
                <w:b/>
                <w:sz w:val="22"/>
                <w:szCs w:val="22"/>
                <w:lang w:val="es-EC"/>
              </w:rPr>
            </w:pPr>
          </w:p>
        </w:tc>
      </w:tr>
    </w:tbl>
    <w:p w:rsidR="00AD67A8" w:rsidRPr="00C77C4B" w:rsidRDefault="00AD67A8" w:rsidP="00AD67A8">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lang w:val="es-EC"/>
        </w:rPr>
      </w:pPr>
      <w:r w:rsidRPr="00C77C4B">
        <w:rPr>
          <w:rFonts w:ascii="Palatino Linotype" w:eastAsia="MS Mincho" w:hAnsi="Palatino Linotype"/>
          <w:b/>
          <w:bCs/>
          <w:sz w:val="22"/>
          <w:szCs w:val="22"/>
          <w:lang w:val="es-EC"/>
        </w:rPr>
        <w:t>CERTIFICADO DE DISCUSIÓN</w:t>
      </w:r>
    </w:p>
    <w:p w:rsidR="00AD67A8" w:rsidRPr="00C77C4B" w:rsidRDefault="00AD67A8" w:rsidP="00AD67A8">
      <w:pPr>
        <w:pStyle w:val="Textosinformato"/>
        <w:jc w:val="both"/>
        <w:rPr>
          <w:rFonts w:ascii="Palatino Linotype" w:eastAsia="MS Mincho" w:hAnsi="Palatino Linotype"/>
          <w:sz w:val="22"/>
          <w:szCs w:val="22"/>
          <w:lang w:val="es-EC"/>
        </w:rPr>
      </w:pPr>
    </w:p>
    <w:p w:rsidR="00AD67A8" w:rsidRPr="00C77C4B" w:rsidRDefault="00AD67A8" w:rsidP="00AD67A8">
      <w:pPr>
        <w:pStyle w:val="Textosinformato"/>
        <w:jc w:val="both"/>
        <w:rPr>
          <w:rFonts w:ascii="Palatino Linotype" w:eastAsia="MS Mincho" w:hAnsi="Palatino Linotype"/>
          <w:sz w:val="22"/>
          <w:szCs w:val="22"/>
          <w:lang w:val="es-EC"/>
        </w:rPr>
      </w:pPr>
      <w:r>
        <w:rPr>
          <w:rFonts w:ascii="Palatino Linotype" w:eastAsia="MS Mincho" w:hAnsi="Palatino Linotype"/>
          <w:sz w:val="22"/>
          <w:szCs w:val="22"/>
          <w:lang w:val="es-EC"/>
        </w:rPr>
        <w:t>El</w:t>
      </w:r>
      <w:r w:rsidRPr="00C77C4B">
        <w:rPr>
          <w:rFonts w:ascii="Palatino Linotype" w:eastAsia="MS Mincho" w:hAnsi="Palatino Linotype"/>
          <w:sz w:val="22"/>
          <w:szCs w:val="22"/>
          <w:lang w:val="es-EC"/>
        </w:rPr>
        <w:t xml:space="preserve"> infrascrit</w:t>
      </w:r>
      <w:r>
        <w:rPr>
          <w:rFonts w:ascii="Palatino Linotype" w:eastAsia="MS Mincho" w:hAnsi="Palatino Linotype"/>
          <w:sz w:val="22"/>
          <w:szCs w:val="22"/>
          <w:lang w:val="es-EC"/>
        </w:rPr>
        <w:t>o</w:t>
      </w:r>
      <w:r w:rsidRPr="00C77C4B">
        <w:rPr>
          <w:rFonts w:ascii="Palatino Linotype" w:eastAsia="MS Mincho" w:hAnsi="Palatino Linotype"/>
          <w:sz w:val="22"/>
          <w:szCs w:val="22"/>
          <w:lang w:val="es-EC"/>
        </w:rPr>
        <w:t xml:space="preserve"> Secretari</w:t>
      </w:r>
      <w:r>
        <w:rPr>
          <w:rFonts w:ascii="Palatino Linotype" w:eastAsia="MS Mincho" w:hAnsi="Palatino Linotype"/>
          <w:sz w:val="22"/>
          <w:szCs w:val="22"/>
          <w:lang w:val="es-EC"/>
        </w:rPr>
        <w:t>o</w:t>
      </w:r>
      <w:r w:rsidRPr="00C77C4B">
        <w:rPr>
          <w:rFonts w:ascii="Palatino Linotype" w:eastAsia="MS Mincho" w:hAnsi="Palatino Linotype"/>
          <w:sz w:val="22"/>
          <w:szCs w:val="22"/>
          <w:lang w:val="es-EC"/>
        </w:rPr>
        <w:t xml:space="preserve"> General del Concejo Metropolitano de Quito, certifica que la presente ordenanza fue discutida y aprobada en dos debates, en sesiones de </w:t>
      </w:r>
      <w:r w:rsidR="008D7804">
        <w:rPr>
          <w:rFonts w:ascii="Palatino Linotype" w:eastAsia="MS Mincho" w:hAnsi="Palatino Linotype"/>
          <w:sz w:val="22"/>
          <w:szCs w:val="22"/>
          <w:lang w:val="es-EC"/>
        </w:rPr>
        <w:t>1</w:t>
      </w:r>
      <w:r>
        <w:rPr>
          <w:rFonts w:ascii="Palatino Linotype" w:eastAsia="MS Mincho" w:hAnsi="Palatino Linotype"/>
          <w:sz w:val="22"/>
          <w:szCs w:val="22"/>
          <w:lang w:val="es-EC"/>
        </w:rPr>
        <w:t xml:space="preserve">9 de octubre </w:t>
      </w:r>
      <w:r w:rsidR="008D7804">
        <w:rPr>
          <w:rFonts w:ascii="Palatino Linotype" w:eastAsia="MS Mincho" w:hAnsi="Palatino Linotype"/>
          <w:sz w:val="22"/>
          <w:szCs w:val="22"/>
          <w:lang w:val="es-EC"/>
        </w:rPr>
        <w:t xml:space="preserve">y 16 de noviembre </w:t>
      </w:r>
      <w:r w:rsidRPr="00C77C4B">
        <w:rPr>
          <w:rFonts w:ascii="Palatino Linotype" w:eastAsia="MS Mincho" w:hAnsi="Palatino Linotype"/>
          <w:sz w:val="22"/>
          <w:szCs w:val="22"/>
          <w:lang w:val="es-EC"/>
        </w:rPr>
        <w:t>de 201</w:t>
      </w:r>
      <w:r>
        <w:rPr>
          <w:rFonts w:ascii="Palatino Linotype" w:eastAsia="MS Mincho" w:hAnsi="Palatino Linotype"/>
          <w:sz w:val="22"/>
          <w:szCs w:val="22"/>
          <w:lang w:val="es-EC"/>
        </w:rPr>
        <w:t>7</w:t>
      </w:r>
      <w:r w:rsidRPr="00C77C4B">
        <w:rPr>
          <w:rFonts w:ascii="Palatino Linotype" w:eastAsia="MS Mincho" w:hAnsi="Palatino Linotype"/>
          <w:sz w:val="22"/>
          <w:szCs w:val="22"/>
          <w:lang w:val="es-EC"/>
        </w:rPr>
        <w:t>.- Quito,</w:t>
      </w:r>
    </w:p>
    <w:p w:rsidR="00AD67A8" w:rsidRDefault="00AD67A8" w:rsidP="00AD67A8">
      <w:pPr>
        <w:pStyle w:val="Textosinformato"/>
        <w:jc w:val="both"/>
        <w:rPr>
          <w:rFonts w:ascii="Palatino Linotype" w:eastAsia="MS Mincho" w:hAnsi="Palatino Linotype"/>
          <w:sz w:val="22"/>
          <w:szCs w:val="22"/>
          <w:lang w:val="es-EC"/>
        </w:rPr>
      </w:pPr>
    </w:p>
    <w:p w:rsidR="00AD67A8" w:rsidRDefault="00AD67A8" w:rsidP="00AD67A8">
      <w:pPr>
        <w:pStyle w:val="Textosinformato"/>
        <w:jc w:val="both"/>
        <w:rPr>
          <w:rFonts w:ascii="Palatino Linotype" w:eastAsia="MS Mincho" w:hAnsi="Palatino Linotype"/>
          <w:sz w:val="22"/>
          <w:szCs w:val="22"/>
          <w:lang w:val="es-EC"/>
        </w:rPr>
      </w:pPr>
    </w:p>
    <w:p w:rsidR="00AD67A8" w:rsidRDefault="00AD67A8" w:rsidP="00AD67A8">
      <w:pPr>
        <w:pStyle w:val="Textosinformato"/>
        <w:jc w:val="both"/>
        <w:rPr>
          <w:rFonts w:ascii="Palatino Linotype" w:eastAsia="MS Mincho" w:hAnsi="Palatino Linotype"/>
          <w:sz w:val="22"/>
          <w:szCs w:val="22"/>
          <w:lang w:val="es-EC"/>
        </w:rPr>
      </w:pPr>
    </w:p>
    <w:p w:rsidR="00AD67A8" w:rsidRDefault="00AD67A8" w:rsidP="00AD67A8">
      <w:pPr>
        <w:pStyle w:val="Textosinformato"/>
        <w:jc w:val="both"/>
        <w:rPr>
          <w:rFonts w:ascii="Palatino Linotype" w:eastAsia="MS Mincho" w:hAnsi="Palatino Linotype"/>
          <w:sz w:val="22"/>
          <w:szCs w:val="22"/>
          <w:lang w:val="es-EC"/>
        </w:rPr>
      </w:pPr>
    </w:p>
    <w:p w:rsidR="00AD67A8" w:rsidRPr="00C77C4B" w:rsidRDefault="00AD67A8" w:rsidP="00AD67A8">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Abg. Diego Cevallos Salgado</w:t>
      </w:r>
    </w:p>
    <w:p w:rsidR="00AD67A8" w:rsidRDefault="00AD67A8" w:rsidP="00AD67A8">
      <w:pPr>
        <w:pStyle w:val="Textosinformato"/>
        <w:jc w:val="center"/>
        <w:rPr>
          <w:rFonts w:ascii="Palatino Linotype" w:eastAsia="MS Mincho" w:hAnsi="Palatino Linotype"/>
          <w:b/>
          <w:bCs/>
          <w:sz w:val="22"/>
          <w:szCs w:val="22"/>
          <w:lang w:val="es-EC"/>
        </w:rPr>
      </w:pPr>
      <w:r w:rsidRPr="00C77C4B">
        <w:rPr>
          <w:rFonts w:ascii="Palatino Linotype" w:eastAsia="MS Mincho" w:hAnsi="Palatino Linotype"/>
          <w:b/>
          <w:bCs/>
          <w:sz w:val="22"/>
          <w:szCs w:val="22"/>
          <w:lang w:val="es-EC"/>
        </w:rPr>
        <w:t>SECRETARI</w:t>
      </w:r>
      <w:r>
        <w:rPr>
          <w:rFonts w:ascii="Palatino Linotype" w:eastAsia="MS Mincho" w:hAnsi="Palatino Linotype"/>
          <w:b/>
          <w:bCs/>
          <w:sz w:val="22"/>
          <w:szCs w:val="22"/>
          <w:lang w:val="es-EC"/>
        </w:rPr>
        <w:t>O</w:t>
      </w:r>
      <w:r w:rsidRPr="00C77C4B">
        <w:rPr>
          <w:rFonts w:ascii="Palatino Linotype" w:eastAsia="MS Mincho" w:hAnsi="Palatino Linotype"/>
          <w:b/>
          <w:bCs/>
          <w:sz w:val="22"/>
          <w:szCs w:val="22"/>
          <w:lang w:val="es-EC"/>
        </w:rPr>
        <w:t xml:space="preserve"> GENERAL DEL CONCEJO METROPOLITANO DE QUITO</w:t>
      </w:r>
    </w:p>
    <w:p w:rsidR="00AD67A8" w:rsidRDefault="00AD67A8" w:rsidP="00AD67A8">
      <w:pPr>
        <w:pStyle w:val="Textosinformato"/>
        <w:jc w:val="center"/>
        <w:rPr>
          <w:rFonts w:ascii="Palatino Linotype" w:eastAsia="MS Mincho" w:hAnsi="Palatino Linotype"/>
          <w:b/>
          <w:bCs/>
          <w:sz w:val="22"/>
          <w:szCs w:val="22"/>
          <w:lang w:val="es-EC"/>
        </w:rPr>
      </w:pPr>
    </w:p>
    <w:p w:rsidR="00AD67A8" w:rsidRPr="00C77C4B" w:rsidRDefault="00AD67A8" w:rsidP="00AD67A8">
      <w:pPr>
        <w:pStyle w:val="Textosinformato"/>
        <w:jc w:val="center"/>
        <w:rPr>
          <w:rFonts w:ascii="Palatino Linotype" w:eastAsia="MS Mincho" w:hAnsi="Palatino Linotype"/>
          <w:sz w:val="22"/>
          <w:szCs w:val="22"/>
          <w:lang w:val="es-EC"/>
        </w:rPr>
      </w:pPr>
      <w:r w:rsidRPr="00C77C4B">
        <w:rPr>
          <w:rFonts w:ascii="Palatino Linotype" w:eastAsia="MS Mincho" w:hAnsi="Palatino Linotype"/>
          <w:b/>
          <w:bCs/>
          <w:sz w:val="22"/>
          <w:szCs w:val="22"/>
          <w:lang w:val="es-EC"/>
        </w:rPr>
        <w:t>ALCALDÍA DEL DISTRITO METROPOLITANO.-</w:t>
      </w:r>
      <w:r w:rsidRPr="00C77C4B">
        <w:rPr>
          <w:rFonts w:ascii="Palatino Linotype" w:eastAsia="MS Mincho" w:hAnsi="Palatino Linotype"/>
          <w:sz w:val="22"/>
          <w:szCs w:val="22"/>
          <w:lang w:val="es-EC"/>
        </w:rPr>
        <w:t xml:space="preserve">  Distrito Metropolitano de Quito,</w:t>
      </w:r>
    </w:p>
    <w:p w:rsidR="00AD67A8" w:rsidRPr="00C77C4B" w:rsidRDefault="00AD67A8" w:rsidP="00AD67A8">
      <w:pPr>
        <w:pStyle w:val="Textosinformato"/>
        <w:jc w:val="center"/>
        <w:rPr>
          <w:rFonts w:ascii="Palatino Linotype" w:eastAsia="MS Mincho" w:hAnsi="Palatino Linotype"/>
          <w:b/>
          <w:sz w:val="22"/>
          <w:szCs w:val="22"/>
          <w:lang w:val="es-EC"/>
        </w:rPr>
      </w:pPr>
    </w:p>
    <w:p w:rsidR="00AD67A8" w:rsidRPr="00C77C4B" w:rsidRDefault="00AD67A8" w:rsidP="00AD67A8">
      <w:pPr>
        <w:pStyle w:val="Textosinformato"/>
        <w:jc w:val="center"/>
        <w:rPr>
          <w:rFonts w:ascii="Palatino Linotype" w:eastAsia="MS Mincho" w:hAnsi="Palatino Linotype"/>
          <w:b/>
          <w:sz w:val="22"/>
          <w:szCs w:val="22"/>
          <w:lang w:val="es-EC"/>
        </w:rPr>
      </w:pPr>
      <w:r w:rsidRPr="00C77C4B">
        <w:rPr>
          <w:rFonts w:ascii="Palatino Linotype" w:eastAsia="MS Mincho" w:hAnsi="Palatino Linotype"/>
          <w:b/>
          <w:sz w:val="22"/>
          <w:szCs w:val="22"/>
          <w:lang w:val="es-EC"/>
        </w:rPr>
        <w:t>EJECÚTESE:</w:t>
      </w:r>
    </w:p>
    <w:p w:rsidR="00AD67A8" w:rsidRDefault="00AD67A8" w:rsidP="00AD67A8">
      <w:pPr>
        <w:pStyle w:val="Textosinformato"/>
        <w:jc w:val="center"/>
        <w:rPr>
          <w:rFonts w:ascii="Palatino Linotype" w:eastAsia="MS Mincho" w:hAnsi="Palatino Linotype"/>
          <w:sz w:val="22"/>
          <w:szCs w:val="22"/>
          <w:lang w:val="es-EC"/>
        </w:rPr>
      </w:pPr>
    </w:p>
    <w:p w:rsidR="00AD67A8" w:rsidRPr="00C77C4B" w:rsidRDefault="00AD67A8" w:rsidP="00AD67A8">
      <w:pPr>
        <w:pStyle w:val="Textosinformato"/>
        <w:jc w:val="center"/>
        <w:rPr>
          <w:rFonts w:ascii="Palatino Linotype" w:eastAsia="MS Mincho" w:hAnsi="Palatino Linotype"/>
          <w:sz w:val="22"/>
          <w:szCs w:val="22"/>
          <w:lang w:val="es-EC"/>
        </w:rPr>
      </w:pPr>
    </w:p>
    <w:p w:rsidR="00AD67A8" w:rsidRDefault="00AD67A8" w:rsidP="00AD67A8">
      <w:pPr>
        <w:pStyle w:val="Textosinformato"/>
        <w:jc w:val="center"/>
        <w:rPr>
          <w:rFonts w:ascii="Palatino Linotype" w:eastAsia="MS Mincho" w:hAnsi="Palatino Linotype"/>
          <w:sz w:val="22"/>
          <w:szCs w:val="22"/>
          <w:lang w:val="es-EC"/>
        </w:rPr>
      </w:pPr>
    </w:p>
    <w:p w:rsidR="00AD67A8" w:rsidRPr="00C77C4B" w:rsidRDefault="00AD67A8" w:rsidP="00AD67A8">
      <w:pPr>
        <w:pStyle w:val="Textosinformato"/>
        <w:jc w:val="center"/>
        <w:rPr>
          <w:rFonts w:ascii="Palatino Linotype" w:eastAsia="MS Mincho" w:hAnsi="Palatino Linotype"/>
          <w:sz w:val="22"/>
          <w:szCs w:val="22"/>
          <w:lang w:val="es-EC"/>
        </w:rPr>
      </w:pPr>
    </w:p>
    <w:p w:rsidR="00AD67A8" w:rsidRPr="00C77C4B" w:rsidRDefault="00AD67A8" w:rsidP="00AD67A8">
      <w:pPr>
        <w:pStyle w:val="Textosinformato"/>
        <w:jc w:val="center"/>
        <w:rPr>
          <w:rFonts w:ascii="Palatino Linotype" w:eastAsia="MS Mincho" w:hAnsi="Palatino Linotype"/>
          <w:sz w:val="22"/>
          <w:szCs w:val="22"/>
          <w:lang w:val="es-EC"/>
        </w:rPr>
      </w:pPr>
      <w:r w:rsidRPr="00C77C4B">
        <w:rPr>
          <w:rFonts w:ascii="Palatino Linotype" w:eastAsia="MS Mincho" w:hAnsi="Palatino Linotype"/>
          <w:sz w:val="22"/>
          <w:szCs w:val="22"/>
          <w:lang w:val="es-EC"/>
        </w:rPr>
        <w:t>Dr. Mauricio Rodas Espinel</w:t>
      </w:r>
    </w:p>
    <w:p w:rsidR="00AD67A8" w:rsidRDefault="00AD67A8" w:rsidP="00AD67A8">
      <w:pPr>
        <w:pStyle w:val="Textosinformato"/>
        <w:jc w:val="center"/>
        <w:rPr>
          <w:rFonts w:ascii="Palatino Linotype" w:eastAsia="MS Mincho" w:hAnsi="Palatino Linotype"/>
          <w:b/>
          <w:bCs/>
          <w:sz w:val="22"/>
          <w:szCs w:val="22"/>
          <w:lang w:val="es-EC"/>
        </w:rPr>
      </w:pPr>
      <w:r w:rsidRPr="00C77C4B">
        <w:rPr>
          <w:rFonts w:ascii="Palatino Linotype" w:eastAsia="MS Mincho" w:hAnsi="Palatino Linotype"/>
          <w:b/>
          <w:bCs/>
          <w:sz w:val="22"/>
          <w:szCs w:val="22"/>
          <w:lang w:val="es-EC"/>
        </w:rPr>
        <w:t>ALCALDE DEL DISTRITO METROPOLITANO DE QUITO</w:t>
      </w:r>
    </w:p>
    <w:p w:rsidR="00AD67A8" w:rsidRDefault="00AD67A8" w:rsidP="00AD67A8">
      <w:pPr>
        <w:pStyle w:val="Textosinformato"/>
        <w:jc w:val="center"/>
        <w:rPr>
          <w:rFonts w:ascii="Palatino Linotype" w:eastAsia="MS Mincho" w:hAnsi="Palatino Linotype"/>
          <w:b/>
          <w:bCs/>
          <w:sz w:val="22"/>
          <w:szCs w:val="22"/>
          <w:lang w:val="es-EC"/>
        </w:rPr>
      </w:pPr>
    </w:p>
    <w:p w:rsidR="00AD67A8" w:rsidRDefault="00AD67A8" w:rsidP="00AD67A8">
      <w:pPr>
        <w:pStyle w:val="Textosinformato"/>
        <w:jc w:val="center"/>
        <w:rPr>
          <w:rFonts w:ascii="Palatino Linotype" w:eastAsia="MS Mincho" w:hAnsi="Palatino Linotype"/>
          <w:b/>
          <w:bCs/>
          <w:sz w:val="22"/>
          <w:szCs w:val="22"/>
          <w:lang w:val="es-EC"/>
        </w:rPr>
      </w:pPr>
    </w:p>
    <w:p w:rsidR="00AD67A8" w:rsidRPr="00C77C4B" w:rsidRDefault="00AD67A8" w:rsidP="00AD67A8">
      <w:pPr>
        <w:pStyle w:val="Textosinformato"/>
        <w:jc w:val="center"/>
        <w:rPr>
          <w:rFonts w:ascii="Palatino Linotype" w:eastAsia="MS Mincho" w:hAnsi="Palatino Linotype"/>
          <w:b/>
          <w:bCs/>
          <w:sz w:val="22"/>
          <w:szCs w:val="22"/>
          <w:lang w:val="es-EC"/>
        </w:rPr>
      </w:pPr>
    </w:p>
    <w:p w:rsidR="00AD67A8" w:rsidRPr="00C77C4B" w:rsidRDefault="00AD67A8" w:rsidP="00AD67A8">
      <w:pPr>
        <w:pStyle w:val="Textosinformato"/>
        <w:jc w:val="both"/>
        <w:rPr>
          <w:rFonts w:ascii="Palatino Linotype" w:eastAsia="MS Mincho" w:hAnsi="Palatino Linotype"/>
          <w:sz w:val="22"/>
          <w:szCs w:val="22"/>
          <w:lang w:val="es-EC"/>
        </w:rPr>
      </w:pPr>
      <w:r w:rsidRPr="00C77C4B">
        <w:rPr>
          <w:rFonts w:ascii="Palatino Linotype" w:eastAsia="MS Mincho" w:hAnsi="Palatino Linotype"/>
          <w:b/>
          <w:bCs/>
          <w:sz w:val="22"/>
          <w:szCs w:val="22"/>
          <w:lang w:val="es-EC"/>
        </w:rPr>
        <w:t>CERTIFICO,</w:t>
      </w:r>
      <w:r w:rsidRPr="00C77C4B">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AD67A8" w:rsidRPr="00C77C4B" w:rsidRDefault="00AD67A8" w:rsidP="00AD67A8">
      <w:pPr>
        <w:pStyle w:val="Textosinformato"/>
        <w:tabs>
          <w:tab w:val="right" w:pos="8504"/>
        </w:tabs>
        <w:jc w:val="both"/>
        <w:rPr>
          <w:rFonts w:ascii="Palatino Linotype" w:eastAsia="MS Mincho" w:hAnsi="Palatino Linotype"/>
          <w:sz w:val="22"/>
          <w:szCs w:val="22"/>
          <w:lang w:val="es-EC"/>
        </w:rPr>
      </w:pPr>
      <w:r w:rsidRPr="00C77C4B">
        <w:rPr>
          <w:rFonts w:ascii="Palatino Linotype" w:eastAsia="MS Mincho" w:hAnsi="Palatino Linotype"/>
          <w:sz w:val="22"/>
          <w:szCs w:val="22"/>
          <w:lang w:val="es-EC"/>
        </w:rPr>
        <w:t>.- Distrito Metropolitano de Quito,</w:t>
      </w:r>
    </w:p>
    <w:p w:rsidR="00AD67A8" w:rsidRPr="00C77C4B" w:rsidRDefault="00AD67A8" w:rsidP="00AD67A8">
      <w:pPr>
        <w:pStyle w:val="Textosinformato"/>
        <w:jc w:val="center"/>
        <w:rPr>
          <w:rFonts w:ascii="Palatino Linotype" w:eastAsia="MS Mincho" w:hAnsi="Palatino Linotype"/>
          <w:sz w:val="22"/>
          <w:szCs w:val="22"/>
          <w:lang w:val="es-EC"/>
        </w:rPr>
      </w:pPr>
    </w:p>
    <w:p w:rsidR="00AD67A8" w:rsidRPr="00C77C4B" w:rsidRDefault="00AD67A8" w:rsidP="00AD67A8">
      <w:pPr>
        <w:pStyle w:val="Textosinformato"/>
        <w:jc w:val="center"/>
        <w:rPr>
          <w:rFonts w:ascii="Palatino Linotype" w:eastAsia="MS Mincho" w:hAnsi="Palatino Linotype"/>
          <w:sz w:val="22"/>
          <w:szCs w:val="22"/>
          <w:lang w:val="es-EC"/>
        </w:rPr>
      </w:pPr>
    </w:p>
    <w:p w:rsidR="00AD67A8" w:rsidRPr="00C77C4B" w:rsidRDefault="00AD67A8" w:rsidP="00AD67A8">
      <w:pPr>
        <w:pStyle w:val="Textosinformato"/>
        <w:jc w:val="center"/>
        <w:rPr>
          <w:rFonts w:ascii="Palatino Linotype" w:eastAsia="MS Mincho" w:hAnsi="Palatino Linotype"/>
          <w:sz w:val="22"/>
          <w:szCs w:val="22"/>
          <w:lang w:val="es-EC"/>
        </w:rPr>
      </w:pPr>
    </w:p>
    <w:p w:rsidR="00AD67A8" w:rsidRPr="00C77C4B" w:rsidRDefault="00AD67A8" w:rsidP="00AD67A8">
      <w:pPr>
        <w:pStyle w:val="Textosinformato"/>
        <w:jc w:val="center"/>
        <w:rPr>
          <w:rFonts w:ascii="Palatino Linotype" w:eastAsia="MS Mincho" w:hAnsi="Palatino Linotype"/>
          <w:sz w:val="22"/>
          <w:szCs w:val="22"/>
          <w:lang w:val="es-EC"/>
        </w:rPr>
      </w:pPr>
    </w:p>
    <w:p w:rsidR="00AD67A8" w:rsidRPr="00C77C4B" w:rsidRDefault="00AD67A8" w:rsidP="00AD67A8">
      <w:pPr>
        <w:pStyle w:val="Textosinformato"/>
        <w:jc w:val="both"/>
        <w:rPr>
          <w:rFonts w:ascii="Palatino Linotype" w:eastAsia="MS Mincho" w:hAnsi="Palatino Linotype"/>
          <w:sz w:val="22"/>
          <w:szCs w:val="22"/>
          <w:lang w:val="es-EC"/>
        </w:rPr>
      </w:pPr>
    </w:p>
    <w:p w:rsidR="00AD67A8" w:rsidRPr="00C77C4B" w:rsidRDefault="00AD67A8" w:rsidP="00AD67A8">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Abg. Diego Cevallos Salgado</w:t>
      </w:r>
    </w:p>
    <w:p w:rsidR="00AD67A8" w:rsidRDefault="00AD67A8" w:rsidP="00AD67A8">
      <w:pPr>
        <w:pStyle w:val="Textosinformato"/>
        <w:jc w:val="center"/>
        <w:rPr>
          <w:rFonts w:ascii="Palatino Linotype" w:eastAsia="MS Mincho" w:hAnsi="Palatino Linotype"/>
          <w:b/>
          <w:bCs/>
          <w:sz w:val="22"/>
          <w:szCs w:val="22"/>
          <w:lang w:val="es-EC"/>
        </w:rPr>
      </w:pPr>
      <w:r w:rsidRPr="00C77C4B">
        <w:rPr>
          <w:rFonts w:ascii="Palatino Linotype" w:eastAsia="MS Mincho" w:hAnsi="Palatino Linotype"/>
          <w:b/>
          <w:bCs/>
          <w:sz w:val="22"/>
          <w:szCs w:val="22"/>
          <w:lang w:val="es-EC"/>
        </w:rPr>
        <w:t>SECRETARI</w:t>
      </w:r>
      <w:r>
        <w:rPr>
          <w:rFonts w:ascii="Palatino Linotype" w:eastAsia="MS Mincho" w:hAnsi="Palatino Linotype"/>
          <w:b/>
          <w:bCs/>
          <w:sz w:val="22"/>
          <w:szCs w:val="22"/>
          <w:lang w:val="es-EC"/>
        </w:rPr>
        <w:t>O</w:t>
      </w:r>
      <w:r w:rsidRPr="00C77C4B">
        <w:rPr>
          <w:rFonts w:ascii="Palatino Linotype" w:eastAsia="MS Mincho" w:hAnsi="Palatino Linotype"/>
          <w:b/>
          <w:bCs/>
          <w:sz w:val="22"/>
          <w:szCs w:val="22"/>
          <w:lang w:val="es-EC"/>
        </w:rPr>
        <w:t xml:space="preserve"> GENERAL DEL CONCEJO METROPOLITANO DE QUITO</w:t>
      </w:r>
    </w:p>
    <w:p w:rsidR="00AD67A8" w:rsidRPr="00EE0194" w:rsidRDefault="00AD67A8" w:rsidP="00AD67A8">
      <w:pPr>
        <w:pStyle w:val="Textosinformato"/>
        <w:rPr>
          <w:rFonts w:ascii="Palatino Linotype" w:eastAsia="MS Mincho" w:hAnsi="Palatino Linotype" w:cs="Arial"/>
          <w:bCs/>
          <w:sz w:val="16"/>
          <w:szCs w:val="16"/>
          <w:lang w:val="es-EC"/>
        </w:rPr>
      </w:pPr>
      <w:r>
        <w:rPr>
          <w:rFonts w:ascii="Palatino Linotype" w:eastAsia="MS Mincho" w:hAnsi="Palatino Linotype" w:cs="Arial"/>
          <w:bCs/>
          <w:sz w:val="16"/>
          <w:szCs w:val="16"/>
          <w:lang w:val="es-EC"/>
        </w:rPr>
        <w:t>DSCS</w:t>
      </w:r>
    </w:p>
    <w:p w:rsidR="00AD67A8" w:rsidRPr="00B90328" w:rsidRDefault="00AD67A8" w:rsidP="00CF35EE">
      <w:pPr>
        <w:spacing w:after="120"/>
        <w:contextualSpacing/>
        <w:jc w:val="both"/>
        <w:rPr>
          <w:rFonts w:ascii="Palatino Linotype" w:hAnsi="Palatino Linotype"/>
          <w:b/>
        </w:rPr>
      </w:pPr>
    </w:p>
    <w:sectPr w:rsidR="00AD67A8" w:rsidRPr="00B90328" w:rsidSect="00AD67A8">
      <w:headerReference w:type="default" r:id="rId8"/>
      <w:footerReference w:type="default" r:id="rId9"/>
      <w:pgSz w:w="11906" w:h="16838"/>
      <w:pgMar w:top="2517" w:right="1558" w:bottom="1191" w:left="1985" w:header="709"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363" w:rsidRDefault="00D75363" w:rsidP="00CF35EE">
      <w:pPr>
        <w:spacing w:after="0" w:line="240" w:lineRule="auto"/>
      </w:pPr>
      <w:r>
        <w:separator/>
      </w:r>
    </w:p>
  </w:endnote>
  <w:endnote w:type="continuationSeparator" w:id="0">
    <w:p w:rsidR="00D75363" w:rsidRDefault="00D75363" w:rsidP="00CF3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918554"/>
      <w:docPartObj>
        <w:docPartGallery w:val="Page Numbers (Bottom of Page)"/>
        <w:docPartUnique/>
      </w:docPartObj>
    </w:sdtPr>
    <w:sdtEndPr/>
    <w:sdtContent>
      <w:sdt>
        <w:sdtPr>
          <w:id w:val="860082579"/>
          <w:docPartObj>
            <w:docPartGallery w:val="Page Numbers (Top of Page)"/>
            <w:docPartUnique/>
          </w:docPartObj>
        </w:sdtPr>
        <w:sdtEndPr/>
        <w:sdtContent>
          <w:p w:rsidR="00AD67A8" w:rsidRDefault="00AD67A8">
            <w:pPr>
              <w:pStyle w:val="Piedepgina"/>
              <w:jc w:val="right"/>
            </w:pPr>
            <w:r w:rsidRPr="00AD67A8">
              <w:rPr>
                <w:rFonts w:ascii="Palatino Linotype" w:hAnsi="Palatino Linotype"/>
              </w:rPr>
              <w:t xml:space="preserve">Página </w:t>
            </w:r>
            <w:r w:rsidRPr="00AD67A8">
              <w:rPr>
                <w:rFonts w:ascii="Palatino Linotype" w:hAnsi="Palatino Linotype"/>
                <w:b/>
                <w:bCs/>
              </w:rPr>
              <w:fldChar w:fldCharType="begin"/>
            </w:r>
            <w:r w:rsidRPr="00AD67A8">
              <w:rPr>
                <w:rFonts w:ascii="Palatino Linotype" w:hAnsi="Palatino Linotype"/>
                <w:b/>
                <w:bCs/>
              </w:rPr>
              <w:instrText>PAGE</w:instrText>
            </w:r>
            <w:r w:rsidRPr="00AD67A8">
              <w:rPr>
                <w:rFonts w:ascii="Palatino Linotype" w:hAnsi="Palatino Linotype"/>
                <w:b/>
                <w:bCs/>
              </w:rPr>
              <w:fldChar w:fldCharType="separate"/>
            </w:r>
            <w:r w:rsidR="00B901DC">
              <w:rPr>
                <w:rFonts w:ascii="Palatino Linotype" w:hAnsi="Palatino Linotype"/>
                <w:b/>
                <w:bCs/>
                <w:noProof/>
              </w:rPr>
              <w:t>7</w:t>
            </w:r>
            <w:r w:rsidRPr="00AD67A8">
              <w:rPr>
                <w:rFonts w:ascii="Palatino Linotype" w:hAnsi="Palatino Linotype"/>
                <w:b/>
                <w:bCs/>
              </w:rPr>
              <w:fldChar w:fldCharType="end"/>
            </w:r>
            <w:r w:rsidRPr="00AD67A8">
              <w:rPr>
                <w:rFonts w:ascii="Palatino Linotype" w:hAnsi="Palatino Linotype"/>
              </w:rPr>
              <w:t xml:space="preserve"> de </w:t>
            </w:r>
            <w:r>
              <w:rPr>
                <w:rFonts w:ascii="Palatino Linotype" w:hAnsi="Palatino Linotype"/>
                <w:b/>
                <w:bCs/>
              </w:rPr>
              <w:t>7</w:t>
            </w:r>
          </w:p>
        </w:sdtContent>
      </w:sdt>
    </w:sdtContent>
  </w:sdt>
  <w:p w:rsidR="00CF35EE" w:rsidRDefault="00CF35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363" w:rsidRDefault="00D75363" w:rsidP="00CF35EE">
      <w:pPr>
        <w:spacing w:after="0" w:line="240" w:lineRule="auto"/>
      </w:pPr>
      <w:r>
        <w:separator/>
      </w:r>
    </w:p>
  </w:footnote>
  <w:footnote w:type="continuationSeparator" w:id="0">
    <w:p w:rsidR="00D75363" w:rsidRDefault="00D75363" w:rsidP="00CF35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EE" w:rsidRDefault="00CF35EE">
    <w:pPr>
      <w:pStyle w:val="Encabezado"/>
      <w:rPr>
        <w:lang w:val="es-EC"/>
      </w:rPr>
    </w:pPr>
  </w:p>
  <w:p w:rsidR="00CF35EE" w:rsidRDefault="00CF35EE">
    <w:pPr>
      <w:pStyle w:val="Encabezado"/>
      <w:rPr>
        <w:lang w:val="es-EC"/>
      </w:rPr>
    </w:pPr>
  </w:p>
  <w:p w:rsidR="00CF35EE" w:rsidRDefault="00CF35EE">
    <w:pPr>
      <w:pStyle w:val="Encabezado"/>
      <w:rPr>
        <w:lang w:val="es-EC"/>
      </w:rPr>
    </w:pPr>
  </w:p>
  <w:p w:rsidR="00CF35EE" w:rsidRDefault="00CF35EE">
    <w:pPr>
      <w:pStyle w:val="Encabezado"/>
      <w:rPr>
        <w:lang w:val="es-EC"/>
      </w:rPr>
    </w:pPr>
  </w:p>
  <w:p w:rsidR="00CF35EE" w:rsidRDefault="00CF35EE">
    <w:pPr>
      <w:pStyle w:val="Encabezado"/>
      <w:rPr>
        <w:lang w:val="es-EC"/>
      </w:rPr>
    </w:pPr>
  </w:p>
  <w:p w:rsidR="00CF35EE" w:rsidRPr="00CF35EE" w:rsidRDefault="00CF35EE" w:rsidP="00CF35EE">
    <w:pPr>
      <w:spacing w:after="120"/>
      <w:jc w:val="center"/>
      <w:rPr>
        <w:rFonts w:ascii="Palatino Linotype" w:eastAsia="Times New Roman" w:hAnsi="Palatino Linotype" w:cs="Arial"/>
        <w:b/>
        <w:bCs/>
        <w:lang w:eastAsia="es-ES"/>
      </w:rPr>
    </w:pPr>
    <w:r>
      <w:rPr>
        <w:rFonts w:ascii="Palatino Linotype" w:eastAsia="Times New Roman" w:hAnsi="Palatino Linotype" w:cs="Arial"/>
        <w:b/>
        <w:bCs/>
        <w:lang w:eastAsia="es-ES"/>
      </w:rPr>
      <w:t>ORDENANZA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EE" w:rsidRDefault="00CF35EE">
    <w:pPr>
      <w:pStyle w:val="Encabezado"/>
      <w:rPr>
        <w:lang w:val="es-EC"/>
      </w:rPr>
    </w:pPr>
  </w:p>
  <w:p w:rsidR="00CF35EE" w:rsidRDefault="00CF35EE">
    <w:pPr>
      <w:pStyle w:val="Encabezado"/>
      <w:rPr>
        <w:lang w:val="es-EC"/>
      </w:rPr>
    </w:pPr>
  </w:p>
  <w:p w:rsidR="00CF35EE" w:rsidRDefault="00CF35EE">
    <w:pPr>
      <w:pStyle w:val="Encabezado"/>
      <w:rPr>
        <w:lang w:val="es-EC"/>
      </w:rPr>
    </w:pPr>
  </w:p>
  <w:p w:rsidR="00CF35EE" w:rsidRDefault="00CF35EE">
    <w:pPr>
      <w:pStyle w:val="Encabezado"/>
      <w:rPr>
        <w:lang w:val="es-EC"/>
      </w:rPr>
    </w:pPr>
  </w:p>
  <w:p w:rsidR="00CF35EE" w:rsidRDefault="00CF35EE">
    <w:pPr>
      <w:pStyle w:val="Encabezado"/>
      <w:rPr>
        <w:lang w:val="es-EC"/>
      </w:rPr>
    </w:pPr>
  </w:p>
  <w:p w:rsidR="00CF35EE" w:rsidRPr="00CF35EE" w:rsidRDefault="00CF35EE" w:rsidP="00CF35EE">
    <w:pPr>
      <w:spacing w:after="120"/>
      <w:jc w:val="center"/>
      <w:rPr>
        <w:rFonts w:ascii="Palatino Linotype" w:eastAsia="Times New Roman" w:hAnsi="Palatino Linotype" w:cs="Arial"/>
        <w:b/>
        <w:bCs/>
        <w:lang w:eastAsia="es-ES"/>
      </w:rPr>
    </w:pPr>
    <w:r>
      <w:rPr>
        <w:rFonts w:ascii="Palatino Linotype" w:eastAsia="Times New Roman" w:hAnsi="Palatino Linotype" w:cs="Arial"/>
        <w:b/>
        <w:bCs/>
        <w:lang w:eastAsia="es-ES"/>
      </w:rPr>
      <w:t>ORDENANZA No.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4E"/>
    <w:rsid w:val="00106061"/>
    <w:rsid w:val="001C3F2C"/>
    <w:rsid w:val="00367CBC"/>
    <w:rsid w:val="003948E2"/>
    <w:rsid w:val="003B00FF"/>
    <w:rsid w:val="004151FD"/>
    <w:rsid w:val="00477CE7"/>
    <w:rsid w:val="004E2FF6"/>
    <w:rsid w:val="0054012F"/>
    <w:rsid w:val="005B05AC"/>
    <w:rsid w:val="00617C34"/>
    <w:rsid w:val="00766F65"/>
    <w:rsid w:val="00800E6E"/>
    <w:rsid w:val="008D7804"/>
    <w:rsid w:val="009139F4"/>
    <w:rsid w:val="00963CCB"/>
    <w:rsid w:val="009E4246"/>
    <w:rsid w:val="00A4432E"/>
    <w:rsid w:val="00AD67A8"/>
    <w:rsid w:val="00AF36E1"/>
    <w:rsid w:val="00B21E4E"/>
    <w:rsid w:val="00B901DC"/>
    <w:rsid w:val="00B90328"/>
    <w:rsid w:val="00C474D7"/>
    <w:rsid w:val="00CF35EE"/>
    <w:rsid w:val="00D30097"/>
    <w:rsid w:val="00D75363"/>
    <w:rsid w:val="00FC54F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E4E"/>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predeterminado">
    <w:name w:val="Texto predeterminado"/>
    <w:basedOn w:val="Normal"/>
    <w:rsid w:val="00B21E4E"/>
    <w:pPr>
      <w:overflowPunct w:val="0"/>
      <w:autoSpaceDE w:val="0"/>
      <w:autoSpaceDN w:val="0"/>
      <w:adjustRightInd w:val="0"/>
      <w:spacing w:after="0" w:line="240" w:lineRule="auto"/>
    </w:pPr>
    <w:rPr>
      <w:rFonts w:ascii="Times New Roman" w:eastAsia="Times New Roman" w:hAnsi="Times New Roman"/>
      <w:color w:val="000000"/>
      <w:sz w:val="24"/>
      <w:szCs w:val="20"/>
      <w:lang w:eastAsia="es-EC"/>
    </w:rPr>
  </w:style>
  <w:style w:type="paragraph" w:styleId="Encabezado">
    <w:name w:val="header"/>
    <w:basedOn w:val="Normal"/>
    <w:link w:val="EncabezadoCar"/>
    <w:uiPriority w:val="99"/>
    <w:unhideWhenUsed/>
    <w:rsid w:val="00CF35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35EE"/>
    <w:rPr>
      <w:rFonts w:ascii="Calibri" w:eastAsia="Calibri" w:hAnsi="Calibri" w:cs="Times New Roman"/>
      <w:lang w:val="es-ES"/>
    </w:rPr>
  </w:style>
  <w:style w:type="paragraph" w:styleId="Piedepgina">
    <w:name w:val="footer"/>
    <w:basedOn w:val="Normal"/>
    <w:link w:val="PiedepginaCar"/>
    <w:uiPriority w:val="99"/>
    <w:unhideWhenUsed/>
    <w:rsid w:val="00CF35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5EE"/>
    <w:rPr>
      <w:rFonts w:ascii="Calibri" w:eastAsia="Calibri" w:hAnsi="Calibri" w:cs="Times New Roman"/>
      <w:lang w:val="es-ES"/>
    </w:rPr>
  </w:style>
  <w:style w:type="paragraph" w:styleId="Textosinformato">
    <w:name w:val="Plain Text"/>
    <w:basedOn w:val="Normal"/>
    <w:link w:val="TextosinformatoCar"/>
    <w:rsid w:val="00AD67A8"/>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AD67A8"/>
    <w:rPr>
      <w:rFonts w:ascii="Courier New" w:eastAsia="Times New Roman" w:hAnsi="Courier New"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E4E"/>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predeterminado">
    <w:name w:val="Texto predeterminado"/>
    <w:basedOn w:val="Normal"/>
    <w:rsid w:val="00B21E4E"/>
    <w:pPr>
      <w:overflowPunct w:val="0"/>
      <w:autoSpaceDE w:val="0"/>
      <w:autoSpaceDN w:val="0"/>
      <w:adjustRightInd w:val="0"/>
      <w:spacing w:after="0" w:line="240" w:lineRule="auto"/>
    </w:pPr>
    <w:rPr>
      <w:rFonts w:ascii="Times New Roman" w:eastAsia="Times New Roman" w:hAnsi="Times New Roman"/>
      <w:color w:val="000000"/>
      <w:sz w:val="24"/>
      <w:szCs w:val="20"/>
      <w:lang w:eastAsia="es-EC"/>
    </w:rPr>
  </w:style>
  <w:style w:type="paragraph" w:styleId="Encabezado">
    <w:name w:val="header"/>
    <w:basedOn w:val="Normal"/>
    <w:link w:val="EncabezadoCar"/>
    <w:uiPriority w:val="99"/>
    <w:unhideWhenUsed/>
    <w:rsid w:val="00CF35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35EE"/>
    <w:rPr>
      <w:rFonts w:ascii="Calibri" w:eastAsia="Calibri" w:hAnsi="Calibri" w:cs="Times New Roman"/>
      <w:lang w:val="es-ES"/>
    </w:rPr>
  </w:style>
  <w:style w:type="paragraph" w:styleId="Piedepgina">
    <w:name w:val="footer"/>
    <w:basedOn w:val="Normal"/>
    <w:link w:val="PiedepginaCar"/>
    <w:uiPriority w:val="99"/>
    <w:unhideWhenUsed/>
    <w:rsid w:val="00CF35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5EE"/>
    <w:rPr>
      <w:rFonts w:ascii="Calibri" w:eastAsia="Calibri" w:hAnsi="Calibri" w:cs="Times New Roman"/>
      <w:lang w:val="es-ES"/>
    </w:rPr>
  </w:style>
  <w:style w:type="paragraph" w:styleId="Textosinformato">
    <w:name w:val="Plain Text"/>
    <w:basedOn w:val="Normal"/>
    <w:link w:val="TextosinformatoCar"/>
    <w:rsid w:val="00AD67A8"/>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AD67A8"/>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2316</Words>
  <Characters>12742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Patricio Jaramillo Arciniegas</dc:creator>
  <cp:lastModifiedBy>Diego Sebastian Cevallos Salgado</cp:lastModifiedBy>
  <cp:revision>2</cp:revision>
  <dcterms:created xsi:type="dcterms:W3CDTF">2017-12-04T23:47:00Z</dcterms:created>
  <dcterms:modified xsi:type="dcterms:W3CDTF">2017-12-04T23:47:00Z</dcterms:modified>
</cp:coreProperties>
</file>