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Pr="001C788E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Pr="001C788E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 w:rsidRPr="001C788E"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1C788E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Pr="001C788E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>El asentamiento humano de hecho y consolidado denomina</w:t>
      </w:r>
      <w:r w:rsidR="001169DD" w:rsidRPr="001C788E">
        <w:rPr>
          <w:rFonts w:ascii="Palatino Linotype" w:hAnsi="Palatino Linotype" w:cs="Arial"/>
          <w:b w:val="0"/>
          <w:sz w:val="22"/>
          <w:szCs w:val="22"/>
        </w:rPr>
        <w:t xml:space="preserve">do </w:t>
      </w:r>
      <w:r w:rsidR="0087490B" w:rsidRPr="001C788E">
        <w:rPr>
          <w:rFonts w:ascii="Palatino Linotype" w:hAnsi="Palatino Linotype" w:cs="Arial"/>
          <w:b w:val="0"/>
          <w:sz w:val="22"/>
          <w:szCs w:val="22"/>
        </w:rPr>
        <w:t xml:space="preserve">Barrio Araujo Zurita Juan Genaro y otros, a favor del </w:t>
      </w:r>
      <w:r w:rsidR="00F24D4E" w:rsidRPr="001C788E">
        <w:rPr>
          <w:rFonts w:ascii="Palatino Linotype" w:hAnsi="Palatino Linotype" w:cs="Arial"/>
          <w:b w:val="0"/>
          <w:sz w:val="22"/>
          <w:szCs w:val="22"/>
        </w:rPr>
        <w:t>Barrio “</w:t>
      </w:r>
      <w:r w:rsidR="008F56D5" w:rsidRPr="001C788E">
        <w:rPr>
          <w:rFonts w:ascii="Palatino Linotype" w:hAnsi="Palatino Linotype" w:cs="Arial"/>
          <w:b w:val="0"/>
          <w:sz w:val="22"/>
          <w:szCs w:val="22"/>
        </w:rPr>
        <w:t>Valle Hermoso</w:t>
      </w:r>
      <w:r w:rsidR="00F24D4E" w:rsidRPr="001C788E">
        <w:rPr>
          <w:rFonts w:ascii="Palatino Linotype" w:hAnsi="Palatino Linotype" w:cs="Arial"/>
          <w:b w:val="0"/>
          <w:sz w:val="22"/>
          <w:szCs w:val="22"/>
        </w:rPr>
        <w:t>”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, cuenta con </w:t>
      </w:r>
      <w:r w:rsidR="008F56D5" w:rsidRPr="001C788E">
        <w:rPr>
          <w:rFonts w:ascii="Palatino Linotype" w:hAnsi="Palatino Linotype" w:cs="Arial"/>
          <w:b w:val="0"/>
          <w:sz w:val="22"/>
          <w:szCs w:val="22"/>
        </w:rPr>
        <w:t>18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8F56D5" w:rsidRPr="001C788E">
        <w:rPr>
          <w:rFonts w:ascii="Palatino Linotype" w:hAnsi="Palatino Linotype" w:cs="Arial"/>
          <w:b w:val="0"/>
          <w:sz w:val="22"/>
          <w:szCs w:val="22"/>
        </w:rPr>
        <w:t>17</w:t>
      </w:r>
      <w:r w:rsidR="001169DD" w:rsidRPr="001C788E">
        <w:rPr>
          <w:rFonts w:ascii="Palatino Linotype" w:hAnsi="Palatino Linotype" w:cs="Arial"/>
          <w:b w:val="0"/>
          <w:sz w:val="22"/>
          <w:szCs w:val="22"/>
        </w:rPr>
        <w:t xml:space="preserve"> copropietarios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 y </w:t>
      </w:r>
      <w:r w:rsidR="008F56D5" w:rsidRPr="001C788E">
        <w:rPr>
          <w:rFonts w:ascii="Palatino Linotype" w:hAnsi="Palatino Linotype" w:cs="Arial"/>
          <w:b w:val="0"/>
          <w:sz w:val="22"/>
          <w:szCs w:val="22"/>
        </w:rPr>
        <w:t>68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 habitantes. Dicho barrio </w:t>
      </w:r>
      <w:r w:rsidR="00F24D4E" w:rsidRPr="001C788E">
        <w:rPr>
          <w:rFonts w:ascii="Palatino Linotype" w:hAnsi="Palatino Linotype" w:cs="Arial"/>
          <w:b w:val="0"/>
          <w:sz w:val="22"/>
          <w:szCs w:val="22"/>
        </w:rPr>
        <w:t>fue reconocido mediante Ordenanza No. 02</w:t>
      </w:r>
      <w:r w:rsidR="008F56D5" w:rsidRPr="001C788E">
        <w:rPr>
          <w:rFonts w:ascii="Palatino Linotype" w:hAnsi="Palatino Linotype" w:cs="Arial"/>
          <w:b w:val="0"/>
          <w:sz w:val="22"/>
          <w:szCs w:val="22"/>
        </w:rPr>
        <w:t>92</w:t>
      </w:r>
      <w:r w:rsidR="00F24D4E" w:rsidRPr="001C788E">
        <w:rPr>
          <w:rFonts w:ascii="Palatino Linotype" w:hAnsi="Palatino Linotype" w:cs="Arial"/>
          <w:b w:val="0"/>
          <w:sz w:val="22"/>
          <w:szCs w:val="22"/>
        </w:rPr>
        <w:t xml:space="preserve">, sancionada el 22 de marzo de 2012; sin embargo, las especificaciones aprobadas en dicho acto normativo no coinciden con aquellas que se constatan en el barrio, por lo cual 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la Unidad Especial Regula Tu Barrio realizó el proceso tendiente a </w:t>
      </w:r>
      <w:r w:rsidR="00F24D4E" w:rsidRPr="001C788E">
        <w:rPr>
          <w:rFonts w:ascii="Palatino Linotype" w:hAnsi="Palatino Linotype" w:cs="Arial"/>
          <w:b w:val="0"/>
          <w:sz w:val="22"/>
          <w:szCs w:val="22"/>
        </w:rPr>
        <w:t>reformar dicha Ordenanza</w:t>
      </w:r>
      <w:r w:rsidRPr="001C788E">
        <w:rPr>
          <w:rFonts w:ascii="Palatino Linotype" w:hAnsi="Palatino Linotype" w:cs="Arial"/>
          <w:b w:val="0"/>
          <w:sz w:val="22"/>
          <w:szCs w:val="22"/>
        </w:rPr>
        <w:t>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Pr="001C788E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En este sentido, la presente </w:t>
      </w:r>
      <w:r w:rsidR="00F24D4E" w:rsidRPr="001C788E">
        <w:rPr>
          <w:rFonts w:ascii="Palatino Linotype" w:hAnsi="Palatino Linotype" w:cs="Arial"/>
          <w:b w:val="0"/>
          <w:sz w:val="22"/>
          <w:szCs w:val="22"/>
        </w:rPr>
        <w:t>O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rdenanza </w:t>
      </w:r>
      <w:r w:rsidR="00F24D4E" w:rsidRPr="001C788E">
        <w:rPr>
          <w:rFonts w:ascii="Palatino Linotype" w:hAnsi="Palatino Linotype" w:cs="Arial"/>
          <w:b w:val="0"/>
          <w:sz w:val="22"/>
          <w:szCs w:val="22"/>
        </w:rPr>
        <w:t xml:space="preserve">Reformatoria 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contiene la normativa tendiente a la regularización del asentamiento humano de hecho y consolidado denominado </w:t>
      </w:r>
      <w:r w:rsidR="0087490B" w:rsidRPr="001C788E">
        <w:rPr>
          <w:rFonts w:ascii="Palatino Linotype" w:hAnsi="Palatino Linotype" w:cs="Arial"/>
          <w:b w:val="0"/>
          <w:sz w:val="22"/>
          <w:szCs w:val="22"/>
        </w:rPr>
        <w:t>Barrio “Valle Hermoso”</w:t>
      </w:r>
      <w:r w:rsidRPr="001C788E"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Pr="001C788E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Pr="001C788E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Pr="001C788E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RPr="001C788E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1C788E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1C788E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t xml:space="preserve">Visto </w:t>
      </w:r>
      <w:r w:rsidR="00F24D4E" w:rsidRPr="001C788E">
        <w:rPr>
          <w:rFonts w:ascii="Palatino Linotype" w:hAnsi="Palatino Linotype" w:cs="Arial"/>
          <w:sz w:val="22"/>
          <w:szCs w:val="22"/>
        </w:rPr>
        <w:t>e</w:t>
      </w:r>
      <w:r w:rsidRPr="001C788E">
        <w:rPr>
          <w:rFonts w:ascii="Palatino Linotype" w:hAnsi="Palatino Linotype" w:cs="Arial"/>
          <w:sz w:val="22"/>
          <w:szCs w:val="22"/>
        </w:rPr>
        <w:t>l Informe No. IC-O-201</w:t>
      </w:r>
      <w:r w:rsidR="00F24D4E" w:rsidRPr="001C788E">
        <w:rPr>
          <w:rFonts w:ascii="Palatino Linotype" w:hAnsi="Palatino Linotype" w:cs="Arial"/>
          <w:sz w:val="22"/>
          <w:szCs w:val="22"/>
        </w:rPr>
        <w:t>5</w:t>
      </w:r>
      <w:r w:rsidRPr="001C788E">
        <w:rPr>
          <w:rFonts w:ascii="Palatino Linotype" w:hAnsi="Palatino Linotype" w:cs="Arial"/>
          <w:sz w:val="22"/>
          <w:szCs w:val="22"/>
        </w:rPr>
        <w:t>-</w:t>
      </w:r>
      <w:r w:rsidR="00F24D4E" w:rsidRPr="001C788E">
        <w:rPr>
          <w:rFonts w:ascii="Palatino Linotype" w:hAnsi="Palatino Linotype" w:cs="Arial"/>
          <w:sz w:val="22"/>
          <w:szCs w:val="22"/>
        </w:rPr>
        <w:t>00</w:t>
      </w:r>
      <w:r w:rsidR="00AE6513">
        <w:rPr>
          <w:rFonts w:ascii="Palatino Linotype" w:hAnsi="Palatino Linotype" w:cs="Arial"/>
          <w:sz w:val="22"/>
          <w:szCs w:val="22"/>
        </w:rPr>
        <w:t>2</w:t>
      </w:r>
      <w:r w:rsidRPr="001C788E">
        <w:rPr>
          <w:rFonts w:ascii="Palatino Linotype" w:hAnsi="Palatino Linotype" w:cs="Arial"/>
          <w:sz w:val="22"/>
          <w:szCs w:val="22"/>
        </w:rPr>
        <w:t xml:space="preserve">, de </w:t>
      </w:r>
      <w:r w:rsidR="00F24D4E" w:rsidRPr="001C788E">
        <w:rPr>
          <w:rFonts w:ascii="Palatino Linotype" w:hAnsi="Palatino Linotype" w:cs="Arial"/>
          <w:sz w:val="22"/>
          <w:szCs w:val="22"/>
        </w:rPr>
        <w:t xml:space="preserve">15 </w:t>
      </w:r>
      <w:r w:rsidRPr="001C788E">
        <w:rPr>
          <w:rFonts w:ascii="Palatino Linotype" w:hAnsi="Palatino Linotype" w:cs="Arial"/>
          <w:sz w:val="22"/>
          <w:szCs w:val="22"/>
        </w:rPr>
        <w:t xml:space="preserve">de </w:t>
      </w:r>
      <w:r w:rsidR="00F24D4E" w:rsidRPr="001C788E">
        <w:rPr>
          <w:rFonts w:ascii="Palatino Linotype" w:hAnsi="Palatino Linotype" w:cs="Arial"/>
          <w:sz w:val="22"/>
          <w:szCs w:val="22"/>
        </w:rPr>
        <w:t xml:space="preserve">enero </w:t>
      </w:r>
      <w:r w:rsidRPr="001C788E">
        <w:rPr>
          <w:rFonts w:ascii="Palatino Linotype" w:hAnsi="Palatino Linotype" w:cs="Arial"/>
          <w:sz w:val="22"/>
          <w:szCs w:val="22"/>
        </w:rPr>
        <w:t>de 201</w:t>
      </w:r>
      <w:r w:rsidR="00F24D4E" w:rsidRPr="001C788E">
        <w:rPr>
          <w:rFonts w:ascii="Palatino Linotype" w:hAnsi="Palatino Linotype" w:cs="Arial"/>
          <w:sz w:val="22"/>
          <w:szCs w:val="22"/>
        </w:rPr>
        <w:t>5</w:t>
      </w:r>
      <w:r w:rsidRPr="001C788E">
        <w:rPr>
          <w:rFonts w:ascii="Palatino Linotype" w:hAnsi="Palatino Linotype" w:cs="Arial"/>
          <w:sz w:val="22"/>
          <w:szCs w:val="22"/>
        </w:rPr>
        <w:t>,</w:t>
      </w:r>
      <w:r w:rsidR="00893F6A" w:rsidRPr="001C788E">
        <w:rPr>
          <w:rFonts w:ascii="Palatino Linotype" w:hAnsi="Palatino Linotype" w:cs="Arial"/>
          <w:sz w:val="22"/>
          <w:szCs w:val="22"/>
        </w:rPr>
        <w:t xml:space="preserve"> </w:t>
      </w:r>
      <w:r w:rsidRPr="001C788E">
        <w:rPr>
          <w:rFonts w:ascii="Palatino Linotype" w:hAnsi="Palatino Linotype" w:cs="Arial"/>
          <w:sz w:val="22"/>
          <w:szCs w:val="22"/>
        </w:rPr>
        <w:t>expedido por la Comisión de Ordenamiento Territorial.</w:t>
      </w:r>
    </w:p>
    <w:p w:rsidR="001123C1" w:rsidRPr="001C788E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1C788E"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</w:rPr>
        <w:t xml:space="preserve">Que, </w:t>
      </w:r>
      <w:r w:rsidRPr="001C788E">
        <w:rPr>
          <w:rFonts w:ascii="Palatino Linotype" w:hAnsi="Palatino Linotype" w:cs="Arial"/>
          <w:b/>
        </w:rPr>
        <w:tab/>
      </w:r>
      <w:r w:rsidRPr="001C788E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C788E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C788E">
        <w:rPr>
          <w:rFonts w:ascii="Palatino Linotype" w:hAnsi="Palatino Linotype" w:cs="Arial"/>
        </w:rPr>
        <w:t>”;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el artículo 31 de la Constitución expresa que: “</w:t>
      </w:r>
      <w:r w:rsidRPr="001C788E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C788E">
        <w:rPr>
          <w:rFonts w:ascii="Palatino Linotype" w:hAnsi="Palatino Linotype" w:cs="Arial"/>
          <w:bCs/>
        </w:rPr>
        <w:t xml:space="preserve">”; 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</w:rPr>
        <w:t>el artículo 240 de la Constitución establece que: “</w:t>
      </w:r>
      <w:r w:rsidRPr="001C788E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C788E">
        <w:rPr>
          <w:rFonts w:ascii="Palatino Linotype" w:hAnsi="Palatino Linotype" w:cs="Arial"/>
        </w:rPr>
        <w:t>”;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</w:rPr>
        <w:tab/>
        <w:t>el numeral 1 del artículo 264 de la Constitución manifiesta que: “</w:t>
      </w:r>
      <w:r w:rsidRPr="001C788E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C788E">
        <w:rPr>
          <w:rFonts w:ascii="Palatino Linotype" w:hAnsi="Palatino Linotype" w:cs="Arial"/>
        </w:rPr>
        <w:t>”;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C788E">
        <w:rPr>
          <w:rFonts w:ascii="Palatino Linotype" w:hAnsi="Palatino Linotype" w:cs="Arial"/>
          <w:b/>
          <w:bCs/>
        </w:rPr>
        <w:t xml:space="preserve"> </w:t>
      </w:r>
      <w:r w:rsidRPr="001C788E">
        <w:rPr>
          <w:rFonts w:ascii="Palatino Linotype" w:hAnsi="Palatino Linotype" w:cs="Arial"/>
          <w:bCs/>
        </w:rPr>
        <w:t>señala</w:t>
      </w:r>
      <w:r w:rsidRPr="001C788E">
        <w:rPr>
          <w:rFonts w:ascii="Palatino Linotype" w:hAnsi="Palatino Linotype" w:cs="Arial"/>
          <w:b/>
          <w:bCs/>
        </w:rPr>
        <w:t xml:space="preserve"> </w:t>
      </w:r>
      <w:r w:rsidRPr="001C788E">
        <w:rPr>
          <w:rFonts w:ascii="Palatino Linotype" w:hAnsi="Palatino Linotype" w:cs="Arial"/>
          <w:bCs/>
        </w:rPr>
        <w:t>como una función del gobierno autónomo descentralizado municipal</w:t>
      </w:r>
      <w:r w:rsidRPr="001C788E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C788E">
        <w:rPr>
          <w:rFonts w:ascii="Palatino Linotype" w:hAnsi="Palatino Linotype" w:cs="Arial"/>
          <w:iCs/>
        </w:rPr>
        <w:t>“</w:t>
      </w:r>
      <w:r w:rsidRPr="001C788E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</w:t>
      </w:r>
      <w:r w:rsidRPr="001C788E">
        <w:rPr>
          <w:rFonts w:ascii="Palatino Linotype" w:hAnsi="Palatino Linotype" w:cs="Arial"/>
          <w:i/>
          <w:iCs/>
        </w:rPr>
        <w:lastRenderedPageBreak/>
        <w:t xml:space="preserve">municipal, mediante la expedición de ordenanzas cantonales, acuerdos y resoluciones; (…) </w:t>
      </w:r>
      <w:r w:rsidRPr="001C788E">
        <w:rPr>
          <w:rFonts w:ascii="Palatino Linotype" w:hAnsi="Palatino Linotype" w:cs="Arial"/>
          <w:i/>
        </w:rPr>
        <w:t xml:space="preserve"> </w:t>
      </w:r>
      <w:r w:rsidRPr="001C788E">
        <w:rPr>
          <w:rFonts w:ascii="Palatino Linotype" w:hAnsi="Palatino Linotype" w:cs="Arial"/>
          <w:i/>
          <w:iCs/>
        </w:rPr>
        <w:t>x) Regular y controlar, mediante la normativa cantonal correspondiente, el uso del suelo en el territorio del cantón, de conformidad con las leyes sobre la materia, y establecer el régimen urbanístico de la tierra;</w:t>
      </w:r>
      <w:r w:rsidRPr="001C788E">
        <w:rPr>
          <w:rFonts w:ascii="Palatino Linotype" w:hAnsi="Palatino Linotype" w:cs="Arial"/>
          <w:i/>
        </w:rPr>
        <w:t xml:space="preserve"> y, (…) </w:t>
      </w:r>
      <w:r w:rsidRPr="001C788E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C788E">
        <w:rPr>
          <w:rFonts w:ascii="Palatino Linotype" w:hAnsi="Palatino Linotype" w:cs="Arial"/>
          <w:i/>
          <w:iCs/>
        </w:rPr>
        <w:t>interbarrial</w:t>
      </w:r>
      <w:proofErr w:type="spellEnd"/>
      <w:r w:rsidRPr="001C788E">
        <w:rPr>
          <w:rFonts w:ascii="Palatino Linotype" w:hAnsi="Palatino Linotype" w:cs="Arial"/>
          <w:i/>
          <w:iCs/>
        </w:rPr>
        <w:t>.</w:t>
      </w:r>
      <w:r w:rsidRPr="001C788E">
        <w:rPr>
          <w:rFonts w:ascii="Palatino Linotype" w:hAnsi="Palatino Linotype" w:cs="Arial"/>
          <w:iCs/>
        </w:rPr>
        <w:t xml:space="preserve">”; 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 xml:space="preserve">Que,  </w:t>
      </w:r>
      <w:r w:rsidRPr="001C788E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3843CA" w:rsidRPr="001C788E" w:rsidRDefault="003843CA" w:rsidP="004209F2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el artículo 486 del COOTAD establece que: “</w:t>
      </w:r>
      <w:r w:rsidRPr="001C788E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4209F2">
        <w:rPr>
          <w:rFonts w:ascii="Palatino Linotype" w:hAnsi="Palatino Linotype" w:cs="Arial"/>
          <w:bCs/>
          <w:i/>
          <w:lang w:val="es-ES_tradnl"/>
        </w:rPr>
        <w:t>de legislación y fiscalización</w:t>
      </w:r>
      <w:r w:rsidRPr="001C788E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4209F2">
        <w:rPr>
          <w:rFonts w:ascii="Palatino Linotype" w:hAnsi="Palatino Linotype" w:cs="Arial"/>
          <w:bCs/>
          <w:i/>
          <w:lang w:val="es-ES_tradnl"/>
        </w:rPr>
        <w:t>G</w:t>
      </w:r>
      <w:r w:rsidRPr="001C788E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4209F2">
        <w:rPr>
          <w:rFonts w:ascii="Palatino Linotype" w:hAnsi="Palatino Linotype" w:cs="Arial"/>
          <w:bCs/>
          <w:i/>
          <w:lang w:val="es-ES_tradnl"/>
        </w:rPr>
        <w:t>Autónomo D</w:t>
      </w:r>
      <w:r w:rsidRPr="001C788E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4209F2">
        <w:rPr>
          <w:rFonts w:ascii="Palatino Linotype" w:hAnsi="Palatino Linotype" w:cs="Arial"/>
          <w:bCs/>
          <w:i/>
          <w:lang w:val="es-ES_tradnl"/>
        </w:rPr>
        <w:t>y legalizar asentamientos humanos consolidados de interés social ubicados en su circunscripción territorial en predios que se encuentran proindiviso, la alcaldesa o el alcalde, a través de los órganos administrativos de la municipalidad, de oficio o a petición de parte, estará facultado para ejercer la partición administrativa, (…)</w:t>
      </w:r>
      <w:r w:rsidRPr="001C788E">
        <w:rPr>
          <w:rFonts w:ascii="Palatino Linotype" w:hAnsi="Palatino Linotype" w:cs="Arial"/>
          <w:bCs/>
          <w:lang w:val="es-ES_tradnl"/>
        </w:rPr>
        <w:t>”</w:t>
      </w:r>
      <w:r w:rsidRPr="001C788E">
        <w:rPr>
          <w:rFonts w:ascii="Palatino Linotype" w:hAnsi="Palatino Linotype" w:cs="Arial"/>
          <w:b/>
          <w:bCs/>
        </w:rPr>
        <w:t>;</w:t>
      </w:r>
    </w:p>
    <w:p w:rsidR="00F24D4E" w:rsidRPr="001C788E" w:rsidRDefault="00F24D4E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la Disposición Transitoria Décima Cuarta del COOTAD, señala: “</w:t>
      </w:r>
      <w:r w:rsidRPr="001C788E">
        <w:rPr>
          <w:rFonts w:ascii="Palatino Linotype" w:hAnsi="Palatino Linotype" w:cs="Arial"/>
          <w:bCs/>
          <w:i/>
        </w:rPr>
        <w:t xml:space="preserve">(…) </w:t>
      </w:r>
      <w:r w:rsidRPr="00AD6223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1C788E">
        <w:rPr>
          <w:rFonts w:ascii="Palatino Linotype" w:hAnsi="Palatino Linotype" w:cs="Arial"/>
        </w:rPr>
        <w:t>.”;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el 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F24D4E" w:rsidRPr="001C788E" w:rsidRDefault="00F24D4E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mediante Ordenanza No. 02</w:t>
      </w:r>
      <w:r w:rsidR="0087490B" w:rsidRPr="001C788E">
        <w:rPr>
          <w:rFonts w:ascii="Palatino Linotype" w:hAnsi="Palatino Linotype" w:cs="Arial"/>
          <w:bCs/>
        </w:rPr>
        <w:t>92</w:t>
      </w:r>
      <w:r w:rsidRPr="001C788E">
        <w:rPr>
          <w:rFonts w:ascii="Palatino Linotype" w:hAnsi="Palatino Linotype" w:cs="Arial"/>
          <w:bCs/>
        </w:rPr>
        <w:t xml:space="preserve">, sancionada el </w:t>
      </w:r>
      <w:r w:rsidR="0087490B" w:rsidRPr="001C788E">
        <w:rPr>
          <w:rFonts w:ascii="Palatino Linotype" w:hAnsi="Palatino Linotype" w:cs="Arial"/>
          <w:bCs/>
        </w:rPr>
        <w:t>9</w:t>
      </w:r>
      <w:r w:rsidRPr="001C788E">
        <w:rPr>
          <w:rFonts w:ascii="Palatino Linotype" w:hAnsi="Palatino Linotype" w:cs="Arial"/>
          <w:bCs/>
        </w:rPr>
        <w:t xml:space="preserve"> de </w:t>
      </w:r>
      <w:r w:rsidR="0087490B" w:rsidRPr="001C788E">
        <w:rPr>
          <w:rFonts w:ascii="Palatino Linotype" w:hAnsi="Palatino Linotype" w:cs="Arial"/>
          <w:bCs/>
        </w:rPr>
        <w:t xml:space="preserve">octubre </w:t>
      </w:r>
      <w:r w:rsidRPr="001C788E">
        <w:rPr>
          <w:rFonts w:ascii="Palatino Linotype" w:hAnsi="Palatino Linotype" w:cs="Arial"/>
          <w:bCs/>
        </w:rPr>
        <w:t xml:space="preserve">de 2012, se aprueba el fraccionamiento del asentamiento humano de hecho y consolidado, denominado </w:t>
      </w:r>
      <w:r w:rsidR="0087490B" w:rsidRPr="001C788E">
        <w:rPr>
          <w:rFonts w:ascii="Palatino Linotype" w:hAnsi="Palatino Linotype" w:cs="Arial"/>
          <w:bCs/>
        </w:rPr>
        <w:t>Barrio Araujo Zurita Juan Genaro y otros, a favor de Araujo Zurita Juan Genaro y otros</w:t>
      </w:r>
      <w:r w:rsidR="00970B1F" w:rsidRPr="001C788E">
        <w:rPr>
          <w:rFonts w:ascii="Palatino Linotype" w:hAnsi="Palatino Linotype" w:cs="Arial"/>
          <w:bCs/>
        </w:rPr>
        <w:t>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lastRenderedPageBreak/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87490B" w:rsidRPr="001C788E" w:rsidRDefault="00CA4237" w:rsidP="0087490B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C788E">
        <w:rPr>
          <w:rFonts w:ascii="Palatino Linotype" w:hAnsi="Palatino Linotype"/>
          <w:b/>
          <w:bCs/>
        </w:rPr>
        <w:t>Que,</w:t>
      </w:r>
      <w:r w:rsidRPr="001C788E">
        <w:rPr>
          <w:rFonts w:ascii="Palatino Linotype" w:hAnsi="Palatino Linotype"/>
        </w:rPr>
        <w:tab/>
        <w:t>la Mesa Institucional d</w:t>
      </w:r>
      <w:r w:rsidR="00BA7F93" w:rsidRPr="001C788E">
        <w:rPr>
          <w:rFonts w:ascii="Palatino Linotype" w:hAnsi="Palatino Linotype"/>
        </w:rPr>
        <w:t xml:space="preserve">e Trabajo, reunida el </w:t>
      </w:r>
      <w:r w:rsidR="0087490B" w:rsidRPr="001C788E">
        <w:rPr>
          <w:rFonts w:ascii="Palatino Linotype" w:hAnsi="Palatino Linotype"/>
        </w:rPr>
        <w:t>18</w:t>
      </w:r>
      <w:r w:rsidR="00BA7F93" w:rsidRPr="001C788E">
        <w:rPr>
          <w:rFonts w:ascii="Palatino Linotype" w:hAnsi="Palatino Linotype"/>
        </w:rPr>
        <w:t xml:space="preserve"> de </w:t>
      </w:r>
      <w:r w:rsidR="0087490B" w:rsidRPr="001C788E">
        <w:rPr>
          <w:rFonts w:ascii="Palatino Linotype" w:hAnsi="Palatino Linotype"/>
        </w:rPr>
        <w:t xml:space="preserve">diciembre </w:t>
      </w:r>
      <w:r w:rsidR="00554B2F" w:rsidRPr="001C788E">
        <w:rPr>
          <w:rFonts w:ascii="Palatino Linotype" w:hAnsi="Palatino Linotype"/>
        </w:rPr>
        <w:t xml:space="preserve">de 2014 </w:t>
      </w:r>
      <w:r w:rsidRPr="001C788E">
        <w:rPr>
          <w:rFonts w:ascii="Palatino Linotype" w:hAnsi="Palatino Linotype"/>
        </w:rPr>
        <w:t xml:space="preserve">en la Administración Zonal </w:t>
      </w:r>
      <w:r w:rsidR="00970B1F" w:rsidRPr="001C788E">
        <w:rPr>
          <w:rFonts w:ascii="Palatino Linotype" w:hAnsi="Palatino Linotype"/>
        </w:rPr>
        <w:t>Quitumbe</w:t>
      </w:r>
      <w:r w:rsidRPr="001C788E">
        <w:rPr>
          <w:rFonts w:ascii="Palatino Linotype" w:hAnsi="Palatino Linotype"/>
        </w:rPr>
        <w:t xml:space="preserve">, integrada por los siguientes órganos y dependencias: </w:t>
      </w:r>
      <w:r w:rsidR="0087490B" w:rsidRPr="001C788E">
        <w:rPr>
          <w:rFonts w:ascii="Palatino Linotype" w:hAnsi="Palatino Linotype"/>
        </w:rPr>
        <w:t xml:space="preserve">Dr. Ramiro Cobos, Administrador Zonal Quitumbe; Dr. Iván Pacheco, Director de Asesoría Jurídica Administración Zonal Quitumbe;  Arq. Alfonso Cevallos, Dirección de Gestión del Territorio  de la Administración Zonal Quitumbe; Sr. Miguel </w:t>
      </w:r>
      <w:proofErr w:type="spellStart"/>
      <w:r w:rsidR="0087490B" w:rsidRPr="001C788E">
        <w:rPr>
          <w:rFonts w:ascii="Palatino Linotype" w:hAnsi="Palatino Linotype"/>
        </w:rPr>
        <w:t>B</w:t>
      </w:r>
      <w:r w:rsidR="003E62D2">
        <w:rPr>
          <w:rFonts w:ascii="Palatino Linotype" w:hAnsi="Palatino Linotype"/>
        </w:rPr>
        <w:t>ó</w:t>
      </w:r>
      <w:r w:rsidR="0087490B" w:rsidRPr="001C788E">
        <w:rPr>
          <w:rFonts w:ascii="Palatino Linotype" w:hAnsi="Palatino Linotype"/>
        </w:rPr>
        <w:t>squez</w:t>
      </w:r>
      <w:proofErr w:type="spellEnd"/>
      <w:r w:rsidR="0087490B" w:rsidRPr="001C788E">
        <w:rPr>
          <w:rFonts w:ascii="Palatino Linotype" w:hAnsi="Palatino Linotype"/>
        </w:rPr>
        <w:t xml:space="preserve">, delegado de la Dirección Metropolitana de Catastro; Arq. Iván Martínez, delegado de la Secretaría de Territorio, Hábitat y Vivienda; y, Unidad Especial Regula Tu Barrio, </w:t>
      </w:r>
      <w:r w:rsidR="0087490B" w:rsidRPr="001C788E">
        <w:rPr>
          <w:rFonts w:ascii="Palatino Linotype" w:hAnsi="Palatino Linotype"/>
          <w:iCs/>
        </w:rPr>
        <w:t xml:space="preserve">emitió el </w:t>
      </w:r>
      <w:r w:rsidR="0087490B" w:rsidRPr="001C788E">
        <w:rPr>
          <w:rFonts w:ascii="Palatino Linotype" w:hAnsi="Palatino Linotype" w:cs="Arial"/>
        </w:rPr>
        <w:t xml:space="preserve">informe No. 023-UERB-Q-SOLT-2014, </w:t>
      </w:r>
      <w:r w:rsidR="0087490B" w:rsidRPr="001C788E">
        <w:rPr>
          <w:rFonts w:ascii="Palatino Linotype" w:hAnsi="Palatino Linotype"/>
        </w:rPr>
        <w:t xml:space="preserve">para la aprobación de la Reforma de la Ordenanza No. 0292, que aprobó el Asentamiento Humano de Hecho y Consolidado denominado </w:t>
      </w:r>
      <w:r w:rsidR="0087490B" w:rsidRPr="001C788E">
        <w:rPr>
          <w:rFonts w:ascii="Palatino Linotype" w:hAnsi="Palatino Linotype" w:cs="Arial"/>
          <w:bCs/>
        </w:rPr>
        <w:t>Araujo Zurita Juan Genaro y Otros</w:t>
      </w:r>
      <w:r w:rsidR="0087490B" w:rsidRPr="001C788E">
        <w:rPr>
          <w:rFonts w:ascii="Palatino Linotype" w:hAnsi="Palatino Linotype"/>
        </w:rPr>
        <w:t>.</w:t>
      </w:r>
    </w:p>
    <w:p w:rsidR="00C17CCD" w:rsidRPr="001C788E" w:rsidRDefault="00C17CCD" w:rsidP="0087490B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1C788E">
        <w:rPr>
          <w:rFonts w:ascii="Palatino Linotype" w:hAnsi="Palatino Linotype" w:cs="Arial"/>
          <w:b/>
          <w:bCs/>
        </w:rPr>
        <w:t xml:space="preserve">En </w:t>
      </w:r>
      <w:r w:rsidRPr="001C788E">
        <w:rPr>
          <w:rFonts w:ascii="Palatino Linotype" w:hAnsi="Palatino Linotype" w:cs="Arial"/>
          <w:b/>
        </w:rPr>
        <w:t>ejercicio  de  sus  atribuciones  legales  constantes  en  los artículos 30, 31, 240 y 264 numeral 1 de la Constitución de la República</w:t>
      </w:r>
      <w:r w:rsidR="008F69C5">
        <w:rPr>
          <w:rFonts w:ascii="Palatino Linotype" w:hAnsi="Palatino Linotype" w:cs="Arial"/>
          <w:b/>
        </w:rPr>
        <w:t xml:space="preserve"> del Ecuador</w:t>
      </w:r>
      <w:bookmarkStart w:id="0" w:name="_GoBack"/>
      <w:bookmarkEnd w:id="0"/>
      <w:r w:rsidRPr="001C788E">
        <w:rPr>
          <w:rFonts w:ascii="Palatino Linotype" w:hAnsi="Palatino Linotype" w:cs="Arial"/>
          <w:b/>
        </w:rPr>
        <w:t>; 84, literal c), 87, literales a), v), x), 322 del Código Orgánico de Organización Territorial Autonomía y Descentralización; 2, numeral 1; 8, numeral 1 de la Ley Orgánica de Régimen  para  el  Distrito Metropolitano de  Quito, y</w:t>
      </w:r>
      <w:r w:rsidR="008F69C5">
        <w:rPr>
          <w:rFonts w:ascii="Palatino Linotype" w:hAnsi="Palatino Linotype" w:cs="Arial"/>
          <w:b/>
        </w:rPr>
        <w:t>,</w:t>
      </w:r>
      <w:r w:rsidRPr="001C788E">
        <w:rPr>
          <w:rFonts w:ascii="Palatino Linotype" w:hAnsi="Palatino Linotype" w:cs="Arial"/>
          <w:b/>
        </w:rPr>
        <w:t xml:space="preserve"> 2 de la  Resolución No. A0010 de 19 de marzo de 2010;</w:t>
      </w:r>
    </w:p>
    <w:p w:rsidR="003667C0" w:rsidRPr="001C788E" w:rsidRDefault="00C52450" w:rsidP="0087490B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1C788E">
        <w:rPr>
          <w:rFonts w:ascii="Palatino Linotype" w:hAnsi="Palatino Linotype"/>
          <w:b/>
          <w:sz w:val="22"/>
          <w:szCs w:val="22"/>
        </w:rPr>
        <w:t>EXPIDE</w:t>
      </w:r>
      <w:r w:rsidR="00970B1F" w:rsidRPr="001C788E">
        <w:rPr>
          <w:rFonts w:ascii="Palatino Linotype" w:hAnsi="Palatino Linotype"/>
          <w:b/>
          <w:sz w:val="22"/>
          <w:szCs w:val="22"/>
        </w:rPr>
        <w:t xml:space="preserve"> LA SIGUIENTE:</w:t>
      </w:r>
    </w:p>
    <w:p w:rsidR="00970B1F" w:rsidRPr="001C788E" w:rsidRDefault="00970B1F" w:rsidP="002939C3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 w:cs="Arial"/>
          <w:b/>
        </w:rPr>
      </w:pPr>
      <w:r w:rsidRPr="001C788E">
        <w:rPr>
          <w:rFonts w:ascii="Palatino Linotype" w:hAnsi="Palatino Linotype" w:cs="Arial"/>
          <w:b/>
        </w:rPr>
        <w:t>ORDENANZA REFORMATORIA DE LA ORDENANZA No. 02</w:t>
      </w:r>
      <w:r w:rsidR="0087490B" w:rsidRPr="001C788E">
        <w:rPr>
          <w:rFonts w:ascii="Palatino Linotype" w:hAnsi="Palatino Linotype" w:cs="Arial"/>
          <w:b/>
        </w:rPr>
        <w:t>92</w:t>
      </w:r>
      <w:r w:rsidRPr="001C788E">
        <w:rPr>
          <w:rFonts w:ascii="Palatino Linotype" w:hAnsi="Palatino Linotype" w:cs="Arial"/>
          <w:b/>
        </w:rPr>
        <w:t xml:space="preserve">, SANCIONADA EL </w:t>
      </w:r>
      <w:r w:rsidR="0087490B" w:rsidRPr="001C788E">
        <w:rPr>
          <w:rFonts w:ascii="Palatino Linotype" w:hAnsi="Palatino Linotype" w:cs="Arial"/>
          <w:b/>
        </w:rPr>
        <w:t>9</w:t>
      </w:r>
      <w:r w:rsidRPr="001C788E">
        <w:rPr>
          <w:rFonts w:ascii="Palatino Linotype" w:hAnsi="Palatino Linotype" w:cs="Arial"/>
          <w:b/>
        </w:rPr>
        <w:t xml:space="preserve"> DE </w:t>
      </w:r>
      <w:r w:rsidR="0087490B" w:rsidRPr="001C788E">
        <w:rPr>
          <w:rFonts w:ascii="Palatino Linotype" w:hAnsi="Palatino Linotype" w:cs="Arial"/>
          <w:b/>
        </w:rPr>
        <w:t xml:space="preserve">OCTUBRE </w:t>
      </w:r>
      <w:r w:rsidRPr="001C788E">
        <w:rPr>
          <w:rFonts w:ascii="Palatino Linotype" w:hAnsi="Palatino Linotype" w:cs="Arial"/>
          <w:b/>
        </w:rPr>
        <w:t xml:space="preserve">DE 2012, </w:t>
      </w:r>
      <w:r w:rsidR="0087490B" w:rsidRPr="001C788E">
        <w:rPr>
          <w:rFonts w:ascii="Palatino Linotype" w:hAnsi="Palatino Linotype" w:cs="Arial"/>
          <w:b/>
        </w:rPr>
        <w:t xml:space="preserve">MEDIANTE LA CUAL SE APROBÓ EL ASENTAMIENTO HUMANO DE HECHO Y CONSOLIDADO DENOMINADO </w:t>
      </w:r>
      <w:r w:rsidR="00056443">
        <w:rPr>
          <w:rFonts w:ascii="Palatino Linotype" w:hAnsi="Palatino Linotype" w:cs="Arial"/>
          <w:b/>
        </w:rPr>
        <w:t xml:space="preserve">BARRIO </w:t>
      </w:r>
      <w:r w:rsidR="0087490B" w:rsidRPr="001C788E">
        <w:rPr>
          <w:rFonts w:ascii="Palatino Linotype" w:hAnsi="Palatino Linotype" w:cs="Arial"/>
          <w:b/>
        </w:rPr>
        <w:t>ARAUJO ZURITA JUAN GENARO Y OTROS, A FAVOR DE SUS COPROPIETARIOS</w:t>
      </w:r>
    </w:p>
    <w:p w:rsidR="00527301" w:rsidRPr="001C788E" w:rsidRDefault="00527301" w:rsidP="002939C3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1C788E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1C788E">
        <w:rPr>
          <w:rFonts w:ascii="Palatino Linotype" w:hAnsi="Palatino Linotype"/>
          <w:b/>
          <w:sz w:val="22"/>
          <w:szCs w:val="22"/>
          <w:lang w:val="es-EC"/>
        </w:rPr>
        <w:t xml:space="preserve"> 1.- 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>En el a</w:t>
      </w:r>
      <w:r w:rsidRPr="001C788E">
        <w:rPr>
          <w:rFonts w:ascii="Palatino Linotype" w:hAnsi="Palatino Linotype"/>
          <w:sz w:val="22"/>
          <w:szCs w:val="22"/>
          <w:lang w:val="es-EC"/>
        </w:rPr>
        <w:t xml:space="preserve">rtículo 1 de la Ordenanza 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>No.</w:t>
      </w:r>
      <w:r w:rsidRPr="001C788E">
        <w:rPr>
          <w:rFonts w:ascii="Palatino Linotype" w:hAnsi="Palatino Linotype"/>
          <w:sz w:val="22"/>
          <w:szCs w:val="22"/>
          <w:lang w:val="es-EC"/>
        </w:rPr>
        <w:t xml:space="preserve"> 0292, 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>sancionada el</w:t>
      </w:r>
      <w:r w:rsidRPr="001C788E">
        <w:rPr>
          <w:rFonts w:ascii="Palatino Linotype" w:hAnsi="Palatino Linotype"/>
          <w:sz w:val="22"/>
          <w:szCs w:val="22"/>
          <w:lang w:val="es-EC"/>
        </w:rPr>
        <w:t xml:space="preserve"> 9 de octubre de 2012, 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>sustitúyase en todo su texto la frase “</w:t>
      </w:r>
      <w:r w:rsidR="002939C3" w:rsidRPr="001C788E">
        <w:rPr>
          <w:rFonts w:ascii="Palatino Linotype" w:hAnsi="Palatino Linotype"/>
          <w:i/>
          <w:sz w:val="22"/>
          <w:szCs w:val="22"/>
          <w:lang w:val="es-EC"/>
        </w:rPr>
        <w:t>Araujo Zurita Juan Genaro y otros”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 xml:space="preserve"> por “</w:t>
      </w:r>
      <w:r w:rsidR="002939C3" w:rsidRPr="001C788E">
        <w:rPr>
          <w:rFonts w:ascii="Palatino Linotype" w:hAnsi="Palatino Linotype"/>
          <w:i/>
          <w:sz w:val="22"/>
          <w:szCs w:val="22"/>
          <w:lang w:val="es-EC"/>
        </w:rPr>
        <w:t>Valle Hermoso”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>; y, agréguese un inciso final, al tenor del siguiente texto:</w:t>
      </w:r>
    </w:p>
    <w:p w:rsidR="00527301" w:rsidRPr="001C788E" w:rsidRDefault="002939C3" w:rsidP="002939C3">
      <w:pPr>
        <w:spacing w:before="240" w:line="276" w:lineRule="auto"/>
        <w:ind w:left="708"/>
        <w:jc w:val="both"/>
        <w:rPr>
          <w:rFonts w:ascii="Palatino Linotype" w:hAnsi="Palatino Linotype"/>
          <w:i/>
          <w:sz w:val="22"/>
          <w:szCs w:val="22"/>
          <w:lang w:val="es-EC"/>
        </w:rPr>
      </w:pPr>
      <w:r w:rsidRPr="001C788E">
        <w:rPr>
          <w:rFonts w:ascii="Palatino Linotype" w:hAnsi="Palatino Linotype"/>
          <w:i/>
          <w:sz w:val="22"/>
          <w:szCs w:val="22"/>
          <w:lang w:val="es-EC"/>
        </w:rPr>
        <w:t>“</w:t>
      </w:r>
      <w:r w:rsidR="00527301" w:rsidRPr="001C788E">
        <w:rPr>
          <w:rFonts w:ascii="Palatino Linotype" w:hAnsi="Palatino Linotype"/>
          <w:i/>
          <w:sz w:val="22"/>
          <w:szCs w:val="22"/>
          <w:lang w:val="es-EC"/>
        </w:rPr>
        <w:t>Por las condiciones de asentamiento humano de hecho y consolidado, se lo aprueba considerándolo de interés social.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”</w:t>
      </w:r>
    </w:p>
    <w:p w:rsidR="002939C3" w:rsidRPr="001C788E" w:rsidRDefault="00527301" w:rsidP="002939C3">
      <w:pPr>
        <w:spacing w:before="240" w:line="276" w:lineRule="auto"/>
        <w:jc w:val="both"/>
        <w:rPr>
          <w:rFonts w:ascii="Palatino Linotype" w:hAnsi="Palatino Linotype"/>
          <w:b/>
          <w:sz w:val="22"/>
          <w:szCs w:val="22"/>
          <w:lang w:val="es-EC"/>
        </w:rPr>
      </w:pPr>
      <w:r w:rsidRPr="001C788E">
        <w:rPr>
          <w:rFonts w:ascii="Palatino Linotype" w:hAnsi="Palatino Linotype"/>
          <w:b/>
          <w:bCs/>
          <w:sz w:val="22"/>
          <w:szCs w:val="22"/>
          <w:lang w:val="es-EC"/>
        </w:rPr>
        <w:lastRenderedPageBreak/>
        <w:t>Artículo</w:t>
      </w:r>
      <w:r w:rsidRPr="001C788E">
        <w:rPr>
          <w:rFonts w:ascii="Palatino Linotype" w:hAnsi="Palatino Linotype"/>
          <w:b/>
          <w:sz w:val="22"/>
          <w:szCs w:val="22"/>
          <w:lang w:val="es-EC"/>
        </w:rPr>
        <w:t xml:space="preserve"> 2.- 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>Sustitúyanse las especificaciones técnicas del artículo 2 de la Ordenanza No. 0292, de 9 de octubre de 2012, a partir de las especificaciones correspondientes al “</w:t>
      </w:r>
      <w:r w:rsidR="002939C3" w:rsidRPr="001C788E">
        <w:rPr>
          <w:rFonts w:ascii="Palatino Linotype" w:hAnsi="Palatino Linotype"/>
          <w:i/>
          <w:sz w:val="22"/>
          <w:szCs w:val="22"/>
          <w:lang w:val="es-EC"/>
        </w:rPr>
        <w:t>Área útil de lotes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>” hasta la correspondiente  a “</w:t>
      </w:r>
      <w:r w:rsidR="002939C3" w:rsidRPr="001C788E">
        <w:rPr>
          <w:rFonts w:ascii="Palatino Linotype" w:hAnsi="Palatino Linotype"/>
          <w:i/>
          <w:sz w:val="22"/>
          <w:szCs w:val="22"/>
          <w:lang w:val="es-EC"/>
        </w:rPr>
        <w:t>Diferencia</w:t>
      </w:r>
      <w:r w:rsidR="002939C3" w:rsidRPr="001C788E">
        <w:rPr>
          <w:rFonts w:ascii="Palatino Linotype" w:hAnsi="Palatino Linotype"/>
          <w:sz w:val="22"/>
          <w:szCs w:val="22"/>
          <w:lang w:val="es-EC"/>
        </w:rPr>
        <w:t>”, por el siguiente texto:</w:t>
      </w:r>
    </w:p>
    <w:p w:rsidR="002939C3" w:rsidRPr="001C788E" w:rsidRDefault="002939C3" w:rsidP="002939C3">
      <w:pPr>
        <w:spacing w:before="240" w:line="276" w:lineRule="auto"/>
        <w:jc w:val="both"/>
        <w:rPr>
          <w:rFonts w:ascii="Palatino Linotype" w:hAnsi="Palatino Linotype"/>
          <w:i/>
          <w:sz w:val="22"/>
          <w:szCs w:val="22"/>
          <w:vertAlign w:val="superscript"/>
          <w:lang w:val="es-EC"/>
        </w:rPr>
      </w:pPr>
      <w:r w:rsidRPr="001C788E">
        <w:rPr>
          <w:rFonts w:ascii="Palatino Linotype" w:hAnsi="Palatino Linotype"/>
          <w:b/>
          <w:sz w:val="22"/>
          <w:szCs w:val="22"/>
          <w:lang w:val="es-EC"/>
        </w:rPr>
        <w:tab/>
        <w:t>“</w:t>
      </w:r>
      <w:r w:rsidR="001C788E" w:rsidRPr="001C788E">
        <w:rPr>
          <w:rFonts w:ascii="Palatino Linotype" w:hAnsi="Palatino Linotype"/>
          <w:b/>
          <w:i/>
          <w:sz w:val="22"/>
          <w:szCs w:val="22"/>
          <w:lang w:val="es-EC"/>
        </w:rPr>
        <w:t>Área útil de lotes:</w:t>
      </w:r>
      <w:r w:rsidR="001C788E" w:rsidRPr="001C788E">
        <w:rPr>
          <w:rFonts w:ascii="Palatino Linotype" w:hAnsi="Palatino Linotype"/>
          <w:b/>
          <w:i/>
          <w:sz w:val="22"/>
          <w:szCs w:val="22"/>
          <w:lang w:val="es-EC"/>
        </w:rPr>
        <w:tab/>
      </w:r>
      <w:r w:rsidR="001C788E" w:rsidRPr="001C788E">
        <w:rPr>
          <w:rFonts w:ascii="Palatino Linotype" w:hAnsi="Palatino Linotype"/>
          <w:b/>
          <w:i/>
          <w:sz w:val="22"/>
          <w:szCs w:val="22"/>
          <w:lang w:val="es-EC"/>
        </w:rPr>
        <w:tab/>
      </w:r>
      <w:r w:rsidR="001C788E" w:rsidRPr="001C788E">
        <w:rPr>
          <w:rFonts w:ascii="Palatino Linotype" w:hAnsi="Palatino Linotype"/>
          <w:b/>
          <w:i/>
          <w:sz w:val="22"/>
          <w:szCs w:val="22"/>
          <w:lang w:val="es-EC"/>
        </w:rPr>
        <w:tab/>
      </w:r>
      <w:r w:rsidR="001C788E" w:rsidRPr="001C788E">
        <w:rPr>
          <w:rFonts w:ascii="Palatino Linotype" w:hAnsi="Palatino Linotype"/>
          <w:b/>
          <w:i/>
          <w:sz w:val="22"/>
          <w:szCs w:val="22"/>
          <w:lang w:val="es-EC"/>
        </w:rPr>
        <w:tab/>
      </w:r>
      <w:r w:rsidR="001C788E" w:rsidRPr="001C788E">
        <w:rPr>
          <w:rFonts w:ascii="Palatino Linotype" w:hAnsi="Palatino Linotype"/>
          <w:b/>
          <w:i/>
          <w:sz w:val="22"/>
          <w:szCs w:val="22"/>
          <w:lang w:val="es-EC"/>
        </w:rPr>
        <w:tab/>
      </w:r>
      <w:r w:rsidR="001C788E" w:rsidRPr="001C788E">
        <w:rPr>
          <w:rFonts w:ascii="Palatino Linotype" w:hAnsi="Palatino Linotype"/>
          <w:b/>
          <w:i/>
          <w:sz w:val="22"/>
          <w:szCs w:val="22"/>
          <w:lang w:val="es-EC"/>
        </w:rPr>
        <w:tab/>
      </w:r>
      <w:r w:rsidR="001C788E" w:rsidRPr="001C788E">
        <w:rPr>
          <w:rFonts w:ascii="Palatino Linotype" w:hAnsi="Palatino Linotype"/>
          <w:i/>
          <w:sz w:val="22"/>
          <w:szCs w:val="22"/>
          <w:lang w:val="es-EC"/>
        </w:rPr>
        <w:t>5.452,64 m</w:t>
      </w:r>
      <w:r w:rsidR="001C788E"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1C788E" w:rsidRPr="001C788E" w:rsidRDefault="001C788E" w:rsidP="002939C3">
      <w:pPr>
        <w:spacing w:before="240" w:line="276" w:lineRule="auto"/>
        <w:jc w:val="both"/>
        <w:rPr>
          <w:rFonts w:ascii="Palatino Linotype" w:hAnsi="Palatino Linotype"/>
          <w:i/>
          <w:sz w:val="22"/>
          <w:szCs w:val="22"/>
          <w:vertAlign w:val="superscript"/>
          <w:lang w:val="es-EC"/>
        </w:rPr>
      </w:pP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>Área de vías y pasajes: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 xml:space="preserve">1.732,90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1C788E" w:rsidRPr="001C788E" w:rsidRDefault="001C788E" w:rsidP="002939C3">
      <w:pPr>
        <w:spacing w:before="240" w:line="276" w:lineRule="auto"/>
        <w:jc w:val="both"/>
        <w:rPr>
          <w:rFonts w:ascii="Palatino Linotype" w:hAnsi="Palatino Linotype"/>
          <w:i/>
          <w:sz w:val="22"/>
          <w:szCs w:val="22"/>
          <w:vertAlign w:val="superscript"/>
          <w:lang w:val="es-EC"/>
        </w:rPr>
      </w:pP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>Área verde y comunal: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 xml:space="preserve">13,11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1C788E" w:rsidRPr="001C788E" w:rsidRDefault="001C788E" w:rsidP="002939C3">
      <w:pPr>
        <w:spacing w:before="240" w:line="276" w:lineRule="auto"/>
        <w:jc w:val="both"/>
        <w:rPr>
          <w:rFonts w:ascii="Palatino Linotype" w:hAnsi="Palatino Linotype"/>
          <w:i/>
          <w:sz w:val="22"/>
          <w:szCs w:val="22"/>
          <w:vertAlign w:val="superscript"/>
          <w:lang w:val="es-EC"/>
        </w:rPr>
      </w:pP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>Área de protección de talud en lotes: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 xml:space="preserve">269,56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2939C3" w:rsidRPr="001C788E" w:rsidRDefault="001C788E" w:rsidP="001C788E">
      <w:pPr>
        <w:spacing w:before="240" w:line="276" w:lineRule="auto"/>
        <w:jc w:val="both"/>
        <w:rPr>
          <w:rFonts w:ascii="Palatino Linotype" w:hAnsi="Palatino Linotype"/>
          <w:i/>
          <w:sz w:val="22"/>
          <w:szCs w:val="22"/>
          <w:vertAlign w:val="superscript"/>
          <w:lang w:val="es-EC"/>
        </w:rPr>
      </w:pPr>
      <w:r w:rsidRPr="001C788E">
        <w:rPr>
          <w:rFonts w:ascii="Palatino Linotype" w:hAnsi="Palatino Linotype"/>
          <w:b/>
          <w:i/>
          <w:sz w:val="22"/>
          <w:szCs w:val="22"/>
          <w:lang w:val="es-EC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>Área de protección de línea de alta tensión en lotes: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 xml:space="preserve">481,78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1C788E" w:rsidRPr="001C788E" w:rsidRDefault="001C788E" w:rsidP="001C788E">
      <w:pPr>
        <w:spacing w:before="240" w:line="276" w:lineRule="auto"/>
        <w:ind w:firstLine="708"/>
        <w:jc w:val="both"/>
        <w:rPr>
          <w:rFonts w:ascii="Palatino Linotype" w:hAnsi="Palatino Linotype"/>
          <w:i/>
          <w:sz w:val="22"/>
          <w:szCs w:val="22"/>
          <w:vertAlign w:val="superscript"/>
          <w:lang w:val="es-EC"/>
        </w:rPr>
      </w:pPr>
      <w:r w:rsidRPr="001C788E">
        <w:rPr>
          <w:rFonts w:ascii="Palatino Linotype" w:hAnsi="Palatino Linotype"/>
          <w:b/>
          <w:i/>
          <w:sz w:val="22"/>
          <w:szCs w:val="22"/>
        </w:rPr>
        <w:t>Área de protección de talud (área verde adicional):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 xml:space="preserve">1.433,35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1C788E" w:rsidRPr="001C788E" w:rsidRDefault="001C788E" w:rsidP="001C788E">
      <w:pPr>
        <w:spacing w:before="240" w:line="276" w:lineRule="auto"/>
        <w:ind w:firstLine="708"/>
        <w:jc w:val="both"/>
        <w:rPr>
          <w:rFonts w:ascii="Palatino Linotype" w:hAnsi="Palatino Linotype"/>
          <w:i/>
          <w:sz w:val="22"/>
          <w:szCs w:val="22"/>
          <w:vertAlign w:val="superscript"/>
          <w:lang w:val="es-EC"/>
        </w:rPr>
      </w:pPr>
      <w:r w:rsidRPr="001C788E">
        <w:rPr>
          <w:rFonts w:ascii="Palatino Linotype" w:hAnsi="Palatino Linotype"/>
          <w:b/>
          <w:i/>
          <w:sz w:val="22"/>
          <w:szCs w:val="22"/>
        </w:rPr>
        <w:t>Área de protección de línea de alta tensión: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 xml:space="preserve">1.155,63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1C788E" w:rsidRPr="001C788E" w:rsidRDefault="001C788E" w:rsidP="001C788E">
      <w:pPr>
        <w:spacing w:before="240" w:line="276" w:lineRule="auto"/>
        <w:ind w:firstLine="708"/>
        <w:jc w:val="both"/>
        <w:rPr>
          <w:rFonts w:ascii="Palatino Linotype" w:hAnsi="Palatino Linotype"/>
          <w:b/>
          <w:i/>
          <w:sz w:val="22"/>
          <w:szCs w:val="22"/>
        </w:rPr>
      </w:pPr>
      <w:r w:rsidRPr="001C788E">
        <w:rPr>
          <w:rFonts w:ascii="Palatino Linotype" w:hAnsi="Palatino Linotype"/>
          <w:b/>
          <w:i/>
          <w:sz w:val="22"/>
          <w:szCs w:val="22"/>
        </w:rPr>
        <w:t>Área bruta del terreno (área total):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 xml:space="preserve">10.538,97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1C788E" w:rsidRPr="001C788E" w:rsidRDefault="001C788E" w:rsidP="002939C3">
      <w:pPr>
        <w:spacing w:before="240" w:line="276" w:lineRule="auto"/>
        <w:jc w:val="both"/>
        <w:rPr>
          <w:rFonts w:ascii="Palatino Linotype" w:hAnsi="Palatino Linotype"/>
          <w:i/>
          <w:sz w:val="22"/>
          <w:szCs w:val="22"/>
          <w:vertAlign w:val="superscript"/>
          <w:lang w:val="es-EC"/>
        </w:rPr>
      </w:pPr>
      <w:r w:rsidRPr="001C788E">
        <w:rPr>
          <w:rFonts w:ascii="Palatino Linotype" w:hAnsi="Palatino Linotype"/>
          <w:b/>
          <w:i/>
          <w:sz w:val="22"/>
          <w:szCs w:val="22"/>
          <w:lang w:val="es-EC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>Área total del terreno (</w:t>
      </w:r>
      <w:proofErr w:type="spellStart"/>
      <w:r w:rsidRPr="001C788E">
        <w:rPr>
          <w:rFonts w:ascii="Palatino Linotype" w:hAnsi="Palatino Linotype"/>
          <w:b/>
          <w:i/>
          <w:sz w:val="22"/>
          <w:szCs w:val="22"/>
        </w:rPr>
        <w:t>escrt</w:t>
      </w:r>
      <w:proofErr w:type="spellEnd"/>
      <w:r w:rsidRPr="001C788E">
        <w:rPr>
          <w:rFonts w:ascii="Palatino Linotype" w:hAnsi="Palatino Linotype"/>
          <w:b/>
          <w:i/>
          <w:sz w:val="22"/>
          <w:szCs w:val="22"/>
        </w:rPr>
        <w:t>.):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 xml:space="preserve">10.693,92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</w:t>
      </w:r>
    </w:p>
    <w:p w:rsidR="00527301" w:rsidRPr="001C788E" w:rsidRDefault="001C788E" w:rsidP="001C788E">
      <w:pPr>
        <w:spacing w:before="240" w:line="276" w:lineRule="auto"/>
        <w:ind w:firstLine="708"/>
        <w:jc w:val="both"/>
        <w:rPr>
          <w:rFonts w:ascii="Palatino Linotype" w:hAnsi="Palatino Linotype"/>
          <w:b/>
          <w:i/>
          <w:sz w:val="22"/>
          <w:szCs w:val="22"/>
          <w:lang w:val="es-EC"/>
        </w:rPr>
      </w:pPr>
      <w:r w:rsidRPr="001C788E">
        <w:rPr>
          <w:rFonts w:ascii="Palatino Linotype" w:hAnsi="Palatino Linotype"/>
          <w:b/>
          <w:i/>
          <w:sz w:val="22"/>
          <w:szCs w:val="22"/>
        </w:rPr>
        <w:t xml:space="preserve">Área verde y comunal en relación al área útil de lotes: </w:t>
      </w:r>
      <w:r w:rsidRPr="001C788E">
        <w:rPr>
          <w:rFonts w:ascii="Palatino Linotype" w:hAnsi="Palatino Linotype"/>
          <w:b/>
          <w:i/>
          <w:sz w:val="22"/>
          <w:szCs w:val="22"/>
        </w:rPr>
        <w:tab/>
      </w:r>
      <w:r w:rsidRPr="001C788E">
        <w:rPr>
          <w:rFonts w:ascii="Palatino Linotype" w:hAnsi="Palatino Linotype"/>
          <w:i/>
          <w:sz w:val="22"/>
          <w:szCs w:val="22"/>
        </w:rPr>
        <w:t>13,11</w:t>
      </w:r>
      <w:r w:rsidRPr="001C788E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m</w:t>
      </w:r>
      <w:r w:rsidRPr="001C788E">
        <w:rPr>
          <w:rFonts w:ascii="Palatino Linotype" w:hAnsi="Palatino Linotype"/>
          <w:i/>
          <w:sz w:val="22"/>
          <w:szCs w:val="22"/>
          <w:vertAlign w:val="superscript"/>
          <w:lang w:val="es-EC"/>
        </w:rPr>
        <w:t>2”</w:t>
      </w:r>
      <w:r w:rsidR="00527301" w:rsidRPr="001C788E">
        <w:rPr>
          <w:rFonts w:ascii="Palatino Linotype" w:hAnsi="Palatino Linotype"/>
          <w:b/>
          <w:sz w:val="22"/>
          <w:szCs w:val="22"/>
        </w:rPr>
        <w:t xml:space="preserve">   </w:t>
      </w:r>
    </w:p>
    <w:p w:rsidR="00527301" w:rsidRPr="001C788E" w:rsidRDefault="00527301" w:rsidP="002939C3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b/>
          <w:sz w:val="22"/>
          <w:szCs w:val="22"/>
          <w:lang w:val="es-EC"/>
        </w:rPr>
      </w:pPr>
      <w:r w:rsidRPr="001C788E">
        <w:rPr>
          <w:rFonts w:ascii="Palatino Linotype" w:hAnsi="Palatino Linotype" w:cs="Arial"/>
          <w:b/>
          <w:bCs/>
          <w:sz w:val="22"/>
          <w:szCs w:val="22"/>
        </w:rPr>
        <w:t xml:space="preserve">Artículo 3.- </w:t>
      </w:r>
      <w:r w:rsidR="001C788E" w:rsidRPr="001C788E">
        <w:rPr>
          <w:rFonts w:ascii="Palatino Linotype" w:hAnsi="Palatino Linotype"/>
          <w:sz w:val="22"/>
          <w:szCs w:val="22"/>
          <w:lang w:val="es-EC"/>
        </w:rPr>
        <w:t>Sustitúyase el a</w:t>
      </w:r>
      <w:r w:rsidRPr="001C788E">
        <w:rPr>
          <w:rFonts w:ascii="Palatino Linotype" w:hAnsi="Palatino Linotype"/>
          <w:sz w:val="22"/>
          <w:szCs w:val="22"/>
          <w:lang w:val="es-EC"/>
        </w:rPr>
        <w:t xml:space="preserve">rtículo 3 de la Ordenanza </w:t>
      </w:r>
      <w:r w:rsidR="001C788E" w:rsidRPr="001C788E">
        <w:rPr>
          <w:rFonts w:ascii="Palatino Linotype" w:hAnsi="Palatino Linotype"/>
          <w:sz w:val="22"/>
          <w:szCs w:val="22"/>
          <w:lang w:val="es-EC"/>
        </w:rPr>
        <w:t>No.</w:t>
      </w:r>
      <w:r w:rsidRPr="001C788E">
        <w:rPr>
          <w:rFonts w:ascii="Palatino Linotype" w:hAnsi="Palatino Linotype"/>
          <w:sz w:val="22"/>
          <w:szCs w:val="22"/>
          <w:lang w:val="es-EC"/>
        </w:rPr>
        <w:t xml:space="preserve"> 0292</w:t>
      </w:r>
      <w:r w:rsidR="001C788E" w:rsidRPr="001C788E">
        <w:rPr>
          <w:rFonts w:ascii="Palatino Linotype" w:hAnsi="Palatino Linotype"/>
          <w:sz w:val="22"/>
          <w:szCs w:val="22"/>
          <w:lang w:val="es-EC"/>
        </w:rPr>
        <w:t xml:space="preserve">, de </w:t>
      </w:r>
      <w:r w:rsidRPr="001C788E">
        <w:rPr>
          <w:rFonts w:ascii="Palatino Linotype" w:hAnsi="Palatino Linotype"/>
          <w:sz w:val="22"/>
          <w:szCs w:val="22"/>
          <w:lang w:val="es-EC"/>
        </w:rPr>
        <w:t>9 de octubre de 2012,  por el siguiente:</w:t>
      </w:r>
    </w:p>
    <w:p w:rsidR="00527301" w:rsidRPr="001C788E" w:rsidRDefault="001C788E" w:rsidP="001C788E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  <w:lang w:val="es-EC"/>
        </w:rPr>
      </w:pPr>
      <w:r w:rsidRPr="001C788E">
        <w:rPr>
          <w:rFonts w:ascii="Palatino Linotype" w:hAnsi="Palatino Linotype"/>
          <w:b/>
          <w:i/>
          <w:sz w:val="22"/>
          <w:szCs w:val="22"/>
          <w:lang w:val="es-EC"/>
        </w:rPr>
        <w:t>“</w:t>
      </w:r>
      <w:r w:rsidR="00527301" w:rsidRPr="001C788E">
        <w:rPr>
          <w:rFonts w:ascii="Palatino Linotype" w:hAnsi="Palatino Linotype"/>
          <w:b/>
          <w:i/>
          <w:sz w:val="22"/>
          <w:szCs w:val="22"/>
          <w:lang w:val="es-EC"/>
        </w:rPr>
        <w:t xml:space="preserve">Artículo 3.- Lotes por excepción.- </w:t>
      </w:r>
      <w:r w:rsidR="00527301" w:rsidRPr="001C788E">
        <w:rPr>
          <w:rFonts w:ascii="Palatino Linotype" w:hAnsi="Palatino Linotype" w:cs="Arial"/>
          <w:bCs/>
          <w:i/>
          <w:sz w:val="22"/>
          <w:szCs w:val="22"/>
        </w:rPr>
        <w:t xml:space="preserve">Por tratarse de un </w:t>
      </w:r>
      <w:r w:rsidRPr="001C788E">
        <w:rPr>
          <w:rFonts w:ascii="Palatino Linotype" w:hAnsi="Palatino Linotype" w:cs="Arial"/>
          <w:bCs/>
          <w:i/>
          <w:sz w:val="22"/>
          <w:szCs w:val="22"/>
        </w:rPr>
        <w:t>a</w:t>
      </w:r>
      <w:r w:rsidR="00527301" w:rsidRPr="001C788E">
        <w:rPr>
          <w:rFonts w:ascii="Palatino Linotype" w:hAnsi="Palatino Linotype" w:cs="Arial"/>
          <w:bCs/>
          <w:i/>
          <w:sz w:val="22"/>
          <w:szCs w:val="22"/>
        </w:rPr>
        <w:t xml:space="preserve">sentamiento </w:t>
      </w:r>
      <w:r w:rsidRPr="001C788E">
        <w:rPr>
          <w:rFonts w:ascii="Palatino Linotype" w:hAnsi="Palatino Linotype" w:cs="Arial"/>
          <w:bCs/>
          <w:i/>
          <w:sz w:val="22"/>
          <w:szCs w:val="22"/>
        </w:rPr>
        <w:t>h</w:t>
      </w:r>
      <w:r w:rsidR="00527301" w:rsidRPr="001C788E">
        <w:rPr>
          <w:rFonts w:ascii="Palatino Linotype" w:hAnsi="Palatino Linotype" w:cs="Arial"/>
          <w:bCs/>
          <w:i/>
          <w:sz w:val="22"/>
          <w:szCs w:val="22"/>
        </w:rPr>
        <w:t xml:space="preserve">umano de </w:t>
      </w:r>
      <w:r w:rsidRPr="001C788E">
        <w:rPr>
          <w:rFonts w:ascii="Palatino Linotype" w:hAnsi="Palatino Linotype" w:cs="Arial"/>
          <w:bCs/>
          <w:i/>
          <w:sz w:val="22"/>
          <w:szCs w:val="22"/>
        </w:rPr>
        <w:t>h</w:t>
      </w:r>
      <w:r w:rsidR="00527301" w:rsidRPr="001C788E">
        <w:rPr>
          <w:rFonts w:ascii="Palatino Linotype" w:hAnsi="Palatino Linotype" w:cs="Arial"/>
          <w:bCs/>
          <w:i/>
          <w:sz w:val="22"/>
          <w:szCs w:val="22"/>
        </w:rPr>
        <w:t xml:space="preserve">echo y </w:t>
      </w:r>
      <w:r w:rsidRPr="001C788E">
        <w:rPr>
          <w:rFonts w:ascii="Palatino Linotype" w:hAnsi="Palatino Linotype" w:cs="Arial"/>
          <w:bCs/>
          <w:i/>
          <w:sz w:val="22"/>
          <w:szCs w:val="22"/>
        </w:rPr>
        <w:t>c</w:t>
      </w:r>
      <w:r w:rsidR="00527301" w:rsidRPr="001C788E">
        <w:rPr>
          <w:rFonts w:ascii="Palatino Linotype" w:hAnsi="Palatino Linotype" w:cs="Arial"/>
          <w:bCs/>
          <w:i/>
          <w:sz w:val="22"/>
          <w:szCs w:val="22"/>
        </w:rPr>
        <w:t xml:space="preserve">onsolidado, se aprueban los siguientes lotes por excepción: </w:t>
      </w:r>
      <w:r w:rsidR="00527301" w:rsidRPr="001C788E">
        <w:rPr>
          <w:rFonts w:ascii="Palatino Linotype" w:hAnsi="Palatino Linotype" w:cs="Arial"/>
          <w:bCs/>
          <w:i/>
          <w:sz w:val="22"/>
          <w:szCs w:val="22"/>
          <w:lang w:val="es-EC"/>
        </w:rPr>
        <w:t>10, 11</w:t>
      </w:r>
      <w:r w:rsidRPr="001C788E">
        <w:rPr>
          <w:rFonts w:ascii="Palatino Linotype" w:hAnsi="Palatino Linotype" w:cs="Arial"/>
          <w:bCs/>
          <w:i/>
          <w:sz w:val="22"/>
          <w:szCs w:val="22"/>
          <w:lang w:val="es-EC"/>
        </w:rPr>
        <w:t xml:space="preserve"> y </w:t>
      </w:r>
      <w:r w:rsidR="00527301" w:rsidRPr="001C788E">
        <w:rPr>
          <w:rFonts w:ascii="Palatino Linotype" w:hAnsi="Palatino Linotype" w:cs="Arial"/>
          <w:bCs/>
          <w:i/>
          <w:sz w:val="22"/>
          <w:szCs w:val="22"/>
          <w:lang w:val="es-EC"/>
        </w:rPr>
        <w:t>12.</w:t>
      </w:r>
      <w:r w:rsidRPr="001C788E">
        <w:rPr>
          <w:rFonts w:ascii="Palatino Linotype" w:hAnsi="Palatino Linotype" w:cs="Arial"/>
          <w:bCs/>
          <w:i/>
          <w:sz w:val="22"/>
          <w:szCs w:val="22"/>
          <w:lang w:val="es-EC"/>
        </w:rPr>
        <w:t>”</w:t>
      </w:r>
    </w:p>
    <w:p w:rsidR="00527301" w:rsidRPr="001C788E" w:rsidRDefault="00527301" w:rsidP="002939C3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b/>
          <w:sz w:val="22"/>
          <w:szCs w:val="22"/>
          <w:lang w:val="es-EC"/>
        </w:rPr>
      </w:pPr>
      <w:r w:rsidRPr="001C788E">
        <w:rPr>
          <w:rFonts w:ascii="Palatino Linotype" w:hAnsi="Palatino Linotype" w:cs="Arial"/>
          <w:b/>
          <w:bCs/>
          <w:sz w:val="22"/>
          <w:szCs w:val="22"/>
        </w:rPr>
        <w:t xml:space="preserve">Artículo 4.- </w:t>
      </w:r>
      <w:r w:rsidRPr="001C788E">
        <w:rPr>
          <w:rFonts w:ascii="Palatino Linotype" w:hAnsi="Palatino Linotype"/>
          <w:sz w:val="22"/>
          <w:szCs w:val="22"/>
          <w:lang w:val="es-EC"/>
        </w:rPr>
        <w:t xml:space="preserve">Sustitúyase el </w:t>
      </w:r>
      <w:r w:rsidR="001C788E" w:rsidRPr="001C788E">
        <w:rPr>
          <w:rFonts w:ascii="Palatino Linotype" w:hAnsi="Palatino Linotype"/>
          <w:sz w:val="22"/>
          <w:szCs w:val="22"/>
          <w:lang w:val="es-EC"/>
        </w:rPr>
        <w:t>a</w:t>
      </w:r>
      <w:r w:rsidRPr="001C788E">
        <w:rPr>
          <w:rFonts w:ascii="Palatino Linotype" w:hAnsi="Palatino Linotype"/>
          <w:sz w:val="22"/>
          <w:szCs w:val="22"/>
          <w:lang w:val="es-EC"/>
        </w:rPr>
        <w:t xml:space="preserve">rtículo 4 de la Ordenanza </w:t>
      </w:r>
      <w:r w:rsidR="001C788E" w:rsidRPr="001C788E">
        <w:rPr>
          <w:rFonts w:ascii="Palatino Linotype" w:hAnsi="Palatino Linotype"/>
          <w:sz w:val="22"/>
          <w:szCs w:val="22"/>
          <w:lang w:val="es-EC"/>
        </w:rPr>
        <w:t xml:space="preserve">No. </w:t>
      </w:r>
      <w:r w:rsidRPr="001C788E">
        <w:rPr>
          <w:rFonts w:ascii="Palatino Linotype" w:hAnsi="Palatino Linotype"/>
          <w:sz w:val="22"/>
          <w:szCs w:val="22"/>
          <w:lang w:val="es-EC"/>
        </w:rPr>
        <w:t>0292, de 9 de octubre de 2012,  por el siguiente</w:t>
      </w:r>
      <w:r w:rsidR="001C788E" w:rsidRPr="001C788E">
        <w:rPr>
          <w:rFonts w:ascii="Palatino Linotype" w:hAnsi="Palatino Linotype"/>
          <w:sz w:val="22"/>
          <w:szCs w:val="22"/>
          <w:lang w:val="es-EC"/>
        </w:rPr>
        <w:t xml:space="preserve"> texto</w:t>
      </w:r>
      <w:r w:rsidRPr="001C788E">
        <w:rPr>
          <w:rFonts w:ascii="Palatino Linotype" w:hAnsi="Palatino Linotype"/>
          <w:sz w:val="22"/>
          <w:szCs w:val="22"/>
          <w:lang w:val="es-EC"/>
        </w:rPr>
        <w:t>:</w:t>
      </w:r>
    </w:p>
    <w:p w:rsidR="00527301" w:rsidRDefault="001C788E" w:rsidP="001C788E">
      <w:pPr>
        <w:spacing w:before="240" w:line="276" w:lineRule="auto"/>
        <w:ind w:left="708"/>
        <w:jc w:val="both"/>
        <w:rPr>
          <w:rFonts w:ascii="Palatino Linotype" w:hAnsi="Palatino Linotype" w:cs="Arial"/>
          <w:i/>
          <w:sz w:val="22"/>
          <w:szCs w:val="22"/>
        </w:rPr>
      </w:pPr>
      <w:r w:rsidRPr="001C788E">
        <w:rPr>
          <w:rFonts w:ascii="Palatino Linotype" w:hAnsi="Palatino Linotype" w:cs="Arial"/>
          <w:b/>
          <w:bCs/>
          <w:i/>
          <w:sz w:val="22"/>
          <w:szCs w:val="22"/>
        </w:rPr>
        <w:t>“</w:t>
      </w:r>
      <w:r w:rsidR="00527301" w:rsidRPr="001C788E">
        <w:rPr>
          <w:rFonts w:ascii="Palatino Linotype" w:hAnsi="Palatino Linotype" w:cs="Arial"/>
          <w:b/>
          <w:bCs/>
          <w:i/>
          <w:sz w:val="22"/>
          <w:szCs w:val="22"/>
        </w:rPr>
        <w:t>Artículo 4.-</w:t>
      </w:r>
      <w:r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 Del á</w:t>
      </w:r>
      <w:r w:rsidR="00527301"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rea </w:t>
      </w:r>
      <w:r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>v</w:t>
      </w:r>
      <w:r w:rsidR="00527301"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erde y </w:t>
      </w:r>
      <w:r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>á</w:t>
      </w:r>
      <w:r w:rsidR="00527301"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rea de </w:t>
      </w:r>
      <w:r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>e</w:t>
      </w:r>
      <w:r w:rsidR="00527301"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quipamiento </w:t>
      </w:r>
      <w:r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>c</w:t>
      </w:r>
      <w:r w:rsidR="00527301" w:rsidRPr="001C788E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omunal.- </w:t>
      </w:r>
      <w:r w:rsidR="00527301" w:rsidRPr="001C788E">
        <w:rPr>
          <w:rFonts w:ascii="Palatino Linotype" w:hAnsi="Palatino Linotype"/>
          <w:bCs/>
          <w:i/>
          <w:sz w:val="22"/>
          <w:szCs w:val="22"/>
          <w:lang w:val="es-EC"/>
        </w:rPr>
        <w:t xml:space="preserve">Los copropietarios del predio donde se ubica el </w:t>
      </w:r>
      <w:r w:rsidR="00527301" w:rsidRPr="001C788E">
        <w:rPr>
          <w:rFonts w:ascii="Palatino Linotype" w:hAnsi="Palatino Linotype" w:cs="Arial"/>
          <w:i/>
          <w:sz w:val="22"/>
          <w:szCs w:val="22"/>
        </w:rPr>
        <w:t>Asentamiento Humano de Hecho y Consolidado denominado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 xml:space="preserve"> Barrio</w:t>
      </w:r>
      <w:r>
        <w:rPr>
          <w:rFonts w:ascii="Palatino Linotype" w:hAnsi="Palatino Linotype"/>
          <w:i/>
          <w:sz w:val="22"/>
          <w:szCs w:val="22"/>
          <w:lang w:val="es-EC"/>
        </w:rPr>
        <w:t xml:space="preserve"> </w:t>
      </w:r>
      <w:r w:rsidR="00527301" w:rsidRPr="001C788E">
        <w:rPr>
          <w:rFonts w:ascii="Palatino Linotype" w:hAnsi="Palatino Linotype"/>
          <w:i/>
          <w:sz w:val="22"/>
          <w:szCs w:val="22"/>
          <w:lang w:val="es-EC"/>
        </w:rPr>
        <w:t>“Valle Hermoso”</w:t>
      </w:r>
      <w:r w:rsidR="00527301" w:rsidRPr="001C788E">
        <w:rPr>
          <w:rFonts w:ascii="Palatino Linotype" w:hAnsi="Palatino Linotype"/>
          <w:bCs/>
          <w:i/>
          <w:sz w:val="22"/>
          <w:szCs w:val="22"/>
          <w:lang w:val="es-EC"/>
        </w:rPr>
        <w:t xml:space="preserve">, </w:t>
      </w:r>
      <w:r w:rsidR="00527301" w:rsidRPr="001C788E">
        <w:rPr>
          <w:rFonts w:ascii="Palatino Linotype" w:hAnsi="Palatino Linotype" w:cs="Arial"/>
          <w:i/>
          <w:sz w:val="22"/>
          <w:szCs w:val="22"/>
        </w:rPr>
        <w:t xml:space="preserve">transfieren al Municipio del Distrito Metropolitano de Quito, como contribución de áreas verdes, un área total de </w:t>
      </w:r>
      <w:r w:rsidR="00527301" w:rsidRPr="001C788E">
        <w:rPr>
          <w:rFonts w:ascii="Palatino Linotype" w:hAnsi="Palatino Linotype"/>
          <w:i/>
          <w:sz w:val="22"/>
          <w:szCs w:val="22"/>
        </w:rPr>
        <w:t>13,</w:t>
      </w:r>
      <w:r w:rsidRPr="001C788E">
        <w:rPr>
          <w:rFonts w:ascii="Palatino Linotype" w:hAnsi="Palatino Linotype"/>
          <w:i/>
          <w:sz w:val="22"/>
          <w:szCs w:val="22"/>
        </w:rPr>
        <w:t xml:space="preserve">11 </w:t>
      </w:r>
      <w:r w:rsidR="00527301" w:rsidRPr="001C788E">
        <w:rPr>
          <w:rFonts w:ascii="Palatino Linotype" w:hAnsi="Palatino Linotype" w:cs="Arial"/>
          <w:i/>
          <w:sz w:val="22"/>
          <w:szCs w:val="22"/>
        </w:rPr>
        <w:t>m</w:t>
      </w:r>
      <w:r w:rsidR="00527301" w:rsidRPr="001C788E">
        <w:rPr>
          <w:rFonts w:ascii="Palatino Linotype" w:hAnsi="Palatino Linotype" w:cs="Arial"/>
          <w:i/>
          <w:sz w:val="22"/>
          <w:szCs w:val="22"/>
          <w:vertAlign w:val="superscript"/>
        </w:rPr>
        <w:t xml:space="preserve">2,  </w:t>
      </w:r>
      <w:r w:rsidR="00527301" w:rsidRPr="001C788E">
        <w:rPr>
          <w:rFonts w:ascii="Palatino Linotype" w:hAnsi="Palatino Linotype" w:cs="Arial"/>
          <w:i/>
          <w:sz w:val="22"/>
          <w:szCs w:val="22"/>
        </w:rPr>
        <w:t xml:space="preserve">que corresponde al 0,24%, del área útil de los lotes, </w:t>
      </w:r>
      <w:r>
        <w:rPr>
          <w:rFonts w:ascii="Palatino Linotype" w:hAnsi="Palatino Linotype" w:cs="Arial"/>
          <w:i/>
          <w:sz w:val="22"/>
          <w:szCs w:val="22"/>
        </w:rPr>
        <w:t>de conformidad al siguiente detalle</w:t>
      </w:r>
      <w:r w:rsidR="00527301" w:rsidRPr="001C788E">
        <w:rPr>
          <w:rFonts w:ascii="Palatino Linotype" w:hAnsi="Palatino Linotype" w:cs="Arial"/>
          <w:i/>
          <w:sz w:val="22"/>
          <w:szCs w:val="22"/>
        </w:rPr>
        <w:t>:</w:t>
      </w:r>
    </w:p>
    <w:tbl>
      <w:tblPr>
        <w:tblW w:w="8789" w:type="dxa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51"/>
        <w:gridCol w:w="2693"/>
        <w:gridCol w:w="1276"/>
        <w:gridCol w:w="1134"/>
        <w:gridCol w:w="1559"/>
      </w:tblGrid>
      <w:tr w:rsidR="00527301" w:rsidRPr="001C788E" w:rsidTr="001C788E">
        <w:tc>
          <w:tcPr>
            <w:tcW w:w="8789" w:type="dxa"/>
            <w:gridSpan w:val="6"/>
            <w:shd w:val="clear" w:color="auto" w:fill="FFFFFF"/>
            <w:vAlign w:val="center"/>
          </w:tcPr>
          <w:p w:rsidR="00527301" w:rsidRPr="001C788E" w:rsidRDefault="001C788E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Área verde y comunal</w:t>
            </w:r>
          </w:p>
        </w:tc>
      </w:tr>
      <w:tr w:rsidR="00527301" w:rsidRPr="001C788E" w:rsidTr="001C788E">
        <w:tc>
          <w:tcPr>
            <w:tcW w:w="1276" w:type="dxa"/>
            <w:vMerge w:val="restart"/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Área </w:t>
            </w: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lastRenderedPageBreak/>
              <w:t xml:space="preserve">Verde </w:t>
            </w:r>
          </w:p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27301" w:rsidRPr="001C788E" w:rsidRDefault="001C788E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Lindero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301" w:rsidRPr="001C788E" w:rsidRDefault="001C788E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Superficie</w:t>
            </w:r>
          </w:p>
        </w:tc>
      </w:tr>
      <w:tr w:rsidR="00527301" w:rsidRPr="001C788E" w:rsidTr="001C788E">
        <w:trPr>
          <w:trHeight w:val="293"/>
        </w:trPr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Norte:</w:t>
            </w:r>
          </w:p>
        </w:tc>
        <w:tc>
          <w:tcPr>
            <w:tcW w:w="2693" w:type="dxa"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 xml:space="preserve">Calle “1”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13,74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13,11 m</w:t>
            </w: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Sur:</w:t>
            </w:r>
          </w:p>
        </w:tc>
        <w:tc>
          <w:tcPr>
            <w:tcW w:w="2693" w:type="dxa"/>
            <w:shd w:val="clear" w:color="auto" w:fill="FFFFFF"/>
          </w:tcPr>
          <w:p w:rsidR="00527301" w:rsidRPr="001C788E" w:rsidRDefault="00527301" w:rsidP="001C788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 xml:space="preserve">Área </w:t>
            </w:r>
            <w:r w:rsid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v</w:t>
            </w: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 xml:space="preserve">erde </w:t>
            </w:r>
            <w:r w:rsid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a</w:t>
            </w: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dicional  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14,29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Este: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Área de protección línea de alta tensión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1,98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Oeste:</w:t>
            </w:r>
          </w:p>
        </w:tc>
        <w:tc>
          <w:tcPr>
            <w:tcW w:w="2693" w:type="dxa"/>
            <w:shd w:val="clear" w:color="auto" w:fill="FFFFFF"/>
          </w:tcPr>
          <w:p w:rsidR="00527301" w:rsidRPr="001C788E" w:rsidRDefault="006225C2" w:rsidP="001C788E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Intersección entre c</w:t>
            </w:r>
            <w:r w:rsid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alle “1” y á</w:t>
            </w:r>
            <w:r w:rsidR="00527301"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 xml:space="preserve">rea </w:t>
            </w:r>
            <w:r w:rsid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v</w:t>
            </w:r>
            <w:r w:rsidR="00527301"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 xml:space="preserve">erde </w:t>
            </w:r>
            <w:r w:rsid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a</w:t>
            </w:r>
            <w:r w:rsidR="00527301"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dicional 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0,00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527301" w:rsidRDefault="001C788E" w:rsidP="001C788E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>
        <w:rPr>
          <w:rFonts w:ascii="Palatino Linotype" w:hAnsi="Palatino Linotype" w:cs="Arial"/>
          <w:bCs/>
          <w:i/>
          <w:sz w:val="22"/>
          <w:szCs w:val="22"/>
        </w:rPr>
        <w:t xml:space="preserve">Adicionalmente, </w:t>
      </w:r>
      <w:r>
        <w:rPr>
          <w:rFonts w:ascii="Palatino Linotype" w:hAnsi="Palatino Linotype"/>
          <w:bCs/>
          <w:i/>
          <w:sz w:val="22"/>
          <w:szCs w:val="22"/>
          <w:lang w:val="es-EC"/>
        </w:rPr>
        <w:t>l</w:t>
      </w:r>
      <w:r w:rsidRPr="001C788E">
        <w:rPr>
          <w:rFonts w:ascii="Palatino Linotype" w:hAnsi="Palatino Linotype"/>
          <w:bCs/>
          <w:i/>
          <w:sz w:val="22"/>
          <w:szCs w:val="22"/>
          <w:lang w:val="es-EC"/>
        </w:rPr>
        <w:t xml:space="preserve">os copropietarios del predio donde se ubica el </w:t>
      </w:r>
      <w:r w:rsidRPr="001C788E">
        <w:rPr>
          <w:rFonts w:ascii="Palatino Linotype" w:hAnsi="Palatino Linotype" w:cs="Arial"/>
          <w:i/>
          <w:sz w:val="22"/>
          <w:szCs w:val="22"/>
        </w:rPr>
        <w:t>Asentamiento Humano de Hecho y Consolidado denominado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 xml:space="preserve"> Barrio</w:t>
      </w:r>
      <w:r>
        <w:rPr>
          <w:rFonts w:ascii="Palatino Linotype" w:hAnsi="Palatino Linotype"/>
          <w:i/>
          <w:sz w:val="22"/>
          <w:szCs w:val="22"/>
          <w:lang w:val="es-EC"/>
        </w:rPr>
        <w:t xml:space="preserve"> </w:t>
      </w:r>
      <w:r w:rsidRPr="001C788E">
        <w:rPr>
          <w:rFonts w:ascii="Palatino Linotype" w:hAnsi="Palatino Linotype"/>
          <w:i/>
          <w:sz w:val="22"/>
          <w:szCs w:val="22"/>
          <w:lang w:val="es-EC"/>
        </w:rPr>
        <w:t>“Valle Hermoso”</w:t>
      </w:r>
      <w:r w:rsidRPr="001C788E">
        <w:rPr>
          <w:rFonts w:ascii="Palatino Linotype" w:hAnsi="Palatino Linotype"/>
          <w:bCs/>
          <w:i/>
          <w:sz w:val="22"/>
          <w:szCs w:val="22"/>
          <w:lang w:val="es-EC"/>
        </w:rPr>
        <w:t xml:space="preserve">, </w:t>
      </w:r>
      <w:r w:rsidRPr="001C788E">
        <w:rPr>
          <w:rFonts w:ascii="Palatino Linotype" w:hAnsi="Palatino Linotype" w:cs="Arial"/>
          <w:i/>
          <w:sz w:val="22"/>
          <w:szCs w:val="22"/>
        </w:rPr>
        <w:t xml:space="preserve">transfieren </w:t>
      </w:r>
      <w:r>
        <w:rPr>
          <w:rFonts w:ascii="Palatino Linotype" w:hAnsi="Palatino Linotype" w:cs="Arial"/>
          <w:bCs/>
          <w:i/>
          <w:sz w:val="22"/>
          <w:szCs w:val="22"/>
        </w:rPr>
        <w:t>a favor de la Municipalidad</w:t>
      </w:r>
      <w:r w:rsidR="00E025D5">
        <w:rPr>
          <w:rFonts w:ascii="Palatino Linotype" w:hAnsi="Palatino Linotype" w:cs="Arial"/>
          <w:bCs/>
          <w:i/>
          <w:sz w:val="22"/>
          <w:szCs w:val="22"/>
        </w:rPr>
        <w:t>, las áreas verdes adicionales que se detallan a continuación:</w:t>
      </w:r>
    </w:p>
    <w:tbl>
      <w:tblPr>
        <w:tblW w:w="8789" w:type="dxa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51"/>
        <w:gridCol w:w="2693"/>
        <w:gridCol w:w="1276"/>
        <w:gridCol w:w="1134"/>
        <w:gridCol w:w="1559"/>
      </w:tblGrid>
      <w:tr w:rsidR="00527301" w:rsidRPr="001C788E" w:rsidTr="001C788E">
        <w:tc>
          <w:tcPr>
            <w:tcW w:w="8789" w:type="dxa"/>
            <w:gridSpan w:val="6"/>
            <w:shd w:val="clear" w:color="auto" w:fill="FFFFFF"/>
            <w:vAlign w:val="center"/>
          </w:tcPr>
          <w:p w:rsidR="00527301" w:rsidRPr="001C788E" w:rsidRDefault="00E025D5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Área verde adicional 1</w:t>
            </w:r>
          </w:p>
        </w:tc>
      </w:tr>
      <w:tr w:rsidR="00527301" w:rsidRPr="001C788E" w:rsidTr="001C788E">
        <w:tc>
          <w:tcPr>
            <w:tcW w:w="1276" w:type="dxa"/>
            <w:vMerge w:val="restart"/>
            <w:shd w:val="clear" w:color="auto" w:fill="FFFFFF"/>
            <w:vAlign w:val="center"/>
          </w:tcPr>
          <w:p w:rsidR="00E025D5" w:rsidRDefault="00E025D5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E025D5" w:rsidRDefault="00E025D5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E025D5" w:rsidRDefault="00E025D5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E025D5" w:rsidRDefault="00E025D5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E025D5" w:rsidRDefault="00E025D5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 xml:space="preserve">Área </w:t>
            </w:r>
            <w:r w:rsidR="00E025D5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v</w:t>
            </w: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 xml:space="preserve">erde </w:t>
            </w:r>
            <w:r w:rsidR="00E025D5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a</w:t>
            </w: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dicional 1</w:t>
            </w:r>
          </w:p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27301" w:rsidRPr="001C788E" w:rsidRDefault="00E025D5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Lindero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301" w:rsidRPr="001C788E" w:rsidRDefault="00E025D5" w:rsidP="002939C3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Superficie</w:t>
            </w:r>
          </w:p>
        </w:tc>
      </w:tr>
      <w:tr w:rsidR="00527301" w:rsidRPr="001C788E" w:rsidTr="001C788E">
        <w:trPr>
          <w:trHeight w:val="293"/>
        </w:trPr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225C2" w:rsidRDefault="006225C2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Norte:</w:t>
            </w:r>
          </w:p>
        </w:tc>
        <w:tc>
          <w:tcPr>
            <w:tcW w:w="2693" w:type="dxa"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Calle “1”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21,91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2,54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59,48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14,29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98,22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5D5" w:rsidRDefault="00E025D5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E025D5" w:rsidRDefault="00E025D5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E025D5" w:rsidRDefault="00E025D5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E025D5" w:rsidRDefault="00E025D5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1.202,16 m</w:t>
            </w:r>
            <w:r w:rsidRPr="00E025D5">
              <w:rPr>
                <w:rFonts w:ascii="Palatino Linotype" w:hAnsi="Palatino Linotype" w:cs="Calibri"/>
                <w:i/>
                <w:sz w:val="22"/>
                <w:szCs w:val="22"/>
                <w:vertAlign w:val="superscript"/>
              </w:rPr>
              <w:t>2</w:t>
            </w: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225C2" w:rsidRDefault="006225C2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6225C2" w:rsidRDefault="006225C2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Sur:</w:t>
            </w:r>
          </w:p>
        </w:tc>
        <w:tc>
          <w:tcPr>
            <w:tcW w:w="2693" w:type="dxa"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Borde </w:t>
            </w:r>
            <w:r w:rsidR="006225C2">
              <w:rPr>
                <w:rFonts w:ascii="Palatino Linotype" w:hAnsi="Palatino Linotype" w:cs="Calibri"/>
                <w:i/>
                <w:sz w:val="22"/>
                <w:szCs w:val="22"/>
              </w:rPr>
              <w:t>s</w:t>
            </w: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uperior de </w:t>
            </w:r>
            <w:r w:rsidR="006225C2">
              <w:rPr>
                <w:rFonts w:ascii="Palatino Linotype" w:hAnsi="Palatino Linotype" w:cs="Calibri"/>
                <w:i/>
                <w:sz w:val="22"/>
                <w:szCs w:val="22"/>
              </w:rPr>
              <w:t>t</w:t>
            </w: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alud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4,62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9,16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8,22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7,74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21,05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9,29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11,38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19,71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5D5" w:rsidRDefault="00E025D5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E025D5" w:rsidRDefault="00E025D5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91,17</w:t>
            </w:r>
            <w:r w:rsidR="00E025D5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 </w:t>
            </w: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Este: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Área de  protección red de alta tensión y talud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16,17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27301" w:rsidRPr="001C788E" w:rsidRDefault="00527301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Oeste:</w:t>
            </w:r>
          </w:p>
        </w:tc>
        <w:tc>
          <w:tcPr>
            <w:tcW w:w="2693" w:type="dxa"/>
            <w:shd w:val="clear" w:color="auto" w:fill="FFFFFF"/>
          </w:tcPr>
          <w:p w:rsidR="00527301" w:rsidRPr="001C788E" w:rsidRDefault="00E025D5" w:rsidP="002939C3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>
              <w:rPr>
                <w:rFonts w:ascii="Palatino Linotype" w:hAnsi="Palatino Linotype" w:cs="Calibri"/>
                <w:i/>
                <w:sz w:val="22"/>
                <w:szCs w:val="22"/>
              </w:rPr>
              <w:t>Propiedad p</w:t>
            </w:r>
            <w:r w:rsidR="00527301"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articular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12,29 m.</w:t>
            </w:r>
          </w:p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4,68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16,97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6225C2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</w:tbl>
    <w:p w:rsidR="00527301" w:rsidRPr="001C788E" w:rsidRDefault="00527301" w:rsidP="001C788E">
      <w:pPr>
        <w:shd w:val="clear" w:color="auto" w:fill="FFFFFF"/>
        <w:spacing w:before="240" w:line="276" w:lineRule="auto"/>
        <w:ind w:left="708"/>
        <w:contextualSpacing/>
        <w:rPr>
          <w:rFonts w:ascii="Palatino Linotype" w:hAnsi="Palatino Linotype"/>
          <w:i/>
          <w:sz w:val="22"/>
          <w:szCs w:val="22"/>
          <w:highlight w:val="yellow"/>
          <w:u w:val="single"/>
        </w:rPr>
      </w:pPr>
    </w:p>
    <w:tbl>
      <w:tblPr>
        <w:tblW w:w="8789" w:type="dxa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51"/>
        <w:gridCol w:w="2693"/>
        <w:gridCol w:w="1276"/>
        <w:gridCol w:w="1134"/>
        <w:gridCol w:w="1559"/>
      </w:tblGrid>
      <w:tr w:rsidR="00527301" w:rsidRPr="001C788E" w:rsidTr="001C788E">
        <w:tc>
          <w:tcPr>
            <w:tcW w:w="8789" w:type="dxa"/>
            <w:gridSpan w:val="6"/>
            <w:shd w:val="clear" w:color="auto" w:fill="FFFFFF"/>
            <w:vAlign w:val="center"/>
          </w:tcPr>
          <w:p w:rsidR="00527301" w:rsidRPr="001C788E" w:rsidRDefault="00E025D5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Área verde adicional 2</w:t>
            </w:r>
          </w:p>
        </w:tc>
      </w:tr>
      <w:tr w:rsidR="00527301" w:rsidRPr="001C788E" w:rsidTr="001C788E">
        <w:tc>
          <w:tcPr>
            <w:tcW w:w="1276" w:type="dxa"/>
            <w:vMerge w:val="restart"/>
            <w:shd w:val="clear" w:color="auto" w:fill="FFFFFF"/>
            <w:vAlign w:val="center"/>
          </w:tcPr>
          <w:p w:rsidR="00E025D5" w:rsidRDefault="00E025D5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527301" w:rsidRPr="001C788E" w:rsidRDefault="00E025D5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Área verde  adicional 2</w:t>
            </w:r>
          </w:p>
          <w:p w:rsidR="00527301" w:rsidRPr="001C788E" w:rsidRDefault="00527301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27301" w:rsidRPr="001C788E" w:rsidRDefault="00E025D5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Lindero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301" w:rsidRPr="001C788E" w:rsidRDefault="00E025D5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Superficie</w:t>
            </w:r>
          </w:p>
        </w:tc>
      </w:tr>
      <w:tr w:rsidR="00527301" w:rsidRPr="001C788E" w:rsidTr="001C788E">
        <w:trPr>
          <w:trHeight w:val="293"/>
        </w:trPr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Norte:</w:t>
            </w:r>
          </w:p>
        </w:tc>
        <w:tc>
          <w:tcPr>
            <w:tcW w:w="2693" w:type="dxa"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Pasaje “1”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780,81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2939C3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231,19 m</w:t>
            </w:r>
            <w:r w:rsidRPr="00E025D5">
              <w:rPr>
                <w:rFonts w:ascii="Palatino Linotype" w:hAnsi="Palatino Linotype" w:cs="Calibri"/>
                <w:i/>
                <w:sz w:val="22"/>
                <w:szCs w:val="22"/>
                <w:vertAlign w:val="superscript"/>
              </w:rPr>
              <w:t>2</w:t>
            </w: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225C2" w:rsidRDefault="006225C2" w:rsidP="002939C3">
            <w:pPr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Sur:</w:t>
            </w:r>
          </w:p>
        </w:tc>
        <w:tc>
          <w:tcPr>
            <w:tcW w:w="2693" w:type="dxa"/>
            <w:shd w:val="clear" w:color="auto" w:fill="FFFFFF"/>
          </w:tcPr>
          <w:p w:rsidR="00E025D5" w:rsidRDefault="00E025D5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Borde superior de talud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28,25 m.</w:t>
            </w:r>
          </w:p>
          <w:p w:rsidR="00527301" w:rsidRPr="001C788E" w:rsidRDefault="00527301" w:rsidP="006225C2">
            <w:pPr>
              <w:pBdr>
                <w:bottom w:val="single" w:sz="4" w:space="1" w:color="auto"/>
              </w:pBd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18,86 m.</w:t>
            </w:r>
          </w:p>
          <w:p w:rsidR="00527301" w:rsidRPr="001C788E" w:rsidRDefault="00527301" w:rsidP="006225C2">
            <w:pPr>
              <w:pBdr>
                <w:bottom w:val="single" w:sz="4" w:space="1" w:color="auto"/>
              </w:pBd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22,61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69,72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Este: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7301" w:rsidRPr="001C788E" w:rsidRDefault="00527301" w:rsidP="00E025D5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Propiedad </w:t>
            </w:r>
            <w:r w:rsidR="00E025D5">
              <w:rPr>
                <w:rFonts w:ascii="Palatino Linotype" w:hAnsi="Palatino Linotype" w:cs="Calibri"/>
                <w:i/>
                <w:sz w:val="22"/>
                <w:szCs w:val="22"/>
              </w:rPr>
              <w:t>p</w:t>
            </w: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rivada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2,55 m.</w:t>
            </w:r>
          </w:p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1,75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4,30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527301" w:rsidRPr="001C788E" w:rsidTr="001C788E">
        <w:tc>
          <w:tcPr>
            <w:tcW w:w="1276" w:type="dxa"/>
            <w:vMerge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Oeste:</w:t>
            </w:r>
          </w:p>
        </w:tc>
        <w:tc>
          <w:tcPr>
            <w:tcW w:w="2693" w:type="dxa"/>
            <w:shd w:val="clear" w:color="auto" w:fill="FFFFFF"/>
          </w:tcPr>
          <w:p w:rsidR="00527301" w:rsidRPr="001C788E" w:rsidRDefault="00527301" w:rsidP="00E025D5">
            <w:pPr>
              <w:spacing w:before="240" w:line="276" w:lineRule="auto"/>
              <w:jc w:val="both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Área de  protección red de alta tensión y talud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301" w:rsidRPr="001C788E" w:rsidRDefault="00527301" w:rsidP="006225C2">
            <w:pPr>
              <w:spacing w:before="240" w:line="276" w:lineRule="auto"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1C788E">
              <w:rPr>
                <w:rFonts w:ascii="Palatino Linotype" w:hAnsi="Palatino Linotype" w:cs="Calibri"/>
                <w:i/>
                <w:sz w:val="22"/>
                <w:szCs w:val="22"/>
              </w:rPr>
              <w:t>4,11 m.</w:t>
            </w:r>
          </w:p>
        </w:tc>
        <w:tc>
          <w:tcPr>
            <w:tcW w:w="1559" w:type="dxa"/>
            <w:vMerge/>
            <w:shd w:val="clear" w:color="auto" w:fill="FFFFFF"/>
          </w:tcPr>
          <w:p w:rsidR="00527301" w:rsidRPr="001C788E" w:rsidRDefault="00527301" w:rsidP="002939C3">
            <w:pPr>
              <w:spacing w:before="240" w:line="276" w:lineRule="auto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</w:tbl>
    <w:p w:rsidR="00527301" w:rsidRPr="00E025D5" w:rsidRDefault="00527301" w:rsidP="002939C3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1C788E">
        <w:rPr>
          <w:rFonts w:ascii="Palatino Linotype" w:hAnsi="Palatino Linotype" w:cs="Arial"/>
          <w:b/>
          <w:bCs/>
          <w:sz w:val="22"/>
          <w:szCs w:val="22"/>
        </w:rPr>
        <w:t xml:space="preserve">Artículo 5.- </w:t>
      </w:r>
      <w:r w:rsidRPr="00E025D5">
        <w:rPr>
          <w:rFonts w:ascii="Palatino Linotype" w:hAnsi="Palatino Linotype"/>
          <w:sz w:val="22"/>
          <w:szCs w:val="22"/>
          <w:lang w:val="es-EC"/>
        </w:rPr>
        <w:t xml:space="preserve">En el </w:t>
      </w:r>
      <w:r w:rsidR="00E025D5" w:rsidRPr="00E025D5">
        <w:rPr>
          <w:rFonts w:ascii="Palatino Linotype" w:hAnsi="Palatino Linotype"/>
          <w:sz w:val="22"/>
          <w:szCs w:val="22"/>
          <w:lang w:val="es-EC"/>
        </w:rPr>
        <w:t>a</w:t>
      </w:r>
      <w:r w:rsidRPr="00E025D5">
        <w:rPr>
          <w:rFonts w:ascii="Palatino Linotype" w:hAnsi="Palatino Linotype"/>
          <w:sz w:val="22"/>
          <w:szCs w:val="22"/>
          <w:lang w:val="es-EC"/>
        </w:rPr>
        <w:t xml:space="preserve">rtículo 6 de la Ordenanza </w:t>
      </w:r>
      <w:r w:rsidR="00E025D5" w:rsidRPr="00E025D5">
        <w:rPr>
          <w:rFonts w:ascii="Palatino Linotype" w:hAnsi="Palatino Linotype"/>
          <w:sz w:val="22"/>
          <w:szCs w:val="22"/>
          <w:lang w:val="es-EC"/>
        </w:rPr>
        <w:t xml:space="preserve">No. </w:t>
      </w:r>
      <w:r w:rsidRPr="00E025D5">
        <w:rPr>
          <w:rFonts w:ascii="Palatino Linotype" w:hAnsi="Palatino Linotype"/>
          <w:sz w:val="22"/>
          <w:szCs w:val="22"/>
          <w:lang w:val="es-EC"/>
        </w:rPr>
        <w:t>0292, de 9 de octubre de 2012,</w:t>
      </w:r>
      <w:r w:rsidRPr="001C788E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E025D5">
        <w:rPr>
          <w:rFonts w:ascii="Palatino Linotype" w:hAnsi="Palatino Linotype" w:cs="Arial"/>
          <w:bCs/>
          <w:sz w:val="22"/>
          <w:szCs w:val="22"/>
        </w:rPr>
        <w:t>sustitúyanse “</w:t>
      </w:r>
      <w:r w:rsidR="00E025D5">
        <w:rPr>
          <w:rFonts w:ascii="Palatino Linotype" w:hAnsi="Palatino Linotype" w:cs="Arial"/>
          <w:bCs/>
          <w:i/>
          <w:sz w:val="22"/>
          <w:szCs w:val="22"/>
        </w:rPr>
        <w:t>47%”</w:t>
      </w:r>
      <w:r w:rsidR="00E025D5">
        <w:rPr>
          <w:rFonts w:ascii="Palatino Linotype" w:hAnsi="Palatino Linotype" w:cs="Arial"/>
          <w:bCs/>
          <w:sz w:val="22"/>
          <w:szCs w:val="22"/>
        </w:rPr>
        <w:t xml:space="preserve"> por “</w:t>
      </w:r>
      <w:r w:rsidR="00E025D5">
        <w:rPr>
          <w:rFonts w:ascii="Palatino Linotype" w:hAnsi="Palatino Linotype" w:cs="Arial"/>
          <w:bCs/>
          <w:i/>
          <w:sz w:val="22"/>
          <w:szCs w:val="22"/>
        </w:rPr>
        <w:t xml:space="preserve">41,18%”; </w:t>
      </w:r>
      <w:r w:rsidR="00E025D5">
        <w:rPr>
          <w:rFonts w:ascii="Palatino Linotype" w:hAnsi="Palatino Linotype" w:cs="Arial"/>
          <w:bCs/>
          <w:sz w:val="22"/>
          <w:szCs w:val="22"/>
        </w:rPr>
        <w:t>“</w:t>
      </w:r>
      <w:r w:rsidR="00E025D5">
        <w:rPr>
          <w:rFonts w:ascii="Palatino Linotype" w:hAnsi="Palatino Linotype" w:cs="Arial"/>
          <w:bCs/>
          <w:i/>
          <w:sz w:val="22"/>
          <w:szCs w:val="22"/>
        </w:rPr>
        <w:t>16 años”</w:t>
      </w:r>
      <w:r w:rsidR="00E025D5">
        <w:rPr>
          <w:rFonts w:ascii="Palatino Linotype" w:hAnsi="Palatino Linotype" w:cs="Arial"/>
          <w:bCs/>
          <w:sz w:val="22"/>
          <w:szCs w:val="22"/>
        </w:rPr>
        <w:t xml:space="preserve"> por “</w:t>
      </w:r>
      <w:r w:rsidR="00E025D5">
        <w:rPr>
          <w:rFonts w:ascii="Palatino Linotype" w:hAnsi="Palatino Linotype" w:cs="Arial"/>
          <w:bCs/>
          <w:i/>
          <w:sz w:val="22"/>
          <w:szCs w:val="22"/>
        </w:rPr>
        <w:t>18 años”</w:t>
      </w:r>
      <w:r w:rsidR="00E025D5">
        <w:rPr>
          <w:rFonts w:ascii="Palatino Linotype" w:hAnsi="Palatino Linotype" w:cs="Arial"/>
          <w:bCs/>
          <w:sz w:val="22"/>
          <w:szCs w:val="22"/>
        </w:rPr>
        <w:t>; y, “</w:t>
      </w:r>
      <w:r w:rsidR="00E025D5">
        <w:rPr>
          <w:rFonts w:ascii="Palatino Linotype" w:hAnsi="Palatino Linotype" w:cs="Arial"/>
          <w:bCs/>
          <w:i/>
          <w:sz w:val="22"/>
          <w:szCs w:val="22"/>
        </w:rPr>
        <w:t>Calle “3”: 10,00 m.”</w:t>
      </w:r>
      <w:r w:rsidR="00E025D5">
        <w:rPr>
          <w:rFonts w:ascii="Palatino Linotype" w:hAnsi="Palatino Linotype" w:cs="Arial"/>
          <w:bCs/>
          <w:sz w:val="22"/>
          <w:szCs w:val="22"/>
        </w:rPr>
        <w:t xml:space="preserve"> por “</w:t>
      </w:r>
      <w:r w:rsidR="00E025D5">
        <w:rPr>
          <w:rFonts w:ascii="Palatino Linotype" w:hAnsi="Palatino Linotype" w:cs="Arial"/>
          <w:bCs/>
          <w:i/>
          <w:sz w:val="22"/>
          <w:szCs w:val="22"/>
        </w:rPr>
        <w:t>Pasaje 1: 8,00 m.”</w:t>
      </w:r>
      <w:r w:rsidR="00E025D5">
        <w:rPr>
          <w:rFonts w:ascii="Palatino Linotype" w:hAnsi="Palatino Linotype" w:cs="Arial"/>
          <w:bCs/>
          <w:sz w:val="22"/>
          <w:szCs w:val="22"/>
        </w:rPr>
        <w:t>.</w:t>
      </w:r>
    </w:p>
    <w:p w:rsidR="00527301" w:rsidRPr="001C788E" w:rsidRDefault="00527301" w:rsidP="002939C3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C788E">
        <w:rPr>
          <w:rFonts w:ascii="Palatino Linotype" w:hAnsi="Palatino Linotype"/>
          <w:b/>
          <w:bCs/>
          <w:sz w:val="22"/>
          <w:szCs w:val="22"/>
        </w:rPr>
        <w:t>Artículo 6.-</w:t>
      </w:r>
      <w:r w:rsidRPr="001C788E">
        <w:rPr>
          <w:rFonts w:ascii="Palatino Linotype" w:hAnsi="Palatino Linotype"/>
          <w:b/>
          <w:sz w:val="22"/>
          <w:szCs w:val="22"/>
        </w:rPr>
        <w:t xml:space="preserve"> </w:t>
      </w:r>
      <w:r w:rsidRPr="00E025D5">
        <w:rPr>
          <w:rFonts w:ascii="Palatino Linotype" w:hAnsi="Palatino Linotype"/>
          <w:sz w:val="22"/>
          <w:szCs w:val="22"/>
          <w:lang w:val="es-EC"/>
        </w:rPr>
        <w:t xml:space="preserve">Sustitúyase el </w:t>
      </w:r>
      <w:r w:rsidR="00E025D5" w:rsidRPr="00E025D5">
        <w:rPr>
          <w:rFonts w:ascii="Palatino Linotype" w:hAnsi="Palatino Linotype"/>
          <w:sz w:val="22"/>
          <w:szCs w:val="22"/>
          <w:lang w:val="es-EC"/>
        </w:rPr>
        <w:t>a</w:t>
      </w:r>
      <w:r w:rsidRPr="00E025D5">
        <w:rPr>
          <w:rFonts w:ascii="Palatino Linotype" w:hAnsi="Palatino Linotype"/>
          <w:sz w:val="22"/>
          <w:szCs w:val="22"/>
          <w:lang w:val="es-EC"/>
        </w:rPr>
        <w:t xml:space="preserve">rtículo 7 de la Ordenanza </w:t>
      </w:r>
      <w:r w:rsidR="00E025D5" w:rsidRPr="00E025D5">
        <w:rPr>
          <w:rFonts w:ascii="Palatino Linotype" w:hAnsi="Palatino Linotype"/>
          <w:sz w:val="22"/>
          <w:szCs w:val="22"/>
          <w:lang w:val="es-EC"/>
        </w:rPr>
        <w:t xml:space="preserve">No. </w:t>
      </w:r>
      <w:r w:rsidRPr="00E025D5">
        <w:rPr>
          <w:rFonts w:ascii="Palatino Linotype" w:hAnsi="Palatino Linotype"/>
          <w:sz w:val="22"/>
          <w:szCs w:val="22"/>
          <w:lang w:val="es-EC"/>
        </w:rPr>
        <w:t>0292, de 9 de octubre de 2012, por el siguiente:</w:t>
      </w:r>
      <w:r w:rsidRPr="001C788E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527301" w:rsidRDefault="00E025D5" w:rsidP="00E025D5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“</w:t>
      </w:r>
      <w:r w:rsidR="00527301" w:rsidRPr="00E025D5">
        <w:rPr>
          <w:rFonts w:ascii="Palatino Linotype" w:hAnsi="Palatino Linotype"/>
          <w:b/>
          <w:i/>
          <w:sz w:val="22"/>
          <w:szCs w:val="22"/>
        </w:rPr>
        <w:t xml:space="preserve">Artículo 7.-  De las Obras a ejecutarse.- </w:t>
      </w:r>
      <w:r w:rsidR="00527301" w:rsidRPr="00E025D5">
        <w:rPr>
          <w:rFonts w:ascii="Palatino Linotype" w:hAnsi="Palatino Linotype"/>
          <w:i/>
          <w:sz w:val="22"/>
          <w:szCs w:val="22"/>
        </w:rPr>
        <w:t>Las obras a ejecutarse</w:t>
      </w:r>
      <w:r w:rsidR="00527301" w:rsidRPr="00E025D5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="00527301" w:rsidRPr="00E025D5">
        <w:rPr>
          <w:rFonts w:ascii="Palatino Linotype" w:hAnsi="Palatino Linotype"/>
          <w:i/>
          <w:sz w:val="22"/>
          <w:szCs w:val="22"/>
        </w:rPr>
        <w:t>en el asentamiento</w:t>
      </w:r>
      <w:r>
        <w:rPr>
          <w:rFonts w:ascii="Palatino Linotype" w:hAnsi="Palatino Linotype"/>
          <w:i/>
          <w:sz w:val="22"/>
          <w:szCs w:val="22"/>
        </w:rPr>
        <w:t xml:space="preserve"> humano de hecho y consolidado</w:t>
      </w:r>
      <w:r w:rsidR="00527301" w:rsidRPr="00E025D5">
        <w:rPr>
          <w:rFonts w:ascii="Palatino Linotype" w:hAnsi="Palatino Linotype"/>
          <w:i/>
          <w:sz w:val="22"/>
          <w:szCs w:val="22"/>
        </w:rPr>
        <w:t xml:space="preserve"> son las siguientes:</w:t>
      </w:r>
    </w:p>
    <w:p w:rsidR="00E025D5" w:rsidRDefault="00E025D5" w:rsidP="00E025D5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Obras civiles (vías):</w:t>
      </w:r>
    </w:p>
    <w:p w:rsidR="00E025D5" w:rsidRDefault="00E025D5" w:rsidP="00E025D5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 w:rsidRPr="00E025D5">
        <w:rPr>
          <w:rFonts w:ascii="Palatino Linotype" w:hAnsi="Palatino Linotype" w:cs="Arial"/>
          <w:bCs/>
          <w:i/>
          <w:sz w:val="22"/>
          <w:szCs w:val="22"/>
        </w:rPr>
        <w:t>Calzadas</w:t>
      </w:r>
      <w:r>
        <w:rPr>
          <w:rFonts w:ascii="Palatino Linotype" w:hAnsi="Palatino Linotype" w:cs="Arial"/>
          <w:bCs/>
          <w:i/>
          <w:sz w:val="22"/>
          <w:szCs w:val="22"/>
        </w:rPr>
        <w:t>:</w:t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  <w:t>100%</w:t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  <w:t>Aceras:</w:t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  <w:t>100%</w:t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</w:p>
    <w:p w:rsidR="00E025D5" w:rsidRDefault="00E025D5" w:rsidP="00E025D5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>
        <w:rPr>
          <w:rFonts w:ascii="Palatino Linotype" w:hAnsi="Palatino Linotype" w:cs="Arial"/>
          <w:bCs/>
          <w:i/>
          <w:sz w:val="22"/>
          <w:szCs w:val="22"/>
        </w:rPr>
        <w:lastRenderedPageBreak/>
        <w:t>Bordillos:</w:t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  <w:t>100%</w:t>
      </w:r>
    </w:p>
    <w:p w:rsidR="00E025D5" w:rsidRDefault="00E025D5" w:rsidP="00E025D5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>Obras de infraestructura:</w:t>
      </w:r>
    </w:p>
    <w:p w:rsidR="00E025D5" w:rsidRDefault="00E025D5" w:rsidP="00E025D5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>
        <w:rPr>
          <w:rFonts w:ascii="Palatino Linotype" w:hAnsi="Palatino Linotype" w:cs="Arial"/>
          <w:bCs/>
          <w:i/>
          <w:sz w:val="22"/>
          <w:szCs w:val="22"/>
        </w:rPr>
        <w:t>Agua potable:</w:t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  <w:t>50%</w:t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  <w:t>Alcantarillado:</w:t>
      </w:r>
      <w:r>
        <w:rPr>
          <w:rFonts w:ascii="Palatino Linotype" w:hAnsi="Palatino Linotype" w:cs="Arial"/>
          <w:bCs/>
          <w:i/>
          <w:sz w:val="22"/>
          <w:szCs w:val="22"/>
        </w:rPr>
        <w:tab/>
        <w:t>50%</w:t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  <w:r>
        <w:rPr>
          <w:rFonts w:ascii="Palatino Linotype" w:hAnsi="Palatino Linotype" w:cs="Arial"/>
          <w:bCs/>
          <w:i/>
          <w:sz w:val="22"/>
          <w:szCs w:val="22"/>
        </w:rPr>
        <w:tab/>
      </w:r>
    </w:p>
    <w:p w:rsidR="00E025D5" w:rsidRPr="00E025D5" w:rsidRDefault="00E025D5" w:rsidP="00E025D5">
      <w:pPr>
        <w:shd w:val="clear" w:color="auto" w:fill="FFFFFF"/>
        <w:spacing w:before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>
        <w:rPr>
          <w:rFonts w:ascii="Palatino Linotype" w:hAnsi="Palatino Linotype" w:cs="Arial"/>
          <w:bCs/>
          <w:i/>
          <w:sz w:val="22"/>
          <w:szCs w:val="22"/>
        </w:rPr>
        <w:t>Energía eléctrica:</w:t>
      </w:r>
      <w:r>
        <w:rPr>
          <w:rFonts w:ascii="Palatino Linotype" w:hAnsi="Palatino Linotype" w:cs="Arial"/>
          <w:bCs/>
          <w:i/>
          <w:sz w:val="22"/>
          <w:szCs w:val="22"/>
        </w:rPr>
        <w:tab/>
        <w:t>20%”</w:t>
      </w:r>
    </w:p>
    <w:p w:rsidR="004C418B" w:rsidRPr="001C788E" w:rsidRDefault="00527301" w:rsidP="004C418B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1C788E">
        <w:rPr>
          <w:rFonts w:ascii="Palatino Linotype" w:hAnsi="Palatino Linotype" w:cs="Arial"/>
          <w:b/>
          <w:bCs/>
          <w:sz w:val="22"/>
          <w:szCs w:val="22"/>
        </w:rPr>
        <w:t xml:space="preserve">Artículo 7.- </w:t>
      </w:r>
      <w:r w:rsidRPr="004C418B">
        <w:rPr>
          <w:rFonts w:ascii="Palatino Linotype" w:hAnsi="Palatino Linotype"/>
          <w:sz w:val="22"/>
          <w:szCs w:val="22"/>
          <w:lang w:val="es-EC"/>
        </w:rPr>
        <w:t xml:space="preserve">En el 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a</w:t>
      </w:r>
      <w:r w:rsidRPr="004C418B">
        <w:rPr>
          <w:rFonts w:ascii="Palatino Linotype" w:hAnsi="Palatino Linotype"/>
          <w:sz w:val="22"/>
          <w:szCs w:val="22"/>
          <w:lang w:val="es-EC"/>
        </w:rPr>
        <w:t xml:space="preserve">rtículo 8 de la Ordenanza 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 xml:space="preserve">No. </w:t>
      </w:r>
      <w:r w:rsidRPr="004C418B">
        <w:rPr>
          <w:rFonts w:ascii="Palatino Linotype" w:hAnsi="Palatino Linotype"/>
          <w:sz w:val="22"/>
          <w:szCs w:val="22"/>
          <w:lang w:val="es-EC"/>
        </w:rPr>
        <w:t>0292, de 9 de octubre de 2012,</w:t>
      </w:r>
      <w:r w:rsidR="004C418B">
        <w:rPr>
          <w:rFonts w:ascii="Palatino Linotype" w:hAnsi="Palatino Linotype" w:cs="Arial"/>
          <w:bCs/>
          <w:sz w:val="22"/>
          <w:szCs w:val="22"/>
        </w:rPr>
        <w:t xml:space="preserve"> sustitúyanse las frases “</w:t>
      </w:r>
      <w:r w:rsidR="004C418B" w:rsidRPr="004C418B">
        <w:rPr>
          <w:rFonts w:ascii="Palatino Linotype" w:hAnsi="Palatino Linotype" w:cs="Arial"/>
          <w:bCs/>
          <w:i/>
          <w:sz w:val="22"/>
          <w:szCs w:val="22"/>
        </w:rPr>
        <w:t>cuatro (4)</w:t>
      </w:r>
      <w:r w:rsidR="004C418B">
        <w:rPr>
          <w:rFonts w:ascii="Palatino Linotype" w:hAnsi="Palatino Linotype" w:cs="Arial"/>
          <w:bCs/>
          <w:sz w:val="22"/>
          <w:szCs w:val="22"/>
        </w:rPr>
        <w:t>” por “</w:t>
      </w:r>
      <w:r w:rsidR="004C418B" w:rsidRPr="004C418B">
        <w:rPr>
          <w:rFonts w:ascii="Palatino Linotype" w:hAnsi="Palatino Linotype" w:cs="Arial"/>
          <w:bCs/>
          <w:i/>
          <w:sz w:val="22"/>
          <w:szCs w:val="22"/>
        </w:rPr>
        <w:t>siete (7)</w:t>
      </w:r>
      <w:r w:rsidR="004C418B">
        <w:rPr>
          <w:rFonts w:ascii="Palatino Linotype" w:hAnsi="Palatino Linotype" w:cs="Arial"/>
          <w:bCs/>
          <w:sz w:val="22"/>
          <w:szCs w:val="22"/>
        </w:rPr>
        <w:t xml:space="preserve">”; y, </w:t>
      </w:r>
      <w:r w:rsidR="004C418B" w:rsidRPr="004C418B">
        <w:rPr>
          <w:rFonts w:ascii="Palatino Linotype" w:hAnsi="Palatino Linotype" w:cs="Arial"/>
          <w:bCs/>
          <w:sz w:val="22"/>
          <w:szCs w:val="22"/>
        </w:rPr>
        <w:t>“</w:t>
      </w:r>
      <w:r w:rsidR="004C418B" w:rsidRPr="004C418B">
        <w:rPr>
          <w:rFonts w:ascii="Palatino Linotype" w:hAnsi="Palatino Linotype"/>
          <w:i/>
          <w:sz w:val="22"/>
          <w:szCs w:val="22"/>
          <w:lang w:val="es-EC"/>
        </w:rPr>
        <w:t>Araujo Zurita Juan Genaro y otros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” por “</w:t>
      </w:r>
      <w:r w:rsidR="004C418B" w:rsidRPr="004C418B">
        <w:rPr>
          <w:rFonts w:ascii="Palatino Linotype" w:hAnsi="Palatino Linotype"/>
          <w:i/>
          <w:sz w:val="22"/>
          <w:szCs w:val="22"/>
          <w:lang w:val="es-EC"/>
        </w:rPr>
        <w:t>Valle Hermoso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”</w:t>
      </w:r>
      <w:r w:rsidR="004C418B">
        <w:rPr>
          <w:rFonts w:ascii="Palatino Linotype" w:hAnsi="Palatino Linotype"/>
          <w:sz w:val="22"/>
          <w:szCs w:val="22"/>
          <w:lang w:val="es-EC"/>
        </w:rPr>
        <w:t>.</w:t>
      </w:r>
    </w:p>
    <w:p w:rsidR="004C418B" w:rsidRPr="001C788E" w:rsidRDefault="00527301" w:rsidP="004C418B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1C788E">
        <w:rPr>
          <w:rFonts w:ascii="Palatino Linotype" w:hAnsi="Palatino Linotype"/>
          <w:b/>
          <w:bCs/>
          <w:sz w:val="22"/>
          <w:szCs w:val="22"/>
        </w:rPr>
        <w:t>Artículo 8.-</w:t>
      </w:r>
      <w:r w:rsidRPr="001C788E">
        <w:rPr>
          <w:rFonts w:ascii="Palatino Linotype" w:hAnsi="Palatino Linotype"/>
          <w:b/>
          <w:sz w:val="22"/>
          <w:szCs w:val="22"/>
        </w:rPr>
        <w:t xml:space="preserve"> 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En el a</w:t>
      </w:r>
      <w:r w:rsidRPr="004C418B">
        <w:rPr>
          <w:rFonts w:ascii="Palatino Linotype" w:hAnsi="Palatino Linotype"/>
          <w:sz w:val="22"/>
          <w:szCs w:val="22"/>
          <w:lang w:val="es-EC"/>
        </w:rPr>
        <w:t xml:space="preserve">rtículo 10 de la Ordenanza </w:t>
      </w:r>
      <w:r w:rsidR="004C418B">
        <w:rPr>
          <w:rFonts w:ascii="Palatino Linotype" w:hAnsi="Palatino Linotype"/>
          <w:sz w:val="22"/>
          <w:szCs w:val="22"/>
          <w:lang w:val="es-EC"/>
        </w:rPr>
        <w:t>No.</w:t>
      </w:r>
      <w:r w:rsidRPr="004C418B">
        <w:rPr>
          <w:rFonts w:ascii="Palatino Linotype" w:hAnsi="Palatino Linotype"/>
          <w:sz w:val="22"/>
          <w:szCs w:val="22"/>
          <w:lang w:val="es-EC"/>
        </w:rPr>
        <w:t xml:space="preserve"> 0292, de 9 de octubre de 2012,</w:t>
      </w:r>
      <w:r w:rsidRPr="001C788E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4C418B">
        <w:rPr>
          <w:rFonts w:ascii="Palatino Linotype" w:hAnsi="Palatino Linotype" w:cs="Arial"/>
          <w:bCs/>
          <w:sz w:val="22"/>
          <w:szCs w:val="22"/>
        </w:rPr>
        <w:t xml:space="preserve">sustitúyanse las frases </w:t>
      </w:r>
      <w:r w:rsidR="004C418B" w:rsidRPr="004C418B">
        <w:rPr>
          <w:rFonts w:ascii="Palatino Linotype" w:hAnsi="Palatino Linotype" w:cs="Arial"/>
          <w:bCs/>
          <w:sz w:val="22"/>
          <w:szCs w:val="22"/>
        </w:rPr>
        <w:t>“</w:t>
      </w:r>
      <w:r w:rsidR="004C418B" w:rsidRPr="004C418B">
        <w:rPr>
          <w:rFonts w:ascii="Palatino Linotype" w:hAnsi="Palatino Linotype"/>
          <w:i/>
          <w:sz w:val="22"/>
          <w:szCs w:val="22"/>
          <w:lang w:val="es-EC"/>
        </w:rPr>
        <w:t>Araujo Zurita Juan Genaro y otros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” por  “</w:t>
      </w:r>
      <w:r w:rsidR="004C418B" w:rsidRPr="004C418B">
        <w:rPr>
          <w:rFonts w:ascii="Palatino Linotype" w:hAnsi="Palatino Linotype"/>
          <w:i/>
          <w:sz w:val="22"/>
          <w:szCs w:val="22"/>
          <w:lang w:val="es-EC"/>
        </w:rPr>
        <w:t>Valle Hermoso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”</w:t>
      </w:r>
      <w:r w:rsidR="004C418B">
        <w:rPr>
          <w:rFonts w:ascii="Palatino Linotype" w:hAnsi="Palatino Linotype"/>
          <w:sz w:val="22"/>
          <w:szCs w:val="22"/>
          <w:lang w:val="es-EC"/>
        </w:rPr>
        <w:t>.</w:t>
      </w:r>
    </w:p>
    <w:p w:rsidR="004C418B" w:rsidRPr="001C788E" w:rsidRDefault="00527301" w:rsidP="004C418B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1C788E">
        <w:rPr>
          <w:rFonts w:ascii="Palatino Linotype" w:hAnsi="Palatino Linotype"/>
          <w:b/>
          <w:bCs/>
          <w:sz w:val="22"/>
          <w:szCs w:val="22"/>
        </w:rPr>
        <w:t>Artículo 9.-</w:t>
      </w:r>
      <w:r w:rsidRPr="001C788E">
        <w:rPr>
          <w:rFonts w:ascii="Palatino Linotype" w:hAnsi="Palatino Linotype"/>
          <w:b/>
          <w:sz w:val="22"/>
          <w:szCs w:val="22"/>
        </w:rPr>
        <w:t xml:space="preserve"> </w:t>
      </w:r>
      <w:r w:rsidR="004C418B" w:rsidRPr="004C418B">
        <w:rPr>
          <w:rFonts w:ascii="Palatino Linotype" w:hAnsi="Palatino Linotype" w:cs="Arial"/>
          <w:bCs/>
          <w:sz w:val="22"/>
          <w:szCs w:val="22"/>
        </w:rPr>
        <w:t>E</w:t>
      </w:r>
      <w:r w:rsidRPr="004C418B">
        <w:rPr>
          <w:rFonts w:ascii="Palatino Linotype" w:hAnsi="Palatino Linotype"/>
          <w:sz w:val="22"/>
          <w:szCs w:val="22"/>
          <w:lang w:val="es-EC"/>
        </w:rPr>
        <w:t xml:space="preserve">n el 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a</w:t>
      </w:r>
      <w:r w:rsidRPr="004C418B">
        <w:rPr>
          <w:rFonts w:ascii="Palatino Linotype" w:hAnsi="Palatino Linotype"/>
          <w:sz w:val="22"/>
          <w:szCs w:val="22"/>
          <w:lang w:val="es-EC"/>
        </w:rPr>
        <w:t xml:space="preserve">rtículo 12 de la Ordenanza 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 xml:space="preserve">No. </w:t>
      </w:r>
      <w:r w:rsidRPr="004C418B">
        <w:rPr>
          <w:rFonts w:ascii="Palatino Linotype" w:hAnsi="Palatino Linotype"/>
          <w:sz w:val="22"/>
          <w:szCs w:val="22"/>
          <w:lang w:val="es-EC"/>
        </w:rPr>
        <w:t>0292, de 9 de octubre de 2012,</w:t>
      </w:r>
      <w:r w:rsidRPr="004C418B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4C418B">
        <w:rPr>
          <w:rFonts w:ascii="Palatino Linotype" w:hAnsi="Palatino Linotype" w:cs="Arial"/>
          <w:bCs/>
          <w:sz w:val="22"/>
          <w:szCs w:val="22"/>
        </w:rPr>
        <w:t xml:space="preserve">sustitúyase la frase </w:t>
      </w:r>
      <w:r w:rsidR="004C418B" w:rsidRPr="004C418B">
        <w:rPr>
          <w:rFonts w:ascii="Palatino Linotype" w:hAnsi="Palatino Linotype" w:cs="Arial"/>
          <w:bCs/>
          <w:sz w:val="22"/>
          <w:szCs w:val="22"/>
        </w:rPr>
        <w:t>“</w:t>
      </w:r>
      <w:r w:rsidR="004C418B" w:rsidRPr="004C418B">
        <w:rPr>
          <w:rFonts w:ascii="Palatino Linotype" w:hAnsi="Palatino Linotype"/>
          <w:i/>
          <w:sz w:val="22"/>
          <w:szCs w:val="22"/>
          <w:lang w:val="es-EC"/>
        </w:rPr>
        <w:t>Araujo Zurita Juan Genaro y otros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” por “</w:t>
      </w:r>
      <w:r w:rsidR="004C418B" w:rsidRPr="004C418B">
        <w:rPr>
          <w:rFonts w:ascii="Palatino Linotype" w:hAnsi="Palatino Linotype"/>
          <w:i/>
          <w:sz w:val="22"/>
          <w:szCs w:val="22"/>
          <w:lang w:val="es-EC"/>
        </w:rPr>
        <w:t>Valle Hermoso</w:t>
      </w:r>
      <w:r w:rsidR="004C418B" w:rsidRPr="004C418B">
        <w:rPr>
          <w:rFonts w:ascii="Palatino Linotype" w:hAnsi="Palatino Linotype"/>
          <w:sz w:val="22"/>
          <w:szCs w:val="22"/>
          <w:lang w:val="es-EC"/>
        </w:rPr>
        <w:t>”</w:t>
      </w:r>
      <w:r w:rsidR="004C418B">
        <w:rPr>
          <w:rFonts w:ascii="Palatino Linotype" w:hAnsi="Palatino Linotype"/>
          <w:sz w:val="22"/>
          <w:szCs w:val="22"/>
          <w:lang w:val="es-EC"/>
        </w:rPr>
        <w:t>.</w:t>
      </w:r>
    </w:p>
    <w:p w:rsidR="00970B1F" w:rsidRPr="001C788E" w:rsidRDefault="00970B1F" w:rsidP="002939C3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1C788E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1C788E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302F52" w:rsidRPr="001C788E" w:rsidRDefault="00302F52" w:rsidP="002939C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E52224">
        <w:rPr>
          <w:rFonts w:ascii="Palatino Linotype" w:hAnsi="Palatino Linotype" w:cs="Arial"/>
          <w:sz w:val="22"/>
          <w:szCs w:val="22"/>
        </w:rPr>
        <w:t>5</w:t>
      </w:r>
      <w:r w:rsidRPr="001C788E">
        <w:rPr>
          <w:rFonts w:ascii="Palatino Linotype" w:hAnsi="Palatino Linotype" w:cs="Arial"/>
          <w:sz w:val="22"/>
          <w:szCs w:val="22"/>
        </w:rPr>
        <w:t xml:space="preserve"> de </w:t>
      </w:r>
      <w:r w:rsidR="00E52224">
        <w:rPr>
          <w:rFonts w:ascii="Palatino Linotype" w:hAnsi="Palatino Linotype" w:cs="Arial"/>
          <w:sz w:val="22"/>
          <w:szCs w:val="22"/>
        </w:rPr>
        <w:t xml:space="preserve">febrero </w:t>
      </w:r>
      <w:r w:rsidRPr="001C788E">
        <w:rPr>
          <w:rFonts w:ascii="Palatino Linotype" w:hAnsi="Palatino Linotype" w:cs="Arial"/>
          <w:sz w:val="22"/>
          <w:szCs w:val="22"/>
        </w:rPr>
        <w:t>de 201</w:t>
      </w:r>
      <w:r w:rsidR="00970B1F" w:rsidRPr="001C788E">
        <w:rPr>
          <w:rFonts w:ascii="Palatino Linotype" w:hAnsi="Palatino Linotype" w:cs="Arial"/>
          <w:sz w:val="22"/>
          <w:szCs w:val="22"/>
        </w:rPr>
        <w:t>5</w:t>
      </w:r>
      <w:r w:rsidRPr="001C788E">
        <w:rPr>
          <w:rFonts w:ascii="Palatino Linotype" w:hAnsi="Palatino Linotype" w:cs="Arial"/>
          <w:sz w:val="22"/>
          <w:szCs w:val="22"/>
        </w:rPr>
        <w:t>.</w:t>
      </w:r>
    </w:p>
    <w:p w:rsidR="00302F52" w:rsidRDefault="00302F52" w:rsidP="00953461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E52224" w:rsidRDefault="00E52224" w:rsidP="00953461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E52224" w:rsidRPr="001C788E" w:rsidRDefault="00E52224" w:rsidP="00953461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1C788E" w:rsidTr="00A571E2">
        <w:trPr>
          <w:jc w:val="center"/>
        </w:trPr>
        <w:tc>
          <w:tcPr>
            <w:tcW w:w="5575" w:type="dxa"/>
            <w:hideMark/>
          </w:tcPr>
          <w:p w:rsidR="00302F52" w:rsidRPr="001C788E" w:rsidRDefault="00302F52" w:rsidP="00953461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1C788E"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1C788E" w:rsidRDefault="00302F52" w:rsidP="00953461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1C788E">
              <w:rPr>
                <w:rFonts w:ascii="Palatino Linotype" w:hAnsi="Palatino Linotype" w:cs="Arial"/>
                <w:b/>
                <w:sz w:val="19"/>
                <w:szCs w:val="19"/>
              </w:rPr>
              <w:t>Primera Vicepresidenta del Concejo Metropolitano de Quito</w:t>
            </w:r>
          </w:p>
        </w:tc>
        <w:tc>
          <w:tcPr>
            <w:tcW w:w="5324" w:type="dxa"/>
            <w:hideMark/>
          </w:tcPr>
          <w:p w:rsidR="00302F52" w:rsidRPr="001C788E" w:rsidRDefault="00302F52" w:rsidP="00953461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1C788E"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Pr="001C788E" w:rsidRDefault="00302F52" w:rsidP="00953461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1C788E">
              <w:rPr>
                <w:rFonts w:ascii="Palatino Linotype" w:hAnsi="Palatino Linotype" w:cs="Arial"/>
                <w:b/>
                <w:sz w:val="19"/>
                <w:szCs w:val="19"/>
              </w:rPr>
              <w:t>Secretario General del Concejo Metropolitano de Quito</w:t>
            </w:r>
          </w:p>
          <w:p w:rsidR="00E52224" w:rsidRPr="001C788E" w:rsidRDefault="00E52224" w:rsidP="005F5F81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  <w:tr w:rsidR="00953461" w:rsidRPr="001C788E" w:rsidTr="00A571E2">
        <w:trPr>
          <w:jc w:val="center"/>
        </w:trPr>
        <w:tc>
          <w:tcPr>
            <w:tcW w:w="5575" w:type="dxa"/>
            <w:hideMark/>
          </w:tcPr>
          <w:p w:rsidR="00953461" w:rsidRPr="001C788E" w:rsidRDefault="00953461" w:rsidP="00953461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</w:tc>
        <w:tc>
          <w:tcPr>
            <w:tcW w:w="5324" w:type="dxa"/>
            <w:hideMark/>
          </w:tcPr>
          <w:p w:rsidR="00953461" w:rsidRPr="001C788E" w:rsidRDefault="00953461" w:rsidP="00953461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</w:tc>
      </w:tr>
    </w:tbl>
    <w:p w:rsidR="00302F52" w:rsidRPr="001C788E" w:rsidRDefault="00302F52" w:rsidP="00953461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1C788E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 xml:space="preserve">El infrascrito Secretario General del Concejo Metropolitano de Quito, certifica que la presente ordenanza fue discutida y aprobada en dos debates, en sesiones de </w:t>
      </w:r>
      <w:r w:rsidR="00E52224">
        <w:rPr>
          <w:rFonts w:ascii="Palatino Linotype" w:eastAsia="MS Mincho" w:hAnsi="Palatino Linotype" w:cs="Arial"/>
          <w:sz w:val="22"/>
          <w:szCs w:val="22"/>
        </w:rPr>
        <w:t>29 de enero</w:t>
      </w:r>
      <w:r w:rsidRPr="001C788E"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E52224">
        <w:rPr>
          <w:rFonts w:ascii="Palatino Linotype" w:eastAsia="MS Mincho" w:hAnsi="Palatino Linotype" w:cs="Arial"/>
          <w:sz w:val="22"/>
          <w:szCs w:val="22"/>
        </w:rPr>
        <w:t>5</w:t>
      </w:r>
      <w:r w:rsidRPr="001C788E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E52224">
        <w:rPr>
          <w:rFonts w:ascii="Palatino Linotype" w:eastAsia="MS Mincho" w:hAnsi="Palatino Linotype" w:cs="Arial"/>
          <w:sz w:val="22"/>
          <w:szCs w:val="22"/>
        </w:rPr>
        <w:t xml:space="preserve">febrero </w:t>
      </w:r>
      <w:r w:rsidRPr="001C788E">
        <w:rPr>
          <w:rFonts w:ascii="Palatino Linotype" w:eastAsia="MS Mincho" w:hAnsi="Palatino Linotype" w:cs="Arial"/>
          <w:sz w:val="22"/>
          <w:szCs w:val="22"/>
        </w:rPr>
        <w:t>de 201</w:t>
      </w:r>
      <w:r w:rsidR="00970B1F" w:rsidRPr="001C788E">
        <w:rPr>
          <w:rFonts w:ascii="Palatino Linotype" w:eastAsia="MS Mincho" w:hAnsi="Palatino Linotype" w:cs="Arial"/>
          <w:sz w:val="22"/>
          <w:szCs w:val="22"/>
        </w:rPr>
        <w:t>5</w:t>
      </w:r>
      <w:r w:rsidRPr="001C788E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1C788E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70361" w:rsidRPr="001C788E" w:rsidRDefault="00870361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302F52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E52224" w:rsidRPr="001C788E" w:rsidRDefault="00E52224" w:rsidP="00E52224">
      <w:pPr>
        <w:pStyle w:val="Textosinformato"/>
        <w:jc w:val="right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ALCALDÍA DEL DISTRITO METROPOLITANO.-</w:t>
      </w:r>
      <w:r w:rsidRPr="001C788E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Pr="001C788E" w:rsidRDefault="002D3569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1C788E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Mauricio Rodas Espinel, Alcalde  del Distrito Metropolitano de Quito, el</w:t>
      </w:r>
    </w:p>
    <w:p w:rsidR="00302F52" w:rsidRPr="001C788E" w:rsidRDefault="00302F52" w:rsidP="00953461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Cs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CA554A" w:rsidRPr="00E52224" w:rsidRDefault="00E52224" w:rsidP="00953461">
      <w:pPr>
        <w:jc w:val="both"/>
        <w:rPr>
          <w:rFonts w:ascii="Palatino Linotype" w:eastAsia="MS Mincho" w:hAnsi="Palatino Linotype" w:cs="Arial"/>
          <w:b/>
          <w:bCs/>
          <w:sz w:val="16"/>
          <w:szCs w:val="16"/>
        </w:rPr>
      </w:pPr>
      <w:r w:rsidRPr="00E52224">
        <w:rPr>
          <w:rFonts w:ascii="Palatino Linotype" w:eastAsia="MS Mincho" w:hAnsi="Palatino Linotype" w:cs="Arial"/>
          <w:b/>
          <w:bCs/>
          <w:sz w:val="16"/>
          <w:szCs w:val="16"/>
        </w:rPr>
        <w:t>DSCS</w:t>
      </w:r>
    </w:p>
    <w:sectPr w:rsidR="00CA554A" w:rsidRPr="00E52224" w:rsidSect="00E5222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416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D2" w:rsidRDefault="003E62D2" w:rsidP="00B14643">
      <w:r>
        <w:separator/>
      </w:r>
    </w:p>
  </w:endnote>
  <w:endnote w:type="continuationSeparator" w:id="1">
    <w:p w:rsidR="003E62D2" w:rsidRDefault="003E62D2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D2" w:rsidRPr="00723B61" w:rsidRDefault="003E62D2">
    <w:pPr>
      <w:pStyle w:val="Piedepgina"/>
      <w:jc w:val="right"/>
      <w:rPr>
        <w:rFonts w:ascii="Palatino Linotype" w:hAnsi="Palatino Linotype"/>
      </w:rPr>
    </w:pPr>
  </w:p>
  <w:p w:rsidR="003E62D2" w:rsidRDefault="003E62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D2" w:rsidRPr="00FF2426" w:rsidRDefault="003E62D2" w:rsidP="003078EC">
    <w:pPr>
      <w:pStyle w:val="Piedepgina"/>
      <w:jc w:val="right"/>
      <w:rPr>
        <w:rFonts w:ascii="Palatino Linotype" w:hAnsi="Palatino Linotype"/>
        <w:sz w:val="22"/>
        <w:szCs w:val="22"/>
      </w:rPr>
    </w:pPr>
    <w:r w:rsidRPr="00FF2426">
      <w:rPr>
        <w:rFonts w:ascii="Palatino Linotype" w:hAnsi="Palatino Linotype"/>
        <w:sz w:val="22"/>
        <w:szCs w:val="22"/>
      </w:rPr>
      <w:t xml:space="preserve">Página </w:t>
    </w:r>
    <w:r w:rsidR="00A00252" w:rsidRPr="00FF2426">
      <w:rPr>
        <w:rFonts w:ascii="Palatino Linotype" w:hAnsi="Palatino Linotype"/>
        <w:b/>
        <w:sz w:val="22"/>
        <w:szCs w:val="22"/>
      </w:rPr>
      <w:fldChar w:fldCharType="begin"/>
    </w:r>
    <w:r w:rsidRPr="00FF2426">
      <w:rPr>
        <w:rFonts w:ascii="Palatino Linotype" w:hAnsi="Palatino Linotype"/>
        <w:b/>
        <w:sz w:val="22"/>
        <w:szCs w:val="22"/>
      </w:rPr>
      <w:instrText>PAGE</w:instrText>
    </w:r>
    <w:r w:rsidR="00A00252" w:rsidRPr="00FF2426">
      <w:rPr>
        <w:rFonts w:ascii="Palatino Linotype" w:hAnsi="Palatino Linotype"/>
        <w:b/>
        <w:sz w:val="22"/>
        <w:szCs w:val="22"/>
      </w:rPr>
      <w:fldChar w:fldCharType="separate"/>
    </w:r>
    <w:r w:rsidR="001E6D1B">
      <w:rPr>
        <w:rFonts w:ascii="Palatino Linotype" w:hAnsi="Palatino Linotype"/>
        <w:b/>
        <w:noProof/>
        <w:sz w:val="22"/>
        <w:szCs w:val="22"/>
      </w:rPr>
      <w:t>8</w:t>
    </w:r>
    <w:r w:rsidR="00A00252" w:rsidRPr="00FF2426">
      <w:rPr>
        <w:rFonts w:ascii="Palatino Linotype" w:hAnsi="Palatino Linotype"/>
        <w:b/>
        <w:sz w:val="22"/>
        <w:szCs w:val="22"/>
      </w:rPr>
      <w:fldChar w:fldCharType="end"/>
    </w:r>
    <w:r w:rsidRPr="00FF2426">
      <w:rPr>
        <w:rFonts w:ascii="Palatino Linotype" w:hAnsi="Palatino Linotype"/>
        <w:sz w:val="22"/>
        <w:szCs w:val="22"/>
      </w:rPr>
      <w:t xml:space="preserve"> de </w:t>
    </w:r>
    <w:r>
      <w:rPr>
        <w:rFonts w:ascii="Palatino Linotype" w:hAnsi="Palatino Linotype"/>
        <w:b/>
        <w:sz w:val="22"/>
        <w:szCs w:val="22"/>
      </w:rPr>
      <w:t>8</w:t>
    </w:r>
  </w:p>
  <w:p w:rsidR="003E62D2" w:rsidRDefault="003E62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D2" w:rsidRDefault="003E62D2" w:rsidP="00B14643">
      <w:r>
        <w:separator/>
      </w:r>
    </w:p>
  </w:footnote>
  <w:footnote w:type="continuationSeparator" w:id="1">
    <w:p w:rsidR="003E62D2" w:rsidRDefault="003E62D2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D2" w:rsidRDefault="003E62D2">
    <w:pPr>
      <w:pStyle w:val="Encabezado"/>
      <w:rPr>
        <w:lang w:val="es-EC"/>
      </w:rPr>
    </w:pPr>
  </w:p>
  <w:p w:rsidR="003E62D2" w:rsidRDefault="003E62D2">
    <w:pPr>
      <w:pStyle w:val="Encabezado"/>
      <w:rPr>
        <w:lang w:val="es-EC"/>
      </w:rPr>
    </w:pPr>
  </w:p>
  <w:p w:rsidR="003E62D2" w:rsidRDefault="003E62D2">
    <w:pPr>
      <w:pStyle w:val="Encabezado"/>
      <w:rPr>
        <w:lang w:val="es-EC"/>
      </w:rPr>
    </w:pPr>
  </w:p>
  <w:p w:rsidR="003E62D2" w:rsidRDefault="003E62D2">
    <w:pPr>
      <w:pStyle w:val="Encabezado"/>
      <w:rPr>
        <w:lang w:val="es-EC"/>
      </w:rPr>
    </w:pPr>
  </w:p>
  <w:p w:rsidR="003E62D2" w:rsidRDefault="003E62D2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3E62D2" w:rsidRDefault="003E62D2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9874B0" w:rsidRDefault="009874B0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9874B0" w:rsidRDefault="009874B0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3E62D2" w:rsidRPr="00476B21" w:rsidRDefault="003E62D2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3E62D2" w:rsidRPr="00150606" w:rsidRDefault="003E62D2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D2" w:rsidRDefault="003E62D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D2" w:rsidRDefault="003E62D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E62D2" w:rsidRDefault="003E62D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E62D2" w:rsidRDefault="003E62D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E62D2" w:rsidRDefault="003E62D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E62D2" w:rsidRDefault="003E62D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E62D2" w:rsidRDefault="003E62D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E62D2" w:rsidRDefault="003E62D2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E62D2" w:rsidRPr="00476B21" w:rsidRDefault="003E62D2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3E62D2" w:rsidRDefault="003E62D2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D2" w:rsidRDefault="003E62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20"/>
  </w:num>
  <w:num w:numId="12">
    <w:abstractNumId w:val="1"/>
  </w:num>
  <w:num w:numId="13">
    <w:abstractNumId w:val="21"/>
  </w:num>
  <w:num w:numId="14">
    <w:abstractNumId w:val="16"/>
  </w:num>
  <w:num w:numId="15">
    <w:abstractNumId w:val="9"/>
  </w:num>
  <w:num w:numId="16">
    <w:abstractNumId w:val="11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19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1073E"/>
    <w:rsid w:val="00012F1B"/>
    <w:rsid w:val="000136D6"/>
    <w:rsid w:val="00013A2A"/>
    <w:rsid w:val="0001402B"/>
    <w:rsid w:val="00017279"/>
    <w:rsid w:val="00021C1B"/>
    <w:rsid w:val="000268A4"/>
    <w:rsid w:val="00027CF0"/>
    <w:rsid w:val="00031646"/>
    <w:rsid w:val="00035326"/>
    <w:rsid w:val="00035CA2"/>
    <w:rsid w:val="000401C2"/>
    <w:rsid w:val="000401D6"/>
    <w:rsid w:val="000526F7"/>
    <w:rsid w:val="00052BA7"/>
    <w:rsid w:val="000535A7"/>
    <w:rsid w:val="00056443"/>
    <w:rsid w:val="00064C9D"/>
    <w:rsid w:val="00070E32"/>
    <w:rsid w:val="00074B5F"/>
    <w:rsid w:val="0008239D"/>
    <w:rsid w:val="00090566"/>
    <w:rsid w:val="000926DD"/>
    <w:rsid w:val="000950B5"/>
    <w:rsid w:val="00097181"/>
    <w:rsid w:val="000A3329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35C3"/>
    <w:rsid w:val="000F4323"/>
    <w:rsid w:val="000F577D"/>
    <w:rsid w:val="00102DA6"/>
    <w:rsid w:val="001039D9"/>
    <w:rsid w:val="001077B2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40520"/>
    <w:rsid w:val="00142B47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B14D2"/>
    <w:rsid w:val="001B26BE"/>
    <w:rsid w:val="001B3133"/>
    <w:rsid w:val="001B69C8"/>
    <w:rsid w:val="001B6BF2"/>
    <w:rsid w:val="001C370A"/>
    <w:rsid w:val="001C4043"/>
    <w:rsid w:val="001C5676"/>
    <w:rsid w:val="001C5B7C"/>
    <w:rsid w:val="001C788E"/>
    <w:rsid w:val="001D2138"/>
    <w:rsid w:val="001D2853"/>
    <w:rsid w:val="001D55AF"/>
    <w:rsid w:val="001E0584"/>
    <w:rsid w:val="001E1441"/>
    <w:rsid w:val="001E156B"/>
    <w:rsid w:val="001E3A15"/>
    <w:rsid w:val="001E6D1B"/>
    <w:rsid w:val="001F49BC"/>
    <w:rsid w:val="00200A5C"/>
    <w:rsid w:val="00201A13"/>
    <w:rsid w:val="0020264C"/>
    <w:rsid w:val="00203A7C"/>
    <w:rsid w:val="00203D43"/>
    <w:rsid w:val="002076F1"/>
    <w:rsid w:val="00210EC5"/>
    <w:rsid w:val="002149A1"/>
    <w:rsid w:val="002151EE"/>
    <w:rsid w:val="00220E90"/>
    <w:rsid w:val="002224A1"/>
    <w:rsid w:val="0022742E"/>
    <w:rsid w:val="00230B0D"/>
    <w:rsid w:val="00231E7F"/>
    <w:rsid w:val="002342B1"/>
    <w:rsid w:val="00235290"/>
    <w:rsid w:val="00235A34"/>
    <w:rsid w:val="00235D33"/>
    <w:rsid w:val="002400BF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2811"/>
    <w:rsid w:val="002938EA"/>
    <w:rsid w:val="002939C3"/>
    <w:rsid w:val="00293F7D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2E2D"/>
    <w:rsid w:val="003759CD"/>
    <w:rsid w:val="003834FF"/>
    <w:rsid w:val="00383E00"/>
    <w:rsid w:val="003843CA"/>
    <w:rsid w:val="003843DB"/>
    <w:rsid w:val="003870B9"/>
    <w:rsid w:val="003946FB"/>
    <w:rsid w:val="0039693E"/>
    <w:rsid w:val="003A0D5E"/>
    <w:rsid w:val="003A129C"/>
    <w:rsid w:val="003A54E4"/>
    <w:rsid w:val="003B1021"/>
    <w:rsid w:val="003B2354"/>
    <w:rsid w:val="003B2C55"/>
    <w:rsid w:val="003B75C9"/>
    <w:rsid w:val="003C43F4"/>
    <w:rsid w:val="003C77BE"/>
    <w:rsid w:val="003C7B78"/>
    <w:rsid w:val="003D3737"/>
    <w:rsid w:val="003D5BEF"/>
    <w:rsid w:val="003D6DAD"/>
    <w:rsid w:val="003D73D9"/>
    <w:rsid w:val="003E62D2"/>
    <w:rsid w:val="003E6DFE"/>
    <w:rsid w:val="003F0E2B"/>
    <w:rsid w:val="003F177C"/>
    <w:rsid w:val="003F2208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09F2"/>
    <w:rsid w:val="0042289A"/>
    <w:rsid w:val="0042664C"/>
    <w:rsid w:val="00426E5A"/>
    <w:rsid w:val="004334C1"/>
    <w:rsid w:val="00453347"/>
    <w:rsid w:val="00453A3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A00A6"/>
    <w:rsid w:val="004A4C76"/>
    <w:rsid w:val="004C15AD"/>
    <w:rsid w:val="004C24A3"/>
    <w:rsid w:val="004C2E58"/>
    <w:rsid w:val="004C3380"/>
    <w:rsid w:val="004C418B"/>
    <w:rsid w:val="004C5073"/>
    <w:rsid w:val="004C58C7"/>
    <w:rsid w:val="004C6E38"/>
    <w:rsid w:val="004D3164"/>
    <w:rsid w:val="004E02EE"/>
    <w:rsid w:val="004E12F6"/>
    <w:rsid w:val="004E413D"/>
    <w:rsid w:val="004E5EE5"/>
    <w:rsid w:val="004F0A6D"/>
    <w:rsid w:val="004F2312"/>
    <w:rsid w:val="004F2EE4"/>
    <w:rsid w:val="004F40E5"/>
    <w:rsid w:val="004F6AB2"/>
    <w:rsid w:val="004F727F"/>
    <w:rsid w:val="00500590"/>
    <w:rsid w:val="00510372"/>
    <w:rsid w:val="00511176"/>
    <w:rsid w:val="00516E13"/>
    <w:rsid w:val="00516FFD"/>
    <w:rsid w:val="00523121"/>
    <w:rsid w:val="005231E7"/>
    <w:rsid w:val="005256AA"/>
    <w:rsid w:val="00527301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90CEC"/>
    <w:rsid w:val="005925D4"/>
    <w:rsid w:val="005A556F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43CA"/>
    <w:rsid w:val="005E0184"/>
    <w:rsid w:val="005E4085"/>
    <w:rsid w:val="005E490F"/>
    <w:rsid w:val="005E7CBA"/>
    <w:rsid w:val="005F1A76"/>
    <w:rsid w:val="005F2841"/>
    <w:rsid w:val="005F5F81"/>
    <w:rsid w:val="00602EA3"/>
    <w:rsid w:val="006043DB"/>
    <w:rsid w:val="00611984"/>
    <w:rsid w:val="00611CE1"/>
    <w:rsid w:val="0061664E"/>
    <w:rsid w:val="0061728D"/>
    <w:rsid w:val="00620946"/>
    <w:rsid w:val="00620C70"/>
    <w:rsid w:val="00621472"/>
    <w:rsid w:val="006216BB"/>
    <w:rsid w:val="00622107"/>
    <w:rsid w:val="006225C2"/>
    <w:rsid w:val="00625C0D"/>
    <w:rsid w:val="00632D9A"/>
    <w:rsid w:val="00635AC1"/>
    <w:rsid w:val="00641D37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596D"/>
    <w:rsid w:val="006B357E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77BC"/>
    <w:rsid w:val="00701131"/>
    <w:rsid w:val="00703563"/>
    <w:rsid w:val="00703851"/>
    <w:rsid w:val="00705B99"/>
    <w:rsid w:val="00714C8B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D54"/>
    <w:rsid w:val="00757823"/>
    <w:rsid w:val="007603D3"/>
    <w:rsid w:val="00773042"/>
    <w:rsid w:val="0077379E"/>
    <w:rsid w:val="00781256"/>
    <w:rsid w:val="00785173"/>
    <w:rsid w:val="007863C1"/>
    <w:rsid w:val="00786458"/>
    <w:rsid w:val="00796803"/>
    <w:rsid w:val="0079736E"/>
    <w:rsid w:val="007A0447"/>
    <w:rsid w:val="007A0765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44D9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40609"/>
    <w:rsid w:val="00841633"/>
    <w:rsid w:val="0084430E"/>
    <w:rsid w:val="00844B9B"/>
    <w:rsid w:val="0084725F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490B"/>
    <w:rsid w:val="008764DE"/>
    <w:rsid w:val="0087723A"/>
    <w:rsid w:val="00880553"/>
    <w:rsid w:val="008805E9"/>
    <w:rsid w:val="00880C43"/>
    <w:rsid w:val="00882035"/>
    <w:rsid w:val="008859D2"/>
    <w:rsid w:val="0088712B"/>
    <w:rsid w:val="00890B09"/>
    <w:rsid w:val="00890FE6"/>
    <w:rsid w:val="008923F5"/>
    <w:rsid w:val="00893F6A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8F56D5"/>
    <w:rsid w:val="008F69C5"/>
    <w:rsid w:val="00900480"/>
    <w:rsid w:val="00902CD9"/>
    <w:rsid w:val="00902D76"/>
    <w:rsid w:val="00903379"/>
    <w:rsid w:val="00905E7E"/>
    <w:rsid w:val="00907FE8"/>
    <w:rsid w:val="00910052"/>
    <w:rsid w:val="00922D45"/>
    <w:rsid w:val="00923B99"/>
    <w:rsid w:val="00923EC9"/>
    <w:rsid w:val="00924A8D"/>
    <w:rsid w:val="00926E41"/>
    <w:rsid w:val="009362AB"/>
    <w:rsid w:val="00937655"/>
    <w:rsid w:val="0094579B"/>
    <w:rsid w:val="00946B02"/>
    <w:rsid w:val="00946E1D"/>
    <w:rsid w:val="00947C79"/>
    <w:rsid w:val="00950E93"/>
    <w:rsid w:val="00952740"/>
    <w:rsid w:val="00953461"/>
    <w:rsid w:val="009561C5"/>
    <w:rsid w:val="00956A82"/>
    <w:rsid w:val="0095730A"/>
    <w:rsid w:val="0096281D"/>
    <w:rsid w:val="00966F7B"/>
    <w:rsid w:val="00967720"/>
    <w:rsid w:val="00970B1F"/>
    <w:rsid w:val="009733D3"/>
    <w:rsid w:val="00974163"/>
    <w:rsid w:val="009773A8"/>
    <w:rsid w:val="00980DCE"/>
    <w:rsid w:val="00981FAF"/>
    <w:rsid w:val="009874B0"/>
    <w:rsid w:val="009908B4"/>
    <w:rsid w:val="00993328"/>
    <w:rsid w:val="009A5C59"/>
    <w:rsid w:val="009A7C1B"/>
    <w:rsid w:val="009B0837"/>
    <w:rsid w:val="009B4666"/>
    <w:rsid w:val="009C2D28"/>
    <w:rsid w:val="009C3ECA"/>
    <w:rsid w:val="009C416E"/>
    <w:rsid w:val="009C43D6"/>
    <w:rsid w:val="009C59DF"/>
    <w:rsid w:val="009C6B20"/>
    <w:rsid w:val="009D0B94"/>
    <w:rsid w:val="009D1285"/>
    <w:rsid w:val="009D1ED8"/>
    <w:rsid w:val="009D6D62"/>
    <w:rsid w:val="009D6F28"/>
    <w:rsid w:val="009E451D"/>
    <w:rsid w:val="009E6DC7"/>
    <w:rsid w:val="009F0091"/>
    <w:rsid w:val="009F1B3D"/>
    <w:rsid w:val="009F315F"/>
    <w:rsid w:val="009F3E71"/>
    <w:rsid w:val="009F504C"/>
    <w:rsid w:val="00A00252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52E0"/>
    <w:rsid w:val="00A453EC"/>
    <w:rsid w:val="00A462FC"/>
    <w:rsid w:val="00A51A1E"/>
    <w:rsid w:val="00A5219A"/>
    <w:rsid w:val="00A52DF1"/>
    <w:rsid w:val="00A5608D"/>
    <w:rsid w:val="00A571E2"/>
    <w:rsid w:val="00A63552"/>
    <w:rsid w:val="00A64003"/>
    <w:rsid w:val="00A70ABB"/>
    <w:rsid w:val="00A71C61"/>
    <w:rsid w:val="00A731E8"/>
    <w:rsid w:val="00A80160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4BDB"/>
    <w:rsid w:val="00AD6223"/>
    <w:rsid w:val="00AD6C36"/>
    <w:rsid w:val="00AD7E9B"/>
    <w:rsid w:val="00AE6513"/>
    <w:rsid w:val="00AF1475"/>
    <w:rsid w:val="00AF3FA6"/>
    <w:rsid w:val="00AF57EC"/>
    <w:rsid w:val="00AF7530"/>
    <w:rsid w:val="00B00707"/>
    <w:rsid w:val="00B030DB"/>
    <w:rsid w:val="00B03F29"/>
    <w:rsid w:val="00B064EA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317F8"/>
    <w:rsid w:val="00B322AC"/>
    <w:rsid w:val="00B35D54"/>
    <w:rsid w:val="00B42B46"/>
    <w:rsid w:val="00B43CA6"/>
    <w:rsid w:val="00B4440F"/>
    <w:rsid w:val="00B44651"/>
    <w:rsid w:val="00B45D5B"/>
    <w:rsid w:val="00B45D88"/>
    <w:rsid w:val="00B474A0"/>
    <w:rsid w:val="00B50EEB"/>
    <w:rsid w:val="00B5212F"/>
    <w:rsid w:val="00B575DB"/>
    <w:rsid w:val="00B60FAC"/>
    <w:rsid w:val="00B63749"/>
    <w:rsid w:val="00B65443"/>
    <w:rsid w:val="00B65EBD"/>
    <w:rsid w:val="00B6630F"/>
    <w:rsid w:val="00B742EF"/>
    <w:rsid w:val="00B74318"/>
    <w:rsid w:val="00B7468B"/>
    <w:rsid w:val="00B747F5"/>
    <w:rsid w:val="00B81472"/>
    <w:rsid w:val="00B84D5C"/>
    <w:rsid w:val="00B9169E"/>
    <w:rsid w:val="00B92361"/>
    <w:rsid w:val="00BA0C00"/>
    <w:rsid w:val="00BA1C4F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6BA"/>
    <w:rsid w:val="00BE28DF"/>
    <w:rsid w:val="00BE6BAC"/>
    <w:rsid w:val="00BF5971"/>
    <w:rsid w:val="00C05343"/>
    <w:rsid w:val="00C05911"/>
    <w:rsid w:val="00C06591"/>
    <w:rsid w:val="00C1176C"/>
    <w:rsid w:val="00C16B2C"/>
    <w:rsid w:val="00C173C6"/>
    <w:rsid w:val="00C17CCD"/>
    <w:rsid w:val="00C222AD"/>
    <w:rsid w:val="00C236F8"/>
    <w:rsid w:val="00C242AD"/>
    <w:rsid w:val="00C251A6"/>
    <w:rsid w:val="00C269A3"/>
    <w:rsid w:val="00C27958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342"/>
    <w:rsid w:val="00C66F0D"/>
    <w:rsid w:val="00C7033E"/>
    <w:rsid w:val="00C760E1"/>
    <w:rsid w:val="00C8321D"/>
    <w:rsid w:val="00C85FED"/>
    <w:rsid w:val="00C87902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D0271B"/>
    <w:rsid w:val="00D04849"/>
    <w:rsid w:val="00D057C6"/>
    <w:rsid w:val="00D071B4"/>
    <w:rsid w:val="00D123D9"/>
    <w:rsid w:val="00D20544"/>
    <w:rsid w:val="00D21B39"/>
    <w:rsid w:val="00D22BB2"/>
    <w:rsid w:val="00D23621"/>
    <w:rsid w:val="00D238EF"/>
    <w:rsid w:val="00D25592"/>
    <w:rsid w:val="00D3024F"/>
    <w:rsid w:val="00D30AB5"/>
    <w:rsid w:val="00D32C34"/>
    <w:rsid w:val="00D3549F"/>
    <w:rsid w:val="00D3616C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7039D"/>
    <w:rsid w:val="00D73F39"/>
    <w:rsid w:val="00D76A72"/>
    <w:rsid w:val="00D8101D"/>
    <w:rsid w:val="00D82CFE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3BB6"/>
    <w:rsid w:val="00DD74FA"/>
    <w:rsid w:val="00DE1786"/>
    <w:rsid w:val="00DE2952"/>
    <w:rsid w:val="00DE2E81"/>
    <w:rsid w:val="00DE35B0"/>
    <w:rsid w:val="00DF0B3D"/>
    <w:rsid w:val="00DF1C55"/>
    <w:rsid w:val="00DF696C"/>
    <w:rsid w:val="00E02445"/>
    <w:rsid w:val="00E025D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2D82"/>
    <w:rsid w:val="00E35FC9"/>
    <w:rsid w:val="00E40127"/>
    <w:rsid w:val="00E42468"/>
    <w:rsid w:val="00E43914"/>
    <w:rsid w:val="00E46257"/>
    <w:rsid w:val="00E515DC"/>
    <w:rsid w:val="00E51A77"/>
    <w:rsid w:val="00E52224"/>
    <w:rsid w:val="00E552C1"/>
    <w:rsid w:val="00E60674"/>
    <w:rsid w:val="00E6439B"/>
    <w:rsid w:val="00E64F9D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2F5E"/>
    <w:rsid w:val="00EB32DC"/>
    <w:rsid w:val="00EC03E6"/>
    <w:rsid w:val="00EC0C55"/>
    <w:rsid w:val="00EC2102"/>
    <w:rsid w:val="00EC46FB"/>
    <w:rsid w:val="00EC5763"/>
    <w:rsid w:val="00EC5CE4"/>
    <w:rsid w:val="00EC6EC9"/>
    <w:rsid w:val="00ED0C3A"/>
    <w:rsid w:val="00ED189D"/>
    <w:rsid w:val="00ED5073"/>
    <w:rsid w:val="00ED5C5C"/>
    <w:rsid w:val="00ED7449"/>
    <w:rsid w:val="00ED77A6"/>
    <w:rsid w:val="00EE0199"/>
    <w:rsid w:val="00EE7381"/>
    <w:rsid w:val="00EF6824"/>
    <w:rsid w:val="00F0318F"/>
    <w:rsid w:val="00F109BB"/>
    <w:rsid w:val="00F11B08"/>
    <w:rsid w:val="00F13F38"/>
    <w:rsid w:val="00F20B50"/>
    <w:rsid w:val="00F21931"/>
    <w:rsid w:val="00F23026"/>
    <w:rsid w:val="00F24D4E"/>
    <w:rsid w:val="00F26E8C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61CF"/>
    <w:rsid w:val="00F82258"/>
    <w:rsid w:val="00F82FA9"/>
    <w:rsid w:val="00F87577"/>
    <w:rsid w:val="00F93948"/>
    <w:rsid w:val="00F93F5B"/>
    <w:rsid w:val="00F965A2"/>
    <w:rsid w:val="00FA47C5"/>
    <w:rsid w:val="00FA5013"/>
    <w:rsid w:val="00FA63B3"/>
    <w:rsid w:val="00FA69E4"/>
    <w:rsid w:val="00FB06E8"/>
    <w:rsid w:val="00FB1976"/>
    <w:rsid w:val="00FB3159"/>
    <w:rsid w:val="00FB4475"/>
    <w:rsid w:val="00FB4E3B"/>
    <w:rsid w:val="00FB588A"/>
    <w:rsid w:val="00FB6BF3"/>
    <w:rsid w:val="00FC0B57"/>
    <w:rsid w:val="00FC113F"/>
    <w:rsid w:val="00FD3D61"/>
    <w:rsid w:val="00FD472B"/>
    <w:rsid w:val="00FD4C73"/>
    <w:rsid w:val="00FD4FD7"/>
    <w:rsid w:val="00FD6040"/>
    <w:rsid w:val="00FE057C"/>
    <w:rsid w:val="00FE501C"/>
    <w:rsid w:val="00FF1F5D"/>
    <w:rsid w:val="00FF2426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CBC-225E-4D1A-A455-516D3440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8</cp:revision>
  <cp:lastPrinted>2015-02-06T20:11:00Z</cp:lastPrinted>
  <dcterms:created xsi:type="dcterms:W3CDTF">2015-02-06T16:01:00Z</dcterms:created>
  <dcterms:modified xsi:type="dcterms:W3CDTF">2015-02-06T20:11:00Z</dcterms:modified>
</cp:coreProperties>
</file>