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4628E" w:rsidRDefault="007730B0"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t>EXPOSICIÓN DE MOTIVOS</w:t>
      </w:r>
    </w:p>
    <w:p w:rsidR="00C4560E" w:rsidRPr="00C4628E"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4628E">
        <w:rPr>
          <w:rFonts w:ascii="Palatino Linotype" w:eastAsiaTheme="minorHAnsi" w:hAnsi="Palatino Linotype"/>
          <w:sz w:val="22"/>
          <w:szCs w:val="22"/>
          <w:lang w:val="es-EC" w:eastAsia="en-US"/>
        </w:rPr>
        <w:t>La Constitución de la República del Ecuador, en su artículo 30, garantiza a las personas el "</w:t>
      </w:r>
      <w:r w:rsidRPr="00C4628E">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4628E">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4628E">
        <w:rPr>
          <w:rFonts w:ascii="Palatino Linotype" w:eastAsiaTheme="minorHAnsi" w:hAnsi="Palatino Linotype"/>
          <w:sz w:val="22"/>
          <w:szCs w:val="22"/>
          <w:lang w:val="es-EC" w:eastAsia="en-US"/>
        </w:rPr>
        <w:tab/>
      </w:r>
    </w:p>
    <w:p w:rsidR="00246137" w:rsidRDefault="0096645E" w:rsidP="00246137">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 xml:space="preserve">La Administración Municipal, a través de la Unidad Especial “Regula Tu Barrio”, gestiona procesos tendientes a regularizar </w:t>
      </w:r>
      <w:r w:rsidRPr="00C4628E">
        <w:rPr>
          <w:rFonts w:ascii="Palatino Linotype" w:hAnsi="Palatino Linotype"/>
          <w:bCs/>
          <w:sz w:val="22"/>
          <w:szCs w:val="22"/>
        </w:rPr>
        <w:t>la ocupación informal del suelo</w:t>
      </w:r>
      <w:r w:rsidRPr="00C4628E">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46137" w:rsidRPr="00246137" w:rsidRDefault="00246137" w:rsidP="00246137">
      <w:pPr>
        <w:spacing w:after="120" w:line="276" w:lineRule="auto"/>
        <w:ind w:firstLine="708"/>
        <w:jc w:val="both"/>
        <w:rPr>
          <w:rFonts w:ascii="Palatino Linotype" w:hAnsi="Palatino Linotype"/>
          <w:sz w:val="22"/>
          <w:szCs w:val="22"/>
        </w:rPr>
      </w:pPr>
      <w:r w:rsidRPr="00EC3B99">
        <w:rPr>
          <w:rFonts w:ascii="Palatino Linotype" w:hAnsi="Palatino Linotype"/>
          <w:sz w:val="22"/>
          <w:szCs w:val="22"/>
        </w:rPr>
        <w:t>El Asentamiento Humano de Hecho y Consolidado de Interés Social denominado “</w:t>
      </w:r>
      <w:r w:rsidRPr="00EC3B99">
        <w:rPr>
          <w:rFonts w:ascii="Palatino Linotype" w:hAnsi="Palatino Linotype" w:cs="Arial"/>
          <w:sz w:val="22"/>
          <w:szCs w:val="22"/>
        </w:rPr>
        <w:t xml:space="preserve">Comité Pro Mejoras Balcón </w:t>
      </w:r>
      <w:proofErr w:type="spellStart"/>
      <w:r w:rsidRPr="00EC3B99">
        <w:rPr>
          <w:rFonts w:ascii="Palatino Linotype" w:hAnsi="Palatino Linotype" w:cs="Arial"/>
          <w:sz w:val="22"/>
          <w:szCs w:val="22"/>
        </w:rPr>
        <w:t>Yaruqueño</w:t>
      </w:r>
      <w:proofErr w:type="spellEnd"/>
      <w:r w:rsidRPr="00EC3B99">
        <w:rPr>
          <w:rFonts w:ascii="Palatino Linotype" w:hAnsi="Palatino Linotype" w:cs="Arial"/>
          <w:sz w:val="22"/>
          <w:szCs w:val="22"/>
        </w:rPr>
        <w:t xml:space="preserve"> y La Buena Esperanza”,</w:t>
      </w:r>
      <w:r w:rsidRPr="00EC3B99">
        <w:rPr>
          <w:rFonts w:ascii="Palatino Linotype" w:hAnsi="Palatino Linotype"/>
          <w:sz w:val="22"/>
          <w:szCs w:val="22"/>
        </w:rPr>
        <w:t xml:space="preserve"> al inicio del proceso de reforma de </w:t>
      </w:r>
      <w:r w:rsidRPr="00246137">
        <w:rPr>
          <w:rFonts w:ascii="Palatino Linotype" w:hAnsi="Palatino Linotype"/>
          <w:sz w:val="22"/>
          <w:szCs w:val="22"/>
        </w:rPr>
        <w:t xml:space="preserve">ordenanza contaba con 18 años de existencia; sin embargo, al momento de la sanción de la presente </w:t>
      </w:r>
      <w:r>
        <w:rPr>
          <w:rFonts w:ascii="Palatino Linotype" w:hAnsi="Palatino Linotype"/>
          <w:sz w:val="22"/>
          <w:szCs w:val="22"/>
        </w:rPr>
        <w:t>r</w:t>
      </w:r>
      <w:r w:rsidRPr="00246137">
        <w:rPr>
          <w:rFonts w:ascii="Palatino Linotype" w:hAnsi="Palatino Linotype"/>
          <w:sz w:val="22"/>
          <w:szCs w:val="22"/>
        </w:rPr>
        <w:t xml:space="preserve">eforma de </w:t>
      </w:r>
      <w:r>
        <w:rPr>
          <w:rFonts w:ascii="Palatino Linotype" w:hAnsi="Palatino Linotype"/>
          <w:sz w:val="22"/>
          <w:szCs w:val="22"/>
        </w:rPr>
        <w:t>o</w:t>
      </w:r>
      <w:r w:rsidRPr="00246137">
        <w:rPr>
          <w:rFonts w:ascii="Palatino Linotype" w:hAnsi="Palatino Linotype"/>
          <w:sz w:val="22"/>
          <w:szCs w:val="22"/>
        </w:rPr>
        <w:t xml:space="preserve">rdenanza cuenta con 20 años de asentamiento, </w:t>
      </w:r>
      <w:r>
        <w:rPr>
          <w:rFonts w:ascii="Palatino Linotype" w:hAnsi="Palatino Linotype"/>
          <w:sz w:val="22"/>
          <w:szCs w:val="22"/>
        </w:rPr>
        <w:t>una consolidación del 93,</w:t>
      </w:r>
      <w:r w:rsidRPr="00246137">
        <w:rPr>
          <w:rFonts w:ascii="Palatino Linotype" w:hAnsi="Palatino Linotype"/>
          <w:sz w:val="22"/>
          <w:szCs w:val="22"/>
        </w:rPr>
        <w:t>15% y 292 beneficiarios.</w:t>
      </w:r>
    </w:p>
    <w:p w:rsidR="00246137" w:rsidRPr="00246137" w:rsidRDefault="00246137" w:rsidP="00246137">
      <w:pPr>
        <w:spacing w:after="120" w:line="276" w:lineRule="auto"/>
        <w:ind w:firstLine="708"/>
        <w:jc w:val="both"/>
        <w:rPr>
          <w:rFonts w:ascii="Palatino Linotype" w:hAnsi="Palatino Linotype"/>
          <w:sz w:val="22"/>
          <w:szCs w:val="22"/>
        </w:rPr>
      </w:pPr>
      <w:r w:rsidRPr="00246137">
        <w:rPr>
          <w:rFonts w:ascii="Palatino Linotype" w:hAnsi="Palatino Linotype"/>
          <w:sz w:val="22"/>
          <w:szCs w:val="22"/>
        </w:rPr>
        <w:t>Dicho Asentamiento Humano de Hecho y Consolidado de Interés Social fue reconocido mediante  Ordenanza No. 0346,  sancionada el 11 de enero de 2013, y Ordenanza Reformatoria No. 0469</w:t>
      </w:r>
      <w:r>
        <w:rPr>
          <w:rFonts w:ascii="Palatino Linotype" w:hAnsi="Palatino Linotype"/>
          <w:sz w:val="22"/>
          <w:szCs w:val="22"/>
        </w:rPr>
        <w:t>,</w:t>
      </w:r>
      <w:r w:rsidRPr="00246137">
        <w:rPr>
          <w:rFonts w:ascii="Palatino Linotype" w:hAnsi="Palatino Linotype"/>
          <w:sz w:val="22"/>
          <w:szCs w:val="22"/>
        </w:rPr>
        <w:t xml:space="preserve"> sancionada el 09 de diciembre de 2013,  sin embargo, por problemas técnicos, se verificó que el área verde , de una superficie de 785.42 m</w:t>
      </w:r>
      <w:r w:rsidRPr="00246137">
        <w:rPr>
          <w:rFonts w:ascii="Palatino Linotype" w:hAnsi="Palatino Linotype"/>
          <w:sz w:val="22"/>
          <w:szCs w:val="22"/>
          <w:vertAlign w:val="superscript"/>
        </w:rPr>
        <w:t>2</w:t>
      </w:r>
      <w:r w:rsidRPr="00246137">
        <w:rPr>
          <w:rFonts w:ascii="Palatino Linotype" w:hAnsi="Palatino Linotype"/>
          <w:sz w:val="22"/>
          <w:szCs w:val="22"/>
        </w:rPr>
        <w:t xml:space="preserve"> y el área comunal de una superficie de </w:t>
      </w:r>
      <w:r>
        <w:rPr>
          <w:rFonts w:ascii="Palatino Linotype" w:hAnsi="Palatino Linotype"/>
          <w:sz w:val="22"/>
          <w:szCs w:val="22"/>
        </w:rPr>
        <w:t>646,</w:t>
      </w:r>
      <w:r w:rsidRPr="00246137">
        <w:rPr>
          <w:rFonts w:ascii="Palatino Linotype" w:hAnsi="Palatino Linotype"/>
          <w:sz w:val="22"/>
          <w:szCs w:val="22"/>
        </w:rPr>
        <w:t>39 m</w:t>
      </w:r>
      <w:r w:rsidRPr="00246137">
        <w:rPr>
          <w:rFonts w:ascii="Palatino Linotype" w:hAnsi="Palatino Linotype"/>
          <w:sz w:val="22"/>
          <w:szCs w:val="22"/>
          <w:vertAlign w:val="superscript"/>
        </w:rPr>
        <w:t>2</w:t>
      </w:r>
      <w:r w:rsidRPr="00246137">
        <w:rPr>
          <w:rFonts w:ascii="Palatino Linotype" w:hAnsi="Palatino Linotype"/>
          <w:sz w:val="22"/>
          <w:szCs w:val="22"/>
        </w:rPr>
        <w:t xml:space="preserve"> que constan en el plano aprobado es de propiedad del Municipio, por lo que la Unidad Especial “Regula Tu Barrio” gestionó el proceso tendiente a reformar dicha Ordenanza,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C4560E" w:rsidRPr="00246137" w:rsidRDefault="00246137" w:rsidP="00246137">
      <w:pPr>
        <w:spacing w:after="120" w:line="276" w:lineRule="auto"/>
        <w:ind w:firstLine="708"/>
        <w:jc w:val="both"/>
        <w:rPr>
          <w:rFonts w:ascii="Palatino Linotype" w:hAnsi="Palatino Linotype"/>
          <w:sz w:val="22"/>
          <w:szCs w:val="22"/>
        </w:rPr>
      </w:pPr>
      <w:r w:rsidRPr="00246137">
        <w:rPr>
          <w:rFonts w:ascii="Palatino Linotype" w:hAnsi="Palatino Linotype"/>
          <w:sz w:val="22"/>
          <w:szCs w:val="22"/>
        </w:rPr>
        <w:t xml:space="preserve">En este sentido, la presente ordenanza contiene la normativa tendiente a reformar la Ordenanza No. 0346, de 11 de enero de 2013, que reconoce y aprueba los asentamientos humanos de hecho y consolidados denominados Comité pro Mejoras Balcón </w:t>
      </w:r>
      <w:proofErr w:type="spellStart"/>
      <w:r w:rsidRPr="00246137">
        <w:rPr>
          <w:rFonts w:ascii="Palatino Linotype" w:hAnsi="Palatino Linotype"/>
          <w:sz w:val="22"/>
          <w:szCs w:val="22"/>
        </w:rPr>
        <w:t>Yaruqueño</w:t>
      </w:r>
      <w:proofErr w:type="spellEnd"/>
      <w:r w:rsidRPr="00246137">
        <w:rPr>
          <w:rFonts w:ascii="Palatino Linotype" w:hAnsi="Palatino Linotype"/>
          <w:sz w:val="22"/>
          <w:szCs w:val="22"/>
        </w:rPr>
        <w:t xml:space="preserve"> y La Buena Esperanza; y su reformatoria Ordenanza No. 0469, de 9 de diciembre de 2013</w:t>
      </w:r>
      <w:r>
        <w:rPr>
          <w:rFonts w:ascii="Palatino Linotype" w:hAnsi="Palatino Linotype"/>
          <w:sz w:val="22"/>
          <w:szCs w:val="22"/>
        </w:rPr>
        <w:t>,</w:t>
      </w:r>
      <w:r w:rsidRPr="00246137">
        <w:rPr>
          <w:rFonts w:ascii="Palatino Linotype" w:hAnsi="Palatino Linotype"/>
          <w:sz w:val="22"/>
          <w:szCs w:val="22"/>
        </w:rPr>
        <w:t xml:space="preserve"> a fin de garantizar a los beneficiarios el ejercicio de su derecho a la vivienda y el acceso a servicios básicos de calidad</w:t>
      </w:r>
      <w:r w:rsidR="00C4560E" w:rsidRPr="00246137">
        <w:rPr>
          <w:rFonts w:ascii="Palatino Linotype" w:eastAsiaTheme="minorHAnsi" w:hAnsi="Palatino Linotype"/>
          <w:sz w:val="22"/>
          <w:szCs w:val="22"/>
          <w:lang w:val="es-EC" w:eastAsia="en-US"/>
        </w:rPr>
        <w:t>.</w:t>
      </w:r>
    </w:p>
    <w:p w:rsidR="00BA3016" w:rsidRPr="00C4628E" w:rsidRDefault="00BA3016" w:rsidP="00E4288C">
      <w:pPr>
        <w:spacing w:after="120" w:line="276" w:lineRule="auto"/>
        <w:ind w:firstLine="708"/>
        <w:jc w:val="both"/>
        <w:rPr>
          <w:rFonts w:ascii="Palatino Linotype" w:hAnsi="Palatino Linotype"/>
          <w:b/>
          <w:sz w:val="22"/>
          <w:szCs w:val="22"/>
        </w:rPr>
        <w:sectPr w:rsidR="00BA3016" w:rsidRPr="00C4628E"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4628E" w:rsidRDefault="00CD4FDB"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lastRenderedPageBreak/>
        <w:t>E</w:t>
      </w:r>
      <w:r w:rsidR="007730B0" w:rsidRPr="00C4628E">
        <w:rPr>
          <w:rFonts w:ascii="Palatino Linotype" w:hAnsi="Palatino Linotype" w:cs="Times New Roman"/>
          <w:sz w:val="22"/>
          <w:szCs w:val="22"/>
        </w:rPr>
        <w:t>L CONCEJO METROPOLITANO DE QUITO</w:t>
      </w:r>
    </w:p>
    <w:p w:rsidR="00C40CC0" w:rsidRPr="00C4628E" w:rsidRDefault="00E64141" w:rsidP="00C40CC0">
      <w:pPr>
        <w:spacing w:after="120" w:line="276" w:lineRule="auto"/>
        <w:jc w:val="both"/>
        <w:rPr>
          <w:rFonts w:ascii="Palatino Linotype" w:hAnsi="Palatino Linotype"/>
          <w:sz w:val="22"/>
          <w:szCs w:val="22"/>
        </w:rPr>
      </w:pPr>
      <w:r w:rsidRPr="00C4628E">
        <w:rPr>
          <w:rFonts w:ascii="Palatino Linotype" w:hAnsi="Palatino Linotype"/>
          <w:sz w:val="22"/>
          <w:szCs w:val="22"/>
        </w:rPr>
        <w:t>Visto el Informe No</w:t>
      </w:r>
      <w:r w:rsidR="00236471" w:rsidRPr="00C4628E">
        <w:rPr>
          <w:rFonts w:ascii="Palatino Linotype" w:hAnsi="Palatino Linotype"/>
          <w:sz w:val="22"/>
          <w:szCs w:val="22"/>
        </w:rPr>
        <w:t xml:space="preserve"> IC-O-201</w:t>
      </w:r>
      <w:r w:rsidR="008D74FD" w:rsidRPr="00C4628E">
        <w:rPr>
          <w:rFonts w:ascii="Palatino Linotype" w:hAnsi="Palatino Linotype"/>
          <w:sz w:val="22"/>
          <w:szCs w:val="22"/>
        </w:rPr>
        <w:t>8</w:t>
      </w:r>
      <w:r w:rsidR="00236471" w:rsidRPr="00C4628E">
        <w:rPr>
          <w:rFonts w:ascii="Palatino Linotype" w:hAnsi="Palatino Linotype"/>
          <w:sz w:val="22"/>
          <w:szCs w:val="22"/>
        </w:rPr>
        <w:t>-</w:t>
      </w:r>
      <w:r w:rsidR="00DD3393" w:rsidRPr="00C4628E">
        <w:rPr>
          <w:rFonts w:ascii="Palatino Linotype" w:hAnsi="Palatino Linotype"/>
          <w:sz w:val="22"/>
          <w:szCs w:val="22"/>
        </w:rPr>
        <w:t>2</w:t>
      </w:r>
      <w:r w:rsidR="00246137">
        <w:rPr>
          <w:rFonts w:ascii="Palatino Linotype" w:hAnsi="Palatino Linotype"/>
          <w:sz w:val="22"/>
          <w:szCs w:val="22"/>
        </w:rPr>
        <w:t>97</w:t>
      </w:r>
      <w:r w:rsidR="007359A3" w:rsidRPr="00C4628E">
        <w:rPr>
          <w:rFonts w:ascii="Palatino Linotype" w:hAnsi="Palatino Linotype"/>
          <w:sz w:val="22"/>
          <w:szCs w:val="22"/>
        </w:rPr>
        <w:t xml:space="preserve">, de </w:t>
      </w:r>
      <w:r w:rsidR="00C4628E" w:rsidRPr="00C4628E">
        <w:rPr>
          <w:rFonts w:ascii="Palatino Linotype" w:hAnsi="Palatino Linotype"/>
          <w:sz w:val="22"/>
          <w:szCs w:val="22"/>
        </w:rPr>
        <w:t>2</w:t>
      </w:r>
      <w:r w:rsidRPr="00C4628E">
        <w:rPr>
          <w:rFonts w:ascii="Palatino Linotype" w:hAnsi="Palatino Linotype"/>
          <w:sz w:val="22"/>
          <w:szCs w:val="22"/>
        </w:rPr>
        <w:t xml:space="preserve"> de </w:t>
      </w:r>
      <w:r w:rsidR="00C4628E" w:rsidRPr="00C4628E">
        <w:rPr>
          <w:rFonts w:ascii="Palatino Linotype" w:hAnsi="Palatino Linotype"/>
          <w:sz w:val="22"/>
          <w:szCs w:val="22"/>
        </w:rPr>
        <w:t xml:space="preserve">octubre </w:t>
      </w:r>
      <w:r w:rsidRPr="00C4628E">
        <w:rPr>
          <w:rFonts w:ascii="Palatino Linotype" w:hAnsi="Palatino Linotype"/>
          <w:sz w:val="22"/>
          <w:szCs w:val="22"/>
        </w:rPr>
        <w:t>de 201</w:t>
      </w:r>
      <w:r w:rsidR="008D74FD" w:rsidRPr="00C4628E">
        <w:rPr>
          <w:rFonts w:ascii="Palatino Linotype" w:hAnsi="Palatino Linotype"/>
          <w:sz w:val="22"/>
          <w:szCs w:val="22"/>
        </w:rPr>
        <w:t>8</w:t>
      </w:r>
      <w:r w:rsidRPr="00C4628E">
        <w:rPr>
          <w:rFonts w:ascii="Palatino Linotype" w:hAnsi="Palatino Linotype"/>
          <w:sz w:val="22"/>
          <w:szCs w:val="22"/>
        </w:rPr>
        <w:t>, expedido por la Comisión de Ordenamiento Territorial</w:t>
      </w:r>
      <w:r w:rsidR="00C40CC0" w:rsidRPr="00C4628E">
        <w:rPr>
          <w:rFonts w:ascii="Palatino Linotype" w:hAnsi="Palatino Linotype"/>
          <w:sz w:val="22"/>
          <w:szCs w:val="22"/>
        </w:rPr>
        <w:t>.</w:t>
      </w:r>
    </w:p>
    <w:p w:rsidR="005B51E8" w:rsidRPr="00C4628E" w:rsidRDefault="005B51E8" w:rsidP="00E4288C">
      <w:pPr>
        <w:spacing w:after="120" w:line="276" w:lineRule="auto"/>
        <w:jc w:val="center"/>
        <w:rPr>
          <w:rFonts w:ascii="Palatino Linotype" w:hAnsi="Palatino Linotype"/>
          <w:b/>
          <w:sz w:val="22"/>
          <w:szCs w:val="22"/>
        </w:rPr>
      </w:pPr>
      <w:r w:rsidRPr="00C4628E">
        <w:rPr>
          <w:rFonts w:ascii="Palatino Linotype" w:hAnsi="Palatino Linotype"/>
          <w:b/>
          <w:sz w:val="22"/>
          <w:szCs w:val="22"/>
        </w:rPr>
        <w:t>CONSIDERANDO:</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rPr>
        <w:t xml:space="preserve">Que, </w:t>
      </w:r>
      <w:r w:rsidRPr="00C4628E">
        <w:rPr>
          <w:rFonts w:ascii="Palatino Linotype" w:hAnsi="Palatino Linotype"/>
          <w:b/>
        </w:rPr>
        <w:tab/>
      </w:r>
      <w:r w:rsidRPr="00C4628E">
        <w:rPr>
          <w:rFonts w:ascii="Palatino Linotype" w:hAnsi="Palatino Linotype"/>
        </w:rPr>
        <w:t>el artículo 30 de la Constitución de la República del Ecuador (en adelante “Constitución”) establece que: “</w:t>
      </w:r>
      <w:r w:rsidRPr="00C4628E">
        <w:rPr>
          <w:rFonts w:ascii="Palatino Linotype" w:hAnsi="Palatino Linotype"/>
          <w:i/>
        </w:rPr>
        <w:t>Las personas tienen derecho a un hábitat seguro y saludable, y a una vivienda adecuada y digna, con independencia de su situación social y económica.</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31 de la Constitución expresa que: “</w:t>
      </w:r>
      <w:r w:rsidRPr="00C4628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4628E">
        <w:rPr>
          <w:rFonts w:ascii="Palatino Linotype" w:hAnsi="Palatino Linotype"/>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el artículo 240 de la Constitución establece que: “</w:t>
      </w:r>
      <w:r w:rsidRPr="00C4628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i/>
        </w:rPr>
      </w:pPr>
      <w:r w:rsidRPr="00C4628E">
        <w:rPr>
          <w:rFonts w:ascii="Palatino Linotype" w:hAnsi="Palatino Linotype"/>
          <w:b/>
          <w:bCs/>
        </w:rPr>
        <w:t>Que,</w:t>
      </w:r>
      <w:r w:rsidR="00FD56C4" w:rsidRPr="00C4628E">
        <w:rPr>
          <w:rFonts w:ascii="Palatino Linotype" w:hAnsi="Palatino Linotype"/>
        </w:rPr>
        <w:tab/>
        <w:t>el numeral 1 y 2</w:t>
      </w:r>
      <w:r w:rsidRPr="00C4628E">
        <w:rPr>
          <w:rFonts w:ascii="Palatino Linotype" w:hAnsi="Palatino Linotype"/>
        </w:rPr>
        <w:t xml:space="preserve"> del artículo 264 de la Constitución manifiesta que: “</w:t>
      </w:r>
      <w:r w:rsidRPr="00C4628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4628E">
        <w:rPr>
          <w:rFonts w:ascii="Palatino Linotype" w:hAnsi="Palatino Linotype"/>
        </w:rPr>
        <w:t xml:space="preserve">”; </w:t>
      </w:r>
      <w:r w:rsidRPr="00C4628E">
        <w:rPr>
          <w:rFonts w:ascii="Palatino Linotype" w:hAnsi="Palatino Linotype"/>
          <w:i/>
        </w:rPr>
        <w:t>(…)2.- “Ejercer el control sobre el uso y ocupación del</w:t>
      </w:r>
      <w:r w:rsidR="00FC7853" w:rsidRPr="00C4628E">
        <w:rPr>
          <w:rFonts w:ascii="Palatino Linotype" w:hAnsi="Palatino Linotype"/>
          <w:i/>
        </w:rPr>
        <w:t xml:space="preserve"> suelo en el cantón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literal c) del artículo 54, en concordancia con el literal c) del artículo 84 del Código Orgánico de Organización Territorial, Autonomía y Descentralización (en adelante “COOTAD”),</w:t>
      </w:r>
      <w:r w:rsidRPr="00C4628E">
        <w:rPr>
          <w:rFonts w:ascii="Palatino Linotype" w:hAnsi="Palatino Linotype"/>
          <w:b/>
          <w:bCs/>
        </w:rPr>
        <w:t xml:space="preserve"> </w:t>
      </w:r>
      <w:r w:rsidRPr="00C4628E">
        <w:rPr>
          <w:rFonts w:ascii="Palatino Linotype" w:hAnsi="Palatino Linotype"/>
          <w:bCs/>
        </w:rPr>
        <w:t>señala</w:t>
      </w:r>
      <w:r w:rsidRPr="00C4628E">
        <w:rPr>
          <w:rFonts w:ascii="Palatino Linotype" w:hAnsi="Palatino Linotype"/>
          <w:b/>
          <w:bCs/>
        </w:rPr>
        <w:t xml:space="preserve"> </w:t>
      </w:r>
      <w:r w:rsidRPr="00C4628E">
        <w:rPr>
          <w:rFonts w:ascii="Palatino Linotype" w:hAnsi="Palatino Linotype"/>
          <w:bCs/>
        </w:rPr>
        <w:t>como una función del gobierno autónomo descentralizado municipal</w:t>
      </w:r>
      <w:r w:rsidRPr="00C4628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 xml:space="preserve">el artículo 57, en concordancia con el artículo 87 del COOTAD, establece que las funciones del Concejo Municipal, entre otras, son: </w:t>
      </w:r>
      <w:r w:rsidRPr="00C4628E">
        <w:rPr>
          <w:rFonts w:ascii="Palatino Linotype" w:hAnsi="Palatino Linotype"/>
          <w:iCs/>
        </w:rPr>
        <w:t>“</w:t>
      </w:r>
      <w:r w:rsidRPr="00C4628E">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4628E">
        <w:rPr>
          <w:rFonts w:ascii="Palatino Linotype" w:hAnsi="Palatino Linotype"/>
          <w:i/>
        </w:rPr>
        <w:t xml:space="preserve"> </w:t>
      </w:r>
      <w:r w:rsidRPr="00C4628E">
        <w:rPr>
          <w:rFonts w:ascii="Palatino Linotype" w:hAnsi="Palatino Linotype"/>
          <w:i/>
          <w:iCs/>
        </w:rPr>
        <w:t xml:space="preserve">x) Regular y controlar, mediante la normativa cantonal correspondiente, el uso del suelo en el territorio </w:t>
      </w:r>
      <w:r w:rsidRPr="00C4628E">
        <w:rPr>
          <w:rFonts w:ascii="Palatino Linotype" w:hAnsi="Palatino Linotype"/>
          <w:i/>
          <w:iCs/>
        </w:rPr>
        <w:lastRenderedPageBreak/>
        <w:t>del cantón, de conformidad con las leyes sobre la materia, y establecer el régimen urbanístico de la tierra;</w:t>
      </w:r>
      <w:r w:rsidRPr="00C4628E">
        <w:rPr>
          <w:rFonts w:ascii="Palatino Linotype" w:hAnsi="Palatino Linotype"/>
          <w:i/>
        </w:rPr>
        <w:t xml:space="preserve"> y, (…) </w:t>
      </w:r>
      <w:r w:rsidRPr="00C4628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4628E">
        <w:rPr>
          <w:rFonts w:ascii="Palatino Linotype" w:hAnsi="Palatino Linotype"/>
          <w:i/>
          <w:iCs/>
        </w:rPr>
        <w:t>interbarrial</w:t>
      </w:r>
      <w:proofErr w:type="spellEnd"/>
      <w:r w:rsidRPr="00C4628E">
        <w:rPr>
          <w:rFonts w:ascii="Palatino Linotype" w:hAnsi="Palatino Linotype"/>
          <w:i/>
          <w:iCs/>
        </w:rPr>
        <w:t>.</w:t>
      </w:r>
      <w:r w:rsidRPr="00C4628E">
        <w:rPr>
          <w:rFonts w:ascii="Palatino Linotype" w:hAnsi="Palatino Linotype"/>
          <w:iCs/>
        </w:rPr>
        <w:t xml:space="preserve">”; </w:t>
      </w:r>
    </w:p>
    <w:p w:rsidR="00DD1A49" w:rsidRPr="00C4628E" w:rsidRDefault="00F112F0"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 xml:space="preserve">Que, </w:t>
      </w:r>
      <w:r w:rsidRPr="00C4628E">
        <w:rPr>
          <w:rFonts w:ascii="Palatino Linotype" w:hAnsi="Palatino Linotype"/>
          <w:b/>
          <w:bCs/>
        </w:rPr>
        <w:tab/>
      </w:r>
      <w:r w:rsidR="00DD1A49" w:rsidRPr="00C4628E">
        <w:rPr>
          <w:rFonts w:ascii="Palatino Linotype" w:hAnsi="Palatino Linotype"/>
        </w:rPr>
        <w:t>el artículo 322 del COOTAD establece el procedimiento para la aprobación de las ordenanzas municipales;</w:t>
      </w:r>
    </w:p>
    <w:p w:rsidR="008D74FD" w:rsidRPr="00C4628E" w:rsidRDefault="008D74FD" w:rsidP="008D74FD">
      <w:pPr>
        <w:pStyle w:val="Sinespaciado"/>
        <w:spacing w:after="120" w:line="276" w:lineRule="auto"/>
        <w:ind w:left="709" w:hanging="709"/>
        <w:jc w:val="both"/>
        <w:rPr>
          <w:rFonts w:ascii="Palatino Linotype" w:hAnsi="Palatino Linotype"/>
          <w:b/>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486 del COOTAD reformado establece que: “</w:t>
      </w:r>
      <w:r w:rsidRPr="00C4628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4628E">
        <w:rPr>
          <w:rFonts w:ascii="Palatino Linotype" w:hAnsi="Palatino Linotype"/>
          <w:bCs/>
          <w:lang w:val="es-ES_tradnl"/>
        </w:rPr>
        <w:t>”</w:t>
      </w:r>
      <w:r w:rsidRPr="00C4628E">
        <w:rPr>
          <w:rFonts w:ascii="Palatino Linotype" w:hAnsi="Palatino Linotype"/>
          <w:bCs/>
        </w:rPr>
        <w:t>;</w:t>
      </w:r>
      <w:r w:rsidRPr="00C4628E">
        <w:rPr>
          <w:rFonts w:ascii="Palatino Linotype" w:hAnsi="Palatino Linotype"/>
          <w:b/>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la Disposición Transitoria Décima Cuarta del COOTAD, señala: “</w:t>
      </w:r>
      <w:r w:rsidRPr="00C4628E">
        <w:rPr>
          <w:rFonts w:ascii="Palatino Linotype" w:hAnsi="Palatino Linotype"/>
          <w:bCs/>
          <w:i/>
        </w:rPr>
        <w:t xml:space="preserve">(…) </w:t>
      </w:r>
      <w:r w:rsidRPr="00C4628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4628E" w:rsidRDefault="00DD1A49" w:rsidP="00E64141">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246137" w:rsidRDefault="00246137" w:rsidP="00246137">
      <w:pPr>
        <w:pStyle w:val="Sinespaciado"/>
        <w:spacing w:after="120" w:line="276" w:lineRule="auto"/>
        <w:ind w:left="709" w:hanging="709"/>
        <w:jc w:val="both"/>
        <w:rPr>
          <w:rFonts w:ascii="Palatino Linotype" w:hAnsi="Palatino Linotype" w:cs="Arial"/>
        </w:rPr>
      </w:pPr>
      <w:r w:rsidRPr="00EC3B99">
        <w:rPr>
          <w:rFonts w:ascii="Palatino Linotype" w:hAnsi="Palatino Linotype"/>
          <w:b/>
          <w:bCs/>
        </w:rPr>
        <w:t>Que</w:t>
      </w:r>
      <w:r w:rsidRPr="00EC3B99">
        <w:rPr>
          <w:rFonts w:ascii="Palatino Linotype" w:hAnsi="Palatino Linotype"/>
          <w:bCs/>
        </w:rPr>
        <w:t xml:space="preserve">, </w:t>
      </w:r>
      <w:r w:rsidRPr="00EC3B99">
        <w:rPr>
          <w:rFonts w:ascii="Palatino Linotype" w:hAnsi="Palatino Linotype"/>
          <w:bCs/>
        </w:rPr>
        <w:tab/>
        <w:t xml:space="preserve">mediante Ordenanza Municipal No. </w:t>
      </w:r>
      <w:r w:rsidRPr="00EC3B99">
        <w:rPr>
          <w:rFonts w:ascii="Palatino Linotype" w:hAnsi="Palatino Linotype"/>
        </w:rPr>
        <w:t>0346, sancionada el 11 de enero de 2013</w:t>
      </w:r>
      <w:r w:rsidRPr="00EC3B99">
        <w:rPr>
          <w:rFonts w:ascii="Palatino Linotype" w:hAnsi="Palatino Linotype"/>
          <w:bCs/>
        </w:rPr>
        <w:t>, se reconoce y aprueba</w:t>
      </w:r>
      <w:r w:rsidRPr="00EC3B99">
        <w:rPr>
          <w:rFonts w:ascii="Palatino Linotype" w:hAnsi="Palatino Linotype"/>
        </w:rPr>
        <w:t xml:space="preserve"> el Asentamiento Humano de Hecho y Consolidado de Interés Social denominado “</w:t>
      </w:r>
      <w:r w:rsidRPr="00EC3B99">
        <w:rPr>
          <w:rFonts w:ascii="Palatino Linotype" w:hAnsi="Palatino Linotype" w:cs="Arial"/>
        </w:rPr>
        <w:t xml:space="preserve">Comité Pro Mejoras Balcón </w:t>
      </w:r>
      <w:proofErr w:type="spellStart"/>
      <w:r w:rsidRPr="00EC3B99">
        <w:rPr>
          <w:rFonts w:ascii="Palatino Linotype" w:hAnsi="Palatino Linotype" w:cs="Arial"/>
        </w:rPr>
        <w:t>Yaruqueño</w:t>
      </w:r>
      <w:proofErr w:type="spellEnd"/>
      <w:r w:rsidRPr="00EC3B99">
        <w:rPr>
          <w:rFonts w:ascii="Palatino Linotype" w:hAnsi="Palatino Linotype" w:cs="Arial"/>
        </w:rPr>
        <w:t xml:space="preserve"> y La Buena Esperanza”</w:t>
      </w:r>
      <w:r>
        <w:rPr>
          <w:rFonts w:ascii="Palatino Linotype" w:hAnsi="Palatino Linotype" w:cs="Arial"/>
        </w:rPr>
        <w:t>;</w:t>
      </w:r>
    </w:p>
    <w:p w:rsidR="00246137" w:rsidRPr="00EC3B99" w:rsidRDefault="00246137" w:rsidP="00246137">
      <w:pPr>
        <w:pStyle w:val="Sinespaciado"/>
        <w:spacing w:after="120" w:line="276" w:lineRule="auto"/>
        <w:ind w:left="709" w:hanging="709"/>
        <w:jc w:val="both"/>
        <w:rPr>
          <w:rFonts w:ascii="Palatino Linotype" w:hAnsi="Palatino Linotype" w:cs="Arial"/>
        </w:rPr>
      </w:pPr>
      <w:r w:rsidRPr="00EC3B99">
        <w:rPr>
          <w:rFonts w:ascii="Palatino Linotype" w:hAnsi="Palatino Linotype"/>
          <w:b/>
          <w:bCs/>
        </w:rPr>
        <w:t>Que</w:t>
      </w:r>
      <w:r w:rsidRPr="00EC3B99">
        <w:rPr>
          <w:rFonts w:ascii="Palatino Linotype" w:hAnsi="Palatino Linotype"/>
          <w:bCs/>
        </w:rPr>
        <w:t xml:space="preserve">, </w:t>
      </w:r>
      <w:r w:rsidRPr="00EC3B99">
        <w:rPr>
          <w:rFonts w:ascii="Palatino Linotype" w:hAnsi="Palatino Linotype"/>
          <w:bCs/>
        </w:rPr>
        <w:tab/>
        <w:t>mediante Ordenanza Reformatoria Mun</w:t>
      </w:r>
      <w:r>
        <w:rPr>
          <w:rFonts w:ascii="Palatino Linotype" w:hAnsi="Palatino Linotype"/>
          <w:bCs/>
        </w:rPr>
        <w:t xml:space="preserve">icipal No. 0469, sancionada el </w:t>
      </w:r>
      <w:r w:rsidRPr="00EC3B99">
        <w:rPr>
          <w:rFonts w:ascii="Palatino Linotype" w:hAnsi="Palatino Linotype"/>
          <w:bCs/>
        </w:rPr>
        <w:t xml:space="preserve">9 de diciembre de 2013, se reconoce y aprueba el Asentamiento Humano de Hecho y Consolidado de Interés Social denominado “Comité Pro Mejoras Balcón </w:t>
      </w:r>
      <w:proofErr w:type="spellStart"/>
      <w:r w:rsidRPr="00EC3B99">
        <w:rPr>
          <w:rFonts w:ascii="Palatino Linotype" w:hAnsi="Palatino Linotype"/>
          <w:bCs/>
        </w:rPr>
        <w:t>Yaruqueño</w:t>
      </w:r>
      <w:proofErr w:type="spellEnd"/>
      <w:r w:rsidRPr="00EC3B99">
        <w:rPr>
          <w:rFonts w:ascii="Palatino Linotype" w:hAnsi="Palatino Linotype"/>
          <w:bCs/>
        </w:rPr>
        <w:t xml:space="preserve"> y La Buena Esperanza”</w:t>
      </w:r>
      <w:r>
        <w:rPr>
          <w:rFonts w:ascii="Palatino Linotype" w:hAnsi="Palatino Linotype"/>
          <w:bCs/>
        </w:rPr>
        <w:t>;</w:t>
      </w:r>
    </w:p>
    <w:p w:rsidR="00246137" w:rsidRPr="00EC3B99" w:rsidRDefault="00246137" w:rsidP="00246137">
      <w:pPr>
        <w:pStyle w:val="Sinespaciado"/>
        <w:spacing w:after="120" w:line="276" w:lineRule="auto"/>
        <w:ind w:left="709" w:hanging="709"/>
        <w:jc w:val="both"/>
        <w:rPr>
          <w:rFonts w:ascii="Palatino Linotype" w:hAnsi="Palatino Linotype" w:cs="Arial"/>
        </w:rPr>
      </w:pPr>
    </w:p>
    <w:p w:rsidR="00FF3CDC" w:rsidRPr="00567616" w:rsidRDefault="00FF3CDC" w:rsidP="00FF3CDC">
      <w:pPr>
        <w:pStyle w:val="Sinespaciado"/>
        <w:spacing w:after="120" w:line="276" w:lineRule="auto"/>
        <w:ind w:left="709" w:hanging="709"/>
        <w:jc w:val="both"/>
        <w:rPr>
          <w:rFonts w:ascii="Palatino Linotype" w:hAnsi="Palatino Linotype"/>
        </w:rPr>
      </w:pPr>
      <w:r w:rsidRPr="00567616">
        <w:rPr>
          <w:rFonts w:ascii="Palatino Linotype" w:hAnsi="Palatino Linotype"/>
          <w:b/>
          <w:bCs/>
        </w:rPr>
        <w:lastRenderedPageBreak/>
        <w:t>Que,</w:t>
      </w:r>
      <w:r w:rsidRPr="00567616">
        <w:rPr>
          <w:rFonts w:ascii="Palatino Linotype" w:hAnsi="Palatino Linotype"/>
          <w:b/>
          <w:bCs/>
        </w:rPr>
        <w:tab/>
      </w:r>
      <w:r w:rsidRPr="0056761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Default="00FF3CDC" w:rsidP="00246137">
      <w:pPr>
        <w:spacing w:after="120" w:line="276" w:lineRule="auto"/>
        <w:ind w:left="705" w:hanging="705"/>
        <w:jc w:val="both"/>
        <w:rPr>
          <w:rFonts w:ascii="Palatino Linotype" w:hAnsi="Palatino Linotype"/>
          <w:b/>
          <w:bCs/>
          <w:sz w:val="22"/>
          <w:szCs w:val="22"/>
        </w:rPr>
      </w:pPr>
      <w:proofErr w:type="gramStart"/>
      <w:r w:rsidRPr="00567616">
        <w:rPr>
          <w:rFonts w:ascii="Palatino Linotype" w:hAnsi="Palatino Linotype"/>
          <w:b/>
          <w:bCs/>
          <w:sz w:val="22"/>
          <w:szCs w:val="22"/>
        </w:rPr>
        <w:t xml:space="preserve">Que,   </w:t>
      </w:r>
      <w:proofErr w:type="gramEnd"/>
      <w:r w:rsidR="00246137">
        <w:rPr>
          <w:rFonts w:ascii="Palatino Linotype" w:hAnsi="Palatino Linotype"/>
          <w:b/>
          <w:bCs/>
          <w:sz w:val="22"/>
          <w:szCs w:val="22"/>
        </w:rPr>
        <w:tab/>
      </w:r>
      <w:r w:rsidR="00843F21">
        <w:rPr>
          <w:rFonts w:ascii="Palatino Linotype" w:hAnsi="Palatino Linotype"/>
          <w:b/>
          <w:bCs/>
          <w:sz w:val="22"/>
          <w:szCs w:val="22"/>
        </w:rPr>
        <w:tab/>
      </w:r>
      <w:r w:rsidRPr="00567616">
        <w:rPr>
          <w:rFonts w:ascii="Palatino Linotype" w:hAnsi="Palatino Linotype"/>
          <w:bCs/>
          <w:sz w:val="22"/>
          <w:szCs w:val="22"/>
        </w:rPr>
        <w:t>la Ordenanza No. 0147</w:t>
      </w:r>
      <w:r w:rsidR="00843F21">
        <w:rPr>
          <w:rFonts w:ascii="Palatino Linotype" w:hAnsi="Palatino Linotype"/>
          <w:bCs/>
          <w:sz w:val="22"/>
          <w:szCs w:val="22"/>
        </w:rPr>
        <w:t>,</w:t>
      </w:r>
      <w:r w:rsidRPr="00567616">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246137" w:rsidRDefault="00FF3CDC" w:rsidP="00246137">
      <w:pPr>
        <w:spacing w:after="120" w:line="276" w:lineRule="auto"/>
        <w:ind w:left="705" w:hanging="705"/>
        <w:jc w:val="both"/>
        <w:rPr>
          <w:rFonts w:ascii="Palatino Linotype" w:hAnsi="Palatino Linotype"/>
          <w:b/>
          <w:bCs/>
          <w:sz w:val="22"/>
          <w:szCs w:val="22"/>
        </w:rPr>
      </w:pPr>
      <w:r w:rsidRPr="00567616">
        <w:rPr>
          <w:rFonts w:ascii="Palatino Linotype" w:hAnsi="Palatino Linotype"/>
          <w:b/>
          <w:bCs/>
          <w:sz w:val="22"/>
          <w:szCs w:val="22"/>
        </w:rPr>
        <w:t>Que,</w:t>
      </w:r>
      <w:r w:rsidR="00246137">
        <w:rPr>
          <w:rFonts w:ascii="Palatino Linotype" w:hAnsi="Palatino Linotype"/>
          <w:b/>
          <w:bCs/>
          <w:sz w:val="22"/>
          <w:szCs w:val="22"/>
        </w:rPr>
        <w:tab/>
      </w:r>
      <w:r w:rsidRPr="00567616">
        <w:rPr>
          <w:rFonts w:ascii="Palatino Linotype" w:hAnsi="Palatino Linotype"/>
          <w:bCs/>
          <w:sz w:val="22"/>
          <w:szCs w:val="22"/>
        </w:rPr>
        <w:t>mediante Ordenanza No. 0147</w:t>
      </w:r>
      <w:r w:rsidR="00843F21">
        <w:rPr>
          <w:rFonts w:ascii="Palatino Linotype" w:hAnsi="Palatino Linotype"/>
          <w:bCs/>
          <w:sz w:val="22"/>
          <w:szCs w:val="22"/>
        </w:rPr>
        <w:t>,</w:t>
      </w:r>
      <w:r w:rsidRPr="0056761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567616" w:rsidRDefault="00FF3CDC" w:rsidP="00FF3CDC">
      <w:pPr>
        <w:spacing w:after="120" w:line="276" w:lineRule="auto"/>
        <w:ind w:left="705" w:hanging="705"/>
        <w:jc w:val="both"/>
        <w:rPr>
          <w:rFonts w:ascii="Palatino Linotype" w:hAnsi="Palatino Linotype"/>
          <w:sz w:val="22"/>
          <w:szCs w:val="22"/>
        </w:rPr>
      </w:pPr>
      <w:proofErr w:type="gramStart"/>
      <w:r w:rsidRPr="00567616">
        <w:rPr>
          <w:rFonts w:ascii="Palatino Linotype" w:hAnsi="Palatino Linotype"/>
          <w:b/>
          <w:bCs/>
          <w:sz w:val="22"/>
          <w:szCs w:val="22"/>
        </w:rPr>
        <w:t xml:space="preserve">Que,   </w:t>
      </w:r>
      <w:proofErr w:type="gramEnd"/>
      <w:r w:rsidR="00843F21">
        <w:rPr>
          <w:rFonts w:ascii="Palatino Linotype" w:hAnsi="Palatino Linotype"/>
          <w:b/>
          <w:bCs/>
          <w:sz w:val="22"/>
          <w:szCs w:val="22"/>
        </w:rPr>
        <w:tab/>
      </w:r>
      <w:r w:rsidR="00843F21">
        <w:rPr>
          <w:rFonts w:ascii="Palatino Linotype" w:hAnsi="Palatino Linotype"/>
          <w:b/>
          <w:bCs/>
          <w:sz w:val="22"/>
          <w:szCs w:val="22"/>
        </w:rPr>
        <w:tab/>
      </w:r>
      <w:r w:rsidRPr="00567616">
        <w:rPr>
          <w:rFonts w:ascii="Palatino Linotype" w:hAnsi="Palatino Linotype"/>
          <w:bCs/>
          <w:sz w:val="22"/>
          <w:szCs w:val="22"/>
        </w:rPr>
        <w:t>de conformidad con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y,</w:t>
      </w:r>
    </w:p>
    <w:p w:rsidR="00C4560E" w:rsidRPr="00C4628E" w:rsidRDefault="005B51E8" w:rsidP="00B273CE">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00FC7853" w:rsidRPr="00C4628E">
        <w:rPr>
          <w:rFonts w:ascii="Palatino Linotype" w:hAnsi="Palatino Linotype"/>
        </w:rPr>
        <w:tab/>
      </w:r>
      <w:r w:rsidR="00246137" w:rsidRPr="00EC3B99">
        <w:rPr>
          <w:rFonts w:ascii="Palatino Linotype" w:hAnsi="Palatino Linotype"/>
        </w:rPr>
        <w:t>la Mesa Institucional, reunida el 28 de octubre</w:t>
      </w:r>
      <w:r w:rsidR="00246137">
        <w:rPr>
          <w:rFonts w:ascii="Palatino Linotype" w:hAnsi="Palatino Linotype"/>
        </w:rPr>
        <w:t xml:space="preserve"> de</w:t>
      </w:r>
      <w:r w:rsidR="00246137" w:rsidRPr="00EC3B99">
        <w:rPr>
          <w:rFonts w:ascii="Palatino Linotype" w:hAnsi="Palatino Linotype"/>
        </w:rPr>
        <w:t xml:space="preserve"> 2016</w:t>
      </w:r>
      <w:r w:rsidR="00246137">
        <w:rPr>
          <w:rFonts w:ascii="Palatino Linotype" w:hAnsi="Palatino Linotype"/>
        </w:rPr>
        <w:t>,</w:t>
      </w:r>
      <w:r w:rsidR="00246137" w:rsidRPr="00EC3B99">
        <w:rPr>
          <w:rFonts w:ascii="Palatino Linotype" w:hAnsi="Palatino Linotype"/>
        </w:rPr>
        <w:t xml:space="preserve"> en la Administración Zonal Tumbaco, integrada por: Sr. Alfonso Muñoz </w:t>
      </w:r>
      <w:proofErr w:type="spellStart"/>
      <w:r w:rsidR="00246137" w:rsidRPr="00EC3B99">
        <w:rPr>
          <w:rFonts w:ascii="Palatino Linotype" w:hAnsi="Palatino Linotype"/>
        </w:rPr>
        <w:t>Peñaherrera</w:t>
      </w:r>
      <w:proofErr w:type="spellEnd"/>
      <w:r w:rsidR="00246137" w:rsidRPr="00EC3B99">
        <w:rPr>
          <w:rFonts w:ascii="Palatino Linotype" w:hAnsi="Palatino Linotype"/>
        </w:rPr>
        <w:t xml:space="preserve">, Administrador Zona Tumbaco; Srta. Viviana Chávez, Delegada de la Dirección de Asesoría Jurídica Zona Tumbaco; Ing. </w:t>
      </w:r>
      <w:proofErr w:type="spellStart"/>
      <w:r w:rsidR="00246137" w:rsidRPr="00EC3B99">
        <w:rPr>
          <w:rFonts w:ascii="Palatino Linotype" w:hAnsi="Palatino Linotype"/>
        </w:rPr>
        <w:t>Donny</w:t>
      </w:r>
      <w:proofErr w:type="spellEnd"/>
      <w:r w:rsidR="00246137" w:rsidRPr="00EC3B99">
        <w:rPr>
          <w:rFonts w:ascii="Palatino Linotype" w:hAnsi="Palatino Linotype"/>
        </w:rPr>
        <w:t xml:space="preserve"> </w:t>
      </w:r>
      <w:proofErr w:type="spellStart"/>
      <w:r w:rsidR="00246137" w:rsidRPr="00EC3B99">
        <w:rPr>
          <w:rFonts w:ascii="Palatino Linotype" w:hAnsi="Palatino Linotype"/>
        </w:rPr>
        <w:t>Aldean</w:t>
      </w:r>
      <w:proofErr w:type="spellEnd"/>
      <w:r w:rsidR="00246137" w:rsidRPr="00EC3B99">
        <w:rPr>
          <w:rFonts w:ascii="Palatino Linotype" w:hAnsi="Palatino Linotype"/>
        </w:rPr>
        <w:t xml:space="preserve">, Delegado de la Dirección de Gestión de Territorio Zona Tumbaco; Ing. Sandra Mayorga, Delegada de la Dirección Metropolitana de Catastro; Arq. Pablo </w:t>
      </w:r>
      <w:proofErr w:type="spellStart"/>
      <w:r w:rsidR="00246137" w:rsidRPr="00EC3B99">
        <w:rPr>
          <w:rFonts w:ascii="Palatino Linotype" w:hAnsi="Palatino Linotype"/>
        </w:rPr>
        <w:t>Atapuma</w:t>
      </w:r>
      <w:proofErr w:type="spellEnd"/>
      <w:r w:rsidR="00246137" w:rsidRPr="00EC3B99">
        <w:rPr>
          <w:rFonts w:ascii="Palatino Linotype" w:hAnsi="Palatino Linotype"/>
        </w:rPr>
        <w:t xml:space="preserve">, Delegado de la Secretaría de Territorio, Hábitat y Vivienda; Ing. Marco </w:t>
      </w:r>
      <w:proofErr w:type="spellStart"/>
      <w:r w:rsidR="00246137" w:rsidRPr="00EC3B99">
        <w:rPr>
          <w:rFonts w:ascii="Palatino Linotype" w:hAnsi="Palatino Linotype"/>
        </w:rPr>
        <w:t>Manobanda</w:t>
      </w:r>
      <w:proofErr w:type="spellEnd"/>
      <w:r w:rsidR="00246137" w:rsidRPr="00EC3B99">
        <w:rPr>
          <w:rFonts w:ascii="Palatino Linotype" w:hAnsi="Palatino Linotype"/>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w:t>
      </w:r>
      <w:r w:rsidR="00246137">
        <w:rPr>
          <w:rFonts w:ascii="Palatino Linotype" w:hAnsi="Palatino Linotype"/>
        </w:rPr>
        <w:t>o.</w:t>
      </w:r>
      <w:r w:rsidR="00246137" w:rsidRPr="00EC3B99">
        <w:rPr>
          <w:rFonts w:ascii="Palatino Linotype" w:hAnsi="Palatino Linotype"/>
        </w:rPr>
        <w:t xml:space="preserve"> 007-UERB-OC-SOLT-2016, de 28 de octubre del 2016, habilitante de la Ordenanza reformatoria de la Ordenanza No. 0346, de 11 de enero de 2013, que reconoce y aprueba los asentamientos humanos de hecho y consolidados denominados Comité pro Mejoras Balcón </w:t>
      </w:r>
      <w:proofErr w:type="spellStart"/>
      <w:r w:rsidR="00246137" w:rsidRPr="00EC3B99">
        <w:rPr>
          <w:rFonts w:ascii="Palatino Linotype" w:hAnsi="Palatino Linotype"/>
        </w:rPr>
        <w:t>Yaruqueño</w:t>
      </w:r>
      <w:proofErr w:type="spellEnd"/>
      <w:r w:rsidR="00246137" w:rsidRPr="00EC3B99">
        <w:rPr>
          <w:rFonts w:ascii="Palatino Linotype" w:hAnsi="Palatino Linotype"/>
        </w:rPr>
        <w:t xml:space="preserve"> y La Buena Esperanza; y su reformatoria Ordenanza No. 0469, de 9 de diciembre de 2013</w:t>
      </w:r>
      <w:r w:rsidR="00C4560E" w:rsidRPr="00C4628E">
        <w:rPr>
          <w:rFonts w:ascii="Palatino Linotype" w:eastAsiaTheme="minorHAnsi" w:hAnsi="Palatino Linotype"/>
        </w:rPr>
        <w:t>.</w:t>
      </w:r>
    </w:p>
    <w:p w:rsidR="005B51E8" w:rsidRPr="00C4628E" w:rsidRDefault="005B51E8" w:rsidP="00E4288C">
      <w:pPr>
        <w:spacing w:after="120" w:line="276" w:lineRule="auto"/>
        <w:jc w:val="both"/>
        <w:rPr>
          <w:rFonts w:ascii="Palatino Linotype" w:hAnsi="Palatino Linotype"/>
          <w:b/>
          <w:sz w:val="22"/>
          <w:szCs w:val="22"/>
        </w:rPr>
      </w:pPr>
      <w:r w:rsidRPr="00C4628E">
        <w:rPr>
          <w:rFonts w:ascii="Palatino Linotype" w:hAnsi="Palatino Linotype"/>
          <w:b/>
          <w:bCs/>
          <w:sz w:val="22"/>
          <w:szCs w:val="22"/>
        </w:rPr>
        <w:lastRenderedPageBreak/>
        <w:t xml:space="preserve">En </w:t>
      </w:r>
      <w:r w:rsidR="00F112F0" w:rsidRPr="00C4628E">
        <w:rPr>
          <w:rFonts w:ascii="Palatino Linotype" w:hAnsi="Palatino Linotype"/>
          <w:b/>
          <w:sz w:val="22"/>
          <w:szCs w:val="22"/>
        </w:rPr>
        <w:t>ejercicio</w:t>
      </w:r>
      <w:r w:rsidRPr="00C4628E">
        <w:rPr>
          <w:rFonts w:ascii="Palatino Linotype" w:hAnsi="Palatino Linotype"/>
          <w:b/>
          <w:sz w:val="22"/>
          <w:szCs w:val="22"/>
        </w:rPr>
        <w:t xml:space="preserve"> de </w:t>
      </w:r>
      <w:r w:rsidR="00F112F0" w:rsidRPr="00C4628E">
        <w:rPr>
          <w:rFonts w:ascii="Palatino Linotype" w:hAnsi="Palatino Linotype"/>
          <w:b/>
          <w:sz w:val="22"/>
          <w:szCs w:val="22"/>
        </w:rPr>
        <w:t xml:space="preserve">sus </w:t>
      </w:r>
      <w:r w:rsidRPr="00C4628E">
        <w:rPr>
          <w:rFonts w:ascii="Palatino Linotype" w:hAnsi="Palatino Linotype"/>
          <w:b/>
          <w:sz w:val="22"/>
          <w:szCs w:val="22"/>
        </w:rPr>
        <w:t>atribuciones legales constantes en los artículos 30, 31, 240 y 264 n</w:t>
      </w:r>
      <w:r w:rsidR="009868C3" w:rsidRPr="00C4628E">
        <w:rPr>
          <w:rFonts w:ascii="Palatino Linotype" w:hAnsi="Palatino Linotype"/>
          <w:b/>
          <w:sz w:val="22"/>
          <w:szCs w:val="22"/>
        </w:rPr>
        <w:t>umeral 1 y 2 de la Constitución</w:t>
      </w:r>
      <w:r w:rsidRPr="00C4628E">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4628E">
        <w:rPr>
          <w:rFonts w:ascii="Palatino Linotype" w:hAnsi="Palatino Linotype"/>
          <w:b/>
          <w:sz w:val="22"/>
          <w:szCs w:val="22"/>
        </w:rPr>
        <w:t xml:space="preserve"> 1 de la Ley de Régimen para el</w:t>
      </w:r>
      <w:r w:rsidRPr="00C4628E">
        <w:rPr>
          <w:rFonts w:ascii="Palatino Linotype" w:hAnsi="Palatino Linotype"/>
          <w:b/>
          <w:sz w:val="22"/>
          <w:szCs w:val="22"/>
        </w:rPr>
        <w:t xml:space="preserve"> D</w:t>
      </w:r>
      <w:r w:rsidR="00FC7853" w:rsidRPr="00C4628E">
        <w:rPr>
          <w:rFonts w:ascii="Palatino Linotype" w:hAnsi="Palatino Linotype"/>
          <w:b/>
          <w:sz w:val="22"/>
          <w:szCs w:val="22"/>
        </w:rPr>
        <w:t>istrito Metropolitano</w:t>
      </w:r>
      <w:r w:rsidR="007A714D" w:rsidRPr="00C4628E">
        <w:rPr>
          <w:rFonts w:ascii="Palatino Linotype" w:hAnsi="Palatino Linotype"/>
          <w:b/>
          <w:sz w:val="22"/>
          <w:szCs w:val="22"/>
        </w:rPr>
        <w:t xml:space="preserve"> de Quito,</w:t>
      </w:r>
    </w:p>
    <w:p w:rsidR="005B51E8" w:rsidRPr="00C4628E" w:rsidRDefault="005B51E8" w:rsidP="00E4288C">
      <w:pPr>
        <w:spacing w:after="120" w:line="276" w:lineRule="auto"/>
        <w:jc w:val="center"/>
        <w:rPr>
          <w:rFonts w:ascii="Palatino Linotype" w:hAnsi="Palatino Linotype"/>
          <w:b/>
          <w:bCs/>
          <w:sz w:val="22"/>
          <w:szCs w:val="22"/>
        </w:rPr>
      </w:pPr>
      <w:r w:rsidRPr="00C4628E">
        <w:rPr>
          <w:rFonts w:ascii="Palatino Linotype" w:hAnsi="Palatino Linotype"/>
          <w:b/>
          <w:sz w:val="22"/>
          <w:szCs w:val="22"/>
        </w:rPr>
        <w:t>EXPIDE LA SIGUIENTE:</w:t>
      </w:r>
    </w:p>
    <w:p w:rsidR="00C4560E" w:rsidRPr="00C4628E" w:rsidRDefault="00160923" w:rsidP="00E4288C">
      <w:pPr>
        <w:pStyle w:val="Ttulo7"/>
        <w:spacing w:before="0" w:after="120" w:line="276" w:lineRule="auto"/>
        <w:jc w:val="center"/>
        <w:rPr>
          <w:rFonts w:ascii="Palatino Linotype" w:hAnsi="Palatino Linotype"/>
          <w:sz w:val="22"/>
          <w:szCs w:val="22"/>
        </w:rPr>
      </w:pPr>
      <w:r w:rsidRPr="00C4628E">
        <w:rPr>
          <w:rFonts w:ascii="Palatino Linotype" w:hAnsi="Palatino Linotype"/>
          <w:b/>
          <w:bCs/>
          <w:sz w:val="22"/>
          <w:szCs w:val="22"/>
        </w:rPr>
        <w:t xml:space="preserve">ORDENANZA </w:t>
      </w:r>
      <w:r w:rsidR="006B3C7E" w:rsidRPr="00EC3B99">
        <w:rPr>
          <w:rFonts w:ascii="Palatino Linotype" w:hAnsi="Palatino Linotype"/>
          <w:b/>
          <w:sz w:val="22"/>
          <w:szCs w:val="22"/>
        </w:rPr>
        <w:t>REFORMATORIA DE LA ORDENANZA No</w:t>
      </w:r>
      <w:r w:rsidR="006B3C7E">
        <w:rPr>
          <w:rFonts w:ascii="Palatino Linotype" w:hAnsi="Palatino Linotype"/>
          <w:b/>
          <w:sz w:val="22"/>
          <w:szCs w:val="22"/>
        </w:rPr>
        <w:t xml:space="preserve">. 0346, </w:t>
      </w:r>
      <w:r w:rsidR="006B3C7E" w:rsidRPr="00EC3B99">
        <w:rPr>
          <w:rFonts w:ascii="Palatino Linotype" w:hAnsi="Palatino Linotype"/>
          <w:b/>
          <w:sz w:val="22"/>
          <w:szCs w:val="22"/>
        </w:rPr>
        <w:t>SANCIONADA EL 11 DE ENERO DE 2013, QUE RECONOCE Y APRUEBA LOS ASENTAMIENTOS HUMANOS DE HECHO Y CONSOLIDADOS DENOMINADOS COMITÉ PRO MEJORAS BALCÓN YARUQUEÑO Y LA BUENA ESPERANZA, Y ORDENANZA REFORMATORIA No. 0469 SANCIONADA EL 09 DE DICIEMBRE DE 2013</w:t>
      </w:r>
    </w:p>
    <w:p w:rsidR="006B3C7E" w:rsidRPr="00EC3B99" w:rsidRDefault="006B3C7E" w:rsidP="006B3C7E">
      <w:pPr>
        <w:pStyle w:val="Sinespaciado"/>
        <w:spacing w:after="120" w:line="276" w:lineRule="auto"/>
        <w:rPr>
          <w:rFonts w:ascii="Palatino Linotype" w:hAnsi="Palatino Linotype"/>
        </w:rPr>
      </w:pPr>
      <w:r w:rsidRPr="00EC3B99">
        <w:rPr>
          <w:rFonts w:ascii="Palatino Linotype" w:hAnsi="Palatino Linotype"/>
          <w:b/>
          <w:bCs/>
        </w:rPr>
        <w:t>Artículo 1</w:t>
      </w:r>
      <w:r w:rsidRPr="00EC3B99">
        <w:rPr>
          <w:rFonts w:ascii="Palatino Linotype" w:hAnsi="Palatino Linotype"/>
          <w:bCs/>
        </w:rPr>
        <w:t xml:space="preserve">.-  Sustitúyase el título de la </w:t>
      </w:r>
      <w:r w:rsidRPr="00EC3B99">
        <w:rPr>
          <w:rFonts w:ascii="Palatino Linotype" w:hAnsi="Palatino Linotype"/>
          <w:lang w:val="es-ES"/>
        </w:rPr>
        <w:t xml:space="preserve">Ordenanza </w:t>
      </w:r>
      <w:r w:rsidRPr="00EC3B99">
        <w:rPr>
          <w:rFonts w:ascii="Palatino Linotype" w:hAnsi="Palatino Linotype"/>
        </w:rPr>
        <w:t xml:space="preserve">No. 0346, sancionada el 11 de enero de 2013, por el siguiente: </w:t>
      </w:r>
    </w:p>
    <w:p w:rsidR="006B3C7E" w:rsidRPr="00EC3B99" w:rsidRDefault="006B3C7E" w:rsidP="006B3C7E">
      <w:pPr>
        <w:pStyle w:val="Sinespaciado"/>
        <w:spacing w:after="120" w:line="276" w:lineRule="auto"/>
        <w:ind w:left="708"/>
        <w:jc w:val="both"/>
        <w:rPr>
          <w:rFonts w:ascii="Palatino Linotype" w:hAnsi="Palatino Linotype"/>
          <w:b/>
          <w:i/>
        </w:rPr>
      </w:pPr>
      <w:r w:rsidRPr="00EC3B99">
        <w:rPr>
          <w:rFonts w:ascii="Palatino Linotype" w:hAnsi="Palatino Linotype"/>
          <w:b/>
        </w:rPr>
        <w:t>“</w:t>
      </w:r>
      <w:r w:rsidRPr="00EC3B99">
        <w:rPr>
          <w:rFonts w:ascii="Palatino Linotype" w:hAnsi="Palatino Linotype"/>
          <w:b/>
          <w:i/>
        </w:rPr>
        <w:t>ORDENANZA</w:t>
      </w:r>
      <w:r w:rsidRPr="00EC3B99">
        <w:rPr>
          <w:rFonts w:ascii="Palatino Linotype" w:hAnsi="Palatino Linotype"/>
          <w:b/>
        </w:rPr>
        <w:t xml:space="preserve"> </w:t>
      </w:r>
      <w:r w:rsidRPr="00EC3B99">
        <w:rPr>
          <w:rFonts w:ascii="Palatino Linotype" w:hAnsi="Palatino Linotype"/>
          <w:b/>
          <w:i/>
        </w:rPr>
        <w:t>QUE RECONOCE Y APRUEBA EL FRACCIONAMIENTO DE LOS PREDIOS N</w:t>
      </w:r>
      <w:r>
        <w:rPr>
          <w:rFonts w:ascii="Palatino Linotype" w:hAnsi="Palatino Linotype"/>
          <w:b/>
          <w:i/>
        </w:rPr>
        <w:t>os.</w:t>
      </w:r>
      <w:r w:rsidRPr="00EC3B99">
        <w:rPr>
          <w:rFonts w:ascii="Palatino Linotype" w:hAnsi="Palatino Linotype"/>
          <w:b/>
          <w:i/>
        </w:rPr>
        <w:t xml:space="preserve"> 5150351,</w:t>
      </w:r>
      <w:r>
        <w:rPr>
          <w:rFonts w:ascii="Palatino Linotype" w:hAnsi="Palatino Linotype"/>
          <w:b/>
          <w:i/>
        </w:rPr>
        <w:t xml:space="preserve"> </w:t>
      </w:r>
      <w:r w:rsidRPr="00EC3B99">
        <w:rPr>
          <w:rFonts w:ascii="Palatino Linotype" w:hAnsi="Palatino Linotype"/>
          <w:b/>
          <w:i/>
        </w:rPr>
        <w:t>644150, 644152, 608271, 608274, 608277</w:t>
      </w:r>
      <w:r>
        <w:rPr>
          <w:rFonts w:ascii="Palatino Linotype" w:hAnsi="Palatino Linotype"/>
          <w:b/>
          <w:i/>
        </w:rPr>
        <w:t xml:space="preserve"> Y</w:t>
      </w:r>
      <w:r w:rsidRPr="00EC3B99">
        <w:rPr>
          <w:rFonts w:ascii="Palatino Linotype" w:hAnsi="Palatino Linotype"/>
          <w:b/>
          <w:i/>
        </w:rPr>
        <w:t xml:space="preserve"> 608276, SOBRE LOS QUE SE ENCUENTRA LOS ASENTAMIENTOS HUMANOS DE HECHO Y CONSOLIDADO DE INTERES SOCIAL DENOMINADOS “COMITÉ PRO MEJORAS BALCÓN YARUQUEÑO Y LA BUENA ESPERANZA”, A FAVOR DE SUS COPROPIETARIOS”.</w:t>
      </w:r>
    </w:p>
    <w:p w:rsidR="006B3C7E" w:rsidRPr="00EC3B99" w:rsidRDefault="006B3C7E" w:rsidP="006B3C7E">
      <w:pPr>
        <w:pStyle w:val="Sinespaciado"/>
        <w:spacing w:after="120" w:line="276" w:lineRule="auto"/>
        <w:rPr>
          <w:rFonts w:ascii="Palatino Linotype" w:hAnsi="Palatino Linotype"/>
        </w:rPr>
      </w:pPr>
      <w:r w:rsidRPr="00EC3B99">
        <w:rPr>
          <w:rFonts w:ascii="Palatino Linotype" w:hAnsi="Palatino Linotype"/>
          <w:b/>
          <w:bCs/>
        </w:rPr>
        <w:t>Artículo 2</w:t>
      </w:r>
      <w:r w:rsidRPr="00EC3B99">
        <w:rPr>
          <w:rFonts w:ascii="Palatino Linotype" w:hAnsi="Palatino Linotype"/>
          <w:bCs/>
        </w:rPr>
        <w:t xml:space="preserve">.- Sustitúyase el artículo 1 de la </w:t>
      </w:r>
      <w:r w:rsidRPr="00EC3B99">
        <w:rPr>
          <w:rFonts w:ascii="Palatino Linotype" w:hAnsi="Palatino Linotype"/>
          <w:lang w:val="es-ES"/>
        </w:rPr>
        <w:t xml:space="preserve">Ordenanza </w:t>
      </w:r>
      <w:r w:rsidRPr="00EC3B99">
        <w:rPr>
          <w:rFonts w:ascii="Palatino Linotype" w:hAnsi="Palatino Linotype"/>
        </w:rPr>
        <w:t xml:space="preserve">No. 0346, sancionada el 11 de enero de 2013, por el siguiente: </w:t>
      </w:r>
    </w:p>
    <w:p w:rsidR="006B3C7E" w:rsidRPr="00EC3B99" w:rsidRDefault="006B3C7E" w:rsidP="006B3C7E">
      <w:pPr>
        <w:pStyle w:val="Sinespaciado"/>
        <w:spacing w:after="120" w:line="276" w:lineRule="auto"/>
        <w:ind w:left="708"/>
        <w:jc w:val="both"/>
        <w:rPr>
          <w:rFonts w:ascii="Palatino Linotype" w:hAnsi="Palatino Linotype"/>
          <w:i/>
        </w:rPr>
      </w:pPr>
      <w:r w:rsidRPr="00EC3B99">
        <w:rPr>
          <w:rFonts w:ascii="Palatino Linotype" w:hAnsi="Palatino Linotype"/>
          <w:i/>
        </w:rPr>
        <w:t>“</w:t>
      </w:r>
      <w:r w:rsidRPr="00EC3B99">
        <w:rPr>
          <w:rFonts w:ascii="Palatino Linotype" w:hAnsi="Palatino Linotype"/>
          <w:b/>
          <w:i/>
        </w:rPr>
        <w:t>Articulo 1.-</w:t>
      </w:r>
      <w:r w:rsidRPr="00EC3B99">
        <w:rPr>
          <w:rFonts w:ascii="Palatino Linotype" w:hAnsi="Palatino Linotype"/>
          <w:i/>
        </w:rPr>
        <w:t xml:space="preserve"> </w:t>
      </w:r>
      <w:r w:rsidRPr="00EC3B99">
        <w:rPr>
          <w:rFonts w:ascii="Palatino Linotype" w:hAnsi="Palatino Linotype"/>
          <w:b/>
          <w:i/>
        </w:rPr>
        <w:t xml:space="preserve">De los planos y documentos </w:t>
      </w:r>
      <w:proofErr w:type="gramStart"/>
      <w:r w:rsidRPr="00EC3B99">
        <w:rPr>
          <w:rFonts w:ascii="Palatino Linotype" w:hAnsi="Palatino Linotype"/>
          <w:b/>
          <w:i/>
        </w:rPr>
        <w:t>presentados.-</w:t>
      </w:r>
      <w:proofErr w:type="gramEnd"/>
      <w:r w:rsidRPr="00EC3B99">
        <w:rPr>
          <w:rFonts w:ascii="Palatino Linotype" w:hAnsi="Palatino Linotype"/>
          <w:b/>
          <w:i/>
        </w:rPr>
        <w:t xml:space="preserve"> </w:t>
      </w:r>
      <w:r w:rsidRPr="00EC3B99">
        <w:rPr>
          <w:rFonts w:ascii="Palatino Linotype" w:hAnsi="Palatino Linotype"/>
          <w:i/>
        </w:rPr>
        <w:t xml:space="preserve">Los planos y documento presentados son de exclusiva responsabilidad del proyectista y de los copropietarios de los Asentamientos Humanos de Hecho y Consolidado de Interés Social denominados “Comité Pro Mejoras Balcón </w:t>
      </w:r>
      <w:proofErr w:type="spellStart"/>
      <w:r w:rsidRPr="00EC3B99">
        <w:rPr>
          <w:rFonts w:ascii="Palatino Linotype" w:hAnsi="Palatino Linotype"/>
          <w:i/>
        </w:rPr>
        <w:t>Yaruqueño</w:t>
      </w:r>
      <w:proofErr w:type="spellEnd"/>
      <w:r w:rsidRPr="00EC3B99">
        <w:rPr>
          <w:rFonts w:ascii="Palatino Linotype" w:hAnsi="Palatino Linotype"/>
          <w:i/>
        </w:rPr>
        <w:t xml:space="preserve"> </w:t>
      </w:r>
      <w:r>
        <w:rPr>
          <w:rFonts w:ascii="Palatino Linotype" w:hAnsi="Palatino Linotype"/>
          <w:i/>
        </w:rPr>
        <w:t>y</w:t>
      </w:r>
      <w:r w:rsidRPr="00EC3B99">
        <w:rPr>
          <w:rFonts w:ascii="Palatino Linotype" w:hAnsi="Palatino Linotype"/>
          <w:i/>
        </w:rPr>
        <w:t xml:space="preserve"> La Buena Esperanza, ubicados en la parroquia </w:t>
      </w:r>
      <w:proofErr w:type="spellStart"/>
      <w:r w:rsidRPr="00EC3B99">
        <w:rPr>
          <w:rFonts w:ascii="Palatino Linotype" w:hAnsi="Palatino Linotype"/>
          <w:i/>
        </w:rPr>
        <w:t>Yaruquí</w:t>
      </w:r>
      <w:proofErr w:type="spellEnd"/>
      <w:r w:rsidRPr="00EC3B99">
        <w:rPr>
          <w:rFonts w:ascii="Palatino Linotype" w:hAnsi="Palatino Linotype"/>
          <w:i/>
        </w:rPr>
        <w:t>, sin perjuicio de la responsabilidad de quienes revisaron los planos y los documentos legales, excepto que hayan sido inducidos a engaño.</w:t>
      </w:r>
    </w:p>
    <w:p w:rsidR="006B3C7E" w:rsidRPr="00EC3B99" w:rsidRDefault="006B3C7E" w:rsidP="006B3C7E">
      <w:pPr>
        <w:pStyle w:val="Sinespaciado"/>
        <w:spacing w:after="120" w:line="276" w:lineRule="auto"/>
        <w:ind w:left="708"/>
        <w:jc w:val="both"/>
        <w:rPr>
          <w:rFonts w:ascii="Palatino Linotype" w:hAnsi="Palatino Linotype"/>
          <w:i/>
        </w:rPr>
      </w:pPr>
      <w:r w:rsidRPr="00EC3B99">
        <w:rPr>
          <w:rFonts w:ascii="Palatino Linotype" w:hAnsi="Palatino Linotype"/>
          <w:i/>
        </w:rPr>
        <w:t>En caso de comprobarse ocultación o falsedad en planos, dato, documentos o de existir reclamos de terceros afectados, será de exclusiva responsabilidad del técnico y de los propietarios del predio.</w:t>
      </w:r>
    </w:p>
    <w:p w:rsidR="006B3C7E" w:rsidRPr="00EC3B99" w:rsidRDefault="006B3C7E" w:rsidP="006B3C7E">
      <w:pPr>
        <w:pStyle w:val="Sinespaciado"/>
        <w:spacing w:after="120" w:line="276" w:lineRule="auto"/>
        <w:ind w:left="708"/>
        <w:jc w:val="both"/>
        <w:rPr>
          <w:rFonts w:ascii="Palatino Linotype" w:hAnsi="Palatino Linotype"/>
          <w:i/>
        </w:rPr>
      </w:pPr>
      <w:r w:rsidRPr="00EC3B99">
        <w:rPr>
          <w:rFonts w:ascii="Palatino Linotype" w:hAnsi="Palatino Linotype"/>
          <w:i/>
        </w:rPr>
        <w:t xml:space="preserve">Las dimensiones y superficies de los lotes, son las determinadas en el plano aprobatorio que forma parte de la presente </w:t>
      </w:r>
      <w:r>
        <w:rPr>
          <w:rFonts w:ascii="Palatino Linotype" w:hAnsi="Palatino Linotype"/>
          <w:i/>
        </w:rPr>
        <w:t>o</w:t>
      </w:r>
      <w:r w:rsidRPr="00EC3B99">
        <w:rPr>
          <w:rFonts w:ascii="Palatino Linotype" w:hAnsi="Palatino Linotype"/>
          <w:i/>
        </w:rPr>
        <w:t>rdenanza.</w:t>
      </w:r>
    </w:p>
    <w:p w:rsidR="006B3C7E" w:rsidRPr="00EC3B99" w:rsidRDefault="006B3C7E" w:rsidP="006B3C7E">
      <w:pPr>
        <w:pStyle w:val="Sinespaciado"/>
        <w:spacing w:after="120" w:line="276" w:lineRule="auto"/>
        <w:ind w:left="708"/>
        <w:jc w:val="both"/>
        <w:rPr>
          <w:rFonts w:ascii="Palatino Linotype" w:hAnsi="Palatino Linotype"/>
          <w:i/>
        </w:rPr>
      </w:pPr>
      <w:r w:rsidRPr="00EC3B99">
        <w:rPr>
          <w:rFonts w:ascii="Palatino Linotype" w:hAnsi="Palatino Linotype"/>
          <w:i/>
        </w:rPr>
        <w:lastRenderedPageBreak/>
        <w:t xml:space="preserve"> Los copropietarios de los Asentamientos Humanos de Hecho y Consolidado de Interés Social denominados “Comité Pro Mejoras Balcón </w:t>
      </w:r>
      <w:proofErr w:type="spellStart"/>
      <w:r w:rsidRPr="00EC3B99">
        <w:rPr>
          <w:rFonts w:ascii="Palatino Linotype" w:hAnsi="Palatino Linotype"/>
          <w:i/>
        </w:rPr>
        <w:t>Yaruqueño</w:t>
      </w:r>
      <w:proofErr w:type="spellEnd"/>
      <w:r w:rsidRPr="00EC3B99">
        <w:rPr>
          <w:rFonts w:ascii="Palatino Linotype" w:hAnsi="Palatino Linotype"/>
          <w:i/>
        </w:rPr>
        <w:t xml:space="preserve"> </w:t>
      </w:r>
      <w:r>
        <w:rPr>
          <w:rFonts w:ascii="Palatino Linotype" w:hAnsi="Palatino Linotype"/>
          <w:i/>
        </w:rPr>
        <w:t>y</w:t>
      </w:r>
      <w:r w:rsidRPr="00EC3B99">
        <w:rPr>
          <w:rFonts w:ascii="Palatino Linotype" w:hAnsi="Palatino Linotype"/>
          <w:i/>
        </w:rPr>
        <w:t xml:space="preserve"> La Buena Esperanza”, se comprometen a respetar las características de los lotes establecidas en el Plano y en este instrumento; por tanto, no podrán fraccionarlos o dividirlos.</w:t>
      </w:r>
    </w:p>
    <w:p w:rsidR="006B3C7E" w:rsidRPr="00EC3B99" w:rsidRDefault="006B3C7E" w:rsidP="006B3C7E">
      <w:pPr>
        <w:pStyle w:val="Sinespaciado"/>
        <w:spacing w:after="120" w:line="276" w:lineRule="auto"/>
        <w:ind w:left="708"/>
        <w:jc w:val="both"/>
        <w:rPr>
          <w:rFonts w:ascii="Palatino Linotype" w:hAnsi="Palatino Linotype"/>
          <w:i/>
        </w:rPr>
      </w:pPr>
      <w:r w:rsidRPr="00EC3B99">
        <w:rPr>
          <w:rFonts w:ascii="Palatino Linotype" w:hAnsi="Palatino Linotype"/>
          <w:i/>
        </w:rPr>
        <w:t xml:space="preserve">El incumplimiento de lo dispuesto en la presente </w:t>
      </w:r>
      <w:r>
        <w:rPr>
          <w:rFonts w:ascii="Palatino Linotype" w:hAnsi="Palatino Linotype"/>
          <w:i/>
        </w:rPr>
        <w:t>o</w:t>
      </w:r>
      <w:r w:rsidRPr="00EC3B99">
        <w:rPr>
          <w:rFonts w:ascii="Palatino Linotype" w:hAnsi="Palatino Linotype"/>
          <w:i/>
        </w:rPr>
        <w:t>rdenanza y en la normativa metropolitana y nacional vigente al respecto, dará lugar a la imposición de las sanciones correspondientes.</w:t>
      </w:r>
    </w:p>
    <w:p w:rsidR="006B3C7E" w:rsidRPr="00EC3B99" w:rsidRDefault="006B3C7E" w:rsidP="006B3C7E">
      <w:pPr>
        <w:pStyle w:val="Sinespaciado"/>
        <w:spacing w:after="120" w:line="276" w:lineRule="auto"/>
        <w:ind w:left="708"/>
        <w:jc w:val="both"/>
        <w:rPr>
          <w:rFonts w:ascii="Palatino Linotype" w:hAnsi="Palatino Linotype"/>
          <w:i/>
        </w:rPr>
      </w:pPr>
      <w:r w:rsidRPr="00EC3B99">
        <w:rPr>
          <w:rFonts w:ascii="Palatino Linotype" w:hAnsi="Palatino Linotype"/>
          <w:i/>
        </w:rPr>
        <w:t>Por las condiciones del asentamiento humano de hecho y consolidado se lo aprueba considerándolo de interés social.”</w:t>
      </w:r>
    </w:p>
    <w:p w:rsidR="006B3C7E" w:rsidRPr="00EC3B99" w:rsidRDefault="006B3C7E" w:rsidP="006B3C7E">
      <w:pPr>
        <w:pStyle w:val="Ttulo7"/>
        <w:tabs>
          <w:tab w:val="left" w:pos="709"/>
        </w:tabs>
        <w:spacing w:before="0" w:after="120" w:line="276" w:lineRule="auto"/>
        <w:jc w:val="both"/>
        <w:rPr>
          <w:rFonts w:ascii="Palatino Linotype" w:hAnsi="Palatino Linotype"/>
          <w:sz w:val="22"/>
          <w:szCs w:val="22"/>
        </w:rPr>
      </w:pPr>
      <w:r w:rsidRPr="00EC3B99">
        <w:rPr>
          <w:rFonts w:ascii="Palatino Linotype" w:hAnsi="Palatino Linotype"/>
          <w:b/>
          <w:bCs/>
          <w:sz w:val="22"/>
          <w:szCs w:val="22"/>
        </w:rPr>
        <w:t>Artículo 3</w:t>
      </w:r>
      <w:r w:rsidRPr="00EC3B99">
        <w:rPr>
          <w:rFonts w:ascii="Palatino Linotype" w:hAnsi="Palatino Linotype"/>
          <w:bCs/>
          <w:sz w:val="22"/>
          <w:szCs w:val="22"/>
        </w:rPr>
        <w:t xml:space="preserve">.- </w:t>
      </w:r>
      <w:r w:rsidRPr="00EC3B99">
        <w:rPr>
          <w:rFonts w:ascii="Palatino Linotype" w:hAnsi="Palatino Linotype"/>
          <w:sz w:val="22"/>
          <w:szCs w:val="22"/>
        </w:rPr>
        <w:t xml:space="preserve">En el artículo 1 de la Ordenanza Reformatoria </w:t>
      </w:r>
      <w:r w:rsidR="00005F98">
        <w:rPr>
          <w:rFonts w:ascii="Palatino Linotype" w:hAnsi="Palatino Linotype"/>
          <w:sz w:val="22"/>
          <w:szCs w:val="22"/>
        </w:rPr>
        <w:t xml:space="preserve">No. </w:t>
      </w:r>
      <w:r w:rsidRPr="00EC3B99">
        <w:rPr>
          <w:rFonts w:ascii="Palatino Linotype" w:hAnsi="Palatino Linotype"/>
          <w:sz w:val="22"/>
          <w:szCs w:val="22"/>
        </w:rPr>
        <w:t>0469</w:t>
      </w:r>
      <w:r w:rsidR="00005F98">
        <w:rPr>
          <w:rFonts w:ascii="Palatino Linotype" w:hAnsi="Palatino Linotype"/>
          <w:sz w:val="22"/>
          <w:szCs w:val="22"/>
        </w:rPr>
        <w:t xml:space="preserve">, sancionada el </w:t>
      </w:r>
      <w:r w:rsidRPr="00EC3B99">
        <w:rPr>
          <w:rFonts w:ascii="Palatino Linotype" w:hAnsi="Palatino Linotype"/>
          <w:sz w:val="22"/>
          <w:szCs w:val="22"/>
        </w:rPr>
        <w:t xml:space="preserve">9 de diciembre de 2013, donde se sustituye el artículo 2 de la </w:t>
      </w:r>
      <w:r w:rsidR="00005F98">
        <w:rPr>
          <w:rFonts w:ascii="Palatino Linotype" w:hAnsi="Palatino Linotype"/>
          <w:sz w:val="22"/>
          <w:szCs w:val="22"/>
        </w:rPr>
        <w:t>O</w:t>
      </w:r>
      <w:r w:rsidRPr="00EC3B99">
        <w:rPr>
          <w:rFonts w:ascii="Palatino Linotype" w:hAnsi="Palatino Linotype"/>
          <w:sz w:val="22"/>
          <w:szCs w:val="22"/>
        </w:rPr>
        <w:t>rdenanza No. 346</w:t>
      </w:r>
      <w:r w:rsidR="00005F98">
        <w:rPr>
          <w:rFonts w:ascii="Palatino Linotype" w:hAnsi="Palatino Linotype"/>
          <w:sz w:val="22"/>
          <w:szCs w:val="22"/>
        </w:rPr>
        <w:t>, de</w:t>
      </w:r>
      <w:r w:rsidRPr="00EC3B99">
        <w:rPr>
          <w:rFonts w:ascii="Palatino Linotype" w:hAnsi="Palatino Linotype"/>
          <w:sz w:val="22"/>
          <w:szCs w:val="22"/>
        </w:rPr>
        <w:t xml:space="preserve"> 11 de enero de 2013, sustitúyanse las especificaciones técnicas desde el “</w:t>
      </w:r>
      <w:r w:rsidRPr="00EC3B99">
        <w:rPr>
          <w:rFonts w:ascii="Palatino Linotype" w:hAnsi="Palatino Linotype"/>
          <w:i/>
          <w:sz w:val="22"/>
          <w:szCs w:val="22"/>
        </w:rPr>
        <w:t>Área útil de lotes”</w:t>
      </w:r>
      <w:r w:rsidRPr="00EC3B99">
        <w:rPr>
          <w:rFonts w:ascii="Palatino Linotype" w:hAnsi="Palatino Linotype"/>
          <w:sz w:val="22"/>
          <w:szCs w:val="22"/>
        </w:rPr>
        <w:t>, hasta “</w:t>
      </w:r>
      <w:r w:rsidRPr="00EC3B99">
        <w:rPr>
          <w:rFonts w:ascii="Palatino Linotype" w:hAnsi="Palatino Linotype"/>
          <w:i/>
          <w:sz w:val="22"/>
          <w:szCs w:val="22"/>
        </w:rPr>
        <w:t xml:space="preserve">Área total de predios (Lev. </w:t>
      </w:r>
      <w:proofErr w:type="spellStart"/>
      <w:r w:rsidRPr="00EC3B99">
        <w:rPr>
          <w:rFonts w:ascii="Palatino Linotype" w:hAnsi="Palatino Linotype"/>
          <w:i/>
          <w:sz w:val="22"/>
          <w:szCs w:val="22"/>
        </w:rPr>
        <w:t>Topog</w:t>
      </w:r>
      <w:proofErr w:type="spellEnd"/>
      <w:r w:rsidRPr="00EC3B99">
        <w:rPr>
          <w:rFonts w:ascii="Palatino Linotype" w:hAnsi="Palatino Linotype"/>
          <w:i/>
          <w:sz w:val="22"/>
          <w:szCs w:val="22"/>
        </w:rPr>
        <w:t>.) 46.778,00</w:t>
      </w:r>
      <w:r w:rsidR="00005F98">
        <w:rPr>
          <w:rFonts w:ascii="Palatino Linotype" w:hAnsi="Palatino Linotype"/>
          <w:i/>
          <w:sz w:val="22"/>
          <w:szCs w:val="22"/>
        </w:rPr>
        <w:t xml:space="preserve"> </w:t>
      </w:r>
      <w:r w:rsidRPr="00EC3B99">
        <w:rPr>
          <w:rFonts w:ascii="Palatino Linotype" w:hAnsi="Palatino Linotype"/>
          <w:i/>
          <w:sz w:val="22"/>
          <w:szCs w:val="22"/>
        </w:rPr>
        <w:t>m</w:t>
      </w:r>
      <w:r w:rsidRPr="00005F98">
        <w:rPr>
          <w:rFonts w:ascii="Palatino Linotype" w:hAnsi="Palatino Linotype"/>
          <w:i/>
          <w:sz w:val="22"/>
          <w:szCs w:val="22"/>
          <w:vertAlign w:val="superscript"/>
        </w:rPr>
        <w:t>2</w:t>
      </w:r>
      <w:r w:rsidRPr="00EC3B99">
        <w:rPr>
          <w:rFonts w:ascii="Palatino Linotype" w:hAnsi="Palatino Linotype"/>
          <w:i/>
          <w:sz w:val="22"/>
          <w:szCs w:val="22"/>
        </w:rPr>
        <w:t>”</w:t>
      </w:r>
      <w:r w:rsidRPr="00EC3B99">
        <w:rPr>
          <w:rFonts w:ascii="Palatino Linotype" w:hAnsi="Palatino Linotype"/>
          <w:sz w:val="22"/>
          <w:szCs w:val="22"/>
        </w:rPr>
        <w:t>, por el siguiente texto:</w:t>
      </w:r>
    </w:p>
    <w:p w:rsidR="006B3C7E" w:rsidRPr="00EC3B99" w:rsidRDefault="006B3C7E" w:rsidP="006B3C7E">
      <w:pPr>
        <w:tabs>
          <w:tab w:val="left" w:pos="4920"/>
        </w:tabs>
        <w:spacing w:after="120" w:line="276" w:lineRule="auto"/>
        <w:ind w:left="708"/>
        <w:rPr>
          <w:rFonts w:ascii="Palatino Linotype" w:hAnsi="Palatino Linotype"/>
          <w:i/>
          <w:sz w:val="22"/>
          <w:szCs w:val="22"/>
        </w:rPr>
      </w:pPr>
      <w:r w:rsidRPr="006B3C7E">
        <w:rPr>
          <w:rFonts w:ascii="Palatino Linotype" w:hAnsi="Palatino Linotype"/>
          <w:b/>
          <w:i/>
          <w:sz w:val="22"/>
          <w:szCs w:val="22"/>
        </w:rPr>
        <w:t>“Área útil de lotes:</w:t>
      </w:r>
      <w:r w:rsidRPr="00EC3B99">
        <w:rPr>
          <w:rFonts w:ascii="Palatino Linotype" w:hAnsi="Palatino Linotype"/>
          <w:i/>
          <w:sz w:val="22"/>
          <w:szCs w:val="22"/>
        </w:rPr>
        <w:t xml:space="preserve">                                                  </w:t>
      </w:r>
      <w:r>
        <w:rPr>
          <w:rFonts w:ascii="Palatino Linotype" w:hAnsi="Palatino Linotype"/>
          <w:i/>
          <w:sz w:val="22"/>
          <w:szCs w:val="22"/>
        </w:rPr>
        <w:tab/>
      </w:r>
      <w:r w:rsidRPr="00EC3B99">
        <w:rPr>
          <w:rFonts w:ascii="Palatino Linotype" w:hAnsi="Palatino Linotype"/>
          <w:i/>
          <w:sz w:val="22"/>
          <w:szCs w:val="22"/>
        </w:rPr>
        <w:t>30.244,29</w:t>
      </w:r>
      <w:r>
        <w:rPr>
          <w:rFonts w:ascii="Palatino Linotype" w:hAnsi="Palatino Linotype"/>
          <w:i/>
          <w:sz w:val="22"/>
          <w:szCs w:val="22"/>
        </w:rPr>
        <w:t xml:space="preserve"> </w:t>
      </w:r>
      <w:r w:rsidRPr="00EC3B99">
        <w:rPr>
          <w:rFonts w:ascii="Palatino Linotype" w:hAnsi="Palatino Linotype"/>
          <w:i/>
          <w:sz w:val="22"/>
          <w:szCs w:val="22"/>
        </w:rPr>
        <w:t>m</w:t>
      </w:r>
      <w:r w:rsidRPr="00005F98">
        <w:rPr>
          <w:rFonts w:ascii="Palatino Linotype" w:hAnsi="Palatino Linotype"/>
          <w:i/>
          <w:sz w:val="22"/>
          <w:szCs w:val="22"/>
          <w:vertAlign w:val="superscript"/>
        </w:rPr>
        <w:t>2</w:t>
      </w:r>
    </w:p>
    <w:p w:rsidR="006B3C7E" w:rsidRPr="00EC3B99" w:rsidRDefault="006B3C7E" w:rsidP="006B3C7E">
      <w:pPr>
        <w:tabs>
          <w:tab w:val="left" w:pos="4920"/>
        </w:tabs>
        <w:spacing w:after="120" w:line="276" w:lineRule="auto"/>
        <w:ind w:left="708"/>
        <w:rPr>
          <w:rFonts w:ascii="Palatino Linotype" w:hAnsi="Palatino Linotype"/>
          <w:i/>
          <w:sz w:val="22"/>
          <w:szCs w:val="22"/>
        </w:rPr>
      </w:pPr>
      <w:r w:rsidRPr="006B3C7E">
        <w:rPr>
          <w:rFonts w:ascii="Palatino Linotype" w:hAnsi="Palatino Linotype"/>
          <w:b/>
          <w:i/>
          <w:sz w:val="22"/>
          <w:szCs w:val="22"/>
        </w:rPr>
        <w:t>Área de vías y pasajes:</w:t>
      </w:r>
      <w:r w:rsidRPr="00EC3B99">
        <w:rPr>
          <w:rFonts w:ascii="Palatino Linotype" w:hAnsi="Palatino Linotype"/>
          <w:i/>
          <w:sz w:val="22"/>
          <w:szCs w:val="22"/>
        </w:rPr>
        <w:t xml:space="preserve">                                            </w:t>
      </w:r>
      <w:r>
        <w:rPr>
          <w:rFonts w:ascii="Palatino Linotype" w:hAnsi="Palatino Linotype"/>
          <w:i/>
          <w:sz w:val="22"/>
          <w:szCs w:val="22"/>
        </w:rPr>
        <w:tab/>
      </w:r>
      <w:r w:rsidRPr="00EC3B99">
        <w:rPr>
          <w:rFonts w:ascii="Palatino Linotype" w:hAnsi="Palatino Linotype"/>
          <w:i/>
          <w:sz w:val="22"/>
          <w:szCs w:val="22"/>
        </w:rPr>
        <w:t>6.194,00</w:t>
      </w:r>
      <w:r>
        <w:rPr>
          <w:rFonts w:ascii="Palatino Linotype" w:hAnsi="Palatino Linotype"/>
          <w:i/>
          <w:sz w:val="22"/>
          <w:szCs w:val="22"/>
        </w:rPr>
        <w:t xml:space="preserve"> </w:t>
      </w:r>
      <w:r w:rsidRPr="00EC3B99">
        <w:rPr>
          <w:rFonts w:ascii="Palatino Linotype" w:hAnsi="Palatino Linotype"/>
          <w:i/>
          <w:sz w:val="22"/>
          <w:szCs w:val="22"/>
        </w:rPr>
        <w:t>m</w:t>
      </w:r>
      <w:r w:rsidR="00005F98" w:rsidRPr="00005F98">
        <w:rPr>
          <w:rFonts w:ascii="Palatino Linotype" w:hAnsi="Palatino Linotype"/>
          <w:i/>
          <w:sz w:val="22"/>
          <w:szCs w:val="22"/>
          <w:vertAlign w:val="superscript"/>
        </w:rPr>
        <w:t>2</w:t>
      </w:r>
    </w:p>
    <w:p w:rsidR="006B3C7E" w:rsidRPr="00EC3B99" w:rsidRDefault="006B3C7E" w:rsidP="006B3C7E">
      <w:pPr>
        <w:tabs>
          <w:tab w:val="left" w:pos="4920"/>
        </w:tabs>
        <w:spacing w:after="120" w:line="276" w:lineRule="auto"/>
        <w:ind w:left="708"/>
        <w:rPr>
          <w:rFonts w:ascii="Palatino Linotype" w:hAnsi="Palatino Linotype"/>
          <w:i/>
          <w:sz w:val="22"/>
          <w:szCs w:val="22"/>
        </w:rPr>
      </w:pPr>
      <w:r w:rsidRPr="006B3C7E">
        <w:rPr>
          <w:rFonts w:ascii="Palatino Linotype" w:hAnsi="Palatino Linotype"/>
          <w:b/>
          <w:i/>
          <w:sz w:val="22"/>
          <w:szCs w:val="22"/>
        </w:rPr>
        <w:t>Área verde y equipamiento comunal 1:</w:t>
      </w:r>
      <w:r w:rsidRPr="00EC3B99">
        <w:rPr>
          <w:rFonts w:ascii="Palatino Linotype" w:hAnsi="Palatino Linotype"/>
          <w:i/>
          <w:sz w:val="22"/>
          <w:szCs w:val="22"/>
        </w:rPr>
        <w:tab/>
      </w:r>
      <w:proofErr w:type="gramStart"/>
      <w:r w:rsidRPr="00EC3B99">
        <w:rPr>
          <w:rFonts w:ascii="Palatino Linotype" w:hAnsi="Palatino Linotype"/>
          <w:i/>
          <w:sz w:val="22"/>
          <w:szCs w:val="22"/>
        </w:rPr>
        <w:tab/>
        <w:t xml:space="preserve">  </w:t>
      </w:r>
      <w:r>
        <w:rPr>
          <w:rFonts w:ascii="Palatino Linotype" w:hAnsi="Palatino Linotype"/>
          <w:i/>
          <w:sz w:val="22"/>
          <w:szCs w:val="22"/>
        </w:rPr>
        <w:tab/>
      </w:r>
      <w:proofErr w:type="gramEnd"/>
      <w:r w:rsidRPr="00EC3B99">
        <w:rPr>
          <w:rFonts w:ascii="Palatino Linotype" w:hAnsi="Palatino Linotype"/>
          <w:i/>
          <w:sz w:val="22"/>
          <w:szCs w:val="22"/>
        </w:rPr>
        <w:t>741,26 m</w:t>
      </w:r>
      <w:r w:rsidR="00005F98" w:rsidRPr="00005F98">
        <w:rPr>
          <w:rFonts w:ascii="Palatino Linotype" w:hAnsi="Palatino Linotype"/>
          <w:i/>
          <w:sz w:val="22"/>
          <w:szCs w:val="22"/>
          <w:vertAlign w:val="superscript"/>
        </w:rPr>
        <w:t>2</w:t>
      </w:r>
    </w:p>
    <w:p w:rsidR="006B3C7E" w:rsidRPr="00EC3B99" w:rsidRDefault="006B3C7E" w:rsidP="006B3C7E">
      <w:pPr>
        <w:tabs>
          <w:tab w:val="left" w:pos="4920"/>
        </w:tabs>
        <w:spacing w:after="120" w:line="276" w:lineRule="auto"/>
        <w:ind w:left="708"/>
        <w:rPr>
          <w:rFonts w:ascii="Palatino Linotype" w:hAnsi="Palatino Linotype"/>
          <w:i/>
          <w:sz w:val="22"/>
          <w:szCs w:val="22"/>
        </w:rPr>
      </w:pPr>
      <w:r w:rsidRPr="006B3C7E">
        <w:rPr>
          <w:rFonts w:ascii="Palatino Linotype" w:hAnsi="Palatino Linotype"/>
          <w:b/>
          <w:i/>
          <w:sz w:val="22"/>
          <w:szCs w:val="22"/>
        </w:rPr>
        <w:t>Área verde y equipamiento comunal 2:</w:t>
      </w:r>
      <w:proofErr w:type="gramStart"/>
      <w:r w:rsidRPr="00EC3B99">
        <w:rPr>
          <w:rFonts w:ascii="Palatino Linotype" w:hAnsi="Palatino Linotype"/>
          <w:i/>
          <w:sz w:val="22"/>
          <w:szCs w:val="22"/>
        </w:rPr>
        <w:tab/>
        <w:t xml:space="preserve">  </w:t>
      </w:r>
      <w:r>
        <w:rPr>
          <w:rFonts w:ascii="Palatino Linotype" w:hAnsi="Palatino Linotype"/>
          <w:i/>
          <w:sz w:val="22"/>
          <w:szCs w:val="22"/>
        </w:rPr>
        <w:tab/>
      </w:r>
      <w:proofErr w:type="gramEnd"/>
      <w:r w:rsidRPr="00EC3B99">
        <w:rPr>
          <w:rFonts w:ascii="Palatino Linotype" w:hAnsi="Palatino Linotype"/>
          <w:i/>
          <w:sz w:val="22"/>
          <w:szCs w:val="22"/>
        </w:rPr>
        <w:t>1.538,22 m</w:t>
      </w:r>
      <w:r w:rsidR="00005F98" w:rsidRPr="00005F98">
        <w:rPr>
          <w:rFonts w:ascii="Palatino Linotype" w:hAnsi="Palatino Linotype"/>
          <w:i/>
          <w:sz w:val="22"/>
          <w:szCs w:val="22"/>
          <w:vertAlign w:val="superscript"/>
        </w:rPr>
        <w:t>2</w:t>
      </w:r>
    </w:p>
    <w:p w:rsidR="006B3C7E" w:rsidRPr="00EC3B99" w:rsidRDefault="006B3C7E" w:rsidP="006B3C7E">
      <w:pPr>
        <w:tabs>
          <w:tab w:val="left" w:pos="4920"/>
        </w:tabs>
        <w:spacing w:after="120" w:line="276" w:lineRule="auto"/>
        <w:ind w:left="708"/>
        <w:rPr>
          <w:rFonts w:ascii="Palatino Linotype" w:hAnsi="Palatino Linotype"/>
          <w:i/>
          <w:sz w:val="22"/>
          <w:szCs w:val="22"/>
        </w:rPr>
      </w:pPr>
      <w:r w:rsidRPr="006B3C7E">
        <w:rPr>
          <w:rFonts w:ascii="Palatino Linotype" w:hAnsi="Palatino Linotype"/>
          <w:b/>
          <w:i/>
          <w:sz w:val="22"/>
          <w:szCs w:val="22"/>
        </w:rPr>
        <w:t>Área faja afectación de talud (lotes):</w:t>
      </w:r>
      <w:r w:rsidRPr="00EC3B99">
        <w:rPr>
          <w:rFonts w:ascii="Palatino Linotype" w:hAnsi="Palatino Linotype"/>
          <w:i/>
          <w:sz w:val="22"/>
          <w:szCs w:val="22"/>
        </w:rPr>
        <w:t xml:space="preserve">                         949,00 m</w:t>
      </w:r>
      <w:r w:rsidR="00005F98" w:rsidRPr="00005F98">
        <w:rPr>
          <w:rFonts w:ascii="Palatino Linotype" w:hAnsi="Palatino Linotype"/>
          <w:i/>
          <w:sz w:val="22"/>
          <w:szCs w:val="22"/>
          <w:vertAlign w:val="superscript"/>
        </w:rPr>
        <w:t>2</w:t>
      </w:r>
    </w:p>
    <w:p w:rsidR="006B3C7E" w:rsidRPr="00EC3B99" w:rsidRDefault="006B3C7E" w:rsidP="006B3C7E">
      <w:pPr>
        <w:tabs>
          <w:tab w:val="left" w:pos="4920"/>
        </w:tabs>
        <w:spacing w:after="120" w:line="276" w:lineRule="auto"/>
        <w:ind w:left="708"/>
        <w:rPr>
          <w:rFonts w:ascii="Palatino Linotype" w:hAnsi="Palatino Linotype"/>
          <w:i/>
          <w:sz w:val="22"/>
          <w:szCs w:val="22"/>
        </w:rPr>
      </w:pPr>
      <w:r w:rsidRPr="006B3C7E">
        <w:rPr>
          <w:rFonts w:ascii="Palatino Linotype" w:hAnsi="Palatino Linotype"/>
          <w:b/>
          <w:i/>
          <w:sz w:val="22"/>
          <w:szCs w:val="22"/>
        </w:rPr>
        <w:t>Área bruta del terreno (área total):</w:t>
      </w:r>
      <w:r w:rsidRPr="00EC3B99">
        <w:rPr>
          <w:rFonts w:ascii="Palatino Linotype" w:hAnsi="Palatino Linotype"/>
          <w:i/>
          <w:sz w:val="22"/>
          <w:szCs w:val="22"/>
        </w:rPr>
        <w:t xml:space="preserve">                            39.666,77 m</w:t>
      </w:r>
      <w:r w:rsidR="00005F98" w:rsidRPr="00005F98">
        <w:rPr>
          <w:rFonts w:ascii="Palatino Linotype" w:hAnsi="Palatino Linotype"/>
          <w:i/>
          <w:sz w:val="22"/>
          <w:szCs w:val="22"/>
          <w:vertAlign w:val="superscript"/>
        </w:rPr>
        <w:t>2</w:t>
      </w:r>
      <w:r w:rsidRPr="00EC3B99">
        <w:rPr>
          <w:rFonts w:ascii="Palatino Linotype" w:hAnsi="Palatino Linotype"/>
          <w:i/>
          <w:sz w:val="22"/>
          <w:szCs w:val="22"/>
        </w:rPr>
        <w:t>”</w:t>
      </w:r>
    </w:p>
    <w:p w:rsidR="006B3C7E" w:rsidRPr="00EC3B99" w:rsidRDefault="006B3C7E" w:rsidP="006B3C7E">
      <w:pPr>
        <w:spacing w:after="120" w:line="276" w:lineRule="auto"/>
        <w:jc w:val="both"/>
        <w:rPr>
          <w:rFonts w:ascii="Palatino Linotype" w:hAnsi="Palatino Linotype"/>
          <w:sz w:val="22"/>
          <w:szCs w:val="22"/>
        </w:rPr>
      </w:pPr>
      <w:r w:rsidRPr="00EC3B99">
        <w:rPr>
          <w:rFonts w:ascii="Palatino Linotype" w:hAnsi="Palatino Linotype"/>
          <w:b/>
          <w:bCs/>
          <w:sz w:val="22"/>
          <w:szCs w:val="22"/>
        </w:rPr>
        <w:t xml:space="preserve">Artículo 4.- </w:t>
      </w:r>
      <w:r w:rsidRPr="00EC3B99">
        <w:rPr>
          <w:rFonts w:ascii="Palatino Linotype" w:hAnsi="Palatino Linotype"/>
          <w:bCs/>
          <w:sz w:val="22"/>
          <w:szCs w:val="22"/>
        </w:rPr>
        <w:t>D</w:t>
      </w:r>
      <w:r w:rsidR="00005F98">
        <w:rPr>
          <w:rFonts w:ascii="Palatino Linotype" w:hAnsi="Palatino Linotype"/>
          <w:bCs/>
          <w:sz w:val="22"/>
          <w:szCs w:val="22"/>
        </w:rPr>
        <w:t>eróguese</w:t>
      </w:r>
      <w:r w:rsidRPr="00EC3B99">
        <w:rPr>
          <w:rFonts w:ascii="Palatino Linotype" w:hAnsi="Palatino Linotype"/>
          <w:bCs/>
          <w:sz w:val="22"/>
          <w:szCs w:val="22"/>
        </w:rPr>
        <w:t xml:space="preserve"> el artículo 3 de la </w:t>
      </w:r>
      <w:r w:rsidRPr="00EC3B99">
        <w:rPr>
          <w:rFonts w:ascii="Palatino Linotype" w:hAnsi="Palatino Linotype"/>
          <w:sz w:val="22"/>
          <w:szCs w:val="22"/>
        </w:rPr>
        <w:t xml:space="preserve">Ordenanza Reformatoria </w:t>
      </w:r>
      <w:r w:rsidR="00005F98">
        <w:rPr>
          <w:rFonts w:ascii="Palatino Linotype" w:hAnsi="Palatino Linotype"/>
          <w:sz w:val="22"/>
          <w:szCs w:val="22"/>
        </w:rPr>
        <w:t xml:space="preserve">No. </w:t>
      </w:r>
      <w:r w:rsidRPr="00EC3B99">
        <w:rPr>
          <w:rFonts w:ascii="Palatino Linotype" w:hAnsi="Palatino Linotype"/>
          <w:sz w:val="22"/>
          <w:szCs w:val="22"/>
        </w:rPr>
        <w:t>0469</w:t>
      </w:r>
      <w:r w:rsidR="00005F98">
        <w:rPr>
          <w:rFonts w:ascii="Palatino Linotype" w:hAnsi="Palatino Linotype"/>
          <w:sz w:val="22"/>
          <w:szCs w:val="22"/>
        </w:rPr>
        <w:t>,</w:t>
      </w:r>
      <w:r w:rsidRPr="00EC3B99">
        <w:rPr>
          <w:rFonts w:ascii="Palatino Linotype" w:hAnsi="Palatino Linotype"/>
          <w:sz w:val="22"/>
          <w:szCs w:val="22"/>
        </w:rPr>
        <w:t xml:space="preserve"> sancionada el 9 de diciembre de 2013, donde se sustituye el artículo 5 de la ordenanza No. 346 del 11 de enero de 2013.</w:t>
      </w:r>
      <w:r w:rsidRPr="00EC3B99">
        <w:rPr>
          <w:rFonts w:ascii="Palatino Linotype" w:hAnsi="Palatino Linotype"/>
          <w:bCs/>
          <w:sz w:val="22"/>
          <w:szCs w:val="22"/>
        </w:rPr>
        <w:t xml:space="preserve"> </w:t>
      </w:r>
    </w:p>
    <w:p w:rsidR="006B3C7E" w:rsidRPr="00EC3B99" w:rsidRDefault="006B3C7E" w:rsidP="006B3C7E">
      <w:pPr>
        <w:spacing w:after="120" w:line="276" w:lineRule="auto"/>
        <w:jc w:val="both"/>
        <w:rPr>
          <w:rFonts w:ascii="Palatino Linotype" w:hAnsi="Palatino Linotype"/>
          <w:sz w:val="22"/>
          <w:szCs w:val="22"/>
        </w:rPr>
      </w:pPr>
      <w:r w:rsidRPr="00EC3B99">
        <w:rPr>
          <w:rFonts w:ascii="Palatino Linotype" w:hAnsi="Palatino Linotype"/>
          <w:b/>
          <w:bCs/>
          <w:sz w:val="22"/>
          <w:szCs w:val="22"/>
        </w:rPr>
        <w:t xml:space="preserve">Artículo 5.- </w:t>
      </w:r>
      <w:r w:rsidRPr="00EC3B99">
        <w:rPr>
          <w:rFonts w:ascii="Palatino Linotype" w:hAnsi="Palatino Linotype"/>
          <w:bCs/>
          <w:sz w:val="22"/>
          <w:szCs w:val="22"/>
        </w:rPr>
        <w:t xml:space="preserve">Sustitúyase el artículo 4 de la </w:t>
      </w:r>
      <w:r w:rsidRPr="00EC3B99">
        <w:rPr>
          <w:rFonts w:ascii="Palatino Linotype" w:hAnsi="Palatino Linotype"/>
          <w:sz w:val="22"/>
          <w:szCs w:val="22"/>
        </w:rPr>
        <w:t>Ordenanza Reformatoria 0469</w:t>
      </w:r>
      <w:r w:rsidR="00005F98">
        <w:rPr>
          <w:rFonts w:ascii="Palatino Linotype" w:hAnsi="Palatino Linotype"/>
          <w:sz w:val="22"/>
          <w:szCs w:val="22"/>
        </w:rPr>
        <w:t xml:space="preserve">, sancionada el </w:t>
      </w:r>
      <w:r w:rsidRPr="00EC3B99">
        <w:rPr>
          <w:rFonts w:ascii="Palatino Linotype" w:hAnsi="Palatino Linotype"/>
          <w:sz w:val="22"/>
          <w:szCs w:val="22"/>
        </w:rPr>
        <w:t xml:space="preserve">9 de diciembre de 2013, donde se sustituye el artículo 6 de la ordenanza No. 346 del 11 de enero de 2013, </w:t>
      </w:r>
      <w:r w:rsidRPr="00EC3B99">
        <w:rPr>
          <w:rFonts w:ascii="Palatino Linotype" w:hAnsi="Palatino Linotype"/>
          <w:bCs/>
          <w:sz w:val="22"/>
          <w:szCs w:val="22"/>
        </w:rPr>
        <w:t>por el siguiente texto:</w:t>
      </w:r>
    </w:p>
    <w:p w:rsidR="006B3C7E" w:rsidRDefault="006B3C7E" w:rsidP="00005F98">
      <w:pPr>
        <w:spacing w:after="120" w:line="276" w:lineRule="auto"/>
        <w:ind w:left="708"/>
        <w:jc w:val="both"/>
        <w:rPr>
          <w:rFonts w:ascii="Palatino Linotype" w:hAnsi="Palatino Linotype"/>
          <w:i/>
          <w:sz w:val="22"/>
          <w:szCs w:val="22"/>
        </w:rPr>
      </w:pPr>
      <w:r w:rsidRPr="00005F98">
        <w:rPr>
          <w:rFonts w:ascii="Palatino Linotype" w:hAnsi="Palatino Linotype"/>
          <w:b/>
          <w:bCs/>
          <w:i/>
          <w:sz w:val="22"/>
          <w:szCs w:val="22"/>
        </w:rPr>
        <w:t xml:space="preserve">“Del </w:t>
      </w:r>
      <w:r w:rsidR="00005F98" w:rsidRPr="00005F98">
        <w:rPr>
          <w:rFonts w:ascii="Palatino Linotype" w:hAnsi="Palatino Linotype"/>
          <w:b/>
          <w:bCs/>
          <w:i/>
          <w:sz w:val="22"/>
          <w:szCs w:val="22"/>
        </w:rPr>
        <w:t xml:space="preserve">área verde y de equipamiento </w:t>
      </w:r>
      <w:proofErr w:type="gramStart"/>
      <w:r w:rsidR="00005F98" w:rsidRPr="00005F98">
        <w:rPr>
          <w:rFonts w:ascii="Palatino Linotype" w:hAnsi="Palatino Linotype"/>
          <w:b/>
          <w:bCs/>
          <w:i/>
          <w:sz w:val="22"/>
          <w:szCs w:val="22"/>
        </w:rPr>
        <w:t>comunal</w:t>
      </w:r>
      <w:r w:rsidRPr="00005F98">
        <w:rPr>
          <w:rFonts w:ascii="Palatino Linotype" w:hAnsi="Palatino Linotype"/>
          <w:b/>
          <w:bCs/>
          <w:i/>
          <w:sz w:val="22"/>
          <w:szCs w:val="22"/>
        </w:rPr>
        <w:t>.-</w:t>
      </w:r>
      <w:proofErr w:type="gramEnd"/>
      <w:r w:rsidRPr="00005F98">
        <w:rPr>
          <w:rFonts w:ascii="Palatino Linotype" w:hAnsi="Palatino Linotype"/>
          <w:bCs/>
          <w:i/>
          <w:sz w:val="22"/>
          <w:szCs w:val="22"/>
        </w:rPr>
        <w:t xml:space="preserve"> El </w:t>
      </w:r>
      <w:r w:rsidRPr="00005F98">
        <w:rPr>
          <w:rFonts w:ascii="Palatino Linotype" w:hAnsi="Palatino Linotype"/>
          <w:i/>
          <w:sz w:val="22"/>
          <w:szCs w:val="22"/>
        </w:rPr>
        <w:t>Asentamiento Humano de Hecho y Consolidado de Interés Social denominado “</w:t>
      </w:r>
      <w:r w:rsidRPr="00005F98">
        <w:rPr>
          <w:rFonts w:ascii="Palatino Linotype" w:hAnsi="Palatino Linotype" w:cs="Arial"/>
          <w:i/>
          <w:sz w:val="22"/>
          <w:szCs w:val="22"/>
        </w:rPr>
        <w:t>Comité</w:t>
      </w:r>
      <w:r w:rsidRPr="00005F98">
        <w:rPr>
          <w:rFonts w:ascii="Palatino Linotype" w:hAnsi="Palatino Linotype" w:cs="Arial"/>
          <w:b/>
          <w:i/>
          <w:sz w:val="22"/>
          <w:szCs w:val="22"/>
        </w:rPr>
        <w:t xml:space="preserve"> </w:t>
      </w:r>
      <w:r w:rsidRPr="00005F98">
        <w:rPr>
          <w:rFonts w:ascii="Palatino Linotype" w:hAnsi="Palatino Linotype" w:cs="Arial"/>
          <w:i/>
          <w:sz w:val="22"/>
          <w:szCs w:val="22"/>
        </w:rPr>
        <w:t xml:space="preserve">Pro Mejoras Balcón </w:t>
      </w:r>
      <w:proofErr w:type="spellStart"/>
      <w:r w:rsidRPr="00005F98">
        <w:rPr>
          <w:rFonts w:ascii="Palatino Linotype" w:hAnsi="Palatino Linotype" w:cs="Arial"/>
          <w:i/>
          <w:sz w:val="22"/>
          <w:szCs w:val="22"/>
        </w:rPr>
        <w:t>Yaruqueño</w:t>
      </w:r>
      <w:proofErr w:type="spellEnd"/>
      <w:r w:rsidRPr="00005F98">
        <w:rPr>
          <w:rFonts w:ascii="Palatino Linotype" w:hAnsi="Palatino Linotype" w:cs="Arial"/>
          <w:i/>
          <w:sz w:val="22"/>
          <w:szCs w:val="22"/>
        </w:rPr>
        <w:t xml:space="preserve"> y La Buena </w:t>
      </w:r>
      <w:r w:rsidRPr="00005F98">
        <w:rPr>
          <w:rFonts w:ascii="Palatino Linotype" w:hAnsi="Palatino Linotype"/>
          <w:i/>
          <w:sz w:val="22"/>
          <w:szCs w:val="22"/>
        </w:rPr>
        <w:t xml:space="preserve">Esperanza”, transfiere al Municipio del Distrito Metropolitano de Quito, como contribución de áreas verdes y áreas de equipamiento comunal, </w:t>
      </w:r>
      <w:r w:rsidRPr="00005F98">
        <w:rPr>
          <w:rFonts w:ascii="Palatino Linotype" w:hAnsi="Palatino Linotype"/>
          <w:bCs/>
          <w:i/>
          <w:sz w:val="22"/>
          <w:szCs w:val="22"/>
        </w:rPr>
        <w:t xml:space="preserve">2.279,48 </w:t>
      </w:r>
      <w:r w:rsidRPr="00005F98">
        <w:rPr>
          <w:rFonts w:ascii="Palatino Linotype" w:hAnsi="Palatino Linotype"/>
          <w:i/>
          <w:sz w:val="22"/>
          <w:szCs w:val="22"/>
        </w:rPr>
        <w:t>m</w:t>
      </w:r>
      <w:r w:rsidRPr="00005F98">
        <w:rPr>
          <w:rFonts w:ascii="Palatino Linotype" w:hAnsi="Palatino Linotype"/>
          <w:i/>
          <w:sz w:val="22"/>
          <w:szCs w:val="22"/>
          <w:vertAlign w:val="superscript"/>
        </w:rPr>
        <w:t>2</w:t>
      </w:r>
      <w:r w:rsidRPr="00005F98">
        <w:rPr>
          <w:rFonts w:ascii="Palatino Linotype" w:hAnsi="Palatino Linotype"/>
          <w:i/>
          <w:sz w:val="22"/>
          <w:szCs w:val="22"/>
        </w:rPr>
        <w:t>, del área útil de los lotes, de conformidad al siguiente detalle:</w:t>
      </w:r>
    </w:p>
    <w:p w:rsidR="00B11E27" w:rsidRDefault="00B11E27" w:rsidP="00005F98">
      <w:pPr>
        <w:spacing w:after="120" w:line="276" w:lineRule="auto"/>
        <w:ind w:left="708"/>
        <w:jc w:val="both"/>
        <w:rPr>
          <w:rFonts w:ascii="Palatino Linotype" w:hAnsi="Palatino Linotype"/>
          <w:i/>
          <w:sz w:val="22"/>
          <w:szCs w:val="22"/>
        </w:rPr>
      </w:pPr>
    </w:p>
    <w:p w:rsidR="00B11E27" w:rsidRPr="00005F98" w:rsidRDefault="00B11E27" w:rsidP="00005F98">
      <w:pPr>
        <w:spacing w:after="120" w:line="276" w:lineRule="auto"/>
        <w:ind w:left="708"/>
        <w:jc w:val="both"/>
        <w:rPr>
          <w:rFonts w:ascii="Palatino Linotype" w:hAnsi="Palatino Linotype"/>
          <w:i/>
          <w:sz w:val="22"/>
          <w:szCs w:val="22"/>
        </w:rPr>
      </w:pPr>
    </w:p>
    <w:tbl>
      <w:tblPr>
        <w:tblW w:w="5099" w:type="pc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1098"/>
        <w:gridCol w:w="1697"/>
        <w:gridCol w:w="1268"/>
        <w:gridCol w:w="1321"/>
        <w:gridCol w:w="1975"/>
      </w:tblGrid>
      <w:tr w:rsidR="006B3C7E" w:rsidRPr="00005F98" w:rsidTr="00005F98">
        <w:tc>
          <w:tcPr>
            <w:tcW w:w="5000" w:type="pct"/>
            <w:gridSpan w:val="6"/>
            <w:shd w:val="clear" w:color="auto" w:fill="auto"/>
            <w:vAlign w:val="center"/>
          </w:tcPr>
          <w:p w:rsidR="006B3C7E" w:rsidRPr="00005F98" w:rsidRDefault="006B3C7E" w:rsidP="00CF110E">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lastRenderedPageBreak/>
              <w:t>Á</w:t>
            </w:r>
            <w:r w:rsidR="00B11E27" w:rsidRPr="00005F98">
              <w:rPr>
                <w:rFonts w:ascii="Palatino Linotype" w:hAnsi="Palatino Linotype" w:cs="Calibri"/>
                <w:b/>
                <w:i/>
                <w:sz w:val="22"/>
                <w:szCs w:val="22"/>
              </w:rPr>
              <w:t>reas verdes</w:t>
            </w:r>
          </w:p>
        </w:tc>
      </w:tr>
      <w:tr w:rsidR="006B3C7E" w:rsidRPr="00005F98" w:rsidTr="00005F98">
        <w:tc>
          <w:tcPr>
            <w:tcW w:w="890" w:type="pct"/>
            <w:vMerge w:val="restart"/>
            <w:shd w:val="clear" w:color="auto" w:fill="auto"/>
            <w:vAlign w:val="center"/>
          </w:tcPr>
          <w:p w:rsidR="00B11E27" w:rsidRDefault="00B11E27" w:rsidP="00CF110E">
            <w:pPr>
              <w:spacing w:after="120" w:line="276" w:lineRule="auto"/>
              <w:jc w:val="center"/>
              <w:rPr>
                <w:rFonts w:ascii="Palatino Linotype" w:hAnsi="Palatino Linotype" w:cs="Calibri"/>
                <w:b/>
                <w:i/>
                <w:sz w:val="22"/>
                <w:szCs w:val="22"/>
              </w:rPr>
            </w:pPr>
          </w:p>
          <w:p w:rsidR="00B11E27" w:rsidRDefault="00B11E27" w:rsidP="00CF110E">
            <w:pPr>
              <w:spacing w:after="120" w:line="276" w:lineRule="auto"/>
              <w:jc w:val="center"/>
              <w:rPr>
                <w:rFonts w:ascii="Palatino Linotype" w:hAnsi="Palatino Linotype" w:cs="Calibri"/>
                <w:b/>
                <w:i/>
                <w:sz w:val="22"/>
                <w:szCs w:val="22"/>
              </w:rPr>
            </w:pPr>
          </w:p>
          <w:p w:rsidR="00B11E27" w:rsidRDefault="00B11E27" w:rsidP="00CF110E">
            <w:pPr>
              <w:spacing w:after="120" w:line="276" w:lineRule="auto"/>
              <w:jc w:val="center"/>
              <w:rPr>
                <w:rFonts w:ascii="Palatino Linotype" w:hAnsi="Palatino Linotype" w:cs="Calibri"/>
                <w:b/>
                <w:i/>
                <w:sz w:val="22"/>
                <w:szCs w:val="22"/>
              </w:rPr>
            </w:pPr>
          </w:p>
          <w:p w:rsidR="00B11E27" w:rsidRDefault="00B11E27" w:rsidP="00CF110E">
            <w:pPr>
              <w:spacing w:after="120" w:line="276" w:lineRule="auto"/>
              <w:jc w:val="center"/>
              <w:rPr>
                <w:rFonts w:ascii="Palatino Linotype" w:hAnsi="Palatino Linotype" w:cs="Calibri"/>
                <w:b/>
                <w:i/>
                <w:sz w:val="22"/>
                <w:szCs w:val="22"/>
              </w:rPr>
            </w:pPr>
          </w:p>
          <w:p w:rsidR="006B3C7E" w:rsidRPr="00005F98" w:rsidRDefault="006B3C7E" w:rsidP="00CF110E">
            <w:pPr>
              <w:spacing w:after="120" w:line="276" w:lineRule="auto"/>
              <w:jc w:val="center"/>
              <w:rPr>
                <w:rFonts w:ascii="Palatino Linotype" w:hAnsi="Palatino Linotype" w:cs="Calibri"/>
                <w:i/>
                <w:sz w:val="22"/>
                <w:szCs w:val="22"/>
              </w:rPr>
            </w:pPr>
            <w:r w:rsidRPr="00005F98">
              <w:rPr>
                <w:rFonts w:ascii="Palatino Linotype" w:hAnsi="Palatino Linotype" w:cs="Calibri"/>
                <w:b/>
                <w:i/>
                <w:sz w:val="22"/>
                <w:szCs w:val="22"/>
              </w:rPr>
              <w:t xml:space="preserve">Área </w:t>
            </w:r>
            <w:r w:rsidR="00B11E27" w:rsidRPr="00005F98">
              <w:rPr>
                <w:rFonts w:ascii="Palatino Linotype" w:hAnsi="Palatino Linotype" w:cs="Calibri"/>
                <w:b/>
                <w:i/>
                <w:sz w:val="22"/>
                <w:szCs w:val="22"/>
              </w:rPr>
              <w:t xml:space="preserve">verde y equipamiento comunal </w:t>
            </w:r>
            <w:r w:rsidRPr="00005F98">
              <w:rPr>
                <w:rFonts w:ascii="Palatino Linotype" w:hAnsi="Palatino Linotype" w:cs="Calibri"/>
                <w:b/>
                <w:i/>
                <w:sz w:val="22"/>
                <w:szCs w:val="22"/>
              </w:rPr>
              <w:t>1</w:t>
            </w:r>
          </w:p>
        </w:tc>
        <w:tc>
          <w:tcPr>
            <w:tcW w:w="1561" w:type="pct"/>
            <w:gridSpan w:val="2"/>
            <w:shd w:val="clear" w:color="auto" w:fill="auto"/>
            <w:vAlign w:val="center"/>
          </w:tcPr>
          <w:p w:rsidR="006B3C7E" w:rsidRPr="00005F98" w:rsidRDefault="00B11E27" w:rsidP="00CF110E">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t>Lindero</w:t>
            </w:r>
          </w:p>
        </w:tc>
        <w:tc>
          <w:tcPr>
            <w:tcW w:w="708" w:type="pct"/>
            <w:tcBorders>
              <w:left w:val="single" w:sz="4" w:space="0" w:color="auto"/>
              <w:right w:val="single" w:sz="4" w:space="0" w:color="auto"/>
            </w:tcBorders>
            <w:shd w:val="clear" w:color="auto" w:fill="auto"/>
            <w:vAlign w:val="center"/>
          </w:tcPr>
          <w:p w:rsidR="006B3C7E" w:rsidRPr="00005F98" w:rsidRDefault="006B3C7E" w:rsidP="00CF110E">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t>En parte</w:t>
            </w:r>
          </w:p>
        </w:tc>
        <w:tc>
          <w:tcPr>
            <w:tcW w:w="738" w:type="pct"/>
            <w:tcBorders>
              <w:left w:val="single" w:sz="4" w:space="0" w:color="auto"/>
            </w:tcBorders>
            <w:shd w:val="clear" w:color="auto" w:fill="auto"/>
            <w:vAlign w:val="center"/>
          </w:tcPr>
          <w:p w:rsidR="006B3C7E" w:rsidRPr="00005F98" w:rsidRDefault="006B3C7E" w:rsidP="00CF110E">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t>Total</w:t>
            </w:r>
          </w:p>
        </w:tc>
        <w:tc>
          <w:tcPr>
            <w:tcW w:w="1103" w:type="pct"/>
            <w:tcBorders>
              <w:top w:val="single" w:sz="4" w:space="0" w:color="auto"/>
              <w:bottom w:val="single" w:sz="4" w:space="0" w:color="auto"/>
            </w:tcBorders>
            <w:shd w:val="clear" w:color="auto" w:fill="auto"/>
            <w:vAlign w:val="center"/>
          </w:tcPr>
          <w:p w:rsidR="006B3C7E" w:rsidRPr="00005F98" w:rsidRDefault="00B11E27" w:rsidP="00CF110E">
            <w:pPr>
              <w:spacing w:after="120" w:line="276" w:lineRule="auto"/>
              <w:jc w:val="center"/>
              <w:rPr>
                <w:rFonts w:ascii="Palatino Linotype" w:hAnsi="Palatino Linotype" w:cs="Calibri"/>
                <w:i/>
                <w:sz w:val="22"/>
                <w:szCs w:val="22"/>
              </w:rPr>
            </w:pPr>
            <w:r w:rsidRPr="00005F98">
              <w:rPr>
                <w:rFonts w:ascii="Palatino Linotype" w:hAnsi="Palatino Linotype" w:cs="Calibri"/>
                <w:b/>
                <w:i/>
                <w:sz w:val="22"/>
                <w:szCs w:val="22"/>
              </w:rPr>
              <w:t>Superficie</w:t>
            </w:r>
          </w:p>
        </w:tc>
      </w:tr>
      <w:tr w:rsidR="006B3C7E" w:rsidRPr="00005F98" w:rsidTr="00005F98">
        <w:trPr>
          <w:trHeight w:val="293"/>
        </w:trPr>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Norte:</w:t>
            </w:r>
          </w:p>
        </w:tc>
        <w:tc>
          <w:tcPr>
            <w:tcW w:w="948" w:type="pct"/>
            <w:shd w:val="clear" w:color="auto" w:fill="auto"/>
          </w:tcPr>
          <w:p w:rsidR="006B3C7E" w:rsidRPr="00005F98" w:rsidRDefault="006B3C7E" w:rsidP="00B11E27">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Lote N° 7</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p>
        </w:tc>
        <w:tc>
          <w:tcPr>
            <w:tcW w:w="738" w:type="pct"/>
            <w:tcBorders>
              <w:left w:val="single" w:sz="4" w:space="0" w:color="auto"/>
            </w:tcBorders>
            <w:shd w:val="clear" w:color="auto" w:fill="auto"/>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22</w:t>
            </w:r>
            <w:r w:rsidR="00843F21">
              <w:rPr>
                <w:rFonts w:ascii="Palatino Linotype" w:hAnsi="Palatino Linotype" w:cs="Calibri"/>
                <w:i/>
                <w:sz w:val="22"/>
                <w:szCs w:val="22"/>
              </w:rPr>
              <w:t>,</w:t>
            </w:r>
            <w:r w:rsidRPr="00005F98">
              <w:rPr>
                <w:rFonts w:ascii="Palatino Linotype" w:hAnsi="Palatino Linotype" w:cs="Calibri"/>
                <w:i/>
                <w:sz w:val="22"/>
                <w:szCs w:val="22"/>
              </w:rPr>
              <w:t>47</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val="restart"/>
            <w:tcBorders>
              <w:top w:val="single" w:sz="4" w:space="0" w:color="auto"/>
            </w:tcBorders>
            <w:shd w:val="clear" w:color="auto" w:fill="auto"/>
            <w:vAlign w:val="center"/>
          </w:tcPr>
          <w:p w:rsidR="006B3C7E" w:rsidRPr="00843F21" w:rsidRDefault="00843F21" w:rsidP="00CF110E">
            <w:pPr>
              <w:spacing w:after="120" w:line="276" w:lineRule="auto"/>
              <w:jc w:val="center"/>
              <w:rPr>
                <w:rFonts w:ascii="Palatino Linotype" w:hAnsi="Palatino Linotype" w:cs="Calibri"/>
                <w:i/>
                <w:sz w:val="22"/>
                <w:szCs w:val="22"/>
              </w:rPr>
            </w:pPr>
            <w:r w:rsidRPr="00843F21">
              <w:rPr>
                <w:rFonts w:ascii="Palatino Linotype" w:hAnsi="Palatino Linotype" w:cs="Calibri"/>
                <w:i/>
                <w:sz w:val="22"/>
                <w:szCs w:val="22"/>
              </w:rPr>
              <w:t>741,</w:t>
            </w:r>
            <w:r w:rsidR="006B3C7E" w:rsidRPr="00843F21">
              <w:rPr>
                <w:rFonts w:ascii="Palatino Linotype" w:hAnsi="Palatino Linotype" w:cs="Calibri"/>
                <w:i/>
                <w:sz w:val="22"/>
                <w:szCs w:val="22"/>
              </w:rPr>
              <w:t xml:space="preserve">26 </w:t>
            </w:r>
            <w:r>
              <w:rPr>
                <w:rFonts w:ascii="Palatino Linotype" w:hAnsi="Palatino Linotype" w:cs="Calibri"/>
                <w:i/>
                <w:sz w:val="22"/>
                <w:szCs w:val="22"/>
              </w:rPr>
              <w:t>m</w:t>
            </w:r>
            <w:r w:rsidR="006B3C7E" w:rsidRPr="00843F21">
              <w:rPr>
                <w:rFonts w:ascii="Palatino Linotype" w:hAnsi="Palatino Linotype" w:cs="Calibri"/>
                <w:i/>
                <w:sz w:val="22"/>
                <w:szCs w:val="22"/>
              </w:rPr>
              <w:t>²</w:t>
            </w:r>
          </w:p>
        </w:tc>
      </w:tr>
      <w:tr w:rsidR="006B3C7E" w:rsidRPr="00005F98" w:rsidTr="00005F98">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Sur:</w:t>
            </w:r>
          </w:p>
        </w:tc>
        <w:tc>
          <w:tcPr>
            <w:tcW w:w="948" w:type="pct"/>
            <w:shd w:val="clear" w:color="auto" w:fill="auto"/>
          </w:tcPr>
          <w:p w:rsidR="006B3C7E" w:rsidRPr="00005F98" w:rsidRDefault="006B3C7E" w:rsidP="00B11E27">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Pasaje S2B Isla Santa Isabela</w:t>
            </w:r>
          </w:p>
          <w:p w:rsidR="006B3C7E" w:rsidRPr="00005F98" w:rsidRDefault="006B3C7E" w:rsidP="00B11E27">
            <w:pPr>
              <w:spacing w:after="120" w:line="276" w:lineRule="auto"/>
              <w:jc w:val="both"/>
              <w:rPr>
                <w:rFonts w:ascii="Palatino Linotype" w:hAnsi="Palatino Linotype" w:cs="Calibri"/>
                <w:i/>
                <w:sz w:val="22"/>
                <w:szCs w:val="22"/>
              </w:rPr>
            </w:pPr>
          </w:p>
          <w:p w:rsidR="006B3C7E" w:rsidRPr="00005F98" w:rsidRDefault="006B3C7E" w:rsidP="00B11E27">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Lote N° 18</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10.75m.</w:t>
            </w:r>
          </w:p>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6.00m.</w:t>
            </w:r>
          </w:p>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10.06m.</w:t>
            </w:r>
          </w:p>
        </w:tc>
        <w:tc>
          <w:tcPr>
            <w:tcW w:w="738" w:type="pct"/>
            <w:tcBorders>
              <w:left w:val="single" w:sz="4" w:space="0" w:color="auto"/>
            </w:tcBorders>
            <w:shd w:val="clear" w:color="auto" w:fill="auto"/>
            <w:vAlign w:val="center"/>
          </w:tcPr>
          <w:p w:rsidR="006B3C7E" w:rsidRPr="00005F98" w:rsidRDefault="00843F21" w:rsidP="00843F21">
            <w:pPr>
              <w:spacing w:after="120" w:line="276" w:lineRule="auto"/>
              <w:jc w:val="center"/>
              <w:rPr>
                <w:rFonts w:ascii="Palatino Linotype" w:hAnsi="Palatino Linotype" w:cs="Calibri"/>
                <w:i/>
                <w:sz w:val="22"/>
                <w:szCs w:val="22"/>
              </w:rPr>
            </w:pPr>
            <w:proofErr w:type="spellStart"/>
            <w:r>
              <w:rPr>
                <w:rFonts w:ascii="Palatino Linotype" w:hAnsi="Palatino Linotype" w:cs="Calibri"/>
                <w:i/>
                <w:sz w:val="22"/>
                <w:szCs w:val="22"/>
              </w:rPr>
              <w:t>Ld</w:t>
            </w:r>
            <w:proofErr w:type="spellEnd"/>
            <w:r>
              <w:rPr>
                <w:rFonts w:ascii="Palatino Linotype" w:hAnsi="Palatino Linotype" w:cs="Calibri"/>
                <w:i/>
                <w:sz w:val="22"/>
                <w:szCs w:val="22"/>
              </w:rPr>
              <w:t>= 26,</w:t>
            </w:r>
            <w:r w:rsidR="006B3C7E" w:rsidRPr="00005F98">
              <w:rPr>
                <w:rFonts w:ascii="Palatino Linotype" w:hAnsi="Palatino Linotype" w:cs="Calibri"/>
                <w:i/>
                <w:sz w:val="22"/>
                <w:szCs w:val="22"/>
              </w:rPr>
              <w:t>81</w:t>
            </w:r>
            <w:r>
              <w:rPr>
                <w:rFonts w:ascii="Palatino Linotype" w:hAnsi="Palatino Linotype" w:cs="Calibri"/>
                <w:i/>
                <w:sz w:val="22"/>
                <w:szCs w:val="22"/>
              </w:rPr>
              <w:t xml:space="preserve"> </w:t>
            </w:r>
            <w:r w:rsidR="006B3C7E" w:rsidRPr="00005F98">
              <w:rPr>
                <w:rFonts w:ascii="Palatino Linotype" w:hAnsi="Palatino Linotype" w:cs="Calibri"/>
                <w:i/>
                <w:sz w:val="22"/>
                <w:szCs w:val="22"/>
              </w:rPr>
              <w:t>m.</w:t>
            </w:r>
          </w:p>
        </w:tc>
        <w:tc>
          <w:tcPr>
            <w:tcW w:w="1103"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r>
      <w:tr w:rsidR="006B3C7E" w:rsidRPr="00005F98" w:rsidTr="00005F98">
        <w:trPr>
          <w:trHeight w:val="935"/>
        </w:trPr>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vAlign w:val="center"/>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Este:</w:t>
            </w:r>
          </w:p>
        </w:tc>
        <w:tc>
          <w:tcPr>
            <w:tcW w:w="948" w:type="pct"/>
            <w:shd w:val="clear" w:color="auto" w:fill="auto"/>
          </w:tcPr>
          <w:p w:rsidR="006B3C7E" w:rsidRPr="00005F98" w:rsidRDefault="006B3C7E" w:rsidP="00B11E27">
            <w:pPr>
              <w:spacing w:after="120" w:line="276" w:lineRule="auto"/>
              <w:jc w:val="both"/>
              <w:rPr>
                <w:rFonts w:ascii="Palatino Linotype" w:hAnsi="Palatino Linotype" w:cs="Calibri"/>
                <w:i/>
                <w:sz w:val="22"/>
                <w:szCs w:val="22"/>
                <w:lang w:val="en-US"/>
              </w:rPr>
            </w:pPr>
            <w:proofErr w:type="spellStart"/>
            <w:r w:rsidRPr="00005F98">
              <w:rPr>
                <w:rFonts w:ascii="Palatino Linotype" w:hAnsi="Palatino Linotype" w:cs="Calibri"/>
                <w:i/>
                <w:sz w:val="22"/>
                <w:szCs w:val="22"/>
                <w:lang w:val="en-US"/>
              </w:rPr>
              <w:t>Lote</w:t>
            </w:r>
            <w:proofErr w:type="spellEnd"/>
            <w:r w:rsidRPr="00005F98">
              <w:rPr>
                <w:rFonts w:ascii="Palatino Linotype" w:hAnsi="Palatino Linotype" w:cs="Calibri"/>
                <w:i/>
                <w:sz w:val="22"/>
                <w:szCs w:val="22"/>
                <w:lang w:val="en-US"/>
              </w:rPr>
              <w:t xml:space="preserve"> N° 8</w:t>
            </w:r>
          </w:p>
          <w:p w:rsidR="006B3C7E" w:rsidRPr="00005F98" w:rsidRDefault="006B3C7E" w:rsidP="00B11E27">
            <w:pPr>
              <w:spacing w:after="120" w:line="276" w:lineRule="auto"/>
              <w:jc w:val="both"/>
              <w:rPr>
                <w:rFonts w:ascii="Palatino Linotype" w:hAnsi="Palatino Linotype" w:cs="Calibri"/>
                <w:i/>
                <w:sz w:val="22"/>
                <w:szCs w:val="22"/>
                <w:lang w:val="en-US"/>
              </w:rPr>
            </w:pPr>
            <w:proofErr w:type="spellStart"/>
            <w:r w:rsidRPr="00005F98">
              <w:rPr>
                <w:rFonts w:ascii="Palatino Linotype" w:hAnsi="Palatino Linotype" w:cs="Calibri"/>
                <w:i/>
                <w:sz w:val="22"/>
                <w:szCs w:val="22"/>
                <w:lang w:val="en-US"/>
              </w:rPr>
              <w:t>Lote</w:t>
            </w:r>
            <w:proofErr w:type="spellEnd"/>
            <w:r w:rsidRPr="00005F98">
              <w:rPr>
                <w:rFonts w:ascii="Palatino Linotype" w:hAnsi="Palatino Linotype" w:cs="Calibri"/>
                <w:i/>
                <w:sz w:val="22"/>
                <w:szCs w:val="22"/>
                <w:lang w:val="en-US"/>
              </w:rPr>
              <w:t xml:space="preserve"> N° 9   </w:t>
            </w:r>
          </w:p>
          <w:p w:rsidR="006B3C7E" w:rsidRPr="00005F98" w:rsidRDefault="006B3C7E" w:rsidP="00B11E27">
            <w:pPr>
              <w:spacing w:after="120" w:line="276" w:lineRule="auto"/>
              <w:jc w:val="both"/>
              <w:rPr>
                <w:rFonts w:ascii="Palatino Linotype" w:hAnsi="Palatino Linotype" w:cs="Calibri"/>
                <w:i/>
                <w:sz w:val="22"/>
                <w:szCs w:val="22"/>
                <w:lang w:val="en-US"/>
              </w:rPr>
            </w:pPr>
            <w:proofErr w:type="spellStart"/>
            <w:r w:rsidRPr="00005F98">
              <w:rPr>
                <w:rFonts w:ascii="Palatino Linotype" w:hAnsi="Palatino Linotype" w:cs="Calibri"/>
                <w:i/>
                <w:sz w:val="22"/>
                <w:szCs w:val="22"/>
                <w:lang w:val="en-US"/>
              </w:rPr>
              <w:t>Lote</w:t>
            </w:r>
            <w:proofErr w:type="spellEnd"/>
            <w:r w:rsidRPr="00005F98">
              <w:rPr>
                <w:rFonts w:ascii="Palatino Linotype" w:hAnsi="Palatino Linotype" w:cs="Calibri"/>
                <w:i/>
                <w:sz w:val="22"/>
                <w:szCs w:val="22"/>
                <w:lang w:val="en-US"/>
              </w:rPr>
              <w:t xml:space="preserve"> N° 10                 </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17.27m. 17.23m. 2.95m.</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37</w:t>
            </w:r>
            <w:r w:rsidR="00843F21">
              <w:rPr>
                <w:rFonts w:ascii="Palatino Linotype" w:hAnsi="Palatino Linotype" w:cs="Calibri"/>
                <w:i/>
                <w:sz w:val="22"/>
                <w:szCs w:val="22"/>
              </w:rPr>
              <w:t>,</w:t>
            </w:r>
            <w:r w:rsidRPr="00005F98">
              <w:rPr>
                <w:rFonts w:ascii="Palatino Linotype" w:hAnsi="Palatino Linotype" w:cs="Calibri"/>
                <w:i/>
                <w:sz w:val="22"/>
                <w:szCs w:val="22"/>
              </w:rPr>
              <w:t>45</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r>
      <w:tr w:rsidR="006B3C7E" w:rsidRPr="00005F98" w:rsidTr="00005F98">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Oeste:</w:t>
            </w:r>
          </w:p>
        </w:tc>
        <w:tc>
          <w:tcPr>
            <w:tcW w:w="948" w:type="pct"/>
            <w:shd w:val="clear" w:color="auto" w:fill="auto"/>
          </w:tcPr>
          <w:p w:rsidR="006B3C7E" w:rsidRPr="00005F98" w:rsidRDefault="006B3C7E" w:rsidP="00B11E27">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Lote N° 19</w:t>
            </w:r>
          </w:p>
          <w:p w:rsidR="006B3C7E" w:rsidRPr="00005F98" w:rsidRDefault="006B3C7E" w:rsidP="00B11E27">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Lote N° 20</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25.94m.</w:t>
            </w:r>
          </w:p>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5.66m</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31</w:t>
            </w:r>
            <w:r w:rsidR="00843F21">
              <w:rPr>
                <w:rFonts w:ascii="Palatino Linotype" w:hAnsi="Palatino Linotype" w:cs="Calibri"/>
                <w:i/>
                <w:sz w:val="22"/>
                <w:szCs w:val="22"/>
              </w:rPr>
              <w:t>,</w:t>
            </w:r>
            <w:r w:rsidRPr="00005F98">
              <w:rPr>
                <w:rFonts w:ascii="Palatino Linotype" w:hAnsi="Palatino Linotype" w:cs="Calibri"/>
                <w:i/>
                <w:sz w:val="22"/>
                <w:szCs w:val="22"/>
              </w:rPr>
              <w:t>60</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r>
      <w:tr w:rsidR="006B3C7E" w:rsidRPr="00005F98" w:rsidTr="00005F98">
        <w:tc>
          <w:tcPr>
            <w:tcW w:w="890" w:type="pct"/>
            <w:vMerge w:val="restart"/>
            <w:shd w:val="clear" w:color="auto" w:fill="auto"/>
            <w:vAlign w:val="center"/>
          </w:tcPr>
          <w:p w:rsidR="006B3C7E" w:rsidRPr="00005F98" w:rsidRDefault="006B3C7E" w:rsidP="00CF110E">
            <w:pPr>
              <w:spacing w:after="120" w:line="276" w:lineRule="auto"/>
              <w:jc w:val="center"/>
              <w:rPr>
                <w:rFonts w:ascii="Palatino Linotype" w:hAnsi="Palatino Linotype" w:cs="Calibri"/>
                <w:i/>
                <w:sz w:val="22"/>
                <w:szCs w:val="22"/>
              </w:rPr>
            </w:pPr>
            <w:r w:rsidRPr="00005F98">
              <w:rPr>
                <w:rFonts w:ascii="Palatino Linotype" w:hAnsi="Palatino Linotype" w:cs="Calibri"/>
                <w:b/>
                <w:i/>
                <w:sz w:val="22"/>
                <w:szCs w:val="22"/>
              </w:rPr>
              <w:t>Área</w:t>
            </w:r>
            <w:r w:rsidR="00843F21" w:rsidRPr="00005F98">
              <w:rPr>
                <w:rFonts w:ascii="Palatino Linotype" w:hAnsi="Palatino Linotype" w:cs="Calibri"/>
                <w:b/>
                <w:i/>
                <w:sz w:val="22"/>
                <w:szCs w:val="22"/>
              </w:rPr>
              <w:t xml:space="preserve"> verde y equipamiento comunal </w:t>
            </w:r>
            <w:r w:rsidRPr="00005F98">
              <w:rPr>
                <w:rFonts w:ascii="Palatino Linotype" w:hAnsi="Palatino Linotype" w:cs="Calibri"/>
                <w:b/>
                <w:i/>
                <w:sz w:val="22"/>
                <w:szCs w:val="22"/>
              </w:rPr>
              <w:t>2</w:t>
            </w:r>
          </w:p>
        </w:tc>
        <w:tc>
          <w:tcPr>
            <w:tcW w:w="1561" w:type="pct"/>
            <w:gridSpan w:val="2"/>
            <w:shd w:val="clear" w:color="auto" w:fill="auto"/>
            <w:vAlign w:val="center"/>
          </w:tcPr>
          <w:p w:rsidR="006B3C7E" w:rsidRPr="00005F98" w:rsidRDefault="00843F21" w:rsidP="00CF110E">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t>Lindero</w:t>
            </w:r>
          </w:p>
        </w:tc>
        <w:tc>
          <w:tcPr>
            <w:tcW w:w="708" w:type="pct"/>
            <w:tcBorders>
              <w:left w:val="single" w:sz="4" w:space="0" w:color="auto"/>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t>En parte</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b/>
                <w:i/>
                <w:sz w:val="22"/>
                <w:szCs w:val="22"/>
              </w:rPr>
            </w:pPr>
            <w:r w:rsidRPr="00005F98">
              <w:rPr>
                <w:rFonts w:ascii="Palatino Linotype" w:hAnsi="Palatino Linotype" w:cs="Calibri"/>
                <w:b/>
                <w:i/>
                <w:sz w:val="22"/>
                <w:szCs w:val="22"/>
              </w:rPr>
              <w:t>Total</w:t>
            </w:r>
          </w:p>
        </w:tc>
        <w:tc>
          <w:tcPr>
            <w:tcW w:w="1103" w:type="pct"/>
            <w:tcBorders>
              <w:top w:val="single" w:sz="4" w:space="0" w:color="auto"/>
              <w:bottom w:val="single" w:sz="4" w:space="0" w:color="auto"/>
            </w:tcBorders>
            <w:shd w:val="clear" w:color="auto" w:fill="auto"/>
            <w:vAlign w:val="center"/>
          </w:tcPr>
          <w:p w:rsidR="006B3C7E" w:rsidRPr="00005F98" w:rsidRDefault="00843F21" w:rsidP="00CF110E">
            <w:pPr>
              <w:spacing w:after="120" w:line="276" w:lineRule="auto"/>
              <w:jc w:val="center"/>
              <w:rPr>
                <w:rFonts w:ascii="Palatino Linotype" w:hAnsi="Palatino Linotype" w:cs="Calibri"/>
                <w:i/>
                <w:sz w:val="22"/>
                <w:szCs w:val="22"/>
              </w:rPr>
            </w:pPr>
            <w:r w:rsidRPr="00005F98">
              <w:rPr>
                <w:rFonts w:ascii="Palatino Linotype" w:hAnsi="Palatino Linotype" w:cs="Calibri"/>
                <w:b/>
                <w:i/>
                <w:sz w:val="22"/>
                <w:szCs w:val="22"/>
              </w:rPr>
              <w:t>Superficie</w:t>
            </w:r>
          </w:p>
        </w:tc>
      </w:tr>
      <w:tr w:rsidR="006B3C7E" w:rsidRPr="00005F98" w:rsidTr="00005F98">
        <w:trPr>
          <w:trHeight w:val="293"/>
        </w:trPr>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Norte:</w:t>
            </w:r>
          </w:p>
        </w:tc>
        <w:tc>
          <w:tcPr>
            <w:tcW w:w="948" w:type="pct"/>
            <w:shd w:val="clear" w:color="auto" w:fill="auto"/>
          </w:tcPr>
          <w:p w:rsidR="006B3C7E" w:rsidRPr="00005F98" w:rsidRDefault="006B3C7E" w:rsidP="00843F21">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 xml:space="preserve">Propiedad Particular           </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26</w:t>
            </w:r>
            <w:r w:rsidR="00843F21">
              <w:rPr>
                <w:rFonts w:ascii="Palatino Linotype" w:hAnsi="Palatino Linotype" w:cs="Calibri"/>
                <w:i/>
                <w:sz w:val="22"/>
                <w:szCs w:val="22"/>
              </w:rPr>
              <w:t>,</w:t>
            </w:r>
            <w:r w:rsidRPr="00005F98">
              <w:rPr>
                <w:rFonts w:ascii="Palatino Linotype" w:hAnsi="Palatino Linotype" w:cs="Calibri"/>
                <w:i/>
                <w:sz w:val="22"/>
                <w:szCs w:val="22"/>
              </w:rPr>
              <w:t>75</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val="restart"/>
            <w:tcBorders>
              <w:top w:val="single" w:sz="4" w:space="0" w:color="auto"/>
            </w:tcBorders>
            <w:shd w:val="clear" w:color="auto" w:fill="auto"/>
            <w:vAlign w:val="center"/>
          </w:tcPr>
          <w:p w:rsidR="006B3C7E" w:rsidRPr="00843F21" w:rsidRDefault="006B3C7E" w:rsidP="00843F21">
            <w:pPr>
              <w:spacing w:after="120" w:line="276" w:lineRule="auto"/>
              <w:jc w:val="center"/>
              <w:rPr>
                <w:rFonts w:ascii="Palatino Linotype" w:hAnsi="Palatino Linotype" w:cs="Calibri"/>
                <w:i/>
                <w:sz w:val="22"/>
                <w:szCs w:val="22"/>
              </w:rPr>
            </w:pPr>
            <w:r w:rsidRPr="00843F21">
              <w:rPr>
                <w:rFonts w:ascii="Palatino Linotype" w:hAnsi="Palatino Linotype" w:cs="Calibri"/>
                <w:i/>
                <w:sz w:val="22"/>
                <w:szCs w:val="22"/>
              </w:rPr>
              <w:t>1.538,22</w:t>
            </w:r>
            <w:r w:rsidR="00843F21" w:rsidRPr="00843F21">
              <w:rPr>
                <w:rFonts w:ascii="Palatino Linotype" w:hAnsi="Palatino Linotype" w:cs="Calibri"/>
                <w:i/>
                <w:sz w:val="22"/>
                <w:szCs w:val="22"/>
              </w:rPr>
              <w:t xml:space="preserve"> </w:t>
            </w:r>
            <w:r w:rsidRPr="00843F21">
              <w:rPr>
                <w:rFonts w:ascii="Palatino Linotype" w:hAnsi="Palatino Linotype" w:cs="Calibri"/>
                <w:i/>
                <w:sz w:val="22"/>
                <w:szCs w:val="22"/>
              </w:rPr>
              <w:t>m²</w:t>
            </w:r>
          </w:p>
        </w:tc>
      </w:tr>
      <w:tr w:rsidR="006B3C7E" w:rsidRPr="00005F98" w:rsidTr="00005F98">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Sur:</w:t>
            </w:r>
          </w:p>
        </w:tc>
        <w:tc>
          <w:tcPr>
            <w:tcW w:w="948" w:type="pct"/>
            <w:shd w:val="clear" w:color="auto" w:fill="auto"/>
          </w:tcPr>
          <w:p w:rsidR="006B3C7E" w:rsidRPr="00005F98" w:rsidRDefault="006B3C7E" w:rsidP="00843F21">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Lote N°8</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28</w:t>
            </w:r>
            <w:r w:rsidR="00843F21">
              <w:rPr>
                <w:rFonts w:ascii="Palatino Linotype" w:hAnsi="Palatino Linotype" w:cs="Calibri"/>
                <w:i/>
                <w:sz w:val="22"/>
                <w:szCs w:val="22"/>
              </w:rPr>
              <w:t>,</w:t>
            </w:r>
            <w:r w:rsidRPr="00005F98">
              <w:rPr>
                <w:rFonts w:ascii="Palatino Linotype" w:hAnsi="Palatino Linotype" w:cs="Calibri"/>
                <w:i/>
                <w:sz w:val="22"/>
                <w:szCs w:val="22"/>
              </w:rPr>
              <w:t>43</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r>
      <w:tr w:rsidR="006B3C7E" w:rsidRPr="00005F98" w:rsidTr="00005F98">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vAlign w:val="center"/>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Este:</w:t>
            </w:r>
          </w:p>
        </w:tc>
        <w:tc>
          <w:tcPr>
            <w:tcW w:w="948" w:type="pct"/>
            <w:shd w:val="clear" w:color="auto" w:fill="auto"/>
          </w:tcPr>
          <w:p w:rsidR="006B3C7E" w:rsidRPr="00005F98" w:rsidRDefault="006B3C7E" w:rsidP="00843F21">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Calle Isla Santa Cruz</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58</w:t>
            </w:r>
            <w:r w:rsidR="00843F21">
              <w:rPr>
                <w:rFonts w:ascii="Palatino Linotype" w:hAnsi="Palatino Linotype" w:cs="Calibri"/>
                <w:i/>
                <w:sz w:val="22"/>
                <w:szCs w:val="22"/>
              </w:rPr>
              <w:t>,</w:t>
            </w:r>
            <w:r w:rsidRPr="00005F98">
              <w:rPr>
                <w:rFonts w:ascii="Palatino Linotype" w:hAnsi="Palatino Linotype" w:cs="Calibri"/>
                <w:i/>
                <w:sz w:val="22"/>
                <w:szCs w:val="22"/>
              </w:rPr>
              <w:t>94</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r>
      <w:tr w:rsidR="006B3C7E" w:rsidRPr="00005F98" w:rsidTr="00005F98">
        <w:tc>
          <w:tcPr>
            <w:tcW w:w="890"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c>
          <w:tcPr>
            <w:tcW w:w="613" w:type="pct"/>
            <w:shd w:val="clear" w:color="auto" w:fill="auto"/>
          </w:tcPr>
          <w:p w:rsidR="006B3C7E" w:rsidRPr="00005F98" w:rsidRDefault="006B3C7E" w:rsidP="00CF110E">
            <w:pPr>
              <w:spacing w:after="120" w:line="276" w:lineRule="auto"/>
              <w:rPr>
                <w:rFonts w:ascii="Palatino Linotype" w:hAnsi="Palatino Linotype" w:cs="Calibri"/>
                <w:b/>
                <w:i/>
                <w:sz w:val="22"/>
                <w:szCs w:val="22"/>
              </w:rPr>
            </w:pPr>
            <w:r w:rsidRPr="00005F98">
              <w:rPr>
                <w:rFonts w:ascii="Palatino Linotype" w:hAnsi="Palatino Linotype" w:cs="Calibri"/>
                <w:b/>
                <w:i/>
                <w:sz w:val="22"/>
                <w:szCs w:val="22"/>
              </w:rPr>
              <w:t>Oeste:</w:t>
            </w:r>
          </w:p>
        </w:tc>
        <w:tc>
          <w:tcPr>
            <w:tcW w:w="948" w:type="pct"/>
            <w:shd w:val="clear" w:color="auto" w:fill="auto"/>
          </w:tcPr>
          <w:p w:rsidR="006B3C7E" w:rsidRPr="00005F98" w:rsidRDefault="006B3C7E" w:rsidP="00843F21">
            <w:pPr>
              <w:spacing w:after="120" w:line="276" w:lineRule="auto"/>
              <w:jc w:val="both"/>
              <w:rPr>
                <w:rFonts w:ascii="Palatino Linotype" w:hAnsi="Palatino Linotype" w:cs="Calibri"/>
                <w:i/>
                <w:sz w:val="22"/>
                <w:szCs w:val="22"/>
              </w:rPr>
            </w:pPr>
            <w:r w:rsidRPr="00005F98">
              <w:rPr>
                <w:rFonts w:ascii="Palatino Linotype" w:hAnsi="Palatino Linotype" w:cs="Calibri"/>
                <w:i/>
                <w:sz w:val="22"/>
                <w:szCs w:val="22"/>
              </w:rPr>
              <w:t>Lote N°7</w:t>
            </w:r>
          </w:p>
        </w:tc>
        <w:tc>
          <w:tcPr>
            <w:tcW w:w="708" w:type="pct"/>
            <w:tcBorders>
              <w:righ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w:t>
            </w:r>
          </w:p>
        </w:tc>
        <w:tc>
          <w:tcPr>
            <w:tcW w:w="738" w:type="pct"/>
            <w:tcBorders>
              <w:left w:val="single" w:sz="4" w:space="0" w:color="auto"/>
            </w:tcBorders>
            <w:shd w:val="clear" w:color="auto" w:fill="auto"/>
            <w:vAlign w:val="center"/>
          </w:tcPr>
          <w:p w:rsidR="006B3C7E" w:rsidRPr="00005F98" w:rsidRDefault="006B3C7E" w:rsidP="00843F21">
            <w:pPr>
              <w:spacing w:after="120" w:line="276" w:lineRule="auto"/>
              <w:jc w:val="center"/>
              <w:rPr>
                <w:rFonts w:ascii="Palatino Linotype" w:hAnsi="Palatino Linotype" w:cs="Calibri"/>
                <w:i/>
                <w:sz w:val="22"/>
                <w:szCs w:val="22"/>
              </w:rPr>
            </w:pPr>
            <w:r w:rsidRPr="00005F98">
              <w:rPr>
                <w:rFonts w:ascii="Palatino Linotype" w:hAnsi="Palatino Linotype" w:cs="Calibri"/>
                <w:i/>
                <w:sz w:val="22"/>
                <w:szCs w:val="22"/>
              </w:rPr>
              <w:t>54</w:t>
            </w:r>
            <w:r w:rsidR="00843F21">
              <w:rPr>
                <w:rFonts w:ascii="Palatino Linotype" w:hAnsi="Palatino Linotype" w:cs="Calibri"/>
                <w:i/>
                <w:sz w:val="22"/>
                <w:szCs w:val="22"/>
              </w:rPr>
              <w:t>,</w:t>
            </w:r>
            <w:r w:rsidRPr="00005F98">
              <w:rPr>
                <w:rFonts w:ascii="Palatino Linotype" w:hAnsi="Palatino Linotype" w:cs="Calibri"/>
                <w:i/>
                <w:sz w:val="22"/>
                <w:szCs w:val="22"/>
              </w:rPr>
              <w:t>50</w:t>
            </w:r>
            <w:r w:rsidR="00843F21">
              <w:rPr>
                <w:rFonts w:ascii="Palatino Linotype" w:hAnsi="Palatino Linotype" w:cs="Calibri"/>
                <w:i/>
                <w:sz w:val="22"/>
                <w:szCs w:val="22"/>
              </w:rPr>
              <w:t xml:space="preserve"> </w:t>
            </w:r>
            <w:r w:rsidRPr="00005F98">
              <w:rPr>
                <w:rFonts w:ascii="Palatino Linotype" w:hAnsi="Palatino Linotype" w:cs="Calibri"/>
                <w:i/>
                <w:sz w:val="22"/>
                <w:szCs w:val="22"/>
              </w:rPr>
              <w:t>m.</w:t>
            </w:r>
          </w:p>
        </w:tc>
        <w:tc>
          <w:tcPr>
            <w:tcW w:w="1103" w:type="pct"/>
            <w:vMerge/>
            <w:shd w:val="clear" w:color="auto" w:fill="auto"/>
          </w:tcPr>
          <w:p w:rsidR="006B3C7E" w:rsidRPr="00005F98" w:rsidRDefault="006B3C7E" w:rsidP="00CF110E">
            <w:pPr>
              <w:spacing w:after="120" w:line="276" w:lineRule="auto"/>
              <w:rPr>
                <w:rFonts w:ascii="Palatino Linotype" w:hAnsi="Palatino Linotype" w:cs="Calibri"/>
                <w:i/>
                <w:sz w:val="22"/>
                <w:szCs w:val="22"/>
              </w:rPr>
            </w:pPr>
          </w:p>
        </w:tc>
      </w:tr>
    </w:tbl>
    <w:p w:rsidR="006B3C7E" w:rsidRPr="00EC3B99" w:rsidRDefault="006B3C7E" w:rsidP="006B3C7E">
      <w:pPr>
        <w:tabs>
          <w:tab w:val="left" w:pos="3375"/>
        </w:tabs>
        <w:spacing w:after="120" w:line="276" w:lineRule="auto"/>
        <w:jc w:val="both"/>
        <w:rPr>
          <w:rFonts w:ascii="Palatino Linotype" w:hAnsi="Palatino Linotype"/>
          <w:bCs/>
          <w:sz w:val="22"/>
          <w:szCs w:val="22"/>
        </w:rPr>
      </w:pPr>
      <w:r w:rsidRPr="00EC3B99">
        <w:rPr>
          <w:rFonts w:ascii="Palatino Linotype" w:hAnsi="Palatino Linotype"/>
          <w:bCs/>
          <w:sz w:val="22"/>
          <w:szCs w:val="22"/>
        </w:rPr>
        <w:tab/>
      </w:r>
    </w:p>
    <w:p w:rsidR="006B3C7E" w:rsidRPr="00EC3B99" w:rsidRDefault="006B3C7E" w:rsidP="006B3C7E">
      <w:pPr>
        <w:spacing w:after="120" w:line="276" w:lineRule="auto"/>
        <w:jc w:val="both"/>
        <w:rPr>
          <w:rFonts w:ascii="Palatino Linotype" w:hAnsi="Palatino Linotype"/>
          <w:sz w:val="22"/>
          <w:szCs w:val="22"/>
          <w:lang w:val="es-EC"/>
        </w:rPr>
      </w:pPr>
      <w:r w:rsidRPr="00EC3B99">
        <w:rPr>
          <w:rFonts w:ascii="Palatino Linotype" w:hAnsi="Palatino Linotype"/>
          <w:b/>
          <w:sz w:val="22"/>
          <w:szCs w:val="22"/>
          <w:lang w:val="es-EC"/>
        </w:rPr>
        <w:t>Art</w:t>
      </w:r>
      <w:r w:rsidR="00597AAE">
        <w:rPr>
          <w:rFonts w:ascii="Palatino Linotype" w:hAnsi="Palatino Linotype"/>
          <w:b/>
          <w:sz w:val="22"/>
          <w:szCs w:val="22"/>
          <w:lang w:val="es-EC"/>
        </w:rPr>
        <w:t>ículo</w:t>
      </w:r>
      <w:bookmarkStart w:id="0" w:name="_GoBack"/>
      <w:bookmarkEnd w:id="0"/>
      <w:r w:rsidRPr="00EC3B99">
        <w:rPr>
          <w:rFonts w:ascii="Palatino Linotype" w:hAnsi="Palatino Linotype"/>
          <w:b/>
          <w:sz w:val="22"/>
          <w:szCs w:val="22"/>
          <w:lang w:val="es-EC"/>
        </w:rPr>
        <w:t xml:space="preserve"> 6.-</w:t>
      </w:r>
      <w:r w:rsidRPr="00EC3B99">
        <w:rPr>
          <w:rFonts w:ascii="Palatino Linotype" w:hAnsi="Palatino Linotype"/>
          <w:sz w:val="22"/>
          <w:szCs w:val="22"/>
          <w:lang w:val="es-EC"/>
        </w:rPr>
        <w:t xml:space="preserve"> Inclúyase un artículo </w:t>
      </w:r>
      <w:proofErr w:type="spellStart"/>
      <w:r w:rsidRPr="00EC3B99">
        <w:rPr>
          <w:rFonts w:ascii="Palatino Linotype" w:hAnsi="Palatino Linotype"/>
          <w:sz w:val="22"/>
          <w:szCs w:val="22"/>
          <w:lang w:val="es-EC"/>
        </w:rPr>
        <w:t>innumerado</w:t>
      </w:r>
      <w:proofErr w:type="spellEnd"/>
      <w:r w:rsidRPr="00EC3B99">
        <w:rPr>
          <w:rFonts w:ascii="Palatino Linotype" w:hAnsi="Palatino Linotype"/>
          <w:sz w:val="22"/>
          <w:szCs w:val="22"/>
          <w:lang w:val="es-EC"/>
        </w:rPr>
        <w:t xml:space="preserve"> después del artículo 6 de la Ordenanza </w:t>
      </w:r>
      <w:r w:rsidRPr="00EC3B99">
        <w:rPr>
          <w:rFonts w:ascii="Palatino Linotype" w:hAnsi="Palatino Linotype"/>
          <w:sz w:val="22"/>
          <w:szCs w:val="22"/>
        </w:rPr>
        <w:t>No. 0346, sancionada el 11 de enero de 2013</w:t>
      </w:r>
      <w:r w:rsidRPr="00EC3B99">
        <w:rPr>
          <w:rFonts w:ascii="Palatino Linotype" w:hAnsi="Palatino Linotype"/>
          <w:bCs/>
          <w:sz w:val="22"/>
          <w:szCs w:val="22"/>
        </w:rPr>
        <w:t xml:space="preserve">, </w:t>
      </w:r>
      <w:r w:rsidRPr="00EC3B99">
        <w:rPr>
          <w:rFonts w:ascii="Palatino Linotype" w:hAnsi="Palatino Linotype"/>
          <w:sz w:val="22"/>
          <w:szCs w:val="22"/>
          <w:lang w:val="es-EC"/>
        </w:rPr>
        <w:t xml:space="preserve">con el siguiente texto: </w:t>
      </w:r>
    </w:p>
    <w:p w:rsidR="006B3C7E" w:rsidRPr="00843F21" w:rsidRDefault="006B3C7E" w:rsidP="00843F21">
      <w:pPr>
        <w:spacing w:after="120" w:line="276" w:lineRule="auto"/>
        <w:ind w:left="708"/>
        <w:jc w:val="both"/>
        <w:rPr>
          <w:rFonts w:ascii="Palatino Linotype" w:hAnsi="Palatino Linotype"/>
          <w:bCs/>
          <w:i/>
          <w:sz w:val="22"/>
          <w:szCs w:val="22"/>
        </w:rPr>
      </w:pPr>
      <w:r w:rsidRPr="00843F21">
        <w:rPr>
          <w:rFonts w:ascii="Palatino Linotype" w:hAnsi="Palatino Linotype"/>
          <w:i/>
          <w:sz w:val="22"/>
          <w:szCs w:val="22"/>
          <w:lang w:val="es-EC"/>
        </w:rPr>
        <w:t>“</w:t>
      </w:r>
      <w:r w:rsidRPr="00843F21">
        <w:rPr>
          <w:rFonts w:ascii="Palatino Linotype" w:hAnsi="Palatino Linotype"/>
          <w:b/>
          <w:i/>
          <w:sz w:val="22"/>
          <w:szCs w:val="22"/>
          <w:lang w:val="es-EC"/>
        </w:rPr>
        <w:t>Art…</w:t>
      </w:r>
      <w:r w:rsidRPr="00843F21">
        <w:rPr>
          <w:rFonts w:ascii="Palatino Linotype" w:hAnsi="Palatino Linotype"/>
          <w:b/>
          <w:bCs/>
          <w:i/>
          <w:sz w:val="22"/>
          <w:szCs w:val="22"/>
        </w:rPr>
        <w:t xml:space="preserve"> Informe Técnico de Evaluación de Riesgos de la Secretaría General de Seguridad y Gobernabilidad.- </w:t>
      </w:r>
      <w:r w:rsidRPr="00843F21">
        <w:rPr>
          <w:rFonts w:ascii="Palatino Linotype" w:hAnsi="Palatino Linotype"/>
          <w:bCs/>
          <w:i/>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Tumbaco</w:t>
      </w:r>
      <w:r w:rsidRPr="00843F21">
        <w:rPr>
          <w:rFonts w:ascii="Palatino Linotype" w:hAnsi="Palatino Linotype"/>
          <w:i/>
          <w:color w:val="2A2A2A"/>
          <w:sz w:val="22"/>
          <w:szCs w:val="22"/>
        </w:rPr>
        <w:t xml:space="preserve">, </w:t>
      </w:r>
      <w:r w:rsidRPr="00843F21">
        <w:rPr>
          <w:rFonts w:ascii="Palatino Linotype" w:hAnsi="Palatino Linotype"/>
          <w:i/>
          <w:sz w:val="22"/>
          <w:szCs w:val="22"/>
        </w:rPr>
        <w:t>caso contrario el Concejo Metropolitano podrá revocar la presente ordenanza, notificándose del particular a la Agencia Metropolitana de Control, para que se inicie las acciones pertinentes.</w:t>
      </w:r>
    </w:p>
    <w:p w:rsidR="006B3C7E" w:rsidRPr="00843F21" w:rsidRDefault="006B3C7E" w:rsidP="00843F21">
      <w:pPr>
        <w:spacing w:after="120" w:line="276" w:lineRule="auto"/>
        <w:ind w:left="708"/>
        <w:jc w:val="both"/>
        <w:rPr>
          <w:rFonts w:ascii="Palatino Linotype" w:hAnsi="Palatino Linotype"/>
          <w:i/>
          <w:color w:val="2A2A2A"/>
          <w:sz w:val="22"/>
          <w:szCs w:val="22"/>
        </w:rPr>
      </w:pPr>
      <w:r w:rsidRPr="00843F21">
        <w:rPr>
          <w:rFonts w:ascii="Palatino Linotype" w:hAnsi="Palatino Linotype"/>
          <w:i/>
          <w:color w:val="2A2A2A"/>
          <w:sz w:val="22"/>
          <w:szCs w:val="22"/>
        </w:rPr>
        <w:lastRenderedPageBreak/>
        <w:t xml:space="preserve">La Agencia Metropolitana de Control realizará el seguimiento en la ejecución y avance de las obras de mitigación hasta la terminación de las mismas. </w:t>
      </w:r>
    </w:p>
    <w:p w:rsidR="006B3C7E" w:rsidRPr="00843F21" w:rsidRDefault="006B3C7E" w:rsidP="00843F21">
      <w:pPr>
        <w:spacing w:after="120" w:line="276" w:lineRule="auto"/>
        <w:ind w:left="708"/>
        <w:jc w:val="both"/>
        <w:rPr>
          <w:rFonts w:ascii="Palatino Linotype" w:hAnsi="Palatino Linotype"/>
          <w:bCs/>
          <w:i/>
          <w:sz w:val="22"/>
          <w:szCs w:val="22"/>
        </w:rPr>
      </w:pPr>
      <w:r w:rsidRPr="00843F21">
        <w:rPr>
          <w:rFonts w:ascii="Palatino Linotype" w:hAnsi="Palatino Linotype"/>
          <w:bCs/>
          <w:i/>
          <w:sz w:val="22"/>
          <w:szCs w:val="22"/>
        </w:rPr>
        <w:t xml:space="preserve">Los Copropietarios del </w:t>
      </w:r>
      <w:r w:rsidRPr="00843F21">
        <w:rPr>
          <w:rFonts w:ascii="Palatino Linotype" w:hAnsi="Palatino Linotype"/>
          <w:i/>
          <w:sz w:val="22"/>
          <w:szCs w:val="22"/>
        </w:rPr>
        <w:t>Asentamiento Humano de Hecho y Consolidado de Interés Social denominado “</w:t>
      </w:r>
      <w:r w:rsidRPr="00843F21">
        <w:rPr>
          <w:rFonts w:ascii="Palatino Linotype" w:hAnsi="Palatino Linotype" w:cs="Arial"/>
          <w:i/>
          <w:sz w:val="22"/>
          <w:szCs w:val="22"/>
        </w:rPr>
        <w:t xml:space="preserve">Comité Pro Mejoras Balcón </w:t>
      </w:r>
      <w:proofErr w:type="spellStart"/>
      <w:r w:rsidRPr="00843F21">
        <w:rPr>
          <w:rFonts w:ascii="Palatino Linotype" w:hAnsi="Palatino Linotype" w:cs="Arial"/>
          <w:i/>
          <w:sz w:val="22"/>
          <w:szCs w:val="22"/>
        </w:rPr>
        <w:t>Yaruqueño</w:t>
      </w:r>
      <w:proofErr w:type="spellEnd"/>
      <w:r w:rsidRPr="00843F21">
        <w:rPr>
          <w:rFonts w:ascii="Palatino Linotype" w:hAnsi="Palatino Linotype" w:cs="Arial"/>
          <w:i/>
          <w:sz w:val="22"/>
          <w:szCs w:val="22"/>
        </w:rPr>
        <w:t xml:space="preserve"> y La Buena Esperanza”,</w:t>
      </w:r>
      <w:r w:rsidRPr="00843F21">
        <w:rPr>
          <w:rFonts w:ascii="Palatino Linotype" w:hAnsi="Palatino Linotype"/>
          <w:i/>
          <w:sz w:val="22"/>
          <w:szCs w:val="22"/>
        </w:rPr>
        <w:t xml:space="preserve"> </w:t>
      </w:r>
      <w:r w:rsidRPr="00843F21">
        <w:rPr>
          <w:rFonts w:ascii="Palatino Linotype" w:hAnsi="Palatino Linotype"/>
          <w:bCs/>
          <w:i/>
          <w:sz w:val="22"/>
          <w:szCs w:val="22"/>
          <w:lang w:val="es-EC"/>
        </w:rPr>
        <w:t xml:space="preserve">deberán cumplir con lo establecido dentro de la calificación del riesgo y acatar las recomendaciones que se encuentran determinadas </w:t>
      </w:r>
      <w:r w:rsidRPr="00843F21">
        <w:rPr>
          <w:rFonts w:ascii="Palatino Linotype" w:hAnsi="Palatino Linotype"/>
          <w:i/>
          <w:color w:val="000000"/>
          <w:sz w:val="22"/>
          <w:szCs w:val="22"/>
          <w:shd w:val="clear" w:color="auto" w:fill="FFFFFF"/>
        </w:rPr>
        <w:t xml:space="preserve">en el informe de la Dirección Metropolitana de Gestión de Riesgos </w:t>
      </w:r>
      <w:r w:rsidRPr="00843F21">
        <w:rPr>
          <w:rFonts w:ascii="Palatino Linotype" w:hAnsi="Palatino Linotype"/>
          <w:i/>
          <w:color w:val="000000" w:themeColor="text1"/>
          <w:sz w:val="22"/>
          <w:szCs w:val="22"/>
        </w:rPr>
        <w:t xml:space="preserve">No.063-AT-DMGR-2018, fecha 12 de </w:t>
      </w:r>
      <w:proofErr w:type="gramStart"/>
      <w:r w:rsidRPr="00843F21">
        <w:rPr>
          <w:rFonts w:ascii="Palatino Linotype" w:hAnsi="Palatino Linotype"/>
          <w:i/>
          <w:color w:val="000000" w:themeColor="text1"/>
          <w:sz w:val="22"/>
          <w:szCs w:val="22"/>
        </w:rPr>
        <w:t>Abril</w:t>
      </w:r>
      <w:proofErr w:type="gramEnd"/>
      <w:r w:rsidRPr="00843F21">
        <w:rPr>
          <w:rFonts w:ascii="Palatino Linotype" w:hAnsi="Palatino Linotype"/>
          <w:i/>
          <w:color w:val="000000" w:themeColor="text1"/>
          <w:sz w:val="22"/>
          <w:szCs w:val="22"/>
        </w:rPr>
        <w:t xml:space="preserve"> del 2018, </w:t>
      </w:r>
      <w:r w:rsidRPr="00843F21">
        <w:rPr>
          <w:rFonts w:ascii="Palatino Linotype" w:hAnsi="Palatino Linotype"/>
          <w:bCs/>
          <w:i/>
          <w:sz w:val="22"/>
          <w:szCs w:val="22"/>
          <w:lang w:val="es-EC"/>
        </w:rPr>
        <w:t>el mismo establece que</w:t>
      </w:r>
      <w:r w:rsidR="00843F21">
        <w:rPr>
          <w:rFonts w:ascii="Palatino Linotype" w:hAnsi="Palatino Linotype"/>
          <w:bCs/>
          <w:i/>
          <w:sz w:val="22"/>
          <w:szCs w:val="22"/>
        </w:rPr>
        <w:t>:</w:t>
      </w:r>
    </w:p>
    <w:p w:rsidR="006B3C7E" w:rsidRPr="00843F21" w:rsidRDefault="006B3C7E" w:rsidP="00843F21">
      <w:pPr>
        <w:spacing w:after="120" w:line="276" w:lineRule="auto"/>
        <w:ind w:left="708"/>
        <w:jc w:val="both"/>
        <w:rPr>
          <w:rFonts w:ascii="Palatino Linotype" w:hAnsi="Palatino Linotype"/>
          <w:b/>
          <w:bCs/>
          <w:i/>
          <w:sz w:val="22"/>
          <w:szCs w:val="22"/>
        </w:rPr>
      </w:pPr>
      <w:r w:rsidRPr="00843F21">
        <w:rPr>
          <w:rFonts w:ascii="Palatino Linotype" w:hAnsi="Palatino Linotype"/>
          <w:b/>
          <w:i/>
          <w:sz w:val="22"/>
          <w:szCs w:val="22"/>
        </w:rPr>
        <w:t>“6. CALIFICACIÓN DEL RIESGO</w:t>
      </w:r>
    </w:p>
    <w:p w:rsidR="006B3C7E" w:rsidRPr="00843F21" w:rsidRDefault="006B3C7E" w:rsidP="00843F21">
      <w:pPr>
        <w:spacing w:after="120" w:line="276" w:lineRule="auto"/>
        <w:ind w:left="1139"/>
        <w:jc w:val="both"/>
        <w:rPr>
          <w:rFonts w:ascii="Palatino Linotype" w:hAnsi="Palatino Linotype"/>
          <w:i/>
          <w:sz w:val="22"/>
          <w:szCs w:val="22"/>
        </w:rPr>
      </w:pPr>
      <w:r w:rsidRPr="00843F21">
        <w:rPr>
          <w:rFonts w:ascii="Palatino Linotype" w:hAnsi="Palatino Linotype"/>
          <w:i/>
          <w:sz w:val="22"/>
          <w:szCs w:val="22"/>
        </w:rPr>
        <w:t>La zona en estudio, una vez realizada la inspección técnica al AHHYC “</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 xml:space="preserve">” de la Parroquia </w:t>
      </w:r>
      <w:proofErr w:type="spellStart"/>
      <w:r w:rsidRPr="00843F21">
        <w:rPr>
          <w:rFonts w:ascii="Palatino Linotype" w:hAnsi="Palatino Linotype"/>
          <w:i/>
          <w:sz w:val="22"/>
          <w:szCs w:val="22"/>
        </w:rPr>
        <w:t>Yaruqui</w:t>
      </w:r>
      <w:proofErr w:type="spellEnd"/>
      <w:r w:rsidRPr="00843F21">
        <w:rPr>
          <w:rFonts w:ascii="Palatino Linotype" w:hAnsi="Palatino Linotype"/>
          <w:i/>
          <w:sz w:val="22"/>
          <w:szCs w:val="22"/>
        </w:rPr>
        <w:t>, considerando las amenazas, elementos expuestos y vulnerabilidades se determina que:</w:t>
      </w:r>
    </w:p>
    <w:p w:rsidR="006B3C7E" w:rsidRPr="00843F21" w:rsidRDefault="006B3C7E" w:rsidP="00843F21">
      <w:pPr>
        <w:pStyle w:val="Prrafodelista"/>
        <w:numPr>
          <w:ilvl w:val="0"/>
          <w:numId w:val="21"/>
        </w:numPr>
        <w:tabs>
          <w:tab w:val="clear" w:pos="720"/>
          <w:tab w:val="num" w:pos="1428"/>
        </w:tabs>
        <w:spacing w:after="120" w:line="276" w:lineRule="auto"/>
        <w:ind w:left="1428" w:hanging="294"/>
        <w:jc w:val="both"/>
        <w:rPr>
          <w:rFonts w:ascii="Palatino Linotype" w:hAnsi="Palatino Linotype"/>
          <w:i/>
          <w:sz w:val="22"/>
          <w:szCs w:val="22"/>
        </w:rPr>
      </w:pPr>
      <w:r w:rsidRPr="00843F21">
        <w:rPr>
          <w:rFonts w:ascii="Palatino Linotype" w:hAnsi="Palatino Linotype"/>
          <w:b/>
          <w:i/>
          <w:sz w:val="22"/>
          <w:szCs w:val="22"/>
        </w:rPr>
        <w:t xml:space="preserve">Riesgo por movimientos en masa: </w:t>
      </w:r>
      <w:r w:rsidRPr="00843F21">
        <w:rPr>
          <w:rFonts w:ascii="Palatino Linotype" w:hAnsi="Palatino Linotype"/>
          <w:i/>
          <w:sz w:val="22"/>
          <w:szCs w:val="22"/>
        </w:rPr>
        <w:t>el AHHYC “</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 xml:space="preserve">” en general presenta un </w:t>
      </w:r>
      <w:r w:rsidRPr="00843F21">
        <w:rPr>
          <w:rFonts w:ascii="Palatino Linotype" w:hAnsi="Palatino Linotype"/>
          <w:i/>
          <w:sz w:val="22"/>
          <w:szCs w:val="22"/>
          <w:u w:val="single"/>
        </w:rPr>
        <w:t>Riesgo Bajo</w:t>
      </w:r>
      <w:r w:rsidRPr="00843F21">
        <w:rPr>
          <w:rFonts w:ascii="Palatino Linotype" w:hAnsi="Palatino Linotype"/>
          <w:i/>
          <w:sz w:val="22"/>
          <w:szCs w:val="22"/>
        </w:rPr>
        <w:t xml:space="preserve"> frente a movimientos de remoción en masa. Esto debido a que se no se observaron condiciones físicas en el terreno que representen amenaza significativa, las condiciones de exposición son muy bajas, por lo que se espera poca o nula probabilidad que ocurran movimientos en masa que puedan ocasionar daños o pérdidas.</w:t>
      </w:r>
    </w:p>
    <w:p w:rsidR="006B3C7E" w:rsidRPr="00843F21" w:rsidRDefault="006B3C7E" w:rsidP="00843F21">
      <w:pPr>
        <w:pStyle w:val="Prrafodelista"/>
        <w:numPr>
          <w:ilvl w:val="0"/>
          <w:numId w:val="21"/>
        </w:numPr>
        <w:tabs>
          <w:tab w:val="clear" w:pos="720"/>
          <w:tab w:val="num" w:pos="1428"/>
        </w:tabs>
        <w:spacing w:after="120" w:line="276" w:lineRule="auto"/>
        <w:ind w:left="1428" w:hanging="294"/>
        <w:jc w:val="both"/>
        <w:rPr>
          <w:rFonts w:ascii="Palatino Linotype" w:hAnsi="Palatino Linotype"/>
          <w:b/>
          <w:i/>
          <w:sz w:val="22"/>
          <w:szCs w:val="22"/>
        </w:rPr>
      </w:pPr>
      <w:r w:rsidRPr="00843F21">
        <w:rPr>
          <w:rFonts w:ascii="Palatino Linotype" w:hAnsi="Palatino Linotype"/>
          <w:b/>
          <w:i/>
          <w:sz w:val="22"/>
          <w:szCs w:val="22"/>
        </w:rPr>
        <w:t>Riesgo por eventos sísmicos:</w:t>
      </w:r>
      <w:r w:rsidRPr="00843F21">
        <w:rPr>
          <w:rFonts w:ascii="Palatino Linotype" w:hAnsi="Palatino Linotype"/>
          <w:i/>
          <w:sz w:val="22"/>
          <w:szCs w:val="22"/>
        </w:rPr>
        <w:t xml:space="preserve"> de manera general, todo el AHHYC “</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 xml:space="preserve">” de la Parroquia Tumbaco presenta condiciones de </w:t>
      </w:r>
      <w:r w:rsidRPr="00843F21">
        <w:rPr>
          <w:rFonts w:ascii="Palatino Linotype" w:hAnsi="Palatino Linotype"/>
          <w:i/>
          <w:sz w:val="22"/>
          <w:szCs w:val="22"/>
          <w:u w:val="single"/>
        </w:rPr>
        <w:t>Riesgo Moderado Mitigable</w:t>
      </w:r>
      <w:r w:rsidRPr="00843F21">
        <w:rPr>
          <w:rFonts w:ascii="Palatino Linotype" w:hAnsi="Palatino Linotype"/>
          <w:i/>
          <w:sz w:val="22"/>
          <w:szCs w:val="22"/>
        </w:rPr>
        <w:t xml:space="preserve">, debido a la vulnerabilidad de sus construcciones </w:t>
      </w:r>
    </w:p>
    <w:p w:rsidR="006B3C7E" w:rsidRPr="00843F21" w:rsidRDefault="006B3C7E" w:rsidP="00843F21">
      <w:pPr>
        <w:pStyle w:val="Prrafodelista"/>
        <w:numPr>
          <w:ilvl w:val="0"/>
          <w:numId w:val="21"/>
        </w:numPr>
        <w:tabs>
          <w:tab w:val="clear" w:pos="720"/>
          <w:tab w:val="num" w:pos="1428"/>
        </w:tabs>
        <w:spacing w:after="120" w:line="276" w:lineRule="auto"/>
        <w:ind w:left="1428" w:hanging="294"/>
        <w:jc w:val="both"/>
        <w:rPr>
          <w:rFonts w:ascii="Palatino Linotype" w:hAnsi="Palatino Linotype"/>
          <w:b/>
          <w:i/>
          <w:sz w:val="22"/>
          <w:szCs w:val="22"/>
        </w:rPr>
      </w:pPr>
      <w:r w:rsidRPr="00843F21">
        <w:rPr>
          <w:rFonts w:ascii="Palatino Linotype" w:hAnsi="Palatino Linotype"/>
          <w:b/>
          <w:i/>
          <w:sz w:val="22"/>
          <w:szCs w:val="22"/>
        </w:rPr>
        <w:t>Riesgo por fenómenos volcánicos:</w:t>
      </w:r>
      <w:r w:rsidRPr="00843F21">
        <w:rPr>
          <w:rFonts w:ascii="Palatino Linotype" w:hAnsi="Palatino Linotype"/>
          <w:i/>
          <w:sz w:val="22"/>
          <w:szCs w:val="22"/>
        </w:rPr>
        <w:t xml:space="preserve"> el AHHYC “</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 xml:space="preserve">” de la Parroquia Tumbaco presenta </w:t>
      </w:r>
      <w:r w:rsidRPr="00843F21">
        <w:rPr>
          <w:rFonts w:ascii="Palatino Linotype" w:hAnsi="Palatino Linotype"/>
          <w:i/>
          <w:sz w:val="22"/>
          <w:szCs w:val="22"/>
          <w:u w:val="single"/>
        </w:rPr>
        <w:t>Riesgo Bajo Mitigable</w:t>
      </w:r>
      <w:r w:rsidRPr="00843F21">
        <w:rPr>
          <w:rFonts w:ascii="Palatino Linotype" w:hAnsi="Palatino Linotype"/>
          <w:i/>
          <w:sz w:val="22"/>
          <w:szCs w:val="22"/>
        </w:rPr>
        <w:t xml:space="preserve"> ante caída de ceniza que se pueda originar en alguno de los volcanes analizados.</w:t>
      </w:r>
    </w:p>
    <w:p w:rsidR="006B3C7E" w:rsidRPr="00843F21" w:rsidRDefault="006B3C7E" w:rsidP="00843F21">
      <w:pPr>
        <w:spacing w:after="120" w:line="276" w:lineRule="auto"/>
        <w:ind w:left="1139"/>
        <w:jc w:val="both"/>
        <w:rPr>
          <w:rFonts w:ascii="Palatino Linotype" w:hAnsi="Palatino Linotype" w:cs="Arial"/>
          <w:bCs/>
          <w:i/>
          <w:sz w:val="22"/>
          <w:szCs w:val="22"/>
        </w:rPr>
      </w:pPr>
      <w:r w:rsidRPr="00843F21">
        <w:rPr>
          <w:rFonts w:ascii="Palatino Linotype" w:hAnsi="Palatino Linotype"/>
          <w:i/>
          <w:sz w:val="22"/>
          <w:szCs w:val="22"/>
        </w:rPr>
        <w:t>Por lo tanto, la DMGR sugiere que se puede continuar con el proceso de regularización del AHHYC “</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 de la Parroquia Tumbaco, para lo cual, una vez concluido dicho proceso, sus habitantes deberán cumplir las</w:t>
      </w:r>
      <w:r w:rsidRPr="00843F21">
        <w:rPr>
          <w:rFonts w:ascii="Palatino Linotype" w:hAnsi="Palatino Linotype" w:cs="Arial"/>
          <w:bCs/>
          <w:i/>
          <w:sz w:val="22"/>
          <w:szCs w:val="22"/>
        </w:rPr>
        <w:t xml:space="preserve"> recomendaciones que se describen en este informe, lo cual contribuirá a reducir el riesgo identificado en la zona en análisis.</w:t>
      </w:r>
    </w:p>
    <w:p w:rsidR="006B3C7E" w:rsidRPr="00843F21" w:rsidRDefault="006B3C7E" w:rsidP="00843F21">
      <w:pPr>
        <w:spacing w:after="120" w:line="276" w:lineRule="auto"/>
        <w:ind w:left="1139"/>
        <w:jc w:val="both"/>
        <w:rPr>
          <w:rFonts w:ascii="Palatino Linotype" w:hAnsi="Palatino Linotype" w:cstheme="minorBidi"/>
          <w:b/>
          <w:i/>
          <w:sz w:val="22"/>
          <w:szCs w:val="22"/>
          <w:u w:val="single"/>
        </w:rPr>
      </w:pPr>
      <w:r w:rsidRPr="00843F21">
        <w:rPr>
          <w:rFonts w:ascii="Palatino Linotype" w:hAnsi="Palatino Linotype"/>
          <w:b/>
          <w:i/>
          <w:sz w:val="22"/>
          <w:szCs w:val="22"/>
          <w:u w:val="single"/>
        </w:rPr>
        <w:softHyphen/>
        <w:t>Nota Aclaratoria</w:t>
      </w:r>
    </w:p>
    <w:p w:rsidR="006B3C7E" w:rsidRPr="00843F21" w:rsidRDefault="006B3C7E" w:rsidP="00843F21">
      <w:pPr>
        <w:spacing w:after="120" w:line="276" w:lineRule="auto"/>
        <w:ind w:left="1139"/>
        <w:jc w:val="both"/>
        <w:rPr>
          <w:rFonts w:ascii="Palatino Linotype" w:hAnsi="Palatino Linotype" w:cs="Arial"/>
          <w:bCs/>
          <w:i/>
          <w:sz w:val="22"/>
          <w:szCs w:val="22"/>
        </w:rPr>
      </w:pPr>
      <w:r w:rsidRPr="00843F21">
        <w:rPr>
          <w:rFonts w:ascii="Palatino Linotype" w:hAnsi="Palatino Linotype" w:cs="Arial"/>
          <w:bCs/>
          <w:i/>
          <w:sz w:val="22"/>
          <w:szCs w:val="22"/>
        </w:rPr>
        <w:t xml:space="preserve">El Riesgo identificado es considerado “Mitigable” cuando es factible técnica, económica, social y políticamente intervenir el territorio mediante la implementación de medidas estructurales y/o no estructurales que permitan reducir las condiciones de exposición, </w:t>
      </w:r>
      <w:r w:rsidRPr="00843F21">
        <w:rPr>
          <w:rFonts w:ascii="Palatino Linotype" w:hAnsi="Palatino Linotype" w:cs="Arial"/>
          <w:bCs/>
          <w:i/>
          <w:sz w:val="22"/>
          <w:szCs w:val="22"/>
        </w:rPr>
        <w:lastRenderedPageBreak/>
        <w:t xml:space="preserve">vulnerabilidad y el potencial impacto esperado en caso que dicho riesgo se materialice, dentro de márgenes razonables y aceptables de seguridad. </w:t>
      </w:r>
    </w:p>
    <w:p w:rsidR="006B3C7E" w:rsidRPr="00843F21" w:rsidRDefault="006B3C7E" w:rsidP="00843F21">
      <w:pPr>
        <w:spacing w:after="120" w:line="276" w:lineRule="auto"/>
        <w:ind w:left="1134"/>
        <w:jc w:val="both"/>
        <w:rPr>
          <w:rFonts w:ascii="Palatino Linotype" w:hAnsi="Palatino Linotype" w:cs="Arial"/>
          <w:bCs/>
          <w:i/>
          <w:sz w:val="22"/>
          <w:szCs w:val="22"/>
        </w:rPr>
      </w:pPr>
      <w:r w:rsidRPr="00843F21">
        <w:rPr>
          <w:rFonts w:ascii="Palatino Linotype" w:hAnsi="Palatino Linotype" w:cs="Arial"/>
          <w:b/>
          <w:bCs/>
          <w:i/>
          <w:sz w:val="22"/>
          <w:szCs w:val="22"/>
        </w:rPr>
        <w:t>Medidas Estructurales:</w:t>
      </w:r>
      <w:r w:rsidRPr="00843F21">
        <w:rPr>
          <w:rFonts w:ascii="Palatino Linotype" w:hAnsi="Palatino Linotype" w:cs="Arial"/>
          <w:bCs/>
          <w:i/>
          <w:sz w:val="22"/>
          <w:szCs w:val="22"/>
        </w:rPr>
        <w:t xml:space="preserve"> Acciones de ingeniería para reducir impactos de las amenazas como:</w:t>
      </w:r>
    </w:p>
    <w:p w:rsidR="006B3C7E" w:rsidRPr="00843F21" w:rsidRDefault="006B3C7E" w:rsidP="00843F21">
      <w:pPr>
        <w:pStyle w:val="Prrafodelista"/>
        <w:numPr>
          <w:ilvl w:val="0"/>
          <w:numId w:val="22"/>
        </w:numPr>
        <w:spacing w:after="120" w:line="276" w:lineRule="auto"/>
        <w:ind w:left="1417"/>
        <w:jc w:val="both"/>
        <w:rPr>
          <w:rFonts w:ascii="Palatino Linotype" w:hAnsi="Palatino Linotype" w:cs="Arial"/>
          <w:bCs/>
          <w:i/>
          <w:sz w:val="22"/>
          <w:szCs w:val="22"/>
        </w:rPr>
      </w:pPr>
      <w:r w:rsidRPr="00843F21">
        <w:rPr>
          <w:rFonts w:ascii="Palatino Linotype" w:hAnsi="Palatino Linotype" w:cs="Arial"/>
          <w:bCs/>
          <w:i/>
          <w:sz w:val="22"/>
          <w:szCs w:val="22"/>
        </w:rPr>
        <w:t>Protección y control: Intervención directa de la amenaza (muros de protección, canalización de aguas a los sistemas de alcantarillado y no hacia los lotes de terreno)</w:t>
      </w:r>
    </w:p>
    <w:p w:rsidR="006B3C7E" w:rsidRPr="00843F21" w:rsidRDefault="006B3C7E" w:rsidP="00843F21">
      <w:pPr>
        <w:pStyle w:val="Prrafodelista"/>
        <w:numPr>
          <w:ilvl w:val="0"/>
          <w:numId w:val="22"/>
        </w:numPr>
        <w:spacing w:after="120" w:line="276" w:lineRule="auto"/>
        <w:ind w:left="1417"/>
        <w:jc w:val="both"/>
        <w:rPr>
          <w:rFonts w:ascii="Palatino Linotype" w:hAnsi="Palatino Linotype" w:cs="Arial"/>
          <w:bCs/>
          <w:i/>
          <w:sz w:val="22"/>
          <w:szCs w:val="22"/>
        </w:rPr>
      </w:pPr>
      <w:r w:rsidRPr="00843F21">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6B3C7E" w:rsidRPr="00843F21" w:rsidRDefault="006B3C7E" w:rsidP="00843F21">
      <w:pPr>
        <w:spacing w:after="120" w:line="276" w:lineRule="auto"/>
        <w:ind w:left="1134"/>
        <w:jc w:val="both"/>
        <w:rPr>
          <w:rFonts w:ascii="Palatino Linotype" w:hAnsi="Palatino Linotype" w:cs="Arial"/>
          <w:bCs/>
          <w:i/>
          <w:sz w:val="22"/>
          <w:szCs w:val="22"/>
        </w:rPr>
      </w:pPr>
      <w:r w:rsidRPr="00843F21">
        <w:rPr>
          <w:rFonts w:ascii="Palatino Linotype" w:hAnsi="Palatino Linotype" w:cs="Arial"/>
          <w:b/>
          <w:bCs/>
          <w:i/>
          <w:sz w:val="22"/>
          <w:szCs w:val="22"/>
        </w:rPr>
        <w:t>Medidas No estructurales:</w:t>
      </w:r>
      <w:r w:rsidRPr="00843F21">
        <w:rPr>
          <w:rFonts w:ascii="Palatino Linotype" w:hAnsi="Palatino Linotype" w:cs="Arial"/>
          <w:bCs/>
          <w:i/>
          <w:sz w:val="22"/>
          <w:szCs w:val="22"/>
        </w:rPr>
        <w:t xml:space="preserve"> Desarrollo del conocimiento, políticas, leyes y mecanismos participativos.</w:t>
      </w:r>
    </w:p>
    <w:p w:rsidR="006B3C7E" w:rsidRPr="00843F21" w:rsidRDefault="006B3C7E" w:rsidP="00843F21">
      <w:pPr>
        <w:numPr>
          <w:ilvl w:val="0"/>
          <w:numId w:val="23"/>
        </w:numPr>
        <w:tabs>
          <w:tab w:val="clear" w:pos="720"/>
          <w:tab w:val="num" w:pos="1428"/>
        </w:tabs>
        <w:spacing w:after="120" w:line="276" w:lineRule="auto"/>
        <w:ind w:left="1428" w:hanging="294"/>
        <w:jc w:val="both"/>
        <w:rPr>
          <w:rFonts w:ascii="Palatino Linotype" w:hAnsi="Palatino Linotype" w:cs="Arial"/>
          <w:bCs/>
          <w:i/>
          <w:sz w:val="22"/>
          <w:szCs w:val="22"/>
        </w:rPr>
      </w:pPr>
      <w:r w:rsidRPr="00843F21">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6B3C7E" w:rsidRPr="00843F21" w:rsidRDefault="006B3C7E" w:rsidP="00843F21">
      <w:pPr>
        <w:numPr>
          <w:ilvl w:val="0"/>
          <w:numId w:val="23"/>
        </w:numPr>
        <w:tabs>
          <w:tab w:val="clear" w:pos="720"/>
          <w:tab w:val="num" w:pos="1428"/>
        </w:tabs>
        <w:spacing w:after="120" w:line="276" w:lineRule="auto"/>
        <w:ind w:left="1428" w:hanging="294"/>
        <w:jc w:val="both"/>
        <w:rPr>
          <w:rFonts w:ascii="Palatino Linotype" w:hAnsi="Palatino Linotype" w:cs="Arial"/>
          <w:bCs/>
          <w:i/>
          <w:sz w:val="22"/>
          <w:szCs w:val="22"/>
        </w:rPr>
      </w:pPr>
      <w:r w:rsidRPr="00843F21">
        <w:rPr>
          <w:rFonts w:ascii="Palatino Linotype" w:hAnsi="Palatino Linotype" w:cs="Arial"/>
          <w:bCs/>
          <w:i/>
          <w:sz w:val="22"/>
          <w:szCs w:val="22"/>
        </w:rPr>
        <w:t>Acciones Pasivas: Relacionadas con legislación y planificación (normas de construcción, uso del suelo y ordenamiento territorial, etc.)</w:t>
      </w:r>
    </w:p>
    <w:p w:rsidR="006B3C7E" w:rsidRPr="00843F21" w:rsidRDefault="006B3C7E" w:rsidP="00843F21">
      <w:pPr>
        <w:spacing w:after="120" w:line="276" w:lineRule="auto"/>
        <w:ind w:left="708"/>
        <w:jc w:val="both"/>
        <w:rPr>
          <w:rFonts w:ascii="Palatino Linotype" w:hAnsi="Palatino Linotype"/>
          <w:b/>
          <w:i/>
          <w:sz w:val="22"/>
          <w:szCs w:val="22"/>
        </w:rPr>
      </w:pPr>
      <w:r w:rsidRPr="00843F21">
        <w:rPr>
          <w:rFonts w:ascii="Palatino Linotype" w:hAnsi="Palatino Linotype"/>
          <w:b/>
          <w:i/>
          <w:sz w:val="22"/>
          <w:szCs w:val="22"/>
        </w:rPr>
        <w:t>7. RECOMENDACIONES</w:t>
      </w:r>
    </w:p>
    <w:p w:rsidR="006B3C7E" w:rsidRPr="00843F21" w:rsidRDefault="006B3C7E" w:rsidP="00843F21">
      <w:pPr>
        <w:spacing w:after="120" w:line="276" w:lineRule="auto"/>
        <w:ind w:left="708"/>
        <w:jc w:val="both"/>
        <w:rPr>
          <w:rFonts w:ascii="Palatino Linotype" w:hAnsi="Palatino Linotype" w:cs="Arial"/>
          <w:b/>
          <w:bCs/>
          <w:i/>
          <w:sz w:val="22"/>
          <w:szCs w:val="22"/>
        </w:rPr>
      </w:pPr>
      <w:r w:rsidRPr="00843F21">
        <w:rPr>
          <w:rFonts w:ascii="Palatino Linotype" w:hAnsi="Palatino Linotype" w:cs="Arial"/>
          <w:b/>
          <w:bCs/>
          <w:i/>
          <w:sz w:val="22"/>
          <w:szCs w:val="22"/>
        </w:rPr>
        <w:t>Para el riesgo por movimientos en masa:</w:t>
      </w:r>
    </w:p>
    <w:p w:rsidR="006B3C7E" w:rsidRPr="00843F21" w:rsidRDefault="006B3C7E" w:rsidP="00843F21">
      <w:pPr>
        <w:pStyle w:val="Prrafodelista"/>
        <w:numPr>
          <w:ilvl w:val="0"/>
          <w:numId w:val="24"/>
        </w:numPr>
        <w:spacing w:after="120" w:line="276" w:lineRule="auto"/>
        <w:ind w:left="1428"/>
        <w:jc w:val="both"/>
        <w:rPr>
          <w:rFonts w:ascii="Palatino Linotype" w:hAnsi="Palatino Linotype" w:cs="Arial"/>
          <w:bCs/>
          <w:i/>
          <w:sz w:val="22"/>
          <w:szCs w:val="22"/>
        </w:rPr>
      </w:pPr>
      <w:r w:rsidRPr="00843F21">
        <w:rPr>
          <w:rFonts w:ascii="Palatino Linotype" w:hAnsi="Palatino Linotype" w:cs="Arial"/>
          <w:bCs/>
          <w:i/>
          <w:sz w:val="22"/>
          <w:szCs w:val="22"/>
        </w:rPr>
        <w:t>Se recomienda que mediante mingas comunitarias se implemente sistemas de conducción de escorrentía (agua lluvia) en las calles de tierra afirmada para prevenir la erosión del suelo y arrastre de material que pueda afectar a las viviendas.</w:t>
      </w:r>
    </w:p>
    <w:p w:rsidR="006B3C7E" w:rsidRPr="00843F21" w:rsidRDefault="006B3C7E" w:rsidP="00843F21">
      <w:pPr>
        <w:spacing w:after="120" w:line="276" w:lineRule="auto"/>
        <w:ind w:left="708"/>
        <w:jc w:val="both"/>
        <w:rPr>
          <w:rFonts w:ascii="Palatino Linotype" w:hAnsi="Palatino Linotype" w:cs="Arial"/>
          <w:b/>
          <w:bCs/>
          <w:i/>
          <w:sz w:val="22"/>
          <w:szCs w:val="22"/>
        </w:rPr>
      </w:pPr>
      <w:r w:rsidRPr="00843F21">
        <w:rPr>
          <w:rFonts w:ascii="Palatino Linotype" w:hAnsi="Palatino Linotype" w:cs="Arial"/>
          <w:b/>
          <w:bCs/>
          <w:i/>
          <w:sz w:val="22"/>
          <w:szCs w:val="22"/>
        </w:rPr>
        <w:t>Para el riesgo sísmico:</w:t>
      </w:r>
    </w:p>
    <w:p w:rsidR="006B3C7E" w:rsidRPr="00843F21" w:rsidRDefault="006B3C7E" w:rsidP="00843F21">
      <w:pPr>
        <w:pStyle w:val="Prrafodelista"/>
        <w:numPr>
          <w:ilvl w:val="0"/>
          <w:numId w:val="24"/>
        </w:numPr>
        <w:spacing w:after="120" w:line="276" w:lineRule="auto"/>
        <w:ind w:left="1428"/>
        <w:jc w:val="both"/>
        <w:rPr>
          <w:rFonts w:ascii="Palatino Linotype" w:hAnsi="Palatino Linotype" w:cs="Arial"/>
          <w:bCs/>
          <w:i/>
          <w:sz w:val="22"/>
          <w:szCs w:val="22"/>
        </w:rPr>
      </w:pPr>
      <w:r w:rsidRPr="00843F21">
        <w:rPr>
          <w:rFonts w:ascii="Palatino Linotype" w:hAnsi="Palatino Linotype" w:cs="Arial"/>
          <w:bCs/>
          <w:i/>
          <w:sz w:val="22"/>
          <w:szCs w:val="22"/>
        </w:rPr>
        <w:t xml:space="preserve">Se recomienda que los propietarios y/o posesionarios actuales no construyan más viviendas en el </w:t>
      </w:r>
      <w:proofErr w:type="spellStart"/>
      <w:r w:rsidRPr="00843F21">
        <w:rPr>
          <w:rFonts w:ascii="Palatino Linotype" w:hAnsi="Palatino Linotype" w:cs="Arial"/>
          <w:bCs/>
          <w:i/>
          <w:sz w:val="22"/>
          <w:szCs w:val="22"/>
        </w:rPr>
        <w:t>macrolote</w:t>
      </w:r>
      <w:proofErr w:type="spellEnd"/>
      <w:r w:rsidRPr="00843F21">
        <w:rPr>
          <w:rFonts w:ascii="Palatino Linotype" w:hAnsi="Palatino Linotype" w:cs="Arial"/>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843F21">
        <w:rPr>
          <w:rFonts w:ascii="Palatino Linotype" w:hAnsi="Palatino Linotype"/>
          <w:i/>
          <w:sz w:val="22"/>
          <w:szCs w:val="22"/>
        </w:rPr>
        <w:t>“</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w:t>
      </w:r>
      <w:r w:rsidRPr="00843F21">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6B3C7E" w:rsidRPr="00843F21" w:rsidRDefault="006B3C7E" w:rsidP="00843F21">
      <w:pPr>
        <w:pStyle w:val="Prrafodelista"/>
        <w:numPr>
          <w:ilvl w:val="0"/>
          <w:numId w:val="24"/>
        </w:numPr>
        <w:spacing w:after="120" w:line="276" w:lineRule="auto"/>
        <w:ind w:left="1428"/>
        <w:jc w:val="both"/>
        <w:rPr>
          <w:rFonts w:ascii="Palatino Linotype" w:hAnsi="Palatino Linotype" w:cstheme="minorHAnsi"/>
          <w:i/>
          <w:color w:val="000000"/>
          <w:sz w:val="22"/>
          <w:szCs w:val="22"/>
        </w:rPr>
      </w:pPr>
      <w:r w:rsidRPr="00843F21">
        <w:rPr>
          <w:rFonts w:ascii="Palatino Linotype" w:hAnsi="Palatino Linotype" w:cs="Arial"/>
          <w:bCs/>
          <w:i/>
          <w:sz w:val="22"/>
          <w:szCs w:val="22"/>
        </w:rPr>
        <w:lastRenderedPageBreak/>
        <w:t xml:space="preserve">Posterior a la regularización del AHHYC </w:t>
      </w:r>
      <w:r w:rsidRPr="00843F21">
        <w:rPr>
          <w:rFonts w:ascii="Palatino Linotype" w:hAnsi="Palatino Linotype"/>
          <w:i/>
          <w:sz w:val="22"/>
          <w:szCs w:val="22"/>
        </w:rPr>
        <w:t>“</w:t>
      </w:r>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r w:rsidRPr="00843F21">
        <w:rPr>
          <w:rFonts w:ascii="Palatino Linotype" w:hAnsi="Palatino Linotype"/>
          <w:i/>
          <w:sz w:val="22"/>
          <w:szCs w:val="22"/>
        </w:rPr>
        <w:t>”</w:t>
      </w:r>
      <w:r w:rsidRPr="00843F21">
        <w:rPr>
          <w:rFonts w:ascii="Palatino Linotype" w:hAnsi="Palatino Linotype" w:cs="Arial"/>
          <w:bCs/>
          <w:i/>
          <w:sz w:val="22"/>
          <w:szCs w:val="22"/>
        </w:rPr>
        <w:t xml:space="preserve">, las </w:t>
      </w:r>
      <w:r w:rsidRPr="00843F21">
        <w:rPr>
          <w:rFonts w:ascii="Palatino Linotype" w:hAnsi="Palatino Linotype"/>
          <w:i/>
          <w:sz w:val="22"/>
          <w:szCs w:val="22"/>
        </w:rPr>
        <w:t xml:space="preserve">edificaciones en proceso de construcción, aumento en planta o elevación y demás edificaciones dentro del área en análisis, que no </w:t>
      </w:r>
      <w:r w:rsidRPr="00843F21">
        <w:rPr>
          <w:rFonts w:ascii="Palatino Linotype" w:hAnsi="Palatino Linotype" w:cs="Arial"/>
          <w:bCs/>
          <w:i/>
          <w:sz w:val="22"/>
          <w:szCs w:val="22"/>
        </w:rPr>
        <w:t>dispongan</w:t>
      </w:r>
      <w:r w:rsidRPr="00843F21">
        <w:rPr>
          <w:rFonts w:ascii="Palatino Linotype" w:hAnsi="Palatino Linotype"/>
          <w:i/>
          <w:sz w:val="22"/>
          <w:szCs w:val="22"/>
        </w:rPr>
        <w:t xml:space="preserve"> de un diseño estructural o algún tipo de asesoría técnica, los propietarios deberán </w:t>
      </w:r>
      <w:r w:rsidRPr="00843F21">
        <w:rPr>
          <w:rFonts w:ascii="Palatino Linotype" w:hAnsi="Palatino Linotype" w:cs="Arial"/>
          <w:bCs/>
          <w:i/>
          <w:sz w:val="22"/>
          <w:szCs w:val="22"/>
        </w:rPr>
        <w:t>contratar a un especialista (</w:t>
      </w:r>
      <w:r w:rsidRPr="00843F21">
        <w:rPr>
          <w:rFonts w:ascii="Palatino Linotype" w:hAnsi="Palatino Linotype"/>
          <w:i/>
          <w:sz w:val="22"/>
          <w:szCs w:val="22"/>
        </w:rPr>
        <w:t xml:space="preserve">Ingeniero/a Civil), para que realice evaluaciones estructurales de las viviendas y </w:t>
      </w:r>
      <w:r w:rsidRPr="00843F21">
        <w:rPr>
          <w:rFonts w:ascii="Palatino Linotype" w:hAnsi="Palatino Linotype" w:cs="Arial"/>
          <w:bCs/>
          <w:i/>
          <w:sz w:val="22"/>
          <w:szCs w:val="22"/>
        </w:rPr>
        <w:t xml:space="preserve">proponga alternativas de reparación y/o reforzamiento estructural en caso de ameritarlo. </w:t>
      </w:r>
    </w:p>
    <w:p w:rsidR="006B3C7E" w:rsidRPr="00843F21" w:rsidRDefault="006B3C7E" w:rsidP="00843F21">
      <w:pPr>
        <w:pStyle w:val="Prrafodelista"/>
        <w:numPr>
          <w:ilvl w:val="0"/>
          <w:numId w:val="24"/>
        </w:numPr>
        <w:spacing w:after="120" w:line="276" w:lineRule="auto"/>
        <w:ind w:left="1428"/>
        <w:jc w:val="both"/>
        <w:rPr>
          <w:rFonts w:ascii="Palatino Linotype" w:hAnsi="Palatino Linotype" w:cstheme="minorHAnsi"/>
          <w:i/>
          <w:color w:val="000000"/>
          <w:sz w:val="22"/>
          <w:szCs w:val="22"/>
        </w:rPr>
      </w:pPr>
      <w:r w:rsidRPr="00843F21">
        <w:rPr>
          <w:rFonts w:ascii="Palatino Linotype" w:hAnsi="Palatino Linotype" w:cstheme="minorHAnsi"/>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6B3C7E" w:rsidRPr="00843F21" w:rsidRDefault="006B3C7E" w:rsidP="00843F21">
      <w:pPr>
        <w:spacing w:after="120" w:line="276" w:lineRule="auto"/>
        <w:ind w:left="708"/>
        <w:jc w:val="both"/>
        <w:rPr>
          <w:rFonts w:ascii="Palatino Linotype" w:eastAsiaTheme="minorEastAsia" w:hAnsi="Palatino Linotype" w:cs="Arial"/>
          <w:b/>
          <w:bCs/>
          <w:i/>
          <w:sz w:val="22"/>
          <w:szCs w:val="22"/>
          <w:lang w:val="es-EC" w:eastAsia="es-EC"/>
        </w:rPr>
      </w:pPr>
      <w:r w:rsidRPr="00843F21">
        <w:rPr>
          <w:rFonts w:ascii="Palatino Linotype" w:hAnsi="Palatino Linotype" w:cs="Arial"/>
          <w:b/>
          <w:bCs/>
          <w:i/>
          <w:sz w:val="22"/>
          <w:szCs w:val="22"/>
        </w:rPr>
        <w:t>Para el riesgo Volcánico (caída de ceniza):</w:t>
      </w:r>
    </w:p>
    <w:p w:rsidR="006B3C7E" w:rsidRPr="00843F21" w:rsidRDefault="006B3C7E" w:rsidP="00843F21">
      <w:pPr>
        <w:pStyle w:val="Prrafodelista"/>
        <w:numPr>
          <w:ilvl w:val="0"/>
          <w:numId w:val="25"/>
        </w:numPr>
        <w:spacing w:after="120" w:line="276" w:lineRule="auto"/>
        <w:ind w:left="1407"/>
        <w:jc w:val="both"/>
        <w:rPr>
          <w:rFonts w:ascii="Palatino Linotype" w:hAnsi="Palatino Linotype" w:cs="Arial"/>
          <w:b/>
          <w:bCs/>
          <w:i/>
          <w:sz w:val="22"/>
          <w:szCs w:val="22"/>
        </w:rPr>
      </w:pPr>
      <w:r w:rsidRPr="00843F21">
        <w:rPr>
          <w:rFonts w:ascii="Palatino Linotype" w:hAnsi="Palatino Linotype" w:cs="Arial"/>
          <w:bCs/>
          <w:i/>
          <w:sz w:val="22"/>
          <w:szCs w:val="22"/>
        </w:rPr>
        <w:t xml:space="preserve">Las afectaciones que podría ocasionar la caída de </w:t>
      </w:r>
      <w:proofErr w:type="spellStart"/>
      <w:r w:rsidRPr="00843F21">
        <w:rPr>
          <w:rFonts w:ascii="Palatino Linotype" w:hAnsi="Palatino Linotype" w:cs="Arial"/>
          <w:bCs/>
          <w:i/>
          <w:sz w:val="22"/>
          <w:szCs w:val="22"/>
        </w:rPr>
        <w:t>piroclastos</w:t>
      </w:r>
      <w:proofErr w:type="spellEnd"/>
      <w:r w:rsidRPr="00843F21">
        <w:rPr>
          <w:rFonts w:ascii="Palatino Linotype" w:hAnsi="Palatino Linotype" w:cs="Arial"/>
          <w:bCs/>
          <w:i/>
          <w:sz w:val="22"/>
          <w:szCs w:val="22"/>
        </w:rPr>
        <w:t xml:space="preserve"> (ceniza y lapilli) se </w:t>
      </w:r>
      <w:r w:rsidRPr="00843F21">
        <w:rPr>
          <w:rFonts w:ascii="Palatino Linotype" w:hAnsi="Palatino Linotype" w:cs="Arial"/>
          <w:i/>
          <w:color w:val="000000"/>
          <w:sz w:val="22"/>
          <w:szCs w:val="22"/>
        </w:rPr>
        <w:t>mitiga</w:t>
      </w:r>
      <w:r w:rsidRPr="00843F21">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Acatar las disposiciones municipales y tener precaución en caso de un nuevo evento eruptivo.</w:t>
      </w:r>
    </w:p>
    <w:p w:rsidR="006B3C7E" w:rsidRPr="00843F21" w:rsidRDefault="006B3C7E" w:rsidP="00843F21">
      <w:pPr>
        <w:spacing w:after="120" w:line="276" w:lineRule="auto"/>
        <w:ind w:left="708"/>
        <w:jc w:val="both"/>
        <w:rPr>
          <w:rFonts w:ascii="Palatino Linotype" w:hAnsi="Palatino Linotype" w:cs="Arial"/>
          <w:b/>
          <w:bCs/>
          <w:i/>
          <w:sz w:val="22"/>
          <w:szCs w:val="22"/>
        </w:rPr>
      </w:pPr>
      <w:r w:rsidRPr="00843F21">
        <w:rPr>
          <w:rFonts w:ascii="Palatino Linotype" w:hAnsi="Palatino Linotype" w:cs="Arial"/>
          <w:b/>
          <w:bCs/>
          <w:i/>
          <w:sz w:val="22"/>
          <w:szCs w:val="22"/>
        </w:rPr>
        <w:t>Recomendaciones Generales</w:t>
      </w:r>
    </w:p>
    <w:p w:rsidR="006B3C7E" w:rsidRPr="00843F21" w:rsidRDefault="006B3C7E" w:rsidP="00843F21">
      <w:pPr>
        <w:pStyle w:val="Prrafodelista"/>
        <w:numPr>
          <w:ilvl w:val="0"/>
          <w:numId w:val="25"/>
        </w:numPr>
        <w:spacing w:after="120" w:line="276" w:lineRule="auto"/>
        <w:ind w:left="1407"/>
        <w:jc w:val="both"/>
        <w:rPr>
          <w:rFonts w:ascii="Palatino Linotype" w:hAnsi="Palatino Linotype" w:cs="Arial"/>
          <w:bCs/>
          <w:i/>
          <w:sz w:val="22"/>
          <w:szCs w:val="22"/>
        </w:rPr>
      </w:pPr>
      <w:r w:rsidRPr="00843F21">
        <w:rPr>
          <w:rFonts w:ascii="Palatino Linotype" w:hAnsi="Palatino Linotype" w:cs="Arial"/>
          <w:bCs/>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 puede solicitar a la Unidad de Seguridad Ciudadana y Gestión de Riesgos de la A.Z. Tumbaco, que brinde las capacitaciones en gestión de riesgos y programe simulacros de evacuación por emergencias que se realizan dentro del Programa “Quito Listo” que coordina la Secretaría General de Seguridad y Gobernabilidad.  </w:t>
      </w:r>
    </w:p>
    <w:p w:rsidR="006B3C7E" w:rsidRPr="00843F21" w:rsidRDefault="006B3C7E" w:rsidP="00843F21">
      <w:pPr>
        <w:spacing w:after="120" w:line="276" w:lineRule="auto"/>
        <w:ind w:left="708"/>
        <w:jc w:val="both"/>
        <w:rPr>
          <w:rFonts w:ascii="Palatino Linotype" w:hAnsi="Palatino Linotype" w:cs="Arial"/>
          <w:b/>
          <w:bCs/>
          <w:i/>
          <w:sz w:val="22"/>
          <w:szCs w:val="22"/>
        </w:rPr>
      </w:pPr>
      <w:r w:rsidRPr="00843F21">
        <w:rPr>
          <w:rFonts w:ascii="Palatino Linotype" w:hAnsi="Palatino Linotype" w:cs="Arial"/>
          <w:b/>
          <w:bCs/>
          <w:i/>
          <w:sz w:val="22"/>
          <w:szCs w:val="22"/>
        </w:rPr>
        <w:t>Cumplimiento de la normativa vigente:</w:t>
      </w:r>
    </w:p>
    <w:p w:rsidR="006B3C7E" w:rsidRPr="00843F21" w:rsidRDefault="006B3C7E" w:rsidP="00843F21">
      <w:pPr>
        <w:pStyle w:val="Prrafodelista"/>
        <w:numPr>
          <w:ilvl w:val="0"/>
          <w:numId w:val="25"/>
        </w:numPr>
        <w:spacing w:after="120" w:line="276" w:lineRule="auto"/>
        <w:ind w:left="1407"/>
        <w:jc w:val="both"/>
        <w:rPr>
          <w:rFonts w:ascii="Palatino Linotype" w:hAnsi="Palatino Linotype" w:cstheme="minorHAnsi"/>
          <w:bCs/>
          <w:i/>
          <w:sz w:val="22"/>
          <w:szCs w:val="22"/>
        </w:rPr>
      </w:pPr>
      <w:r w:rsidRPr="00843F21">
        <w:rPr>
          <w:rFonts w:ascii="Palatino Linotype" w:hAnsi="Palatino Linotype" w:cstheme="minorHAnsi"/>
          <w:bCs/>
          <w:i/>
          <w:sz w:val="22"/>
          <w:szCs w:val="22"/>
        </w:rPr>
        <w:t xml:space="preserve">De acuerdo a la Constitución de la República del Ecuador donde establecen las </w:t>
      </w:r>
      <w:r w:rsidRPr="00843F21">
        <w:rPr>
          <w:rFonts w:ascii="Palatino Linotype" w:hAnsi="Palatino Linotype"/>
          <w:i/>
          <w:sz w:val="22"/>
          <w:szCs w:val="22"/>
        </w:rPr>
        <w:t xml:space="preserve">competencias exclusivas a </w:t>
      </w:r>
      <w:r w:rsidRPr="00843F21">
        <w:rPr>
          <w:rFonts w:ascii="Palatino Linotype" w:hAnsi="Palatino Linotype" w:cstheme="minorHAnsi"/>
          <w:bCs/>
          <w:i/>
          <w:sz w:val="22"/>
          <w:szCs w:val="22"/>
        </w:rPr>
        <w:t>los</w:t>
      </w:r>
      <w:r w:rsidRPr="00843F21">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843F21">
        <w:rPr>
          <w:rFonts w:ascii="Palatino Linotype" w:hAnsi="Palatino Linotype" w:cstheme="minorHAnsi"/>
          <w:bCs/>
          <w:i/>
          <w:sz w:val="22"/>
          <w:szCs w:val="22"/>
        </w:rPr>
        <w:t xml:space="preserve">gobiernos autónomos descentralizados municipales </w:t>
      </w:r>
      <w:r w:rsidRPr="00843F21">
        <w:rPr>
          <w:rFonts w:ascii="Palatino Linotype" w:hAnsi="Palatino Linotype" w:cstheme="minorHAnsi"/>
          <w:bCs/>
          <w:i/>
          <w:sz w:val="22"/>
          <w:szCs w:val="22"/>
        </w:rPr>
        <w:lastRenderedPageBreak/>
        <w:t xml:space="preserve">adoptarán obligatoriamente normas </w:t>
      </w:r>
      <w:r w:rsidRPr="00843F21">
        <w:rPr>
          <w:rFonts w:ascii="Palatino Linotype" w:hAnsi="Palatino Linotype" w:cs="Arial"/>
          <w:bCs/>
          <w:i/>
          <w:sz w:val="22"/>
          <w:szCs w:val="22"/>
        </w:rPr>
        <w:t>técnicas</w:t>
      </w:r>
      <w:r w:rsidRPr="00843F21">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6B3C7E" w:rsidRPr="00843F21" w:rsidRDefault="006B3C7E" w:rsidP="00843F21">
      <w:pPr>
        <w:pStyle w:val="Prrafodelista"/>
        <w:numPr>
          <w:ilvl w:val="0"/>
          <w:numId w:val="25"/>
        </w:numPr>
        <w:spacing w:after="120" w:line="276" w:lineRule="auto"/>
        <w:ind w:left="1407"/>
        <w:jc w:val="both"/>
        <w:rPr>
          <w:rFonts w:ascii="Palatino Linotype" w:hAnsi="Palatino Linotype" w:cs="Arial"/>
          <w:bCs/>
          <w:i/>
          <w:sz w:val="22"/>
          <w:szCs w:val="22"/>
        </w:rPr>
      </w:pPr>
      <w:r w:rsidRPr="00843F21">
        <w:rPr>
          <w:rFonts w:ascii="Palatino Linotype" w:hAnsi="Palatino Linotype" w:cs="Arial"/>
          <w:bCs/>
          <w:i/>
          <w:sz w:val="22"/>
          <w:szCs w:val="22"/>
        </w:rPr>
        <w:t xml:space="preserve">En el proyecto de regularización se debe respetar la normativa vigente de las Ordenanzas Metropolitanas de: aprobación de los Planes Metropolitanos de Desarrollo y Ordenamiento Territorial, (PMOT), Uso y Ocupación del Suelo, (PUOS) y Régimen Administrativo del Suelo en el D.M.Q. </w:t>
      </w:r>
    </w:p>
    <w:p w:rsidR="006B3C7E" w:rsidRPr="00843F21" w:rsidRDefault="006B3C7E" w:rsidP="00843F21">
      <w:pPr>
        <w:pStyle w:val="Prrafodelista"/>
        <w:numPr>
          <w:ilvl w:val="0"/>
          <w:numId w:val="25"/>
        </w:numPr>
        <w:spacing w:after="120" w:line="276" w:lineRule="auto"/>
        <w:ind w:left="1407"/>
        <w:jc w:val="both"/>
        <w:rPr>
          <w:rFonts w:ascii="Palatino Linotype" w:hAnsi="Palatino Linotype" w:cs="Arial"/>
          <w:bCs/>
          <w:i/>
          <w:sz w:val="22"/>
          <w:szCs w:val="22"/>
        </w:rPr>
      </w:pPr>
      <w:r w:rsidRPr="00843F21">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843F21">
        <w:rPr>
          <w:rFonts w:ascii="Palatino Linotype" w:hAnsi="Palatino Linotype" w:cs="Arial"/>
          <w:bCs/>
          <w:i/>
          <w:sz w:val="22"/>
          <w:szCs w:val="22"/>
        </w:rPr>
        <w:t>.</w:t>
      </w:r>
    </w:p>
    <w:p w:rsidR="006B3C7E" w:rsidRPr="00843F21" w:rsidRDefault="006B3C7E" w:rsidP="00843F21">
      <w:pPr>
        <w:pStyle w:val="Prrafodelista"/>
        <w:numPr>
          <w:ilvl w:val="0"/>
          <w:numId w:val="25"/>
        </w:numPr>
        <w:spacing w:after="120" w:line="276" w:lineRule="auto"/>
        <w:ind w:left="1407"/>
        <w:jc w:val="both"/>
        <w:rPr>
          <w:rFonts w:ascii="Palatino Linotype" w:hAnsi="Palatino Linotype" w:cs="Arial"/>
          <w:bCs/>
          <w:i/>
          <w:sz w:val="22"/>
          <w:szCs w:val="22"/>
        </w:rPr>
      </w:pPr>
      <w:r w:rsidRPr="00843F21">
        <w:rPr>
          <w:rFonts w:ascii="Palatino Linotype" w:hAnsi="Palatino Linotype" w:cs="Arial"/>
          <w:bCs/>
          <w:i/>
          <w:sz w:val="22"/>
          <w:szCs w:val="22"/>
        </w:rPr>
        <w:t xml:space="preserve">La </w:t>
      </w:r>
      <w:r w:rsidRPr="00843F21">
        <w:rPr>
          <w:rFonts w:ascii="Palatino Linotype" w:hAnsi="Palatino Linotype" w:cstheme="minorHAnsi"/>
          <w:bCs/>
          <w:i/>
          <w:sz w:val="22"/>
          <w:szCs w:val="22"/>
        </w:rPr>
        <w:t>Unidad</w:t>
      </w:r>
      <w:r w:rsidRPr="00843F21">
        <w:rPr>
          <w:rFonts w:ascii="Palatino Linotype" w:hAnsi="Palatino Linotype" w:cs="Arial"/>
          <w:bCs/>
          <w:i/>
          <w:sz w:val="22"/>
          <w:szCs w:val="22"/>
        </w:rPr>
        <w:t xml:space="preserve"> Especial Regula Tu Barrio deberá comunicar a la comunidad del AHHYC “</w:t>
      </w:r>
      <w:bookmarkStart w:id="1" w:name="_Hlk508805935"/>
      <w:r w:rsidRPr="00843F21">
        <w:rPr>
          <w:rFonts w:ascii="Palatino Linotype" w:hAnsi="Palatino Linotype" w:cs="Arial"/>
          <w:bCs/>
          <w:i/>
          <w:sz w:val="22"/>
          <w:szCs w:val="22"/>
        </w:rPr>
        <w:t xml:space="preserve">Balcón </w:t>
      </w:r>
      <w:proofErr w:type="spellStart"/>
      <w:r w:rsidRPr="00843F21">
        <w:rPr>
          <w:rFonts w:ascii="Palatino Linotype" w:hAnsi="Palatino Linotype" w:cs="Arial"/>
          <w:bCs/>
          <w:i/>
          <w:sz w:val="22"/>
          <w:szCs w:val="22"/>
        </w:rPr>
        <w:t>Yaruqueño</w:t>
      </w:r>
      <w:proofErr w:type="spellEnd"/>
      <w:r w:rsidRPr="00843F21">
        <w:rPr>
          <w:rFonts w:ascii="Palatino Linotype" w:hAnsi="Palatino Linotype" w:cs="Arial"/>
          <w:bCs/>
          <w:i/>
          <w:sz w:val="22"/>
          <w:szCs w:val="22"/>
        </w:rPr>
        <w:t xml:space="preserve"> y Buena Esperanza</w:t>
      </w:r>
      <w:bookmarkEnd w:id="1"/>
      <w:r w:rsidRPr="00843F21">
        <w:rPr>
          <w:rFonts w:ascii="Palatino Linotype" w:hAnsi="Palatino Linotype" w:cs="Arial"/>
          <w:bCs/>
          <w:i/>
          <w:sz w:val="22"/>
          <w:szCs w:val="22"/>
        </w:rPr>
        <w:t>” lo descrito en el presente informe, especialmente la calificación del riesgo ante las diferentes amenazas analizadas y las respectivas recomendaciones técnicas.”</w:t>
      </w:r>
    </w:p>
    <w:p w:rsidR="006B3C7E" w:rsidRPr="00843F21" w:rsidRDefault="006B3C7E" w:rsidP="00843F21">
      <w:pPr>
        <w:spacing w:after="120" w:line="276" w:lineRule="auto"/>
        <w:ind w:left="708"/>
        <w:jc w:val="both"/>
        <w:rPr>
          <w:rFonts w:ascii="Palatino Linotype" w:hAnsi="Palatino Linotype" w:cs="Arial"/>
          <w:bCs/>
          <w:i/>
          <w:sz w:val="22"/>
          <w:szCs w:val="22"/>
        </w:rPr>
      </w:pPr>
      <w:r w:rsidRPr="00843F21">
        <w:rPr>
          <w:rFonts w:ascii="Palatino Linotype" w:hAnsi="Palatino Linotype" w:cs="Arial"/>
          <w:bCs/>
          <w:i/>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Secretaria de Seguridad y Gobernabilidad, que señalan las amenazas de origen natural o antrópico que pueden generar distintos niveles de riesgo que condicionen o limiten el aprovechamiento o utilización del s</w:t>
      </w:r>
      <w:r w:rsidR="00843F21" w:rsidRPr="00843F21">
        <w:rPr>
          <w:rFonts w:ascii="Palatino Linotype" w:hAnsi="Palatino Linotype" w:cs="Arial"/>
          <w:bCs/>
          <w:i/>
          <w:sz w:val="22"/>
          <w:szCs w:val="22"/>
        </w:rPr>
        <w:t xml:space="preserve">uelo según sus vulnerabilidades, </w:t>
      </w:r>
      <w:r w:rsidR="00843F21" w:rsidRPr="00843F21">
        <w:rPr>
          <w:rFonts w:ascii="Palatino Linotype" w:hAnsi="Palatino Linotype"/>
          <w:i/>
          <w:sz w:val="22"/>
          <w:szCs w:val="22"/>
        </w:rPr>
        <w:t>conforme lo dispone la Ordenanza Metropolitana No. 210, de 2018, reformatoria de la Ordenanza Metropolitana No. 127, de 2016.</w:t>
      </w:r>
      <w:r w:rsidR="00843F21">
        <w:rPr>
          <w:rFonts w:ascii="Palatino Linotype" w:hAnsi="Palatino Linotype"/>
          <w:i/>
          <w:sz w:val="22"/>
          <w:szCs w:val="22"/>
        </w:rPr>
        <w:t>”</w:t>
      </w:r>
      <w:r w:rsidRPr="00843F21">
        <w:rPr>
          <w:rFonts w:ascii="Palatino Linotype" w:hAnsi="Palatino Linotype" w:cs="Arial"/>
          <w:bCs/>
          <w:i/>
          <w:sz w:val="22"/>
          <w:szCs w:val="22"/>
        </w:rPr>
        <w:t xml:space="preserve"> </w:t>
      </w:r>
    </w:p>
    <w:p w:rsidR="00843F21" w:rsidRDefault="006B3C7E" w:rsidP="00843F21">
      <w:pPr>
        <w:spacing w:after="120" w:line="276" w:lineRule="auto"/>
        <w:jc w:val="both"/>
        <w:rPr>
          <w:rFonts w:ascii="Palatino Linotype" w:hAnsi="Palatino Linotype"/>
          <w:b/>
          <w:bCs/>
          <w:sz w:val="22"/>
          <w:szCs w:val="22"/>
        </w:rPr>
      </w:pPr>
      <w:r w:rsidRPr="00EC3B99">
        <w:rPr>
          <w:rFonts w:ascii="Palatino Linotype" w:hAnsi="Palatino Linotype"/>
          <w:b/>
          <w:bCs/>
          <w:sz w:val="22"/>
          <w:szCs w:val="22"/>
        </w:rPr>
        <w:t xml:space="preserve">Artículo 7.- </w:t>
      </w:r>
      <w:r w:rsidRPr="00EC3B99">
        <w:rPr>
          <w:rFonts w:ascii="Palatino Linotype" w:hAnsi="Palatino Linotype"/>
          <w:bCs/>
          <w:sz w:val="22"/>
          <w:szCs w:val="22"/>
        </w:rPr>
        <w:t xml:space="preserve">Sustitúyase el artículo 5 de la </w:t>
      </w:r>
      <w:r w:rsidRPr="00EC3B99">
        <w:rPr>
          <w:rFonts w:ascii="Palatino Linotype" w:hAnsi="Palatino Linotype"/>
          <w:sz w:val="22"/>
          <w:szCs w:val="22"/>
        </w:rPr>
        <w:t xml:space="preserve">Ordenanza Reformatoria 0469 sancionada el 09 de diciembre de 2013, donde se sustituye el artículo 7 de la ordenanza No. 346 del 11 de enero de 2013, </w:t>
      </w:r>
      <w:r w:rsidRPr="00EC3B99">
        <w:rPr>
          <w:rFonts w:ascii="Palatino Linotype" w:hAnsi="Palatino Linotype"/>
          <w:bCs/>
          <w:sz w:val="22"/>
          <w:szCs w:val="22"/>
        </w:rPr>
        <w:t>por el siguiente texto:</w:t>
      </w:r>
      <w:r w:rsidRPr="00EC3B99">
        <w:rPr>
          <w:rFonts w:ascii="Palatino Linotype" w:hAnsi="Palatino Linotype"/>
          <w:b/>
          <w:bCs/>
          <w:sz w:val="22"/>
          <w:szCs w:val="22"/>
        </w:rPr>
        <w:t xml:space="preserve"> </w:t>
      </w:r>
    </w:p>
    <w:p w:rsidR="006B3C7E" w:rsidRPr="00843F21" w:rsidRDefault="006B3C7E" w:rsidP="00843F21">
      <w:pPr>
        <w:spacing w:after="120" w:line="276" w:lineRule="auto"/>
        <w:ind w:left="708"/>
        <w:jc w:val="both"/>
        <w:rPr>
          <w:rFonts w:ascii="Palatino Linotype" w:hAnsi="Palatino Linotype"/>
          <w:b/>
          <w:bCs/>
          <w:sz w:val="22"/>
          <w:szCs w:val="22"/>
        </w:rPr>
      </w:pPr>
      <w:r w:rsidRPr="00EC3B99">
        <w:rPr>
          <w:rFonts w:ascii="Palatino Linotype" w:hAnsi="Palatino Linotype"/>
          <w:b/>
          <w:i/>
          <w:sz w:val="22"/>
          <w:szCs w:val="22"/>
          <w:lang w:val="es-EC"/>
        </w:rPr>
        <w:t xml:space="preserve">“De las </w:t>
      </w:r>
      <w:r w:rsidR="00843F21" w:rsidRPr="00EC3B99">
        <w:rPr>
          <w:rFonts w:ascii="Palatino Linotype" w:hAnsi="Palatino Linotype"/>
          <w:b/>
          <w:i/>
          <w:sz w:val="22"/>
          <w:szCs w:val="22"/>
          <w:lang w:val="es-EC"/>
        </w:rPr>
        <w:t>vías y</w:t>
      </w:r>
      <w:r w:rsidR="00843F21" w:rsidRPr="00EC3B99">
        <w:rPr>
          <w:rFonts w:ascii="Palatino Linotype" w:hAnsi="Palatino Linotype"/>
          <w:i/>
          <w:sz w:val="22"/>
          <w:szCs w:val="22"/>
          <w:lang w:val="es-EC"/>
        </w:rPr>
        <w:t xml:space="preserve"> </w:t>
      </w:r>
      <w:proofErr w:type="gramStart"/>
      <w:r w:rsidR="00843F21" w:rsidRPr="00EC3B99">
        <w:rPr>
          <w:rFonts w:ascii="Palatino Linotype" w:hAnsi="Palatino Linotype"/>
          <w:b/>
          <w:i/>
          <w:sz w:val="22"/>
          <w:szCs w:val="22"/>
          <w:lang w:val="es-EC"/>
        </w:rPr>
        <w:t>pasajes</w:t>
      </w:r>
      <w:r w:rsidRPr="00EC3B99">
        <w:rPr>
          <w:rFonts w:ascii="Palatino Linotype" w:hAnsi="Palatino Linotype"/>
          <w:i/>
          <w:sz w:val="22"/>
          <w:szCs w:val="22"/>
          <w:lang w:val="es-EC"/>
        </w:rPr>
        <w:t>.-</w:t>
      </w:r>
      <w:proofErr w:type="gramEnd"/>
      <w:r w:rsidRPr="00EC3B99">
        <w:rPr>
          <w:rFonts w:ascii="Palatino Linotype" w:hAnsi="Palatino Linotype"/>
          <w:i/>
          <w:sz w:val="22"/>
          <w:szCs w:val="22"/>
          <w:lang w:val="es-EC"/>
        </w:rPr>
        <w:t xml:space="preserve"> El Asentamiento Humano de Hecho y Consolidado de Interés Social denominado “Comité Pro Mejoras Balcón </w:t>
      </w:r>
      <w:proofErr w:type="spellStart"/>
      <w:r w:rsidRPr="00EC3B99">
        <w:rPr>
          <w:rFonts w:ascii="Palatino Linotype" w:hAnsi="Palatino Linotype"/>
          <w:i/>
          <w:sz w:val="22"/>
          <w:szCs w:val="22"/>
          <w:lang w:val="es-EC"/>
        </w:rPr>
        <w:t>Yaruqueño</w:t>
      </w:r>
      <w:proofErr w:type="spellEnd"/>
      <w:r w:rsidRPr="00EC3B99">
        <w:rPr>
          <w:rFonts w:ascii="Palatino Linotype" w:hAnsi="Palatino Linotype"/>
          <w:i/>
          <w:sz w:val="22"/>
          <w:szCs w:val="22"/>
          <w:lang w:val="es-EC"/>
        </w:rPr>
        <w:t xml:space="preserve"> y La Buena Esperanza, contempla un sistema vial  de uso público, debido a que éste es un asentamiento humano de hecho y consolidado de interés social de 20 años de existencia, con 93.15% de consolidación de viviendas y se encuentra ejecutando obras de infraestructura, razón  por la cual los anchos viales se sujetarán al plano adjunto a la presente Ordenanza. </w:t>
      </w:r>
    </w:p>
    <w:p w:rsidR="00843F21" w:rsidRDefault="00843F21" w:rsidP="00843F21">
      <w:pPr>
        <w:spacing w:after="120" w:line="276" w:lineRule="auto"/>
        <w:contextualSpacing/>
        <w:rPr>
          <w:rFonts w:ascii="Palatino Linotype" w:hAnsi="Palatino Linotype"/>
          <w:i/>
          <w:sz w:val="22"/>
          <w:szCs w:val="22"/>
          <w:lang w:val="es-EC"/>
        </w:rPr>
      </w:pPr>
    </w:p>
    <w:p w:rsidR="00843F21"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lastRenderedPageBreak/>
        <w:t xml:space="preserve">Se aprueban las vías y pasajes con los siguientes anchos:   </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Calle Isla Santa Cruz                             10.00m.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Calle E4A Isla Santa Fe                        10.00m.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Calle S2C Isla Genovesa                       10.00m.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Calle S2</w:t>
      </w:r>
      <w:proofErr w:type="gramStart"/>
      <w:r w:rsidRPr="00EC3B99">
        <w:rPr>
          <w:rFonts w:ascii="Palatino Linotype" w:hAnsi="Palatino Linotype"/>
          <w:i/>
          <w:sz w:val="22"/>
          <w:szCs w:val="22"/>
          <w:lang w:val="es-EC"/>
        </w:rPr>
        <w:t>A  Isla</w:t>
      </w:r>
      <w:proofErr w:type="gramEnd"/>
      <w:r w:rsidRPr="00EC3B99">
        <w:rPr>
          <w:rFonts w:ascii="Palatino Linotype" w:hAnsi="Palatino Linotype"/>
          <w:i/>
          <w:sz w:val="22"/>
          <w:szCs w:val="22"/>
          <w:lang w:val="es-EC"/>
        </w:rPr>
        <w:t xml:space="preserve"> Plaza Sur                      10.00m.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Calle E3I Isla San Cristóbal                  10.00m.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Calle S2F Isla San Cristóbal                 10.00m.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 xml:space="preserve">Calle E3K Isla Pinzón                             8.00m. </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 xml:space="preserve">Calle </w:t>
      </w:r>
      <w:proofErr w:type="gramStart"/>
      <w:r w:rsidRPr="00EC3B99">
        <w:rPr>
          <w:rFonts w:ascii="Palatino Linotype" w:hAnsi="Palatino Linotype"/>
          <w:i/>
          <w:sz w:val="22"/>
          <w:szCs w:val="22"/>
          <w:lang w:val="es-EC"/>
        </w:rPr>
        <w:t>Isla  Santiago</w:t>
      </w:r>
      <w:proofErr w:type="gramEnd"/>
      <w:r w:rsidRPr="00EC3B99">
        <w:rPr>
          <w:rFonts w:ascii="Palatino Linotype" w:hAnsi="Palatino Linotype"/>
          <w:i/>
          <w:sz w:val="22"/>
          <w:szCs w:val="22"/>
          <w:lang w:val="es-EC"/>
        </w:rPr>
        <w:t xml:space="preserve">                                 8.00m.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Pasaje S2</w:t>
      </w:r>
      <w:proofErr w:type="gramStart"/>
      <w:r w:rsidRPr="00EC3B99">
        <w:rPr>
          <w:rFonts w:ascii="Palatino Linotype" w:hAnsi="Palatino Linotype"/>
          <w:i/>
          <w:sz w:val="22"/>
          <w:szCs w:val="22"/>
          <w:lang w:val="es-EC"/>
        </w:rPr>
        <w:t>A  Isla</w:t>
      </w:r>
      <w:proofErr w:type="gramEnd"/>
      <w:r w:rsidRPr="00EC3B99">
        <w:rPr>
          <w:rFonts w:ascii="Palatino Linotype" w:hAnsi="Palatino Linotype"/>
          <w:i/>
          <w:sz w:val="22"/>
          <w:szCs w:val="22"/>
          <w:lang w:val="es-EC"/>
        </w:rPr>
        <w:t xml:space="preserve"> Pinzón                          4.00m.</w:t>
      </w:r>
    </w:p>
    <w:p w:rsidR="006B3C7E" w:rsidRPr="00EC3B99" w:rsidRDefault="006B3C7E" w:rsidP="00843F21">
      <w:pPr>
        <w:spacing w:after="120" w:line="276" w:lineRule="auto"/>
        <w:ind w:left="708"/>
        <w:contextualSpacing/>
        <w:rPr>
          <w:rFonts w:ascii="Palatino Linotype" w:hAnsi="Palatino Linotype"/>
          <w:i/>
          <w:sz w:val="22"/>
          <w:szCs w:val="22"/>
          <w:lang w:val="es-EC"/>
        </w:rPr>
      </w:pPr>
      <w:proofErr w:type="gramStart"/>
      <w:r w:rsidRPr="00EC3B99">
        <w:rPr>
          <w:rFonts w:ascii="Palatino Linotype" w:hAnsi="Palatino Linotype"/>
          <w:i/>
          <w:sz w:val="22"/>
          <w:szCs w:val="22"/>
          <w:lang w:val="es-EC"/>
        </w:rPr>
        <w:t>Pasaje  S</w:t>
      </w:r>
      <w:proofErr w:type="gramEnd"/>
      <w:r w:rsidRPr="00EC3B99">
        <w:rPr>
          <w:rFonts w:ascii="Palatino Linotype" w:hAnsi="Palatino Linotype"/>
          <w:i/>
          <w:sz w:val="22"/>
          <w:szCs w:val="22"/>
          <w:lang w:val="es-EC"/>
        </w:rPr>
        <w:t xml:space="preserve">2B Isla Santa Isabela                6.00m.     </w:t>
      </w:r>
    </w:p>
    <w:p w:rsidR="006B3C7E" w:rsidRPr="00EC3B99" w:rsidRDefault="006B3C7E" w:rsidP="00843F21">
      <w:pPr>
        <w:spacing w:after="120" w:line="276" w:lineRule="auto"/>
        <w:ind w:left="708"/>
        <w:contextualSpacing/>
        <w:rPr>
          <w:rFonts w:ascii="Palatino Linotype" w:hAnsi="Palatino Linotype"/>
          <w:i/>
          <w:sz w:val="22"/>
          <w:szCs w:val="22"/>
          <w:lang w:val="es-EC"/>
        </w:rPr>
      </w:pPr>
      <w:proofErr w:type="gramStart"/>
      <w:r w:rsidRPr="00EC3B99">
        <w:rPr>
          <w:rFonts w:ascii="Palatino Linotype" w:hAnsi="Palatino Linotype"/>
          <w:i/>
          <w:sz w:val="22"/>
          <w:szCs w:val="22"/>
          <w:lang w:val="es-EC"/>
        </w:rPr>
        <w:t>Pasaje  Isla</w:t>
      </w:r>
      <w:proofErr w:type="gramEnd"/>
      <w:r w:rsidRPr="00EC3B99">
        <w:rPr>
          <w:rFonts w:ascii="Palatino Linotype" w:hAnsi="Palatino Linotype"/>
          <w:i/>
          <w:sz w:val="22"/>
          <w:szCs w:val="22"/>
          <w:lang w:val="es-EC"/>
        </w:rPr>
        <w:t xml:space="preserve">  Santiago                              5.00m.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 xml:space="preserve">Pasaje Peatonal </w:t>
      </w:r>
      <w:proofErr w:type="gramStart"/>
      <w:r w:rsidRPr="00EC3B99">
        <w:rPr>
          <w:rFonts w:ascii="Palatino Linotype" w:hAnsi="Palatino Linotype"/>
          <w:i/>
          <w:sz w:val="22"/>
          <w:szCs w:val="22"/>
          <w:lang w:val="es-EC"/>
        </w:rPr>
        <w:t>1  S</w:t>
      </w:r>
      <w:proofErr w:type="gramEnd"/>
      <w:r w:rsidRPr="00EC3B99">
        <w:rPr>
          <w:rFonts w:ascii="Palatino Linotype" w:hAnsi="Palatino Linotype"/>
          <w:i/>
          <w:sz w:val="22"/>
          <w:szCs w:val="22"/>
          <w:lang w:val="es-EC"/>
        </w:rPr>
        <w:t>/N                            4.00m.</w:t>
      </w:r>
    </w:p>
    <w:p w:rsidR="006B3C7E" w:rsidRPr="00EC3B99" w:rsidRDefault="006B3C7E" w:rsidP="00843F21">
      <w:pPr>
        <w:spacing w:after="120" w:line="276" w:lineRule="auto"/>
        <w:ind w:left="708"/>
        <w:contextualSpacing/>
        <w:rPr>
          <w:rFonts w:ascii="Palatino Linotype" w:hAnsi="Palatino Linotype"/>
          <w:i/>
          <w:sz w:val="22"/>
          <w:szCs w:val="22"/>
          <w:lang w:val="es-EC"/>
        </w:rPr>
      </w:pPr>
      <w:r w:rsidRPr="00EC3B99">
        <w:rPr>
          <w:rFonts w:ascii="Palatino Linotype" w:hAnsi="Palatino Linotype"/>
          <w:i/>
          <w:sz w:val="22"/>
          <w:szCs w:val="22"/>
          <w:lang w:val="es-EC"/>
        </w:rPr>
        <w:t xml:space="preserve">Pasaje Peatonal </w:t>
      </w:r>
      <w:proofErr w:type="gramStart"/>
      <w:r w:rsidRPr="00EC3B99">
        <w:rPr>
          <w:rFonts w:ascii="Palatino Linotype" w:hAnsi="Palatino Linotype"/>
          <w:i/>
          <w:sz w:val="22"/>
          <w:szCs w:val="22"/>
          <w:lang w:val="es-EC"/>
        </w:rPr>
        <w:t>2  S</w:t>
      </w:r>
      <w:proofErr w:type="gramEnd"/>
      <w:r w:rsidRPr="00EC3B99">
        <w:rPr>
          <w:rFonts w:ascii="Palatino Linotype" w:hAnsi="Palatino Linotype"/>
          <w:i/>
          <w:sz w:val="22"/>
          <w:szCs w:val="22"/>
          <w:lang w:val="es-EC"/>
        </w:rPr>
        <w:t>/N                            4.00m.”</w:t>
      </w:r>
    </w:p>
    <w:p w:rsidR="006B3C7E" w:rsidRPr="00EC3B99" w:rsidRDefault="006B3C7E" w:rsidP="006B3C7E">
      <w:pPr>
        <w:spacing w:after="120" w:line="276" w:lineRule="auto"/>
        <w:contextualSpacing/>
        <w:rPr>
          <w:rFonts w:ascii="Palatino Linotype" w:hAnsi="Palatino Linotype"/>
          <w:b/>
          <w:bCs/>
          <w:sz w:val="22"/>
          <w:szCs w:val="22"/>
        </w:rPr>
      </w:pPr>
    </w:p>
    <w:p w:rsidR="006B3C7E" w:rsidRPr="00EC3B99" w:rsidRDefault="006B3C7E" w:rsidP="006B3C7E">
      <w:pPr>
        <w:spacing w:after="120" w:line="276" w:lineRule="auto"/>
        <w:jc w:val="both"/>
        <w:rPr>
          <w:rFonts w:ascii="Palatino Linotype" w:hAnsi="Palatino Linotype"/>
          <w:i/>
          <w:iCs/>
          <w:sz w:val="22"/>
          <w:szCs w:val="22"/>
        </w:rPr>
      </w:pPr>
      <w:r w:rsidRPr="00EC3B99">
        <w:rPr>
          <w:rFonts w:ascii="Palatino Linotype" w:hAnsi="Palatino Linotype"/>
          <w:b/>
          <w:bCs/>
          <w:sz w:val="22"/>
          <w:szCs w:val="22"/>
        </w:rPr>
        <w:t xml:space="preserve">Artículo 8.- </w:t>
      </w:r>
      <w:r w:rsidRPr="00EC3B99">
        <w:rPr>
          <w:rFonts w:ascii="Palatino Linotype" w:hAnsi="Palatino Linotype"/>
          <w:bCs/>
          <w:sz w:val="22"/>
          <w:szCs w:val="22"/>
        </w:rPr>
        <w:t xml:space="preserve">Sustitúyase en el artículo 9 </w:t>
      </w:r>
      <w:r w:rsidRPr="00EC3B99">
        <w:rPr>
          <w:rFonts w:ascii="Palatino Linotype" w:hAnsi="Palatino Linotype"/>
          <w:sz w:val="22"/>
          <w:szCs w:val="22"/>
          <w:lang w:val="es-EC"/>
        </w:rPr>
        <w:t xml:space="preserve">de la Ordenanza No </w:t>
      </w:r>
      <w:r w:rsidRPr="00EC3B99">
        <w:rPr>
          <w:rFonts w:ascii="Palatino Linotype" w:hAnsi="Palatino Linotype"/>
          <w:bCs/>
          <w:sz w:val="22"/>
          <w:szCs w:val="22"/>
        </w:rPr>
        <w:t xml:space="preserve">346, sancionada el 11 de enero de 2013, la palabra “urbanización” por las palabras </w:t>
      </w:r>
      <w:r w:rsidRPr="00EC3B99">
        <w:rPr>
          <w:rFonts w:ascii="Palatino Linotype" w:hAnsi="Palatino Linotype"/>
          <w:bCs/>
          <w:i/>
          <w:sz w:val="22"/>
          <w:szCs w:val="22"/>
        </w:rPr>
        <w:t>“civiles e infraestructura”</w:t>
      </w:r>
      <w:r w:rsidRPr="00EC3B99">
        <w:rPr>
          <w:rFonts w:ascii="Palatino Linotype" w:hAnsi="Palatino Linotype"/>
          <w:bCs/>
          <w:sz w:val="22"/>
          <w:szCs w:val="22"/>
        </w:rPr>
        <w:t xml:space="preserve"> y sustitúyase la frase “</w:t>
      </w:r>
      <w:r w:rsidRPr="00597AAE">
        <w:rPr>
          <w:rFonts w:ascii="Palatino Linotype" w:hAnsi="Palatino Linotype"/>
          <w:bCs/>
          <w:i/>
          <w:sz w:val="22"/>
          <w:szCs w:val="22"/>
        </w:rPr>
        <w:t>De estas obras, los copropietarios del predio fraccionado pagarán las contribuciones especiales y mejoras de ley</w:t>
      </w:r>
      <w:r w:rsidRPr="00EC3B99">
        <w:rPr>
          <w:rFonts w:ascii="Palatino Linotype" w:hAnsi="Palatino Linotype"/>
          <w:bCs/>
          <w:sz w:val="22"/>
          <w:szCs w:val="22"/>
        </w:rPr>
        <w:t xml:space="preserve">.” Por la siguiente frase </w:t>
      </w:r>
      <w:r w:rsidRPr="00EC3B99">
        <w:rPr>
          <w:rFonts w:ascii="Palatino Linotype" w:hAnsi="Palatino Linotype"/>
          <w:bCs/>
          <w:i/>
          <w:sz w:val="22"/>
          <w:szCs w:val="22"/>
        </w:rPr>
        <w:t>“</w:t>
      </w:r>
      <w:r w:rsidRPr="00EC3B99">
        <w:rPr>
          <w:rFonts w:ascii="Palatino Linotype" w:hAnsi="Palatino Linotype"/>
          <w:i/>
          <w:iCs/>
          <w:sz w:val="22"/>
          <w:szCs w:val="22"/>
        </w:rPr>
        <w:t>Cuando las obras que se ejecutaren por autogestión de los copropietarios del inmueble donde se ubica el asentamiento, el valor por contribución especial a mejoras se establecerá de conformidad con la ley.”</w:t>
      </w:r>
    </w:p>
    <w:p w:rsidR="006B3C7E" w:rsidRPr="00EC3B99" w:rsidRDefault="006B3C7E" w:rsidP="006B3C7E">
      <w:pPr>
        <w:spacing w:after="120" w:line="276" w:lineRule="auto"/>
        <w:jc w:val="both"/>
        <w:rPr>
          <w:rFonts w:ascii="Palatino Linotype" w:hAnsi="Palatino Linotype"/>
          <w:i/>
          <w:iCs/>
          <w:sz w:val="22"/>
          <w:szCs w:val="22"/>
        </w:rPr>
      </w:pPr>
      <w:r w:rsidRPr="00EC3B99">
        <w:rPr>
          <w:rFonts w:ascii="Palatino Linotype" w:hAnsi="Palatino Linotype"/>
          <w:b/>
          <w:bCs/>
          <w:sz w:val="22"/>
          <w:szCs w:val="22"/>
        </w:rPr>
        <w:t xml:space="preserve">Artículo 9.- </w:t>
      </w:r>
      <w:r w:rsidRPr="00EC3B99">
        <w:rPr>
          <w:rFonts w:ascii="Palatino Linotype" w:hAnsi="Palatino Linotype"/>
          <w:bCs/>
          <w:sz w:val="22"/>
          <w:szCs w:val="22"/>
        </w:rPr>
        <w:t xml:space="preserve">Sustitúyase en el artículo 10 </w:t>
      </w:r>
      <w:r w:rsidRPr="00EC3B99">
        <w:rPr>
          <w:rFonts w:ascii="Palatino Linotype" w:hAnsi="Palatino Linotype"/>
          <w:sz w:val="22"/>
          <w:szCs w:val="22"/>
          <w:lang w:val="es-EC"/>
        </w:rPr>
        <w:t xml:space="preserve">de la Ordenanza No </w:t>
      </w:r>
      <w:r w:rsidRPr="00EC3B99">
        <w:rPr>
          <w:rFonts w:ascii="Palatino Linotype" w:hAnsi="Palatino Linotype"/>
          <w:bCs/>
          <w:sz w:val="22"/>
          <w:szCs w:val="22"/>
        </w:rPr>
        <w:t xml:space="preserve">346, sancionada el 11 de enero de 2013, la palabra “urbanización” por las palabras </w:t>
      </w:r>
      <w:r w:rsidRPr="00EC3B99">
        <w:rPr>
          <w:rFonts w:ascii="Palatino Linotype" w:hAnsi="Palatino Linotype"/>
          <w:bCs/>
          <w:i/>
          <w:sz w:val="22"/>
          <w:szCs w:val="22"/>
        </w:rPr>
        <w:t>“civiles e infraestructura”.</w:t>
      </w:r>
      <w:r w:rsidRPr="00EC3B99">
        <w:rPr>
          <w:rFonts w:ascii="Palatino Linotype" w:hAnsi="Palatino Linotype"/>
          <w:bCs/>
          <w:sz w:val="22"/>
          <w:szCs w:val="22"/>
        </w:rPr>
        <w:t xml:space="preserve"> </w:t>
      </w:r>
    </w:p>
    <w:p w:rsidR="006B3C7E" w:rsidRPr="00EC3B99" w:rsidRDefault="006B3C7E" w:rsidP="006B3C7E">
      <w:pPr>
        <w:shd w:val="clear" w:color="auto" w:fill="FFFFFF"/>
        <w:spacing w:after="120" w:line="276" w:lineRule="auto"/>
        <w:jc w:val="both"/>
        <w:rPr>
          <w:rFonts w:ascii="Palatino Linotype" w:hAnsi="Palatino Linotype"/>
          <w:sz w:val="22"/>
          <w:szCs w:val="22"/>
          <w:lang w:val="es-EC"/>
        </w:rPr>
      </w:pPr>
      <w:r w:rsidRPr="00EC3B99">
        <w:rPr>
          <w:rFonts w:ascii="Palatino Linotype" w:hAnsi="Palatino Linotype"/>
          <w:b/>
          <w:sz w:val="22"/>
          <w:szCs w:val="22"/>
          <w:lang w:val="es-EC"/>
        </w:rPr>
        <w:t>Artículo 10.-</w:t>
      </w:r>
      <w:r w:rsidRPr="00EC3B99">
        <w:rPr>
          <w:rFonts w:ascii="Palatino Linotype" w:hAnsi="Palatino Linotype"/>
          <w:sz w:val="22"/>
          <w:szCs w:val="22"/>
          <w:lang w:val="es-EC"/>
        </w:rPr>
        <w:t xml:space="preserve"> Sustitúyase el artículo 11 de </w:t>
      </w:r>
      <w:proofErr w:type="gramStart"/>
      <w:r w:rsidRPr="00EC3B99">
        <w:rPr>
          <w:rFonts w:ascii="Palatino Linotype" w:hAnsi="Palatino Linotype"/>
          <w:sz w:val="22"/>
          <w:szCs w:val="22"/>
          <w:lang w:val="es-EC"/>
        </w:rPr>
        <w:t xml:space="preserve">la  </w:t>
      </w:r>
      <w:r w:rsidRPr="00EC3B99">
        <w:rPr>
          <w:rFonts w:ascii="Palatino Linotype" w:hAnsi="Palatino Linotype"/>
          <w:sz w:val="22"/>
          <w:szCs w:val="22"/>
        </w:rPr>
        <w:t>Ordenanza</w:t>
      </w:r>
      <w:proofErr w:type="gramEnd"/>
      <w:r w:rsidRPr="00EC3B99">
        <w:rPr>
          <w:rFonts w:ascii="Palatino Linotype" w:hAnsi="Palatino Linotype"/>
          <w:sz w:val="22"/>
          <w:szCs w:val="22"/>
        </w:rPr>
        <w:t xml:space="preserve"> No. 0346, sancionada el 11 de enero de 2013</w:t>
      </w:r>
      <w:r w:rsidRPr="00EC3B99">
        <w:rPr>
          <w:rFonts w:ascii="Palatino Linotype" w:hAnsi="Palatino Linotype"/>
          <w:bCs/>
          <w:sz w:val="22"/>
          <w:szCs w:val="22"/>
        </w:rPr>
        <w:t xml:space="preserve">, </w:t>
      </w:r>
      <w:r w:rsidRPr="00EC3B99">
        <w:rPr>
          <w:rFonts w:ascii="Palatino Linotype" w:hAnsi="Palatino Linotype"/>
          <w:sz w:val="22"/>
          <w:szCs w:val="22"/>
          <w:lang w:val="es-EC"/>
        </w:rPr>
        <w:t xml:space="preserve">con el siguiente texto: </w:t>
      </w:r>
    </w:p>
    <w:p w:rsidR="006B3C7E" w:rsidRPr="00EC3B99" w:rsidRDefault="006B3C7E" w:rsidP="00597AAE">
      <w:pPr>
        <w:shd w:val="clear" w:color="auto" w:fill="FFFFFF"/>
        <w:spacing w:after="120" w:line="276" w:lineRule="auto"/>
        <w:ind w:left="708"/>
        <w:jc w:val="both"/>
        <w:rPr>
          <w:rFonts w:ascii="Palatino Linotype" w:hAnsi="Palatino Linotype"/>
          <w:bCs/>
          <w:i/>
          <w:color w:val="000000"/>
          <w:sz w:val="22"/>
          <w:szCs w:val="22"/>
        </w:rPr>
      </w:pPr>
      <w:r w:rsidRPr="00EC3B99">
        <w:rPr>
          <w:rFonts w:ascii="Palatino Linotype" w:hAnsi="Palatino Linotype"/>
          <w:b/>
          <w:i/>
          <w:sz w:val="22"/>
          <w:szCs w:val="22"/>
          <w:lang w:val="es-EC"/>
        </w:rPr>
        <w:t xml:space="preserve">“De la multa por retraso de ejecución de </w:t>
      </w:r>
      <w:proofErr w:type="gramStart"/>
      <w:r w:rsidRPr="00EC3B99">
        <w:rPr>
          <w:rFonts w:ascii="Palatino Linotype" w:hAnsi="Palatino Linotype"/>
          <w:b/>
          <w:i/>
          <w:sz w:val="22"/>
          <w:szCs w:val="22"/>
          <w:lang w:val="es-EC"/>
        </w:rPr>
        <w:t>obras.-</w:t>
      </w:r>
      <w:proofErr w:type="gramEnd"/>
      <w:r w:rsidRPr="00EC3B99">
        <w:rPr>
          <w:rFonts w:ascii="Palatino Linotype" w:hAnsi="Palatino Linotype"/>
          <w:b/>
          <w:bCs/>
          <w:i/>
          <w:sz w:val="22"/>
          <w:szCs w:val="22"/>
          <w:lang w:val="es-ES_tradnl"/>
        </w:rPr>
        <w:t xml:space="preserve"> </w:t>
      </w:r>
      <w:r w:rsidRPr="00EC3B99">
        <w:rPr>
          <w:rFonts w:ascii="Palatino Linotype" w:hAnsi="Palatino Linotype"/>
          <w:i/>
          <w:sz w:val="22"/>
          <w:szCs w:val="22"/>
          <w:lang w:val="es-ES_tradnl"/>
        </w:rPr>
        <w:t>En caso de retraso en la ejecución de las obras civiles y de infraestructura,</w:t>
      </w:r>
      <w:r w:rsidRPr="00EC3B99">
        <w:rPr>
          <w:rFonts w:ascii="Palatino Linotype" w:hAnsi="Palatino Linotype"/>
          <w:i/>
          <w:color w:val="0D0D0D"/>
          <w:sz w:val="22"/>
          <w:szCs w:val="22"/>
        </w:rPr>
        <w:t xml:space="preserve"> los copropietarios del inmueble sobre el cual se ubica </w:t>
      </w:r>
      <w:r w:rsidRPr="00EC3B99">
        <w:rPr>
          <w:rFonts w:ascii="Palatino Linotype" w:hAnsi="Palatino Linotype"/>
          <w:i/>
          <w:color w:val="000000" w:themeColor="text1"/>
          <w:sz w:val="22"/>
          <w:szCs w:val="22"/>
        </w:rPr>
        <w:t>El Asentamiento H</w:t>
      </w:r>
      <w:r w:rsidRPr="00EC3B99">
        <w:rPr>
          <w:rFonts w:ascii="Palatino Linotype" w:hAnsi="Palatino Linotype"/>
          <w:bCs/>
          <w:i/>
          <w:iCs/>
          <w:color w:val="000000" w:themeColor="text1"/>
          <w:sz w:val="22"/>
          <w:szCs w:val="22"/>
        </w:rPr>
        <w:t>umano de Hecho y Consolidado de Interés Social denominado “</w:t>
      </w:r>
      <w:r w:rsidRPr="00EC3B99">
        <w:rPr>
          <w:rFonts w:ascii="Palatino Linotype" w:hAnsi="Palatino Linotype"/>
          <w:i/>
          <w:sz w:val="22"/>
          <w:szCs w:val="22"/>
        </w:rPr>
        <w:t xml:space="preserve">Comité Pro Mejoras Balcón </w:t>
      </w:r>
      <w:proofErr w:type="spellStart"/>
      <w:r w:rsidRPr="00EC3B99">
        <w:rPr>
          <w:rFonts w:ascii="Palatino Linotype" w:hAnsi="Palatino Linotype"/>
          <w:i/>
          <w:sz w:val="22"/>
          <w:szCs w:val="22"/>
        </w:rPr>
        <w:t>Yaruqueño</w:t>
      </w:r>
      <w:proofErr w:type="spellEnd"/>
      <w:r w:rsidRPr="00EC3B99">
        <w:rPr>
          <w:rFonts w:ascii="Palatino Linotype" w:hAnsi="Palatino Linotype"/>
          <w:i/>
          <w:sz w:val="22"/>
          <w:szCs w:val="22"/>
        </w:rPr>
        <w:t xml:space="preserve"> y la Buena Esperanza</w:t>
      </w:r>
      <w:r w:rsidRPr="00EC3B99">
        <w:rPr>
          <w:rFonts w:ascii="Palatino Linotype" w:hAnsi="Palatino Linotype"/>
          <w:b/>
          <w:i/>
          <w:sz w:val="22"/>
          <w:szCs w:val="22"/>
        </w:rPr>
        <w:t>”</w:t>
      </w:r>
      <w:r w:rsidRPr="00EC3B99">
        <w:rPr>
          <w:rFonts w:ascii="Palatino Linotype" w:hAnsi="Palatino Linotype"/>
          <w:i/>
          <w:sz w:val="22"/>
          <w:szCs w:val="22"/>
        </w:rPr>
        <w:t xml:space="preserve">, </w:t>
      </w:r>
      <w:r w:rsidRPr="00EC3B99">
        <w:rPr>
          <w:rFonts w:ascii="Palatino Linotype" w:hAnsi="Palatino Linotype"/>
          <w:bCs/>
          <w:i/>
          <w:color w:val="000000"/>
          <w:sz w:val="22"/>
          <w:szCs w:val="22"/>
        </w:rPr>
        <w:t xml:space="preserve"> se sujetará a las sanciones contempladas en el Ordenamiento Jurídico Nacional y Metropolitano.”</w:t>
      </w:r>
    </w:p>
    <w:p w:rsidR="006B3C7E" w:rsidRPr="00EC3B99" w:rsidRDefault="006B3C7E" w:rsidP="006B3C7E">
      <w:pPr>
        <w:spacing w:after="120" w:line="276" w:lineRule="auto"/>
        <w:jc w:val="both"/>
        <w:rPr>
          <w:rFonts w:ascii="Palatino Linotype" w:hAnsi="Palatino Linotype"/>
          <w:sz w:val="22"/>
          <w:szCs w:val="22"/>
          <w:lang w:val="es-EC"/>
        </w:rPr>
      </w:pPr>
      <w:r w:rsidRPr="00EC3B99">
        <w:rPr>
          <w:rFonts w:ascii="Palatino Linotype" w:hAnsi="Palatino Linotype"/>
          <w:b/>
          <w:sz w:val="22"/>
          <w:szCs w:val="22"/>
          <w:lang w:val="es-EC"/>
        </w:rPr>
        <w:t>Artículo 11.-</w:t>
      </w:r>
      <w:r w:rsidRPr="00EC3B99">
        <w:rPr>
          <w:rFonts w:ascii="Palatino Linotype" w:hAnsi="Palatino Linotype"/>
          <w:sz w:val="22"/>
          <w:szCs w:val="22"/>
          <w:lang w:val="es-EC"/>
        </w:rPr>
        <w:t xml:space="preserve"> Sustitúyase el artículo </w:t>
      </w:r>
      <w:proofErr w:type="gramStart"/>
      <w:r w:rsidRPr="00EC3B99">
        <w:rPr>
          <w:rFonts w:ascii="Palatino Linotype" w:hAnsi="Palatino Linotype"/>
          <w:sz w:val="22"/>
          <w:szCs w:val="22"/>
          <w:lang w:val="es-EC"/>
        </w:rPr>
        <w:t xml:space="preserve">6  </w:t>
      </w:r>
      <w:r w:rsidRPr="00EC3B99">
        <w:rPr>
          <w:rFonts w:ascii="Palatino Linotype" w:hAnsi="Palatino Linotype"/>
          <w:bCs/>
          <w:sz w:val="22"/>
          <w:szCs w:val="22"/>
        </w:rPr>
        <w:t>de</w:t>
      </w:r>
      <w:proofErr w:type="gramEnd"/>
      <w:r w:rsidRPr="00EC3B99">
        <w:rPr>
          <w:rFonts w:ascii="Palatino Linotype" w:hAnsi="Palatino Linotype"/>
          <w:bCs/>
          <w:sz w:val="22"/>
          <w:szCs w:val="22"/>
        </w:rPr>
        <w:t xml:space="preserve"> la </w:t>
      </w:r>
      <w:r w:rsidRPr="00EC3B99">
        <w:rPr>
          <w:rFonts w:ascii="Palatino Linotype" w:hAnsi="Palatino Linotype"/>
          <w:sz w:val="22"/>
          <w:szCs w:val="22"/>
        </w:rPr>
        <w:t>Ordenanza Reformatoria No. 0469, sancionada el 09 de diciembre de 2013, donde se sustituye el artículo 13 de la ordenanza No. 346 del 11 de enero de 2013, sancionada el 9 diciembre de 2013</w:t>
      </w:r>
      <w:r w:rsidRPr="00EC3B99">
        <w:rPr>
          <w:rFonts w:ascii="Palatino Linotype" w:hAnsi="Palatino Linotype"/>
          <w:bCs/>
          <w:sz w:val="22"/>
          <w:szCs w:val="22"/>
        </w:rPr>
        <w:t xml:space="preserve">, </w:t>
      </w:r>
      <w:r w:rsidRPr="00EC3B99">
        <w:rPr>
          <w:rFonts w:ascii="Palatino Linotype" w:hAnsi="Palatino Linotype"/>
          <w:sz w:val="22"/>
          <w:szCs w:val="22"/>
          <w:lang w:val="es-EC"/>
        </w:rPr>
        <w:t xml:space="preserve">con el siguiente texto: </w:t>
      </w:r>
    </w:p>
    <w:p w:rsidR="006B3C7E" w:rsidRPr="00EC3B99" w:rsidRDefault="006B3C7E" w:rsidP="00597AAE">
      <w:pPr>
        <w:spacing w:after="120" w:line="276" w:lineRule="auto"/>
        <w:ind w:left="708"/>
        <w:jc w:val="both"/>
        <w:rPr>
          <w:rFonts w:ascii="Palatino Linotype" w:hAnsi="Palatino Linotype" w:cs="Arial"/>
          <w:i/>
          <w:sz w:val="22"/>
          <w:szCs w:val="22"/>
        </w:rPr>
      </w:pPr>
      <w:r w:rsidRPr="00EC3B99">
        <w:rPr>
          <w:rFonts w:ascii="Palatino Linotype" w:hAnsi="Palatino Linotype"/>
          <w:i/>
          <w:sz w:val="22"/>
          <w:szCs w:val="22"/>
          <w:lang w:val="es-EC"/>
        </w:rPr>
        <w:t>“</w:t>
      </w:r>
      <w:r w:rsidRPr="00EC3B99">
        <w:rPr>
          <w:rFonts w:ascii="Palatino Linotype" w:hAnsi="Palatino Linotype"/>
          <w:b/>
          <w:i/>
          <w:sz w:val="22"/>
          <w:szCs w:val="22"/>
          <w:lang w:val="es-EC"/>
        </w:rPr>
        <w:t>Art...</w:t>
      </w:r>
      <w:r w:rsidRPr="00EC3B99">
        <w:rPr>
          <w:rFonts w:ascii="Palatino Linotype" w:hAnsi="Palatino Linotype"/>
          <w:i/>
          <w:sz w:val="22"/>
          <w:szCs w:val="22"/>
          <w:lang w:val="es-EC"/>
        </w:rPr>
        <w:t xml:space="preserve"> </w:t>
      </w:r>
      <w:r w:rsidRPr="00EC3B99">
        <w:rPr>
          <w:rFonts w:ascii="Palatino Linotype" w:hAnsi="Palatino Linotype"/>
          <w:b/>
          <w:bCs/>
          <w:i/>
          <w:sz w:val="22"/>
          <w:szCs w:val="22"/>
          <w:lang w:val="es-ES_tradnl"/>
        </w:rPr>
        <w:t xml:space="preserve">De la </w:t>
      </w:r>
      <w:r w:rsidR="00597AAE" w:rsidRPr="00EC3B99">
        <w:rPr>
          <w:rFonts w:ascii="Palatino Linotype" w:hAnsi="Palatino Linotype"/>
          <w:b/>
          <w:bCs/>
          <w:i/>
          <w:sz w:val="22"/>
          <w:szCs w:val="22"/>
          <w:lang w:val="es-ES_tradnl"/>
        </w:rPr>
        <w:t xml:space="preserve">protocolización e inscripción de la </w:t>
      </w:r>
      <w:proofErr w:type="gramStart"/>
      <w:r w:rsidR="00597AAE" w:rsidRPr="00EC3B99">
        <w:rPr>
          <w:rFonts w:ascii="Palatino Linotype" w:hAnsi="Palatino Linotype"/>
          <w:b/>
          <w:bCs/>
          <w:i/>
          <w:sz w:val="22"/>
          <w:szCs w:val="22"/>
          <w:lang w:val="es-ES_tradnl"/>
        </w:rPr>
        <w:t>ordenanza</w:t>
      </w:r>
      <w:r w:rsidRPr="00EC3B99">
        <w:rPr>
          <w:rFonts w:ascii="Palatino Linotype" w:hAnsi="Palatino Linotype"/>
          <w:b/>
          <w:bCs/>
          <w:i/>
          <w:sz w:val="22"/>
          <w:szCs w:val="22"/>
          <w:lang w:val="es-ES_tradnl"/>
        </w:rPr>
        <w:t>.-</w:t>
      </w:r>
      <w:proofErr w:type="gramEnd"/>
      <w:r w:rsidRPr="00EC3B99">
        <w:rPr>
          <w:rFonts w:ascii="Palatino Linotype" w:hAnsi="Palatino Linotype"/>
          <w:b/>
          <w:bCs/>
          <w:i/>
          <w:sz w:val="22"/>
          <w:szCs w:val="22"/>
          <w:lang w:val="es-ES_tradnl"/>
        </w:rPr>
        <w:t xml:space="preserve">  </w:t>
      </w:r>
      <w:r w:rsidRPr="00EC3B99">
        <w:rPr>
          <w:rFonts w:ascii="Palatino Linotype" w:hAnsi="Palatino Linotype"/>
          <w:i/>
          <w:sz w:val="22"/>
          <w:szCs w:val="22"/>
          <w:lang w:val="es-EC"/>
        </w:rPr>
        <w:t xml:space="preserve">Los copropietarios del predio del Asentamiento Humano de Hecho y Consolidado de Interés Social denominado </w:t>
      </w:r>
      <w:r w:rsidRPr="00EC3B99">
        <w:rPr>
          <w:rFonts w:ascii="Palatino Linotype" w:hAnsi="Palatino Linotype"/>
          <w:i/>
          <w:sz w:val="22"/>
          <w:szCs w:val="22"/>
          <w:lang w:val="es-EC"/>
        </w:rPr>
        <w:lastRenderedPageBreak/>
        <w:t>“</w:t>
      </w:r>
      <w:r w:rsidRPr="00EC3B99">
        <w:rPr>
          <w:rFonts w:ascii="Palatino Linotype" w:hAnsi="Palatino Linotype" w:cs="Arial"/>
          <w:i/>
          <w:sz w:val="22"/>
          <w:szCs w:val="22"/>
        </w:rPr>
        <w:t>Comité</w:t>
      </w:r>
      <w:r w:rsidRPr="00EC3B99">
        <w:rPr>
          <w:rFonts w:ascii="Palatino Linotype" w:hAnsi="Palatino Linotype" w:cs="Arial"/>
          <w:b/>
          <w:i/>
          <w:sz w:val="22"/>
          <w:szCs w:val="22"/>
        </w:rPr>
        <w:t xml:space="preserve"> </w:t>
      </w:r>
      <w:r w:rsidRPr="00EC3B99">
        <w:rPr>
          <w:rFonts w:ascii="Palatino Linotype" w:hAnsi="Palatino Linotype" w:cs="Arial"/>
          <w:i/>
          <w:sz w:val="22"/>
          <w:szCs w:val="22"/>
        </w:rPr>
        <w:t xml:space="preserve">Pro Mejoras Balcón </w:t>
      </w:r>
      <w:proofErr w:type="spellStart"/>
      <w:r w:rsidRPr="00EC3B99">
        <w:rPr>
          <w:rFonts w:ascii="Palatino Linotype" w:hAnsi="Palatino Linotype" w:cs="Arial"/>
          <w:i/>
          <w:sz w:val="22"/>
          <w:szCs w:val="22"/>
        </w:rPr>
        <w:t>Yaruqueño</w:t>
      </w:r>
      <w:proofErr w:type="spellEnd"/>
      <w:r w:rsidRPr="00EC3B99">
        <w:rPr>
          <w:rFonts w:ascii="Palatino Linotype" w:hAnsi="Palatino Linotype" w:cs="Arial"/>
          <w:i/>
          <w:sz w:val="22"/>
          <w:szCs w:val="22"/>
        </w:rPr>
        <w:t xml:space="preserve"> y La Buena Esperanza”, deberán protocolizar la presente Ordenanza ante Notario Público e inscribirla en el Registro de la Propiedad del Distrito Metropolitano de Quito, con todos sus documentos habilitantes. </w:t>
      </w:r>
    </w:p>
    <w:p w:rsidR="006B3C7E" w:rsidRPr="00EC3B99" w:rsidRDefault="006B3C7E" w:rsidP="00597AAE">
      <w:pPr>
        <w:spacing w:after="120" w:line="276" w:lineRule="auto"/>
        <w:ind w:left="708"/>
        <w:jc w:val="both"/>
        <w:rPr>
          <w:rFonts w:ascii="Palatino Linotype" w:hAnsi="Palatino Linotype"/>
          <w:bCs/>
          <w:i/>
          <w:sz w:val="22"/>
          <w:szCs w:val="22"/>
          <w:lang w:val="es-ES_tradnl"/>
        </w:rPr>
      </w:pPr>
      <w:r w:rsidRPr="00EC3B99">
        <w:rPr>
          <w:rFonts w:ascii="Palatino Linotype" w:hAnsi="Palatino Linotype"/>
          <w:bCs/>
          <w:i/>
          <w:sz w:val="22"/>
          <w:szCs w:val="22"/>
          <w:lang w:val="es-ES_tradnl"/>
        </w:rPr>
        <w:t>En caso de no legalizar la presente ordenanza, ésta caducará conforme lo determinado en la normativa nacional vigente.</w:t>
      </w:r>
    </w:p>
    <w:p w:rsidR="006B3C7E" w:rsidRPr="00EC3B99" w:rsidRDefault="006B3C7E" w:rsidP="00597AAE">
      <w:pPr>
        <w:spacing w:after="120" w:line="276" w:lineRule="auto"/>
        <w:ind w:left="708"/>
        <w:jc w:val="both"/>
        <w:rPr>
          <w:rFonts w:ascii="Palatino Linotype" w:hAnsi="Palatino Linotype"/>
          <w:bCs/>
          <w:i/>
          <w:sz w:val="22"/>
          <w:szCs w:val="22"/>
          <w:lang w:val="es-ES_tradnl"/>
        </w:rPr>
      </w:pPr>
      <w:r w:rsidRPr="00EC3B99">
        <w:rPr>
          <w:rFonts w:ascii="Palatino Linotype" w:hAnsi="Palatino Linotype"/>
          <w:bCs/>
          <w:i/>
          <w:sz w:val="22"/>
          <w:szCs w:val="22"/>
          <w:lang w:val="es-ES_tradnl"/>
        </w:rPr>
        <w:t>La inscripción de la presente ordenanza servirá como título de dominio para efecto de transferencia de áreas verdes, en caso de que existan.”</w:t>
      </w:r>
    </w:p>
    <w:p w:rsidR="00C45FDC" w:rsidRDefault="00160923" w:rsidP="00C45FDC">
      <w:pPr>
        <w:spacing w:after="120" w:line="276" w:lineRule="auto"/>
        <w:ind w:left="-76"/>
        <w:jc w:val="both"/>
        <w:rPr>
          <w:rFonts w:ascii="Palatino Linotype" w:hAnsi="Palatino Linotype"/>
          <w:iCs/>
          <w:sz w:val="22"/>
          <w:szCs w:val="22"/>
        </w:rPr>
      </w:pPr>
      <w:r w:rsidRPr="00C4628E">
        <w:rPr>
          <w:rFonts w:ascii="Palatino Linotype" w:hAnsi="Palatino Linotype"/>
          <w:b/>
          <w:sz w:val="22"/>
          <w:szCs w:val="22"/>
          <w:lang w:val="es-ES_tradnl"/>
        </w:rPr>
        <w:t>D</w:t>
      </w:r>
      <w:r w:rsidR="00280C8E" w:rsidRPr="00C4628E">
        <w:rPr>
          <w:rFonts w:ascii="Palatino Linotype" w:hAnsi="Palatino Linotype"/>
          <w:b/>
          <w:sz w:val="22"/>
          <w:szCs w:val="22"/>
          <w:lang w:val="es-ES_tradnl"/>
        </w:rPr>
        <w:t xml:space="preserve">isposición </w:t>
      </w:r>
      <w:proofErr w:type="gramStart"/>
      <w:r w:rsidR="002E19B1" w:rsidRPr="00C4628E">
        <w:rPr>
          <w:rFonts w:ascii="Palatino Linotype" w:hAnsi="Palatino Linotype"/>
          <w:b/>
          <w:sz w:val="22"/>
          <w:szCs w:val="22"/>
          <w:lang w:val="es-ES_tradnl"/>
        </w:rPr>
        <w:t>f</w:t>
      </w:r>
      <w:r w:rsidR="00280C8E" w:rsidRPr="00C4628E">
        <w:rPr>
          <w:rFonts w:ascii="Palatino Linotype" w:hAnsi="Palatino Linotype"/>
          <w:b/>
          <w:sz w:val="22"/>
          <w:szCs w:val="22"/>
          <w:lang w:val="es-ES_tradnl"/>
        </w:rPr>
        <w:t>inal.-</w:t>
      </w:r>
      <w:proofErr w:type="gramEnd"/>
      <w:r w:rsidR="00280C8E" w:rsidRPr="00C4628E">
        <w:rPr>
          <w:rFonts w:ascii="Palatino Linotype" w:hAnsi="Palatino Linotype"/>
          <w:b/>
          <w:sz w:val="22"/>
          <w:szCs w:val="22"/>
          <w:lang w:val="es-ES_tradnl"/>
        </w:rPr>
        <w:t xml:space="preserve"> </w:t>
      </w:r>
      <w:r w:rsidR="00280C8E" w:rsidRPr="00C4628E">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45FDC" w:rsidRDefault="00AF343E" w:rsidP="00C45FDC">
      <w:pPr>
        <w:spacing w:after="120" w:line="276" w:lineRule="auto"/>
        <w:ind w:left="-76"/>
        <w:jc w:val="both"/>
        <w:rPr>
          <w:rFonts w:ascii="Palatino Linotype" w:hAnsi="Palatino Linotype"/>
          <w:iCs/>
          <w:sz w:val="22"/>
          <w:szCs w:val="22"/>
        </w:rPr>
      </w:pPr>
      <w:r w:rsidRPr="00C4628E">
        <w:rPr>
          <w:rFonts w:ascii="Palatino Linotype" w:hAnsi="Palatino Linotype"/>
          <w:sz w:val="22"/>
          <w:szCs w:val="22"/>
        </w:rPr>
        <w:t xml:space="preserve">Dada, en la Sala de Sesiones del Concejo Metropolitano de Quito, el </w:t>
      </w:r>
      <w:r w:rsidR="00CD6D82" w:rsidRPr="00C4628E">
        <w:rPr>
          <w:rFonts w:ascii="Palatino Linotype" w:hAnsi="Palatino Linotype"/>
          <w:sz w:val="22"/>
          <w:szCs w:val="22"/>
        </w:rPr>
        <w:t>20</w:t>
      </w:r>
      <w:r w:rsidRPr="00C4628E">
        <w:rPr>
          <w:rFonts w:ascii="Palatino Linotype" w:hAnsi="Palatino Linotype"/>
          <w:sz w:val="22"/>
          <w:szCs w:val="22"/>
        </w:rPr>
        <w:t xml:space="preserve"> de </w:t>
      </w:r>
      <w:r w:rsidR="00145835" w:rsidRPr="00C4628E">
        <w:rPr>
          <w:rFonts w:ascii="Palatino Linotype" w:hAnsi="Palatino Linotype"/>
          <w:sz w:val="22"/>
          <w:szCs w:val="22"/>
        </w:rPr>
        <w:t xml:space="preserve">noviembre </w:t>
      </w:r>
      <w:r w:rsidRPr="00C4628E">
        <w:rPr>
          <w:rFonts w:ascii="Palatino Linotype" w:hAnsi="Palatino Linotype"/>
          <w:sz w:val="22"/>
          <w:szCs w:val="22"/>
        </w:rPr>
        <w:t>de 2018.</w:t>
      </w:r>
    </w:p>
    <w:p w:rsidR="00AF343E" w:rsidRPr="00C4628E" w:rsidRDefault="00AF343E" w:rsidP="00AF343E">
      <w:pPr>
        <w:spacing w:after="240"/>
        <w:contextualSpacing/>
        <w:jc w:val="both"/>
        <w:rPr>
          <w:rFonts w:ascii="Palatino Linotype" w:hAnsi="Palatino Linotype"/>
          <w:sz w:val="22"/>
          <w:szCs w:val="22"/>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 xml:space="preserve">Abg. </w:t>
      </w:r>
      <w:r w:rsidR="002E19B1" w:rsidRPr="00C4628E">
        <w:rPr>
          <w:rFonts w:ascii="Palatino Linotype" w:eastAsia="MS Mincho" w:hAnsi="Palatino Linotype"/>
          <w:sz w:val="22"/>
          <w:szCs w:val="22"/>
          <w:lang w:val="es-EC"/>
        </w:rPr>
        <w:t>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9868C3" w:rsidRPr="00C4628E" w:rsidRDefault="009868C3" w:rsidP="00AF343E">
      <w:pPr>
        <w:pStyle w:val="Textopredeterminado"/>
        <w:shd w:val="clear" w:color="auto" w:fill="FFFFFF"/>
        <w:jc w:val="both"/>
        <w:rPr>
          <w:rFonts w:ascii="Palatino Linotype" w:hAnsi="Palatino Linotype"/>
          <w:sz w:val="22"/>
          <w:szCs w:val="22"/>
          <w:lang w:val="es-ES"/>
        </w:rPr>
      </w:pPr>
    </w:p>
    <w:p w:rsidR="00AF343E" w:rsidRPr="00C4628E"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628E">
        <w:rPr>
          <w:rFonts w:ascii="Palatino Linotype" w:eastAsia="MS Mincho" w:hAnsi="Palatino Linotype"/>
          <w:b/>
          <w:bCs/>
          <w:sz w:val="22"/>
          <w:szCs w:val="22"/>
        </w:rPr>
        <w:t>CERTIFICADO DE DISCUSIÓN</w:t>
      </w:r>
    </w:p>
    <w:p w:rsidR="00AF343E" w:rsidRPr="00C4628E" w:rsidRDefault="00AF343E" w:rsidP="00AF343E">
      <w:pPr>
        <w:pStyle w:val="Textosinformato"/>
        <w:spacing w:line="276" w:lineRule="auto"/>
        <w:jc w:val="both"/>
        <w:rPr>
          <w:rFonts w:ascii="Palatino Linotype" w:eastAsia="MS Mincho" w:hAnsi="Palatino Linotype"/>
          <w:sz w:val="22"/>
          <w:szCs w:val="22"/>
        </w:rPr>
      </w:pPr>
    </w:p>
    <w:p w:rsidR="00AF343E" w:rsidRPr="00C4628E" w:rsidRDefault="00AF343E" w:rsidP="00AF343E">
      <w:pPr>
        <w:pStyle w:val="Textosinformato"/>
        <w:jc w:val="both"/>
        <w:rPr>
          <w:rFonts w:ascii="Palatino Linotype" w:eastAsia="MS Mincho" w:hAnsi="Palatino Linotype"/>
          <w:sz w:val="22"/>
          <w:szCs w:val="22"/>
          <w:lang w:val="es-EC"/>
        </w:rPr>
      </w:pPr>
      <w:r w:rsidRPr="00C4628E">
        <w:rPr>
          <w:rFonts w:ascii="Palatino Linotype" w:eastAsia="MS Mincho" w:hAnsi="Palatino Linotype"/>
          <w:sz w:val="22"/>
          <w:szCs w:val="22"/>
          <w:lang w:val="es-EC"/>
        </w:rPr>
        <w:t>El inf</w:t>
      </w:r>
      <w:r w:rsidR="00F112F0" w:rsidRPr="00C4628E">
        <w:rPr>
          <w:rFonts w:ascii="Palatino Linotype" w:eastAsia="MS Mincho" w:hAnsi="Palatino Linotype"/>
          <w:sz w:val="22"/>
          <w:szCs w:val="22"/>
          <w:lang w:val="es-EC"/>
        </w:rPr>
        <w:t xml:space="preserve">rascrito Secretario General </w:t>
      </w:r>
      <w:r w:rsidRPr="00C4628E">
        <w:rPr>
          <w:rFonts w:ascii="Palatino Linotype" w:eastAsia="MS Mincho" w:hAnsi="Palatino Linotype"/>
          <w:sz w:val="22"/>
          <w:szCs w:val="22"/>
          <w:lang w:val="es-EC"/>
        </w:rPr>
        <w:t>del Concejo Metropolitano de Quito, certifica que la presente ordenanza fue discutida y aprobada e</w:t>
      </w:r>
      <w:r w:rsidR="002E19B1" w:rsidRPr="00C4628E">
        <w:rPr>
          <w:rFonts w:ascii="Palatino Linotype" w:eastAsia="MS Mincho" w:hAnsi="Palatino Linotype"/>
          <w:sz w:val="22"/>
          <w:szCs w:val="22"/>
          <w:lang w:val="es-EC"/>
        </w:rPr>
        <w:t xml:space="preserve">n dos debates, en sesiones de </w:t>
      </w:r>
      <w:r w:rsidR="00640035" w:rsidRPr="00C4628E">
        <w:rPr>
          <w:rFonts w:ascii="Palatino Linotype" w:eastAsia="MS Mincho" w:hAnsi="Palatino Linotype"/>
          <w:sz w:val="22"/>
          <w:szCs w:val="22"/>
          <w:lang w:val="es-EC"/>
        </w:rPr>
        <w:t>1</w:t>
      </w:r>
      <w:r w:rsidR="00843F21">
        <w:rPr>
          <w:rFonts w:ascii="Palatino Linotype" w:eastAsia="MS Mincho" w:hAnsi="Palatino Linotype"/>
          <w:sz w:val="22"/>
          <w:szCs w:val="22"/>
          <w:lang w:val="es-EC"/>
        </w:rPr>
        <w:t>8</w:t>
      </w:r>
      <w:r w:rsidR="009451C2" w:rsidRPr="00C4628E">
        <w:rPr>
          <w:rFonts w:ascii="Palatino Linotype" w:eastAsia="MS Mincho" w:hAnsi="Palatino Linotype"/>
          <w:sz w:val="22"/>
          <w:szCs w:val="22"/>
          <w:lang w:val="es-EC"/>
        </w:rPr>
        <w:t xml:space="preserve"> </w:t>
      </w:r>
      <w:r w:rsidRPr="00C4628E">
        <w:rPr>
          <w:rFonts w:ascii="Palatino Linotype" w:eastAsia="MS Mincho" w:hAnsi="Palatino Linotype"/>
          <w:sz w:val="22"/>
          <w:szCs w:val="22"/>
          <w:lang w:val="es-EC"/>
        </w:rPr>
        <w:t xml:space="preserve">de </w:t>
      </w:r>
      <w:r w:rsidR="00843F21">
        <w:rPr>
          <w:rFonts w:ascii="Palatino Linotype" w:eastAsia="MS Mincho" w:hAnsi="Palatino Linotype"/>
          <w:sz w:val="22"/>
          <w:szCs w:val="22"/>
          <w:lang w:val="es-EC"/>
        </w:rPr>
        <w:t xml:space="preserve">mayo </w:t>
      </w:r>
      <w:r w:rsidR="00640035" w:rsidRPr="00C4628E">
        <w:rPr>
          <w:rFonts w:ascii="Palatino Linotype" w:eastAsia="MS Mincho" w:hAnsi="Palatino Linotype"/>
          <w:sz w:val="22"/>
          <w:szCs w:val="22"/>
          <w:lang w:val="es-EC"/>
        </w:rPr>
        <w:t xml:space="preserve">de 2017 </w:t>
      </w:r>
      <w:r w:rsidRPr="00C4628E">
        <w:rPr>
          <w:rFonts w:ascii="Palatino Linotype" w:eastAsia="MS Mincho" w:hAnsi="Palatino Linotype"/>
          <w:sz w:val="22"/>
          <w:szCs w:val="22"/>
          <w:lang w:val="es-EC"/>
        </w:rPr>
        <w:t xml:space="preserve">y </w:t>
      </w:r>
      <w:r w:rsidR="00CD6D82" w:rsidRPr="00C4628E">
        <w:rPr>
          <w:rFonts w:ascii="Palatino Linotype" w:eastAsia="MS Mincho" w:hAnsi="Palatino Linotype"/>
          <w:sz w:val="22"/>
          <w:szCs w:val="22"/>
          <w:lang w:val="es-EC"/>
        </w:rPr>
        <w:t>20</w:t>
      </w:r>
      <w:r w:rsidRPr="00C4628E">
        <w:rPr>
          <w:rFonts w:ascii="Palatino Linotype" w:eastAsia="MS Mincho" w:hAnsi="Palatino Linotype"/>
          <w:sz w:val="22"/>
          <w:szCs w:val="22"/>
          <w:lang w:val="es-EC"/>
        </w:rPr>
        <w:t xml:space="preserve"> de </w:t>
      </w:r>
      <w:r w:rsidR="00145835" w:rsidRPr="00C4628E">
        <w:rPr>
          <w:rFonts w:ascii="Palatino Linotype" w:eastAsia="MS Mincho" w:hAnsi="Palatino Linotype"/>
          <w:sz w:val="22"/>
          <w:szCs w:val="22"/>
          <w:lang w:val="es-EC"/>
        </w:rPr>
        <w:t xml:space="preserve">noviembre </w:t>
      </w:r>
      <w:r w:rsidRPr="00C4628E">
        <w:rPr>
          <w:rFonts w:ascii="Palatino Linotype" w:eastAsia="MS Mincho" w:hAnsi="Palatino Linotype"/>
          <w:sz w:val="22"/>
          <w:szCs w:val="22"/>
          <w:lang w:val="es-EC"/>
        </w:rPr>
        <w:t>de 2018.- Quito,</w:t>
      </w:r>
    </w:p>
    <w:p w:rsidR="00AF343E" w:rsidRPr="00C4628E" w:rsidRDefault="00AF343E" w:rsidP="00AF343E">
      <w:pPr>
        <w:pStyle w:val="Textosinformato"/>
        <w:jc w:val="both"/>
        <w:rPr>
          <w:rFonts w:ascii="Palatino Linotype" w:eastAsia="MS Mincho" w:hAnsi="Palatino Linotype"/>
          <w:sz w:val="22"/>
          <w:szCs w:val="22"/>
          <w:lang w:val="es-EC"/>
        </w:rPr>
      </w:pPr>
    </w:p>
    <w:p w:rsidR="00AF343E" w:rsidRPr="00C4628E" w:rsidRDefault="00AF343E" w:rsidP="00AF343E">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F112F0" w:rsidRPr="00C4628E" w:rsidRDefault="00F112F0" w:rsidP="00F112F0">
      <w:pPr>
        <w:pStyle w:val="Textosinformato"/>
        <w:jc w:val="center"/>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 xml:space="preserve">ALCALDÍA DEL DISTRITO METROPOLITANO DE </w:t>
      </w:r>
      <w:proofErr w:type="gramStart"/>
      <w:r w:rsidRPr="00C4628E">
        <w:rPr>
          <w:rFonts w:ascii="Palatino Linotype" w:eastAsia="MS Mincho" w:hAnsi="Palatino Linotype"/>
          <w:b/>
          <w:bCs/>
          <w:sz w:val="22"/>
          <w:szCs w:val="22"/>
          <w:lang w:val="es-EC"/>
        </w:rPr>
        <w:t>QUITO.-</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b/>
          <w:sz w:val="22"/>
          <w:szCs w:val="22"/>
          <w:lang w:val="es-EC"/>
        </w:rPr>
      </w:pPr>
      <w:r w:rsidRPr="00C4628E">
        <w:rPr>
          <w:rFonts w:ascii="Palatino Linotype" w:eastAsia="MS Mincho" w:hAnsi="Palatino Linotype"/>
          <w:b/>
          <w:sz w:val="22"/>
          <w:szCs w:val="22"/>
          <w:lang w:val="es-EC"/>
        </w:rPr>
        <w:t>EJECÚTESE:</w:t>
      </w:r>
    </w:p>
    <w:p w:rsidR="00F112F0" w:rsidRPr="00C4628E" w:rsidRDefault="00F112F0" w:rsidP="00F112F0">
      <w:pPr>
        <w:pStyle w:val="Textosinformato"/>
        <w:tabs>
          <w:tab w:val="left" w:pos="2655"/>
        </w:tabs>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CD6D82" w:rsidRPr="00C4628E" w:rsidRDefault="00CD6D82" w:rsidP="00F112F0">
      <w:pPr>
        <w:pStyle w:val="Textosinformato"/>
        <w:jc w:val="center"/>
        <w:rPr>
          <w:rFonts w:ascii="Palatino Linotype" w:eastAsia="MS Mincho" w:hAnsi="Palatino Linotype"/>
          <w:sz w:val="22"/>
          <w:szCs w:val="22"/>
          <w:lang w:val="es-EC"/>
        </w:rPr>
      </w:pPr>
    </w:p>
    <w:p w:rsidR="00F112F0" w:rsidRPr="00C4628E" w:rsidRDefault="00CD6D82"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Dr. Mauricio Rodas Espinel</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ALCALDE DEL DISTRITO METROPOLITANO DE QUITO</w:t>
      </w:r>
    </w:p>
    <w:p w:rsidR="00F112F0" w:rsidRDefault="00F112F0" w:rsidP="00F112F0">
      <w:pPr>
        <w:pStyle w:val="Textosinformato"/>
        <w:jc w:val="both"/>
        <w:rPr>
          <w:rFonts w:ascii="Palatino Linotype" w:eastAsia="MS Mincho" w:hAnsi="Palatino Linotype"/>
          <w:b/>
          <w:bCs/>
          <w:sz w:val="22"/>
          <w:szCs w:val="22"/>
          <w:lang w:val="es-EC"/>
        </w:rPr>
      </w:pPr>
    </w:p>
    <w:p w:rsidR="00597AAE" w:rsidRDefault="00597AAE" w:rsidP="00F112F0">
      <w:pPr>
        <w:pStyle w:val="Textosinformato"/>
        <w:jc w:val="both"/>
        <w:rPr>
          <w:rFonts w:ascii="Palatino Linotype" w:eastAsia="MS Mincho" w:hAnsi="Palatino Linotype"/>
          <w:b/>
          <w:bCs/>
          <w:sz w:val="22"/>
          <w:szCs w:val="22"/>
          <w:lang w:val="es-EC"/>
        </w:rPr>
      </w:pPr>
    </w:p>
    <w:p w:rsidR="00597AAE" w:rsidRPr="00C4628E" w:rsidRDefault="00597AAE" w:rsidP="00F112F0">
      <w:pPr>
        <w:pStyle w:val="Textosinformato"/>
        <w:jc w:val="both"/>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lastRenderedPageBreak/>
        <w:t>CERTIFICO,</w:t>
      </w:r>
      <w:r w:rsidRPr="00C4628E">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4628E"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4628E">
        <w:rPr>
          <w:rFonts w:ascii="Palatino Linotype" w:eastAsia="MS Mincho" w:hAnsi="Palatino Linotype"/>
          <w:sz w:val="22"/>
          <w:szCs w:val="22"/>
          <w:lang w:val="es-EC"/>
        </w:rPr>
        <w:t>.-</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280C8E" w:rsidRPr="00C4628E" w:rsidRDefault="00FC3E54" w:rsidP="00FC3E54">
      <w:pPr>
        <w:jc w:val="both"/>
        <w:rPr>
          <w:rFonts w:ascii="Palatino Linotype" w:eastAsia="MS Mincho" w:hAnsi="Palatino Linotype"/>
          <w:sz w:val="21"/>
          <w:szCs w:val="21"/>
        </w:rPr>
      </w:pPr>
      <w:r w:rsidRPr="00C4628E">
        <w:rPr>
          <w:rFonts w:ascii="Palatino Linotype" w:hAnsi="Palatino Linotype" w:cs="Arial"/>
          <w:sz w:val="16"/>
          <w:szCs w:val="16"/>
          <w:lang w:eastAsia="es-EC"/>
        </w:rPr>
        <w:t>DSCS</w:t>
      </w:r>
      <w:r w:rsidR="00BE247B" w:rsidRPr="00C4628E">
        <w:rPr>
          <w:rFonts w:ascii="Palatino Linotype" w:hAnsi="Palatino Linotype" w:cs="Arial"/>
          <w:sz w:val="16"/>
          <w:szCs w:val="16"/>
          <w:lang w:eastAsia="es-EC"/>
        </w:rPr>
        <w:t xml:space="preserve"> </w:t>
      </w:r>
    </w:p>
    <w:sectPr w:rsidR="00280C8E" w:rsidRPr="00C4628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67" w:rsidRDefault="009C6867">
      <w:r>
        <w:separator/>
      </w:r>
    </w:p>
  </w:endnote>
  <w:endnote w:type="continuationSeparator" w:id="0">
    <w:p w:rsidR="009C6867" w:rsidRDefault="009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597AAE">
              <w:rPr>
                <w:rFonts w:ascii="Palatino Linotype" w:hAnsi="Palatino Linotype"/>
                <w:b/>
                <w:bCs/>
                <w:noProof/>
                <w:sz w:val="22"/>
                <w:szCs w:val="22"/>
              </w:rPr>
              <w:t>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45FDC">
              <w:rPr>
                <w:rFonts w:ascii="Palatino Linotype" w:hAnsi="Palatino Linotype"/>
                <w:b/>
                <w:bCs/>
                <w:sz w:val="22"/>
                <w:szCs w:val="22"/>
              </w:rPr>
              <w:t>13</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843F2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C45FDC">
              <w:rPr>
                <w:rFonts w:ascii="Palatino Linotype" w:hAnsi="Palatino Linotype"/>
                <w:b/>
                <w:bCs/>
                <w:sz w:val="22"/>
                <w:szCs w:val="22"/>
              </w:rPr>
              <w:t>3</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67" w:rsidRDefault="009C6867">
      <w:r>
        <w:separator/>
      </w:r>
    </w:p>
  </w:footnote>
  <w:footnote w:type="continuationSeparator" w:id="0">
    <w:p w:rsidR="009C6867" w:rsidRDefault="009C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1"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3"/>
  </w:num>
  <w:num w:numId="9">
    <w:abstractNumId w:val="0"/>
  </w:num>
  <w:num w:numId="10">
    <w:abstractNumId w:val="10"/>
  </w:num>
  <w:num w:numId="11">
    <w:abstractNumId w:val="13"/>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5"/>
  </w:num>
  <w:num w:numId="17">
    <w:abstractNumId w:val="12"/>
  </w:num>
  <w:num w:numId="18">
    <w:abstractNumId w:val="9"/>
  </w:num>
  <w:num w:numId="19">
    <w:abstractNumId w:val="2"/>
  </w:num>
  <w:num w:numId="20">
    <w:abstractNumId w:val="22"/>
  </w:num>
  <w:num w:numId="21">
    <w:abstractNumId w:val="14"/>
  </w:num>
  <w:num w:numId="22">
    <w:abstractNumId w:val="7"/>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B51E8"/>
    <w:rsid w:val="005C04CE"/>
    <w:rsid w:val="005D60D7"/>
    <w:rsid w:val="005E2686"/>
    <w:rsid w:val="005E57E9"/>
    <w:rsid w:val="005E777E"/>
    <w:rsid w:val="006005A1"/>
    <w:rsid w:val="00606113"/>
    <w:rsid w:val="00610E7F"/>
    <w:rsid w:val="00640035"/>
    <w:rsid w:val="00641EB2"/>
    <w:rsid w:val="006422A2"/>
    <w:rsid w:val="00655023"/>
    <w:rsid w:val="006823CC"/>
    <w:rsid w:val="00687BC5"/>
    <w:rsid w:val="0069438B"/>
    <w:rsid w:val="00696358"/>
    <w:rsid w:val="00697913"/>
    <w:rsid w:val="006B1565"/>
    <w:rsid w:val="006B3C7E"/>
    <w:rsid w:val="006B417D"/>
    <w:rsid w:val="006B68BA"/>
    <w:rsid w:val="006B68D0"/>
    <w:rsid w:val="006B7B4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40CC0"/>
    <w:rsid w:val="00C43CE3"/>
    <w:rsid w:val="00C4560E"/>
    <w:rsid w:val="00C45FDC"/>
    <w:rsid w:val="00C4628E"/>
    <w:rsid w:val="00C562E5"/>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24272"/>
    <w:rsid w:val="00F27B21"/>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E12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76F0E-F0ED-4E86-B417-CB04041D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4544</Words>
  <Characters>24994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2018-11-14T13:49:00Z</cp:lastPrinted>
  <dcterms:created xsi:type="dcterms:W3CDTF">2018-11-20T23:40:00Z</dcterms:created>
  <dcterms:modified xsi:type="dcterms:W3CDTF">2018-11-21T16:01:00Z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