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bookmarkStart w:id="0" w:name="_GoBack"/>
      <w:bookmarkEnd w:id="0"/>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B97C65" w:rsidRDefault="0096645E" w:rsidP="00B97C65">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5FA4" w:rsidRPr="007D3AA4" w:rsidRDefault="003F5FA4" w:rsidP="003F5FA4">
      <w:pPr>
        <w:spacing w:after="120" w:line="276" w:lineRule="auto"/>
        <w:ind w:firstLine="708"/>
        <w:jc w:val="both"/>
        <w:rPr>
          <w:rFonts w:ascii="Palatino Linotype" w:hAnsi="Palatino Linotype"/>
          <w:sz w:val="22"/>
          <w:szCs w:val="22"/>
        </w:rPr>
      </w:pPr>
      <w:r w:rsidRPr="007D3AA4">
        <w:rPr>
          <w:rFonts w:ascii="Palatino Linotype" w:hAnsi="Palatino Linotype"/>
          <w:sz w:val="22"/>
          <w:szCs w:val="22"/>
        </w:rPr>
        <w:t>El Asentamiento Humano de Hecho y Consolidado de Interés Social denominado Comité del Barrio "Nuestras Cumbres del Sur Occidente" (Etapa I) tiene una consolidación de 44</w:t>
      </w:r>
      <w:r>
        <w:rPr>
          <w:rFonts w:ascii="Palatino Linotype" w:hAnsi="Palatino Linotype"/>
          <w:sz w:val="22"/>
          <w:szCs w:val="22"/>
        </w:rPr>
        <w:t>,</w:t>
      </w:r>
      <w:r w:rsidRPr="007D3AA4">
        <w:rPr>
          <w:rFonts w:ascii="Palatino Linotype" w:hAnsi="Palatino Linotype"/>
          <w:sz w:val="22"/>
          <w:szCs w:val="22"/>
        </w:rPr>
        <w:t xml:space="preserve">12%; al inicio del proceso de regularización contaba con 11 años de existencia sin embargo al momento de la sanción de la presente Ordenanza cuenta con 15 años de asentamiento y 304 beneficiarios. </w:t>
      </w:r>
    </w:p>
    <w:p w:rsidR="003F5FA4" w:rsidRPr="007D3AA4" w:rsidRDefault="003F5FA4" w:rsidP="003F5FA4">
      <w:pPr>
        <w:spacing w:after="120" w:line="276" w:lineRule="auto"/>
        <w:ind w:firstLine="708"/>
        <w:jc w:val="both"/>
        <w:rPr>
          <w:rFonts w:ascii="Palatino Linotype" w:hAnsi="Palatino Linotype"/>
          <w:b/>
          <w:sz w:val="22"/>
          <w:szCs w:val="22"/>
        </w:rPr>
      </w:pPr>
      <w:r w:rsidRPr="007D3AA4">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0C7EBE" w:rsidRDefault="003F5FA4" w:rsidP="003F5FA4">
      <w:pPr>
        <w:spacing w:after="120" w:line="276" w:lineRule="auto"/>
        <w:ind w:firstLine="708"/>
        <w:jc w:val="both"/>
        <w:rPr>
          <w:rFonts w:ascii="Palatino Linotype" w:hAnsi="Palatino Linotype"/>
          <w:b/>
          <w:sz w:val="22"/>
          <w:szCs w:val="22"/>
        </w:rPr>
      </w:pPr>
      <w:r w:rsidRPr="007D3AA4">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del Barrio "Nuestras Cumbres del Sur Occidente" (Etapa I),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412FF5">
        <w:rPr>
          <w:rFonts w:ascii="Palatino Linotype" w:hAnsi="Palatino Linotype"/>
          <w:sz w:val="22"/>
          <w:szCs w:val="22"/>
        </w:rPr>
        <w:t>9</w:t>
      </w:r>
      <w:r w:rsidR="00236471" w:rsidRPr="00091622">
        <w:rPr>
          <w:rFonts w:ascii="Palatino Linotype" w:hAnsi="Palatino Linotype"/>
          <w:sz w:val="22"/>
          <w:szCs w:val="22"/>
        </w:rPr>
        <w:t>-</w:t>
      </w:r>
      <w:r w:rsidR="006C3F46">
        <w:rPr>
          <w:rFonts w:ascii="Palatino Linotype" w:hAnsi="Palatino Linotype"/>
          <w:sz w:val="22"/>
          <w:szCs w:val="22"/>
        </w:rPr>
        <w:t>0</w:t>
      </w:r>
      <w:r w:rsidR="003F5FA4">
        <w:rPr>
          <w:rFonts w:ascii="Palatino Linotype" w:hAnsi="Palatino Linotype"/>
          <w:sz w:val="22"/>
          <w:szCs w:val="22"/>
        </w:rPr>
        <w:t>07</w:t>
      </w:r>
      <w:r w:rsidR="007359A3" w:rsidRPr="00091622">
        <w:rPr>
          <w:rFonts w:ascii="Palatino Linotype" w:hAnsi="Palatino Linotype"/>
          <w:sz w:val="22"/>
          <w:szCs w:val="22"/>
        </w:rPr>
        <w:t xml:space="preserve">, de </w:t>
      </w:r>
      <w:r w:rsidR="003F5FA4">
        <w:rPr>
          <w:rFonts w:ascii="Palatino Linotype" w:hAnsi="Palatino Linotype"/>
          <w:sz w:val="22"/>
          <w:szCs w:val="22"/>
        </w:rPr>
        <w:t>3</w:t>
      </w:r>
      <w:r w:rsidRPr="00091622">
        <w:rPr>
          <w:rFonts w:ascii="Palatino Linotype" w:hAnsi="Palatino Linotype"/>
          <w:sz w:val="22"/>
          <w:szCs w:val="22"/>
        </w:rPr>
        <w:t xml:space="preserve"> de </w:t>
      </w:r>
      <w:r w:rsidR="003F5FA4">
        <w:rPr>
          <w:rFonts w:ascii="Palatino Linotype" w:hAnsi="Palatino Linotype"/>
          <w:sz w:val="22"/>
          <w:szCs w:val="22"/>
        </w:rPr>
        <w:t xml:space="preserve">enero </w:t>
      </w:r>
      <w:r w:rsidR="00412FF5">
        <w:rPr>
          <w:rFonts w:ascii="Palatino Linotype" w:hAnsi="Palatino Linotype"/>
          <w:sz w:val="22"/>
          <w:szCs w:val="22"/>
        </w:rPr>
        <w:t>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DD1A49" w:rsidRPr="00091622" w:rsidRDefault="00F112F0"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793402" w:rsidRPr="00091622" w:rsidRDefault="00793402"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la Disposición Transitoria Dé</w:t>
      </w:r>
      <w:r w:rsidR="00494DA4" w:rsidRPr="00091622">
        <w:rPr>
          <w:rFonts w:ascii="Palatino Linotype" w:hAnsi="Palatino Linotype"/>
          <w:bCs/>
        </w:rPr>
        <w:t xml:space="preserve">cima Cuarta del COOTAD, señala: </w:t>
      </w:r>
      <w:r w:rsidRPr="00091622">
        <w:rPr>
          <w:rFonts w:ascii="Palatino Linotype" w:hAnsi="Palatino Linotype"/>
          <w:bCs/>
        </w:rPr>
        <w:t>“</w:t>
      </w:r>
      <w:r w:rsidRPr="00091622">
        <w:rPr>
          <w:rFonts w:ascii="Palatino Linotype" w:hAnsi="Palatino Linotype"/>
          <w:bCs/>
          <w:i/>
        </w:rPr>
        <w:t xml:space="preserve">(…) </w:t>
      </w:r>
      <w:r w:rsidRPr="0009162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91622">
        <w:rPr>
          <w:rFonts w:ascii="Palatino Linotype" w:hAnsi="Palatino Linotype"/>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lastRenderedPageBreak/>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3F5FA4" w:rsidRPr="007D3AA4">
        <w:rPr>
          <w:rFonts w:ascii="Palatino Linotype" w:eastAsia="Calibri" w:hAnsi="Palatino Linotype"/>
          <w:sz w:val="22"/>
          <w:szCs w:val="22"/>
          <w:lang w:eastAsia="en-US"/>
        </w:rPr>
        <w:t>la Mesa Institucional, reunida el 22 de octubre de 2015, en la Administración Zonal Q</w:t>
      </w:r>
      <w:r w:rsidR="003F5FA4">
        <w:rPr>
          <w:rFonts w:ascii="Palatino Linotype" w:eastAsia="Calibri" w:hAnsi="Palatino Linotype"/>
          <w:sz w:val="22"/>
          <w:szCs w:val="22"/>
          <w:lang w:eastAsia="en-US"/>
        </w:rPr>
        <w:t>uitumbe, integrada por: Julio Cé</w:t>
      </w:r>
      <w:r w:rsidR="003F5FA4" w:rsidRPr="007D3AA4">
        <w:rPr>
          <w:rFonts w:ascii="Palatino Linotype" w:eastAsia="Calibri" w:hAnsi="Palatino Linotype"/>
          <w:sz w:val="22"/>
          <w:szCs w:val="22"/>
          <w:lang w:eastAsia="en-US"/>
        </w:rPr>
        <w:t xml:space="preserve">sar Añasco, Administrador Zonal Quitumbe; Arq. Miguel Hidalgo, Coordinador UERB-Q (E); Arq. Alfonso Cevallos, Dirección de Gestión del Territorio Zonal Quitumbe; Dr. Patricio Endara, Dirección de Asesoría Jurídica Zonal Quitumbe; Arq. Edgar Flores, delegado de la Secretaría de Territorio, Hábitat y Vivienda; Arq. Víctor Aguilar, delegado de la  Dirección Metropolitana de Catastro; Ing. Marco </w:t>
      </w:r>
      <w:proofErr w:type="spellStart"/>
      <w:r w:rsidR="003F5FA4" w:rsidRPr="007D3AA4">
        <w:rPr>
          <w:rFonts w:ascii="Palatino Linotype" w:eastAsia="Calibri" w:hAnsi="Palatino Linotype"/>
          <w:sz w:val="22"/>
          <w:szCs w:val="22"/>
          <w:lang w:eastAsia="en-US"/>
        </w:rPr>
        <w:t>Manobanda</w:t>
      </w:r>
      <w:proofErr w:type="spellEnd"/>
      <w:r w:rsidR="003F5FA4" w:rsidRPr="007D3AA4">
        <w:rPr>
          <w:rFonts w:ascii="Palatino Linotype" w:eastAsia="Calibri" w:hAnsi="Palatino Linotype"/>
          <w:sz w:val="22"/>
          <w:szCs w:val="22"/>
          <w:lang w:eastAsia="en-US"/>
        </w:rPr>
        <w:t xml:space="preserve">, delegado de la Secretaría de Gestión de Riesgos; Lcda. </w:t>
      </w:r>
      <w:proofErr w:type="spellStart"/>
      <w:r w:rsidR="003F5FA4" w:rsidRPr="007D3AA4">
        <w:rPr>
          <w:rFonts w:ascii="Palatino Linotype" w:eastAsia="Calibri" w:hAnsi="Palatino Linotype"/>
          <w:sz w:val="22"/>
          <w:szCs w:val="22"/>
          <w:lang w:eastAsia="en-US"/>
        </w:rPr>
        <w:t>Gianyna</w:t>
      </w:r>
      <w:proofErr w:type="spellEnd"/>
      <w:r w:rsidR="003F5FA4" w:rsidRPr="007D3AA4">
        <w:rPr>
          <w:rFonts w:ascii="Palatino Linotype" w:eastAsia="Calibri" w:hAnsi="Palatino Linotype"/>
          <w:sz w:val="22"/>
          <w:szCs w:val="22"/>
          <w:lang w:eastAsia="en-US"/>
        </w:rPr>
        <w:t xml:space="preserve"> Rosero, Responsable Socio- Organizativo, de la Unidad Especial Regula Tu Barrio, </w:t>
      </w:r>
      <w:r w:rsidR="003F5FA4" w:rsidRPr="007D3AA4">
        <w:rPr>
          <w:rFonts w:ascii="Palatino Linotype" w:eastAsia="Calibri" w:hAnsi="Palatino Linotype"/>
          <w:iCs/>
          <w:sz w:val="22"/>
          <w:szCs w:val="22"/>
          <w:lang w:eastAsia="en-US"/>
        </w:rPr>
        <w:t>aprobaron el</w:t>
      </w:r>
      <w:r w:rsidR="003F5FA4" w:rsidRPr="007D3AA4">
        <w:rPr>
          <w:rFonts w:ascii="Palatino Linotype" w:eastAsia="Calibri" w:hAnsi="Palatino Linotype"/>
          <w:sz w:val="22"/>
          <w:szCs w:val="22"/>
          <w:lang w:eastAsia="en-US"/>
        </w:rPr>
        <w:t xml:space="preserve"> </w:t>
      </w:r>
      <w:r w:rsidR="003F5FA4" w:rsidRPr="007D3AA4">
        <w:rPr>
          <w:rFonts w:ascii="Palatino Linotype" w:hAnsi="Palatino Linotype"/>
          <w:sz w:val="22"/>
          <w:szCs w:val="22"/>
        </w:rPr>
        <w:t xml:space="preserve">Informe Socio Organizativo Legal y Técnico </w:t>
      </w:r>
      <w:r w:rsidR="003F5FA4" w:rsidRPr="007D3AA4">
        <w:rPr>
          <w:rFonts w:ascii="Palatino Linotype" w:eastAsia="Calibri" w:hAnsi="Palatino Linotype"/>
          <w:sz w:val="22"/>
          <w:szCs w:val="22"/>
          <w:lang w:eastAsia="en-US"/>
        </w:rPr>
        <w:t xml:space="preserve">No. 013-UERB-Q-SOLT-2015, de 16 de octubre de 2015 </w:t>
      </w:r>
      <w:r w:rsidR="003F5FA4" w:rsidRPr="007D3AA4">
        <w:rPr>
          <w:rFonts w:ascii="Palatino Linotype" w:hAnsi="Palatino Linotype"/>
          <w:sz w:val="22"/>
          <w:szCs w:val="22"/>
        </w:rPr>
        <w:t>habilitante de la Ordenanza de Reconocimiento del</w:t>
      </w:r>
      <w:r w:rsidR="003F5FA4" w:rsidRPr="007D3AA4">
        <w:rPr>
          <w:rFonts w:ascii="Palatino Linotype" w:hAnsi="Palatino Linotype"/>
          <w:bCs/>
          <w:sz w:val="22"/>
          <w:szCs w:val="22"/>
        </w:rPr>
        <w:t xml:space="preserve"> Asentamiento Humano de Hecho y Consolidado de Interés Social, denominado:</w:t>
      </w:r>
      <w:r w:rsidR="003F5FA4" w:rsidRPr="007D3AA4">
        <w:rPr>
          <w:rFonts w:ascii="Palatino Linotype" w:hAnsi="Palatino Linotype"/>
          <w:sz w:val="22"/>
          <w:szCs w:val="22"/>
        </w:rPr>
        <w:t xml:space="preserve"> Comité del Barrio “Nuestras Cumbres del Sur Occidente” (Etapa I)</w:t>
      </w:r>
      <w:r w:rsidR="003F5FA4">
        <w:rPr>
          <w:rFonts w:ascii="Palatino Linotype" w:hAnsi="Palatino Linotype"/>
          <w:sz w:val="22"/>
          <w:szCs w:val="22"/>
        </w:rPr>
        <w:t>,</w:t>
      </w:r>
      <w:r w:rsidR="003F5FA4" w:rsidRPr="007D3AA4">
        <w:rPr>
          <w:rFonts w:ascii="Palatino Linotype" w:hAnsi="Palatino Linotype"/>
          <w:sz w:val="22"/>
          <w:szCs w:val="22"/>
        </w:rPr>
        <w:t xml:space="preserve"> a favor de sus socios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B51E8" w:rsidRPr="00091622" w:rsidRDefault="005B51E8" w:rsidP="00E4288C">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3F5FA4" w:rsidRPr="007D3AA4" w:rsidRDefault="00495C11" w:rsidP="003F5FA4">
      <w:pPr>
        <w:spacing w:after="120" w:line="276" w:lineRule="auto"/>
        <w:contextualSpacing/>
        <w:jc w:val="center"/>
        <w:rPr>
          <w:rFonts w:ascii="Palatino Linotype" w:hAnsi="Palatino Linotype"/>
          <w:b/>
          <w:sz w:val="22"/>
          <w:szCs w:val="22"/>
        </w:rPr>
      </w:pPr>
      <w:r w:rsidRPr="00091622">
        <w:rPr>
          <w:rFonts w:ascii="Palatino Linotype" w:hAnsi="Palatino Linotype"/>
          <w:b/>
          <w:bCs/>
          <w:sz w:val="22"/>
          <w:szCs w:val="22"/>
        </w:rPr>
        <w:t xml:space="preserve">ORDENANZA </w:t>
      </w:r>
      <w:r w:rsidR="003F5FA4" w:rsidRPr="007D3AA4">
        <w:rPr>
          <w:rFonts w:ascii="Palatino Linotype" w:hAnsi="Palatino Linotype"/>
          <w:b/>
          <w:sz w:val="22"/>
          <w:szCs w:val="22"/>
        </w:rPr>
        <w:t xml:space="preserve">QUE RECONOCE Y APRUEBA </w:t>
      </w:r>
      <w:r w:rsidR="003F5FA4" w:rsidRPr="007D3AA4">
        <w:rPr>
          <w:rFonts w:ascii="Palatino Linotype" w:hAnsi="Palatino Linotype"/>
          <w:b/>
          <w:bCs/>
          <w:sz w:val="22"/>
          <w:szCs w:val="22"/>
        </w:rPr>
        <w:t xml:space="preserve">EL FRACCIONAMIENTO DEL PREDIO </w:t>
      </w:r>
      <w:r w:rsidR="003F5FA4">
        <w:rPr>
          <w:rFonts w:ascii="Palatino Linotype" w:hAnsi="Palatino Linotype"/>
          <w:b/>
          <w:bCs/>
          <w:sz w:val="22"/>
          <w:szCs w:val="22"/>
        </w:rPr>
        <w:t xml:space="preserve">No. </w:t>
      </w:r>
      <w:r w:rsidR="003F5FA4" w:rsidRPr="007D3AA4">
        <w:rPr>
          <w:rFonts w:ascii="Palatino Linotype" w:hAnsi="Palatino Linotype"/>
          <w:b/>
          <w:sz w:val="22"/>
          <w:szCs w:val="22"/>
        </w:rPr>
        <w:t>5105999</w:t>
      </w:r>
      <w:r w:rsidR="003F5FA4">
        <w:rPr>
          <w:rFonts w:ascii="Palatino Linotype" w:hAnsi="Palatino Linotype"/>
          <w:b/>
          <w:sz w:val="22"/>
          <w:szCs w:val="22"/>
        </w:rPr>
        <w:t>,</w:t>
      </w:r>
      <w:r w:rsidR="003F5FA4" w:rsidRPr="007D3AA4">
        <w:rPr>
          <w:rFonts w:ascii="Palatino Linotype" w:hAnsi="Palatino Linotype"/>
          <w:b/>
          <w:bCs/>
          <w:sz w:val="22"/>
          <w:szCs w:val="22"/>
        </w:rPr>
        <w:t xml:space="preserve"> SOBRE EL QUE SE ENCUENTRA</w:t>
      </w:r>
      <w:r w:rsidR="003F5FA4" w:rsidRPr="007D3AA4">
        <w:rPr>
          <w:rFonts w:ascii="Palatino Linotype" w:hAnsi="Palatino Linotype"/>
          <w:b/>
          <w:sz w:val="22"/>
          <w:szCs w:val="22"/>
        </w:rPr>
        <w:t xml:space="preserve"> EL ASENTAMIENTO HUMANO DE HECHO Y CONSOLIDADO DE INTERÉS SOCIAL DENOMINADO, COMITÉ DEL BARRIO "NUESTRAS CUMBRES DEL SUR OCCIDENTE " (ETAPA I)</w:t>
      </w:r>
      <w:r w:rsidR="003F5FA4">
        <w:rPr>
          <w:rFonts w:ascii="Palatino Linotype" w:hAnsi="Palatino Linotype"/>
          <w:b/>
          <w:sz w:val="22"/>
          <w:szCs w:val="22"/>
        </w:rPr>
        <w:t>,</w:t>
      </w:r>
    </w:p>
    <w:p w:rsidR="003F5FA4" w:rsidRPr="007D3AA4" w:rsidRDefault="003F5FA4" w:rsidP="003F5FA4">
      <w:pPr>
        <w:spacing w:after="120" w:line="276" w:lineRule="auto"/>
        <w:contextualSpacing/>
        <w:jc w:val="center"/>
        <w:rPr>
          <w:rFonts w:ascii="Palatino Linotype" w:hAnsi="Palatino Linotype"/>
          <w:b/>
          <w:sz w:val="22"/>
          <w:szCs w:val="22"/>
        </w:rPr>
      </w:pPr>
      <w:r w:rsidRPr="007D3AA4">
        <w:rPr>
          <w:rFonts w:ascii="Palatino Linotype" w:hAnsi="Palatino Linotype"/>
          <w:b/>
          <w:sz w:val="22"/>
          <w:szCs w:val="22"/>
        </w:rPr>
        <w:t>A FAVOR DE SUS SOCIOS</w:t>
      </w:r>
    </w:p>
    <w:p w:rsidR="003F5FA4" w:rsidRPr="007D3AA4" w:rsidRDefault="003F5FA4" w:rsidP="003F5FA4">
      <w:pPr>
        <w:pStyle w:val="Ttulo7"/>
        <w:spacing w:before="0" w:after="120" w:line="276" w:lineRule="auto"/>
        <w:jc w:val="both"/>
        <w:rPr>
          <w:rFonts w:ascii="Palatino Linotype" w:hAnsi="Palatino Linotype"/>
          <w:sz w:val="22"/>
          <w:szCs w:val="22"/>
        </w:rPr>
      </w:pPr>
      <w:r w:rsidRPr="007D3AA4">
        <w:rPr>
          <w:rFonts w:ascii="Palatino Linotype" w:hAnsi="Palatino Linotype"/>
          <w:b/>
          <w:bCs/>
          <w:sz w:val="22"/>
          <w:szCs w:val="22"/>
        </w:rPr>
        <w:t xml:space="preserve">Artículo 1.- De los planos y documentos </w:t>
      </w:r>
      <w:proofErr w:type="gramStart"/>
      <w:r w:rsidRPr="007D3AA4">
        <w:rPr>
          <w:rFonts w:ascii="Palatino Linotype" w:hAnsi="Palatino Linotype"/>
          <w:b/>
          <w:bCs/>
          <w:sz w:val="22"/>
          <w:szCs w:val="22"/>
        </w:rPr>
        <w:t>presentados.-</w:t>
      </w:r>
      <w:proofErr w:type="gramEnd"/>
      <w:r w:rsidRPr="007D3AA4">
        <w:rPr>
          <w:rFonts w:ascii="Palatino Linotype" w:hAnsi="Palatino Linotype"/>
          <w:b/>
          <w:bCs/>
          <w:sz w:val="22"/>
          <w:szCs w:val="22"/>
        </w:rPr>
        <w:t xml:space="preserve"> </w:t>
      </w:r>
      <w:r w:rsidRPr="007D3AA4">
        <w:rPr>
          <w:rFonts w:ascii="Palatino Linotype" w:hAnsi="Palatino Linotype"/>
          <w:sz w:val="22"/>
          <w:szCs w:val="22"/>
        </w:rPr>
        <w:t>Los planos y documentos presentados son de exclusiva responsabilidad del proyectista y de los socios del Asentamiento Humano de Hecho y Consolidado de Interés Social denominado Comité del Barrio “Nuestras Cumbres del Sur Occidente” (Etapa I)</w:t>
      </w:r>
      <w:r>
        <w:rPr>
          <w:rFonts w:ascii="Palatino Linotype" w:hAnsi="Palatino Linotype"/>
          <w:sz w:val="22"/>
          <w:szCs w:val="22"/>
        </w:rPr>
        <w:t>,</w:t>
      </w:r>
      <w:r w:rsidRPr="007D3AA4">
        <w:rPr>
          <w:rFonts w:ascii="Palatino Linotype" w:hAnsi="Palatino Linotype"/>
          <w:sz w:val="22"/>
          <w:szCs w:val="22"/>
        </w:rPr>
        <w:t xml:space="preserve"> ubicado en la parroquia de </w:t>
      </w:r>
      <w:proofErr w:type="spellStart"/>
      <w:r w:rsidRPr="007D3AA4">
        <w:rPr>
          <w:rFonts w:ascii="Palatino Linotype" w:hAnsi="Palatino Linotype"/>
          <w:sz w:val="22"/>
          <w:szCs w:val="22"/>
        </w:rPr>
        <w:t>Chillogallo</w:t>
      </w:r>
      <w:proofErr w:type="spellEnd"/>
      <w:r>
        <w:rPr>
          <w:rFonts w:ascii="Palatino Linotype" w:hAnsi="Palatino Linotype"/>
          <w:sz w:val="22"/>
          <w:szCs w:val="22"/>
        </w:rPr>
        <w:t>,</w:t>
      </w:r>
      <w:r w:rsidRPr="007D3AA4">
        <w:rPr>
          <w:rFonts w:ascii="Palatino Linotype" w:hAnsi="Palatino Linotype"/>
          <w:sz w:val="22"/>
          <w:szCs w:val="22"/>
        </w:rPr>
        <w:t xml:space="preserve"> </w:t>
      </w:r>
      <w:r w:rsidRPr="007D3AA4">
        <w:rPr>
          <w:rFonts w:ascii="Palatino Linotype" w:hAnsi="Palatino Linotype"/>
          <w:bCs/>
          <w:sz w:val="22"/>
          <w:szCs w:val="22"/>
        </w:rPr>
        <w:t xml:space="preserve">sin </w:t>
      </w:r>
      <w:r w:rsidRPr="007D3AA4">
        <w:rPr>
          <w:rFonts w:ascii="Palatino Linotype" w:hAnsi="Palatino Linotype"/>
          <w:sz w:val="22"/>
          <w:szCs w:val="22"/>
        </w:rPr>
        <w:t>perjuicio de la responsabilidad de quienes revisaron los planos y los documentos legales, excepto que hayan sido inducidos a engaño.</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propietarios del predio.  </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7D3AA4">
        <w:rPr>
          <w:rFonts w:ascii="Palatino Linotype" w:hAnsi="Palatino Linotype"/>
          <w:sz w:val="22"/>
          <w:szCs w:val="22"/>
        </w:rPr>
        <w:t>rdenanza.</w:t>
      </w:r>
    </w:p>
    <w:p w:rsidR="003F5FA4" w:rsidRPr="007D3AA4" w:rsidRDefault="003F5FA4" w:rsidP="003F5FA4">
      <w:pPr>
        <w:spacing w:after="120" w:line="276" w:lineRule="auto"/>
        <w:jc w:val="both"/>
        <w:rPr>
          <w:rFonts w:ascii="Palatino Linotype" w:eastAsia="Calibri" w:hAnsi="Palatino Linotype"/>
          <w:sz w:val="22"/>
          <w:szCs w:val="22"/>
          <w:lang w:val="es-EC" w:eastAsia="en-US"/>
        </w:rPr>
      </w:pPr>
      <w:r w:rsidRPr="007D3AA4">
        <w:rPr>
          <w:rFonts w:ascii="Palatino Linotype" w:hAnsi="Palatino Linotype"/>
          <w:sz w:val="22"/>
          <w:szCs w:val="22"/>
        </w:rPr>
        <w:t>Los socios del Asentamiento Humano de hecho y Consolidado de Interés</w:t>
      </w:r>
      <w:r>
        <w:rPr>
          <w:rFonts w:ascii="Palatino Linotype" w:hAnsi="Palatino Linotype"/>
          <w:sz w:val="22"/>
          <w:szCs w:val="22"/>
        </w:rPr>
        <w:t xml:space="preserve"> </w:t>
      </w:r>
      <w:proofErr w:type="gramStart"/>
      <w:r w:rsidRPr="007D3AA4">
        <w:rPr>
          <w:rFonts w:ascii="Palatino Linotype" w:hAnsi="Palatino Linotype"/>
          <w:sz w:val="22"/>
          <w:szCs w:val="22"/>
        </w:rPr>
        <w:t xml:space="preserve">Social  </w:t>
      </w:r>
      <w:r>
        <w:rPr>
          <w:rFonts w:ascii="Palatino Linotype" w:hAnsi="Palatino Linotype"/>
          <w:sz w:val="22"/>
          <w:szCs w:val="22"/>
        </w:rPr>
        <w:t>d</w:t>
      </w:r>
      <w:r w:rsidRPr="007D3AA4">
        <w:rPr>
          <w:rFonts w:ascii="Palatino Linotype" w:hAnsi="Palatino Linotype"/>
          <w:sz w:val="22"/>
          <w:szCs w:val="22"/>
        </w:rPr>
        <w:t>enominado</w:t>
      </w:r>
      <w:proofErr w:type="gramEnd"/>
      <w:r w:rsidRPr="007D3AA4">
        <w:rPr>
          <w:rFonts w:ascii="Palatino Linotype" w:hAnsi="Palatino Linotype"/>
          <w:sz w:val="22"/>
          <w:szCs w:val="22"/>
        </w:rPr>
        <w:t xml:space="preserve"> Comité del Barrio “Nuestras Cumbres del Sur Occidente” (Etapa I) </w:t>
      </w:r>
      <w:r w:rsidRPr="007D3AA4">
        <w:rPr>
          <w:rFonts w:ascii="Palatino Linotype" w:eastAsia="Calibri" w:hAnsi="Palatino Linotype"/>
          <w:sz w:val="22"/>
          <w:szCs w:val="22"/>
          <w:lang w:val="es-EC" w:eastAsia="en-US"/>
        </w:rPr>
        <w:t>se comprometen a respetar las características de los lotes establecidas en el plano y en este instrumento; por tanto, no podrán fraccionarlos o dividirlos.</w:t>
      </w:r>
    </w:p>
    <w:p w:rsidR="003F5FA4" w:rsidRPr="007D3AA4" w:rsidRDefault="003F5FA4" w:rsidP="003F5FA4">
      <w:pPr>
        <w:spacing w:after="120" w:line="276" w:lineRule="auto"/>
        <w:jc w:val="both"/>
        <w:rPr>
          <w:rFonts w:ascii="Palatino Linotype" w:eastAsia="Calibri" w:hAnsi="Palatino Linotype"/>
          <w:sz w:val="22"/>
          <w:szCs w:val="22"/>
          <w:lang w:val="es-EC" w:eastAsia="en-US"/>
        </w:rPr>
      </w:pPr>
      <w:r w:rsidRPr="007D3AA4">
        <w:rPr>
          <w:rFonts w:ascii="Palatino Linotype" w:eastAsia="Calibri" w:hAnsi="Palatino Linotype"/>
          <w:sz w:val="22"/>
          <w:szCs w:val="22"/>
          <w:lang w:val="es-EC" w:eastAsia="en-US"/>
        </w:rPr>
        <w:t xml:space="preserve">El incumplimiento </w:t>
      </w:r>
      <w:r>
        <w:rPr>
          <w:rFonts w:ascii="Palatino Linotype" w:eastAsia="Calibri" w:hAnsi="Palatino Linotype"/>
          <w:sz w:val="22"/>
          <w:szCs w:val="22"/>
          <w:lang w:val="es-EC" w:eastAsia="en-US"/>
        </w:rPr>
        <w:t>de lo dispuesto en la presente o</w:t>
      </w:r>
      <w:r w:rsidRPr="007D3AA4">
        <w:rPr>
          <w:rFonts w:ascii="Palatino Linotype" w:eastAsia="Calibri" w:hAnsi="Palatino Linotype"/>
          <w:sz w:val="22"/>
          <w:szCs w:val="22"/>
          <w:lang w:val="es-EC" w:eastAsia="en-US"/>
        </w:rPr>
        <w:t>rdenanza y en la normativa metropolitana y nacional vigente al respecto, dará lugar a la imposición de las sanciones correspondientes.</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Por las condiciones de asentamiento humano de hecho y consolidado, se lo aprueba considerándolo de interés social.</w:t>
      </w:r>
    </w:p>
    <w:p w:rsidR="003F5FA4" w:rsidRPr="007D3AA4" w:rsidRDefault="003F5FA4" w:rsidP="003F5FA4">
      <w:pPr>
        <w:spacing w:after="120" w:line="276" w:lineRule="auto"/>
        <w:jc w:val="both"/>
        <w:rPr>
          <w:rFonts w:ascii="Palatino Linotype" w:hAnsi="Palatino Linotype"/>
          <w:b/>
          <w:bCs/>
          <w:sz w:val="22"/>
          <w:szCs w:val="22"/>
        </w:rPr>
      </w:pPr>
      <w:r w:rsidRPr="007D3AA4">
        <w:rPr>
          <w:rFonts w:ascii="Palatino Linotype" w:hAnsi="Palatino Linotype"/>
          <w:b/>
          <w:bCs/>
          <w:sz w:val="22"/>
          <w:szCs w:val="22"/>
        </w:rPr>
        <w:t xml:space="preserve">Artículo 2.- Especificaciones </w:t>
      </w:r>
      <w:proofErr w:type="gramStart"/>
      <w:r w:rsidRPr="007D3AA4">
        <w:rPr>
          <w:rFonts w:ascii="Palatino Linotype" w:hAnsi="Palatino Linotype"/>
          <w:b/>
          <w:bCs/>
          <w:sz w:val="22"/>
          <w:szCs w:val="22"/>
        </w:rPr>
        <w:t>técnicas.-</w:t>
      </w:r>
      <w:proofErr w:type="gramEnd"/>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4"/>
        <w:gridCol w:w="5320"/>
      </w:tblGrid>
      <w:tr w:rsidR="003F5FA4" w:rsidRPr="007D3AA4" w:rsidTr="003F5FA4">
        <w:trPr>
          <w:trHeight w:val="300"/>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val="es-EC" w:eastAsia="es-EC"/>
              </w:rPr>
              <w:t>Número de predio:</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sz w:val="22"/>
                <w:szCs w:val="22"/>
              </w:rPr>
              <w:t>5105999</w:t>
            </w:r>
          </w:p>
        </w:tc>
      </w:tr>
      <w:tr w:rsidR="003F5FA4" w:rsidRPr="007D3AA4" w:rsidTr="003F5FA4">
        <w:trPr>
          <w:trHeight w:val="300"/>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Zonificación:                                             </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A7 (A50002-1)  /  D3 (D203-80)</w:t>
            </w:r>
          </w:p>
        </w:tc>
      </w:tr>
      <w:tr w:rsidR="003F5FA4" w:rsidRPr="007D3AA4" w:rsidTr="003F5FA4">
        <w:trPr>
          <w:trHeight w:val="300"/>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Lote mínimo:                                               </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50</w:t>
            </w:r>
            <w:r>
              <w:rPr>
                <w:rFonts w:ascii="Palatino Linotype" w:hAnsi="Palatino Linotype"/>
                <w:color w:val="000000"/>
                <w:sz w:val="22"/>
                <w:szCs w:val="22"/>
                <w:lang w:val="es-EC" w:eastAsia="es-EC"/>
              </w:rPr>
              <w:t>.</w:t>
            </w:r>
            <w:r w:rsidRPr="007D3AA4">
              <w:rPr>
                <w:rFonts w:ascii="Palatino Linotype" w:hAnsi="Palatino Linotype"/>
                <w:color w:val="000000"/>
                <w:sz w:val="22"/>
                <w:szCs w:val="22"/>
                <w:lang w:val="es-EC" w:eastAsia="es-EC"/>
              </w:rPr>
              <w:t xml:space="preserve">000 </w:t>
            </w:r>
            <w:r w:rsidRPr="007D3AA4">
              <w:rPr>
                <w:rFonts w:ascii="Palatino Linotype" w:hAnsi="Palatino Linotype"/>
                <w:color w:val="000000"/>
                <w:sz w:val="22"/>
                <w:szCs w:val="22"/>
                <w:lang w:eastAsia="es-EC"/>
              </w:rPr>
              <w:t>m</w:t>
            </w:r>
            <w:r w:rsidRPr="007D3AA4">
              <w:rPr>
                <w:rFonts w:ascii="Palatino Linotype" w:hAnsi="Palatino Linotype"/>
                <w:color w:val="000000"/>
                <w:sz w:val="22"/>
                <w:szCs w:val="22"/>
                <w:vertAlign w:val="superscript"/>
                <w:lang w:eastAsia="es-EC"/>
              </w:rPr>
              <w:t>2</w:t>
            </w:r>
            <w:r w:rsidRPr="007D3AA4">
              <w:rPr>
                <w:rFonts w:ascii="Palatino Linotype" w:hAnsi="Palatino Linotype"/>
                <w:color w:val="000000"/>
                <w:sz w:val="22"/>
                <w:szCs w:val="22"/>
                <w:lang w:val="es-EC" w:eastAsia="es-EC"/>
              </w:rPr>
              <w:t xml:space="preserve">  /  200 </w:t>
            </w:r>
            <w:r w:rsidRPr="007D3AA4">
              <w:rPr>
                <w:rFonts w:ascii="Palatino Linotype" w:hAnsi="Palatino Linotype"/>
                <w:color w:val="000000"/>
                <w:sz w:val="22"/>
                <w:szCs w:val="22"/>
                <w:lang w:eastAsia="es-EC"/>
              </w:rPr>
              <w:t>m</w:t>
            </w:r>
            <w:r w:rsidRPr="007D3AA4">
              <w:rPr>
                <w:rFonts w:ascii="Palatino Linotype" w:hAnsi="Palatino Linotype"/>
                <w:color w:val="000000"/>
                <w:sz w:val="22"/>
                <w:szCs w:val="22"/>
                <w:vertAlign w:val="superscript"/>
                <w:lang w:eastAsia="es-EC"/>
              </w:rPr>
              <w:t>2</w:t>
            </w:r>
            <w:r w:rsidRPr="007D3AA4">
              <w:rPr>
                <w:rFonts w:ascii="Palatino Linotype" w:hAnsi="Palatino Linotype"/>
                <w:color w:val="000000"/>
                <w:sz w:val="22"/>
                <w:szCs w:val="22"/>
                <w:lang w:val="es-EC" w:eastAsia="es-EC"/>
              </w:rPr>
              <w:t xml:space="preserve"> </w:t>
            </w:r>
          </w:p>
        </w:tc>
      </w:tr>
      <w:tr w:rsidR="003F5FA4" w:rsidRPr="007D3AA4" w:rsidTr="003F5FA4">
        <w:trPr>
          <w:trHeight w:val="300"/>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Pr>
                <w:rFonts w:ascii="Palatino Linotype" w:hAnsi="Palatino Linotype"/>
                <w:b/>
                <w:color w:val="000000"/>
                <w:sz w:val="22"/>
                <w:szCs w:val="22"/>
                <w:lang w:eastAsia="es-EC"/>
              </w:rPr>
              <w:t>Forma de o</w:t>
            </w:r>
            <w:r w:rsidRPr="003F5FA4">
              <w:rPr>
                <w:rFonts w:ascii="Palatino Linotype" w:hAnsi="Palatino Linotype"/>
                <w:b/>
                <w:color w:val="000000"/>
                <w:sz w:val="22"/>
                <w:szCs w:val="22"/>
                <w:lang w:eastAsia="es-EC"/>
              </w:rPr>
              <w:t>cupación del suelo</w:t>
            </w:r>
            <w:r>
              <w:rPr>
                <w:rFonts w:ascii="Palatino Linotype" w:hAnsi="Palatino Linotype"/>
                <w:b/>
                <w:color w:val="000000"/>
                <w:sz w:val="22"/>
                <w:szCs w:val="22"/>
                <w:lang w:eastAsia="es-EC"/>
              </w:rPr>
              <w:t>:</w:t>
            </w:r>
            <w:r w:rsidRPr="003F5FA4">
              <w:rPr>
                <w:rFonts w:ascii="Palatino Linotype" w:hAnsi="Palatino Linotype"/>
                <w:b/>
                <w:color w:val="000000"/>
                <w:sz w:val="22"/>
                <w:szCs w:val="22"/>
                <w:lang w:eastAsia="es-EC"/>
              </w:rPr>
              <w:t xml:space="preserve">                 </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(A) Aislada  /  (D) Sobre línea de fábrica</w:t>
            </w:r>
          </w:p>
        </w:tc>
      </w:tr>
      <w:tr w:rsidR="003F5FA4" w:rsidRPr="007D3AA4" w:rsidTr="003F5FA4">
        <w:trPr>
          <w:trHeight w:val="402"/>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Uso principal del suelo:                         </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eastAsia="es-EC"/>
              </w:rPr>
            </w:pPr>
            <w:r w:rsidRPr="007D3AA4">
              <w:rPr>
                <w:rFonts w:ascii="Palatino Linotype" w:hAnsi="Palatino Linotype"/>
                <w:color w:val="000000"/>
                <w:sz w:val="22"/>
                <w:szCs w:val="22"/>
                <w:lang w:eastAsia="es-EC"/>
              </w:rPr>
              <w:t>(PE/CPN) Protección ecológica / Conservación del Patrimonio Natural  /  (RR1) Residencial Rural 1</w:t>
            </w:r>
          </w:p>
        </w:tc>
      </w:tr>
      <w:tr w:rsidR="003F5FA4" w:rsidRPr="007D3AA4" w:rsidTr="003F5FA4">
        <w:trPr>
          <w:trHeight w:val="300"/>
        </w:trPr>
        <w:tc>
          <w:tcPr>
            <w:tcW w:w="3484" w:type="dxa"/>
            <w:shd w:val="clear" w:color="auto" w:fill="auto"/>
            <w:vAlign w:val="center"/>
            <w:hideMark/>
          </w:tcPr>
          <w:p w:rsidR="003F5FA4" w:rsidRPr="003F5FA4" w:rsidRDefault="003F5FA4" w:rsidP="003F5FA4">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Clasificación del </w:t>
            </w:r>
            <w:r>
              <w:rPr>
                <w:rFonts w:ascii="Palatino Linotype" w:hAnsi="Palatino Linotype"/>
                <w:b/>
                <w:color w:val="000000"/>
                <w:sz w:val="22"/>
                <w:szCs w:val="22"/>
                <w:lang w:eastAsia="es-EC"/>
              </w:rPr>
              <w:t>s</w:t>
            </w:r>
            <w:r w:rsidRPr="003F5FA4">
              <w:rPr>
                <w:rFonts w:ascii="Palatino Linotype" w:hAnsi="Palatino Linotype"/>
                <w:b/>
                <w:color w:val="000000"/>
                <w:sz w:val="22"/>
                <w:szCs w:val="22"/>
                <w:lang w:eastAsia="es-EC"/>
              </w:rPr>
              <w:t>uelo:</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SRU (Suelo Rural)</w:t>
            </w:r>
          </w:p>
        </w:tc>
      </w:tr>
      <w:tr w:rsidR="003F5FA4" w:rsidRPr="007D3AA4" w:rsidTr="003F5FA4">
        <w:trPr>
          <w:trHeight w:val="300"/>
        </w:trPr>
        <w:tc>
          <w:tcPr>
            <w:tcW w:w="3484" w:type="dxa"/>
            <w:shd w:val="clear" w:color="auto" w:fill="auto"/>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Número de lotes:</w:t>
            </w:r>
          </w:p>
        </w:tc>
        <w:tc>
          <w:tcPr>
            <w:tcW w:w="5320" w:type="dxa"/>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68</w:t>
            </w:r>
          </w:p>
        </w:tc>
      </w:tr>
      <w:tr w:rsidR="003F5FA4" w:rsidRPr="007D3AA4" w:rsidTr="003F5FA4">
        <w:trPr>
          <w:trHeight w:val="360"/>
        </w:trPr>
        <w:tc>
          <w:tcPr>
            <w:tcW w:w="3484" w:type="dxa"/>
            <w:shd w:val="clear" w:color="000000" w:fill="FFFFFF"/>
            <w:vAlign w:val="center"/>
            <w:hideMark/>
          </w:tcPr>
          <w:p w:rsidR="003F5FA4" w:rsidRPr="003F5FA4" w:rsidRDefault="003F5FA4" w:rsidP="003F5FA4">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Área </w:t>
            </w:r>
            <w:r>
              <w:rPr>
                <w:rFonts w:ascii="Palatino Linotype" w:hAnsi="Palatino Linotype"/>
                <w:b/>
                <w:color w:val="000000"/>
                <w:sz w:val="22"/>
                <w:szCs w:val="22"/>
                <w:lang w:eastAsia="es-EC"/>
              </w:rPr>
              <w:t>ú</w:t>
            </w:r>
            <w:r w:rsidRPr="003F5FA4">
              <w:rPr>
                <w:rFonts w:ascii="Palatino Linotype" w:hAnsi="Palatino Linotype"/>
                <w:b/>
                <w:color w:val="000000"/>
                <w:sz w:val="22"/>
                <w:szCs w:val="22"/>
                <w:lang w:eastAsia="es-EC"/>
              </w:rPr>
              <w:t xml:space="preserve">til de </w:t>
            </w:r>
            <w:r>
              <w:rPr>
                <w:rFonts w:ascii="Palatino Linotype" w:hAnsi="Palatino Linotype"/>
                <w:b/>
                <w:color w:val="000000"/>
                <w:sz w:val="22"/>
                <w:szCs w:val="22"/>
                <w:lang w:eastAsia="es-EC"/>
              </w:rPr>
              <w:t>l</w:t>
            </w:r>
            <w:r w:rsidRPr="003F5FA4">
              <w:rPr>
                <w:rFonts w:ascii="Palatino Linotype" w:hAnsi="Palatino Linotype"/>
                <w:b/>
                <w:color w:val="000000"/>
                <w:sz w:val="22"/>
                <w:szCs w:val="22"/>
                <w:lang w:eastAsia="es-EC"/>
              </w:rPr>
              <w:t xml:space="preserve">otes: </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eastAsia="es-EC"/>
              </w:rPr>
              <w:t>9.381,11 m</w:t>
            </w:r>
            <w:r w:rsidRPr="007D3AA4">
              <w:rPr>
                <w:rFonts w:ascii="Palatino Linotype" w:hAnsi="Palatino Linotype"/>
                <w:color w:val="000000"/>
                <w:sz w:val="22"/>
                <w:szCs w:val="22"/>
                <w:vertAlign w:val="superscript"/>
                <w:lang w:eastAsia="es-EC"/>
              </w:rPr>
              <w:t>2</w:t>
            </w:r>
          </w:p>
        </w:tc>
      </w:tr>
      <w:tr w:rsidR="003F5FA4" w:rsidRPr="007D3AA4" w:rsidTr="003F5FA4">
        <w:trPr>
          <w:trHeight w:val="360"/>
        </w:trPr>
        <w:tc>
          <w:tcPr>
            <w:tcW w:w="3484" w:type="dxa"/>
            <w:shd w:val="clear" w:color="000000" w:fill="FFFFFF"/>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Área de </w:t>
            </w:r>
            <w:r w:rsidRPr="003F5FA4">
              <w:rPr>
                <w:rFonts w:ascii="Palatino Linotype" w:hAnsi="Palatino Linotype"/>
                <w:b/>
                <w:color w:val="000000"/>
                <w:sz w:val="22"/>
                <w:szCs w:val="22"/>
                <w:lang w:eastAsia="es-EC"/>
              </w:rPr>
              <w:t xml:space="preserve">vías y pasajes: </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1.045,38 m</w:t>
            </w:r>
            <w:r w:rsidRPr="007D3AA4">
              <w:rPr>
                <w:rFonts w:ascii="Palatino Linotype" w:hAnsi="Palatino Linotype"/>
                <w:color w:val="000000"/>
                <w:sz w:val="22"/>
                <w:szCs w:val="22"/>
                <w:vertAlign w:val="superscript"/>
                <w:lang w:val="es-EC" w:eastAsia="es-EC"/>
              </w:rPr>
              <w:t>2</w:t>
            </w:r>
          </w:p>
        </w:tc>
      </w:tr>
      <w:tr w:rsidR="003F5FA4" w:rsidRPr="007D3AA4" w:rsidTr="003F5FA4">
        <w:trPr>
          <w:trHeight w:val="360"/>
        </w:trPr>
        <w:tc>
          <w:tcPr>
            <w:tcW w:w="3484" w:type="dxa"/>
            <w:shd w:val="clear" w:color="000000" w:fill="FFFFFF"/>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Área </w:t>
            </w:r>
            <w:r w:rsidRPr="003F5FA4">
              <w:rPr>
                <w:rFonts w:ascii="Palatino Linotype" w:hAnsi="Palatino Linotype"/>
                <w:b/>
                <w:color w:val="000000"/>
                <w:sz w:val="22"/>
                <w:szCs w:val="22"/>
                <w:lang w:eastAsia="es-EC"/>
              </w:rPr>
              <w:t xml:space="preserve">verde y comunal </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3.244,83 m</w:t>
            </w:r>
            <w:r w:rsidRPr="007D3AA4">
              <w:rPr>
                <w:rFonts w:ascii="Palatino Linotype" w:hAnsi="Palatino Linotype"/>
                <w:color w:val="000000"/>
                <w:sz w:val="22"/>
                <w:szCs w:val="22"/>
                <w:vertAlign w:val="superscript"/>
                <w:lang w:val="es-EC" w:eastAsia="es-EC"/>
              </w:rPr>
              <w:t>2</w:t>
            </w:r>
          </w:p>
        </w:tc>
      </w:tr>
      <w:tr w:rsidR="003F5FA4" w:rsidRPr="007D3AA4" w:rsidTr="003F5FA4">
        <w:trPr>
          <w:trHeight w:val="600"/>
        </w:trPr>
        <w:tc>
          <w:tcPr>
            <w:tcW w:w="3484" w:type="dxa"/>
            <w:shd w:val="clear" w:color="000000" w:fill="FFFFFF"/>
            <w:vAlign w:val="center"/>
            <w:hideMark/>
          </w:tcPr>
          <w:p w:rsidR="003F5FA4" w:rsidRPr="003F5FA4" w:rsidRDefault="003F5FA4" w:rsidP="003F5FA4">
            <w:pPr>
              <w:spacing w:after="120" w:line="276" w:lineRule="auto"/>
              <w:jc w:val="both"/>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Área de </w:t>
            </w:r>
            <w:r w:rsidRPr="003F5FA4">
              <w:rPr>
                <w:rFonts w:ascii="Palatino Linotype" w:hAnsi="Palatino Linotype"/>
                <w:b/>
                <w:color w:val="000000"/>
                <w:sz w:val="22"/>
                <w:szCs w:val="22"/>
                <w:lang w:eastAsia="es-EC"/>
              </w:rPr>
              <w:t>protección por red de alta tensión en lotes</w:t>
            </w:r>
            <w:r>
              <w:rPr>
                <w:rFonts w:ascii="Palatino Linotype" w:hAnsi="Palatino Linotype"/>
                <w:b/>
                <w:color w:val="000000"/>
                <w:sz w:val="22"/>
                <w:szCs w:val="22"/>
                <w:lang w:eastAsia="es-EC"/>
              </w:rPr>
              <w:t>:</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eastAsia="es-EC"/>
              </w:rPr>
              <w:t xml:space="preserve">696,08 </w:t>
            </w:r>
            <w:r w:rsidRPr="007D3AA4">
              <w:rPr>
                <w:rFonts w:ascii="Palatino Linotype" w:hAnsi="Palatino Linotype"/>
                <w:color w:val="000000"/>
                <w:sz w:val="22"/>
                <w:szCs w:val="22"/>
                <w:lang w:val="es-EC" w:eastAsia="es-EC"/>
              </w:rPr>
              <w:t>m</w:t>
            </w:r>
            <w:r w:rsidRPr="007D3AA4">
              <w:rPr>
                <w:rFonts w:ascii="Palatino Linotype" w:hAnsi="Palatino Linotype"/>
                <w:color w:val="000000"/>
                <w:sz w:val="22"/>
                <w:szCs w:val="22"/>
                <w:vertAlign w:val="superscript"/>
                <w:lang w:val="es-EC" w:eastAsia="es-EC"/>
              </w:rPr>
              <w:t xml:space="preserve">2 </w:t>
            </w:r>
          </w:p>
        </w:tc>
      </w:tr>
      <w:tr w:rsidR="003F5FA4" w:rsidRPr="007D3AA4" w:rsidTr="003F5FA4">
        <w:trPr>
          <w:trHeight w:val="600"/>
        </w:trPr>
        <w:tc>
          <w:tcPr>
            <w:tcW w:w="3484" w:type="dxa"/>
            <w:shd w:val="clear" w:color="000000" w:fill="FFFFFF"/>
            <w:vAlign w:val="center"/>
            <w:hideMark/>
          </w:tcPr>
          <w:p w:rsidR="003F5FA4" w:rsidRPr="003F5FA4" w:rsidRDefault="003F5FA4" w:rsidP="003F5FA4">
            <w:pPr>
              <w:spacing w:after="120" w:line="276" w:lineRule="auto"/>
              <w:jc w:val="both"/>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t xml:space="preserve">Área </w:t>
            </w:r>
            <w:r w:rsidRPr="003F5FA4">
              <w:rPr>
                <w:rFonts w:ascii="Palatino Linotype" w:hAnsi="Palatino Linotype"/>
                <w:b/>
                <w:color w:val="000000"/>
                <w:sz w:val="22"/>
                <w:szCs w:val="22"/>
                <w:lang w:eastAsia="es-EC"/>
              </w:rPr>
              <w:t>de protec</w:t>
            </w:r>
            <w:r>
              <w:rPr>
                <w:rFonts w:ascii="Palatino Linotype" w:hAnsi="Palatino Linotype"/>
                <w:b/>
                <w:color w:val="000000"/>
                <w:sz w:val="22"/>
                <w:szCs w:val="22"/>
                <w:lang w:eastAsia="es-EC"/>
              </w:rPr>
              <w:t>ción por red de alta tensión:</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9.580,62 m</w:t>
            </w:r>
            <w:r w:rsidRPr="007D3AA4">
              <w:rPr>
                <w:rFonts w:ascii="Palatino Linotype" w:hAnsi="Palatino Linotype"/>
                <w:color w:val="000000"/>
                <w:sz w:val="22"/>
                <w:szCs w:val="22"/>
                <w:vertAlign w:val="superscript"/>
                <w:lang w:val="es-EC" w:eastAsia="es-EC"/>
              </w:rPr>
              <w:t>2</w:t>
            </w:r>
          </w:p>
        </w:tc>
      </w:tr>
      <w:tr w:rsidR="003F5FA4" w:rsidRPr="007D3AA4" w:rsidTr="003F5FA4">
        <w:trPr>
          <w:trHeight w:val="360"/>
        </w:trPr>
        <w:tc>
          <w:tcPr>
            <w:tcW w:w="3484" w:type="dxa"/>
            <w:shd w:val="clear" w:color="000000" w:fill="FFFFFF"/>
            <w:vAlign w:val="center"/>
            <w:hideMark/>
          </w:tcPr>
          <w:p w:rsidR="003F5FA4" w:rsidRPr="003F5FA4" w:rsidRDefault="003F5FA4" w:rsidP="00293270">
            <w:pPr>
              <w:spacing w:after="120" w:line="276" w:lineRule="auto"/>
              <w:rPr>
                <w:rFonts w:ascii="Palatino Linotype" w:hAnsi="Palatino Linotype"/>
                <w:b/>
                <w:color w:val="000000"/>
                <w:sz w:val="22"/>
                <w:szCs w:val="22"/>
                <w:lang w:val="es-EC" w:eastAsia="es-EC"/>
              </w:rPr>
            </w:pPr>
            <w:r w:rsidRPr="003F5FA4">
              <w:rPr>
                <w:rFonts w:ascii="Palatino Linotype" w:hAnsi="Palatino Linotype"/>
                <w:b/>
                <w:color w:val="000000"/>
                <w:sz w:val="22"/>
                <w:szCs w:val="22"/>
                <w:lang w:eastAsia="es-EC"/>
              </w:rPr>
              <w:lastRenderedPageBreak/>
              <w:t>Área total del terreno:</w:t>
            </w:r>
          </w:p>
        </w:tc>
        <w:tc>
          <w:tcPr>
            <w:tcW w:w="5320" w:type="dxa"/>
            <w:shd w:val="clear" w:color="000000" w:fill="FFFFFF"/>
            <w:vAlign w:val="center"/>
            <w:hideMark/>
          </w:tcPr>
          <w:p w:rsidR="003F5FA4" w:rsidRPr="007D3AA4" w:rsidRDefault="003F5FA4" w:rsidP="00293270">
            <w:pPr>
              <w:spacing w:after="120" w:line="276" w:lineRule="auto"/>
              <w:rPr>
                <w:rFonts w:ascii="Palatino Linotype" w:hAnsi="Palatino Linotype"/>
                <w:color w:val="000000"/>
                <w:sz w:val="22"/>
                <w:szCs w:val="22"/>
                <w:lang w:val="es-EC" w:eastAsia="es-EC"/>
              </w:rPr>
            </w:pPr>
            <w:r w:rsidRPr="007D3AA4">
              <w:rPr>
                <w:rFonts w:ascii="Palatino Linotype" w:hAnsi="Palatino Linotype"/>
                <w:color w:val="000000"/>
                <w:sz w:val="22"/>
                <w:szCs w:val="22"/>
                <w:lang w:val="es-EC" w:eastAsia="es-EC"/>
              </w:rPr>
              <w:t>23.948,02 m</w:t>
            </w:r>
            <w:r w:rsidRPr="007D3AA4">
              <w:rPr>
                <w:rFonts w:ascii="Palatino Linotype" w:hAnsi="Palatino Linotype"/>
                <w:color w:val="000000"/>
                <w:sz w:val="22"/>
                <w:szCs w:val="22"/>
                <w:vertAlign w:val="superscript"/>
                <w:lang w:val="es-EC" w:eastAsia="es-EC"/>
              </w:rPr>
              <w:t>2</w:t>
            </w:r>
          </w:p>
        </w:tc>
      </w:tr>
    </w:tbl>
    <w:p w:rsidR="003F5FA4" w:rsidRPr="007D3AA4" w:rsidRDefault="003F5FA4" w:rsidP="003F5FA4">
      <w:pPr>
        <w:spacing w:after="120" w:line="276" w:lineRule="auto"/>
        <w:jc w:val="both"/>
        <w:rPr>
          <w:rFonts w:ascii="Palatino Linotype" w:hAnsi="Palatino Linotype"/>
          <w:sz w:val="22"/>
          <w:szCs w:val="22"/>
          <w:lang w:val="es-EC"/>
        </w:rPr>
      </w:pPr>
    </w:p>
    <w:p w:rsidR="003F5FA4" w:rsidRPr="007D3AA4" w:rsidRDefault="003F5FA4" w:rsidP="003F5FA4">
      <w:pPr>
        <w:spacing w:after="120" w:line="276" w:lineRule="auto"/>
        <w:jc w:val="both"/>
        <w:rPr>
          <w:rFonts w:ascii="Palatino Linotype" w:hAnsi="Palatino Linotype"/>
          <w:bCs/>
          <w:sz w:val="22"/>
          <w:szCs w:val="22"/>
          <w:lang w:val="es-EC"/>
        </w:rPr>
      </w:pPr>
      <w:r w:rsidRPr="007D3AA4">
        <w:rPr>
          <w:rFonts w:ascii="Palatino Linotype" w:hAnsi="Palatino Linotype"/>
          <w:sz w:val="22"/>
          <w:szCs w:val="22"/>
          <w:lang w:val="es-EC"/>
        </w:rPr>
        <w:t>El número total de lotes es de 68</w:t>
      </w:r>
      <w:r w:rsidRPr="007D3AA4">
        <w:rPr>
          <w:rFonts w:ascii="Palatino Linotype" w:hAnsi="Palatino Linotype"/>
          <w:sz w:val="22"/>
          <w:szCs w:val="22"/>
        </w:rPr>
        <w:t>, signados del uno (1) al sesenta y ocho (68)</w:t>
      </w:r>
      <w:r w:rsidRPr="007D3AA4">
        <w:rPr>
          <w:rFonts w:ascii="Palatino Linotype" w:hAnsi="Palatino Linotype"/>
          <w:sz w:val="22"/>
          <w:szCs w:val="22"/>
          <w:lang w:val="es-EC"/>
        </w:rPr>
        <w:t>,</w:t>
      </w:r>
      <w:r w:rsidRPr="007D3AA4">
        <w:rPr>
          <w:rFonts w:ascii="Palatino Linotype" w:eastAsia="Calibri" w:hAnsi="Palatino Linotype"/>
          <w:sz w:val="22"/>
          <w:szCs w:val="22"/>
          <w:lang w:eastAsia="en-US"/>
        </w:rPr>
        <w:t xml:space="preserve"> </w:t>
      </w:r>
      <w:r w:rsidRPr="007D3AA4">
        <w:rPr>
          <w:rFonts w:ascii="Palatino Linotype" w:hAnsi="Palatino Linotype"/>
          <w:sz w:val="22"/>
          <w:szCs w:val="22"/>
          <w:lang w:val="es-EC"/>
        </w:rPr>
        <w:t xml:space="preserve">cuyo detalle es el que consta </w:t>
      </w:r>
      <w:r w:rsidRPr="007D3AA4">
        <w:rPr>
          <w:rFonts w:ascii="Palatino Linotype" w:hAnsi="Palatino Linotype"/>
          <w:bCs/>
          <w:sz w:val="22"/>
          <w:szCs w:val="22"/>
          <w:lang w:val="es-EC"/>
        </w:rPr>
        <w:t xml:space="preserve">adjunto al plano aprobatorio, plano que forma parte de la presente </w:t>
      </w:r>
      <w:r>
        <w:rPr>
          <w:rFonts w:ascii="Palatino Linotype" w:hAnsi="Palatino Linotype"/>
          <w:bCs/>
          <w:sz w:val="22"/>
          <w:szCs w:val="22"/>
          <w:lang w:val="es-EC"/>
        </w:rPr>
        <w:t>o</w:t>
      </w:r>
      <w:r w:rsidRPr="007D3AA4">
        <w:rPr>
          <w:rFonts w:ascii="Palatino Linotype" w:hAnsi="Palatino Linotype"/>
          <w:bCs/>
          <w:sz w:val="22"/>
          <w:szCs w:val="22"/>
          <w:lang w:val="es-EC"/>
        </w:rPr>
        <w:t>rdenanza.</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
          <w:bCs/>
          <w:sz w:val="22"/>
          <w:szCs w:val="22"/>
        </w:rPr>
        <w:t xml:space="preserve">Artículo 3.- Zonificación de los </w:t>
      </w:r>
      <w:proofErr w:type="gramStart"/>
      <w:r w:rsidRPr="007D3AA4">
        <w:rPr>
          <w:rFonts w:ascii="Palatino Linotype" w:hAnsi="Palatino Linotype"/>
          <w:b/>
          <w:bCs/>
          <w:sz w:val="22"/>
          <w:szCs w:val="22"/>
        </w:rPr>
        <w:t>lotes.-</w:t>
      </w:r>
      <w:proofErr w:type="gramEnd"/>
      <w:r w:rsidRPr="007D3AA4">
        <w:rPr>
          <w:rFonts w:ascii="Palatino Linotype" w:hAnsi="Palatino Linotype"/>
          <w:b/>
          <w:bCs/>
          <w:sz w:val="22"/>
          <w:szCs w:val="22"/>
        </w:rPr>
        <w:t xml:space="preserve"> </w:t>
      </w:r>
      <w:r w:rsidRPr="007D3AA4">
        <w:rPr>
          <w:rFonts w:ascii="Palatino Linotype" w:hAnsi="Palatino Linotype"/>
          <w:bCs/>
          <w:sz w:val="22"/>
          <w:szCs w:val="22"/>
        </w:rPr>
        <w:t>Los lotes fraccionados</w:t>
      </w:r>
      <w:r w:rsidRPr="007D3AA4">
        <w:rPr>
          <w:rFonts w:ascii="Palatino Linotype" w:hAnsi="Palatino Linotype"/>
          <w:b/>
          <w:bCs/>
          <w:sz w:val="22"/>
          <w:szCs w:val="22"/>
        </w:rPr>
        <w:t xml:space="preserve"> </w:t>
      </w:r>
      <w:r w:rsidRPr="007D3AA4">
        <w:rPr>
          <w:rFonts w:ascii="Palatino Linotype" w:hAnsi="Palatino Linotype"/>
          <w:bCs/>
          <w:sz w:val="22"/>
          <w:szCs w:val="22"/>
        </w:rPr>
        <w:t xml:space="preserve">unificarán la zonificación vigente para los 68 lotes según se detalla a continuación: </w:t>
      </w:r>
      <w:r w:rsidRPr="007D3AA4">
        <w:rPr>
          <w:rFonts w:ascii="Palatino Linotype" w:eastAsia="Calibri" w:hAnsi="Palatino Linotype"/>
          <w:color w:val="000000" w:themeColor="text1"/>
          <w:sz w:val="22"/>
          <w:szCs w:val="22"/>
        </w:rPr>
        <w:t>D3 (D203-80); lote mínimo 200,00 m</w:t>
      </w:r>
      <w:r w:rsidRPr="007D3AA4">
        <w:rPr>
          <w:rFonts w:ascii="Palatino Linotype" w:eastAsia="Calibri" w:hAnsi="Palatino Linotype"/>
          <w:color w:val="000000" w:themeColor="text1"/>
          <w:sz w:val="22"/>
          <w:szCs w:val="22"/>
          <w:vertAlign w:val="superscript"/>
        </w:rPr>
        <w:t>2</w:t>
      </w:r>
      <w:r w:rsidRPr="007D3AA4">
        <w:rPr>
          <w:rFonts w:ascii="Palatino Linotype" w:eastAsia="Calibri" w:hAnsi="Palatino Linotype"/>
          <w:color w:val="000000" w:themeColor="text1"/>
          <w:sz w:val="22"/>
          <w:szCs w:val="22"/>
        </w:rPr>
        <w:t xml:space="preserve">; Uso principal: (RR1) </w:t>
      </w:r>
      <w:r w:rsidRPr="007D3AA4">
        <w:rPr>
          <w:rFonts w:ascii="Palatino Linotype" w:hAnsi="Palatino Linotype"/>
          <w:color w:val="000000"/>
          <w:sz w:val="22"/>
          <w:szCs w:val="22"/>
          <w:lang w:eastAsia="es-EC"/>
        </w:rPr>
        <w:t>Residencial Rural 1</w:t>
      </w:r>
      <w:r w:rsidRPr="007D3AA4">
        <w:rPr>
          <w:rFonts w:ascii="Palatino Linotype" w:eastAsia="Calibri" w:hAnsi="Palatino Linotype"/>
          <w:color w:val="000000" w:themeColor="text1"/>
          <w:sz w:val="22"/>
          <w:szCs w:val="22"/>
        </w:rPr>
        <w:t xml:space="preserve">, </w:t>
      </w:r>
      <w:r w:rsidRPr="007D3AA4">
        <w:rPr>
          <w:rFonts w:ascii="Palatino Linotype" w:hAnsi="Palatino Linotype"/>
          <w:sz w:val="22"/>
          <w:szCs w:val="22"/>
        </w:rPr>
        <w:t>y forma de ocupación del suelo (D) Sobre línea de fábrica.</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7D3AA4">
        <w:rPr>
          <w:rFonts w:ascii="Palatino Linotype" w:hAnsi="Palatino Linotype"/>
          <w:b/>
          <w:sz w:val="22"/>
          <w:szCs w:val="22"/>
        </w:rPr>
        <w:t>uelo.-</w:t>
      </w:r>
      <w:proofErr w:type="gramEnd"/>
      <w:r w:rsidRPr="007D3AA4">
        <w:rPr>
          <w:rFonts w:ascii="Palatino Linotype" w:hAnsi="Palatino Linotype"/>
          <w:b/>
          <w:sz w:val="22"/>
          <w:szCs w:val="22"/>
        </w:rPr>
        <w:t xml:space="preserve"> </w:t>
      </w:r>
      <w:r w:rsidRPr="007D3AA4">
        <w:rPr>
          <w:rFonts w:ascii="Palatino Linotype" w:hAnsi="Palatino Linotype"/>
          <w:sz w:val="22"/>
          <w:szCs w:val="22"/>
        </w:rPr>
        <w:t>Los lotes fraccionados mantendrán la clasificación vigente</w:t>
      </w:r>
      <w:r>
        <w:rPr>
          <w:rFonts w:ascii="Palatino Linotype" w:hAnsi="Palatino Linotype"/>
          <w:sz w:val="22"/>
          <w:szCs w:val="22"/>
        </w:rPr>
        <w:t>,</w:t>
      </w:r>
      <w:r w:rsidRPr="007D3AA4">
        <w:rPr>
          <w:rFonts w:ascii="Palatino Linotype" w:hAnsi="Palatino Linotype"/>
          <w:sz w:val="22"/>
          <w:szCs w:val="22"/>
        </w:rPr>
        <w:t xml:space="preserve"> esto es</w:t>
      </w:r>
      <w:r>
        <w:rPr>
          <w:rFonts w:ascii="Palatino Linotype" w:hAnsi="Palatino Linotype"/>
          <w:sz w:val="22"/>
          <w:szCs w:val="22"/>
        </w:rPr>
        <w:t>,</w:t>
      </w:r>
      <w:r w:rsidRPr="007D3AA4">
        <w:rPr>
          <w:rFonts w:ascii="Palatino Linotype" w:hAnsi="Palatino Linotype"/>
          <w:sz w:val="22"/>
          <w:szCs w:val="22"/>
        </w:rPr>
        <w:t xml:space="preserve"> (SRU) Suelo Rural.</w:t>
      </w:r>
    </w:p>
    <w:p w:rsidR="003F5FA4" w:rsidRPr="007D3AA4" w:rsidRDefault="003F5FA4" w:rsidP="003F5FA4">
      <w:pPr>
        <w:spacing w:after="120" w:line="276" w:lineRule="auto"/>
        <w:jc w:val="both"/>
        <w:rPr>
          <w:rFonts w:ascii="Palatino Linotype" w:hAnsi="Palatino Linotype"/>
          <w:bCs/>
          <w:color w:val="000000"/>
          <w:sz w:val="22"/>
          <w:szCs w:val="22"/>
        </w:rPr>
      </w:pPr>
      <w:r w:rsidRPr="007D3AA4">
        <w:rPr>
          <w:rFonts w:ascii="Palatino Linotype" w:hAnsi="Palatino Linotype"/>
          <w:b/>
          <w:sz w:val="22"/>
          <w:szCs w:val="22"/>
        </w:rPr>
        <w:t xml:space="preserve">Artículo 5.- Lotes por </w:t>
      </w:r>
      <w:proofErr w:type="gramStart"/>
      <w:r w:rsidRPr="007D3AA4">
        <w:rPr>
          <w:rFonts w:ascii="Palatino Linotype" w:hAnsi="Palatino Linotype"/>
          <w:b/>
          <w:sz w:val="22"/>
          <w:szCs w:val="22"/>
        </w:rPr>
        <w:t>excepción.-</w:t>
      </w:r>
      <w:proofErr w:type="gramEnd"/>
      <w:r w:rsidRPr="007D3AA4">
        <w:rPr>
          <w:rFonts w:ascii="Palatino Linotype" w:hAnsi="Palatino Linotype"/>
          <w:b/>
          <w:sz w:val="22"/>
          <w:szCs w:val="22"/>
        </w:rPr>
        <w:t xml:space="preserve"> </w:t>
      </w:r>
      <w:r w:rsidRPr="007D3AA4">
        <w:rPr>
          <w:rFonts w:ascii="Palatino Linotype" w:hAnsi="Palatino Linotype"/>
          <w:bCs/>
          <w:color w:val="000000"/>
          <w:sz w:val="22"/>
          <w:szCs w:val="22"/>
        </w:rPr>
        <w:t>Por tratarse de un asentamiento de hecho y consolidado de interés social, se aprueban por excepción los siguientes lotes de menor superficie conforme el plano:  4, 5, 7, 8, 10, 11, 12, 13, 15, 16, 17, 18, 19, 20, 21, 22, 23, 24, 25, 26, 27, 28, 29, 30, 31, 32, 33, 34, 36, 37, 38, 42, 43, 44, 45, 46, 47, 48, 49, 50, 51, 52, 53, 54, 55, 56, 57, 58, 59 y 60.</w:t>
      </w:r>
    </w:p>
    <w:p w:rsidR="003F5FA4" w:rsidRPr="007D3AA4" w:rsidRDefault="003F5FA4" w:rsidP="003F5FA4">
      <w:pPr>
        <w:spacing w:after="120" w:line="276" w:lineRule="auto"/>
        <w:jc w:val="both"/>
        <w:rPr>
          <w:rFonts w:ascii="Palatino Linotype" w:hAnsi="Palatino Linotype"/>
          <w:b/>
          <w:sz w:val="22"/>
          <w:szCs w:val="22"/>
        </w:rPr>
      </w:pPr>
      <w:r w:rsidRPr="007D3AA4">
        <w:rPr>
          <w:rFonts w:ascii="Palatino Linotype" w:hAnsi="Palatino Linotype"/>
          <w:b/>
          <w:bCs/>
          <w:sz w:val="22"/>
          <w:szCs w:val="22"/>
        </w:rPr>
        <w:t>Artículo 6.-</w:t>
      </w:r>
      <w:r w:rsidR="007126B6">
        <w:rPr>
          <w:rFonts w:ascii="Palatino Linotype" w:hAnsi="Palatino Linotype"/>
          <w:b/>
          <w:bCs/>
          <w:sz w:val="22"/>
          <w:szCs w:val="22"/>
        </w:rPr>
        <w:t xml:space="preserve"> </w:t>
      </w:r>
      <w:r w:rsidRPr="007D3AA4">
        <w:rPr>
          <w:rFonts w:ascii="Palatino Linotype" w:hAnsi="Palatino Linotype"/>
          <w:b/>
          <w:bCs/>
          <w:sz w:val="22"/>
          <w:szCs w:val="22"/>
        </w:rPr>
        <w:t xml:space="preserve">Del área </w:t>
      </w:r>
      <w:r w:rsidR="007126B6" w:rsidRPr="007D3AA4">
        <w:rPr>
          <w:rFonts w:ascii="Palatino Linotype" w:hAnsi="Palatino Linotype"/>
          <w:b/>
          <w:bCs/>
          <w:sz w:val="22"/>
          <w:szCs w:val="22"/>
        </w:rPr>
        <w:t xml:space="preserve">verde y </w:t>
      </w:r>
      <w:proofErr w:type="gramStart"/>
      <w:r w:rsidR="007126B6" w:rsidRPr="007D3AA4">
        <w:rPr>
          <w:rFonts w:ascii="Palatino Linotype" w:hAnsi="Palatino Linotype"/>
          <w:b/>
          <w:bCs/>
          <w:sz w:val="22"/>
          <w:szCs w:val="22"/>
        </w:rPr>
        <w:t>comunal</w:t>
      </w:r>
      <w:r w:rsidRPr="007D3AA4">
        <w:rPr>
          <w:rFonts w:ascii="Palatino Linotype" w:hAnsi="Palatino Linotype"/>
          <w:bCs/>
          <w:sz w:val="22"/>
          <w:szCs w:val="22"/>
        </w:rPr>
        <w:t>.-</w:t>
      </w:r>
      <w:proofErr w:type="gramEnd"/>
      <w:r w:rsidRPr="007D3AA4">
        <w:rPr>
          <w:rFonts w:ascii="Palatino Linotype" w:hAnsi="Palatino Linotype"/>
          <w:bCs/>
          <w:sz w:val="22"/>
          <w:szCs w:val="22"/>
        </w:rPr>
        <w:t xml:space="preserve"> El </w:t>
      </w:r>
      <w:r w:rsidRPr="007D3AA4">
        <w:rPr>
          <w:rFonts w:ascii="Palatino Linotype" w:hAnsi="Palatino Linotype"/>
          <w:sz w:val="22"/>
          <w:szCs w:val="22"/>
        </w:rPr>
        <w:t xml:space="preserve">Asentamiento Humano de Hecho y Consolidado de Interés Social denominado Comité del Barrio “Nuestras Cumbres del Sur Occidente” (Etapa I) transfieren al Municipio del Distrito Metropolitano de Quito como contribución de área verde y comunal, un área total de </w:t>
      </w:r>
      <w:r w:rsidRPr="007D3AA4">
        <w:rPr>
          <w:rFonts w:ascii="Palatino Linotype" w:hAnsi="Palatino Linotype"/>
          <w:bCs/>
          <w:kern w:val="24"/>
          <w:sz w:val="22"/>
          <w:szCs w:val="22"/>
        </w:rPr>
        <w:t xml:space="preserve">3.244,83 </w:t>
      </w:r>
      <w:r w:rsidRPr="007D3AA4">
        <w:rPr>
          <w:rFonts w:ascii="Palatino Linotype" w:hAnsi="Palatino Linotype"/>
          <w:sz w:val="22"/>
          <w:szCs w:val="22"/>
        </w:rPr>
        <w:t>m</w:t>
      </w:r>
      <w:r w:rsidRPr="007D3AA4">
        <w:rPr>
          <w:rFonts w:ascii="Palatino Linotype" w:hAnsi="Palatino Linotype"/>
          <w:sz w:val="22"/>
          <w:szCs w:val="22"/>
          <w:vertAlign w:val="superscript"/>
        </w:rPr>
        <w:t xml:space="preserve">2 </w:t>
      </w:r>
      <w:r w:rsidRPr="007D3AA4">
        <w:rPr>
          <w:rFonts w:ascii="Palatino Linotype" w:hAnsi="Palatino Linotype"/>
          <w:sz w:val="22"/>
          <w:szCs w:val="22"/>
        </w:rPr>
        <w:t>del área útil de los lotes, de conformidad al siguiente detalle</w:t>
      </w:r>
      <w:r w:rsidRPr="007D3AA4">
        <w:rPr>
          <w:rFonts w:ascii="Palatino Linotype" w:hAnsi="Palatino Linotype"/>
          <w:b/>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551"/>
        <w:gridCol w:w="1276"/>
        <w:gridCol w:w="1134"/>
        <w:gridCol w:w="1701"/>
      </w:tblGrid>
      <w:tr w:rsidR="003F5FA4" w:rsidRPr="007D3AA4" w:rsidTr="007126B6">
        <w:tc>
          <w:tcPr>
            <w:tcW w:w="1384" w:type="dxa"/>
            <w:vMerge w:val="restart"/>
            <w:shd w:val="clear" w:color="auto" w:fill="auto"/>
            <w:vAlign w:val="center"/>
          </w:tcPr>
          <w:p w:rsidR="003F5FA4" w:rsidRPr="007D3AA4" w:rsidRDefault="003F5FA4" w:rsidP="00293270">
            <w:pPr>
              <w:spacing w:after="120" w:line="276" w:lineRule="auto"/>
              <w:jc w:val="center"/>
              <w:rPr>
                <w:rFonts w:ascii="Palatino Linotype" w:hAnsi="Palatino Linotype"/>
                <w:b/>
                <w:sz w:val="22"/>
                <w:szCs w:val="22"/>
              </w:rPr>
            </w:pPr>
            <w:r w:rsidRPr="007D3AA4">
              <w:rPr>
                <w:rFonts w:ascii="Palatino Linotype" w:hAnsi="Palatino Linotype"/>
                <w:b/>
                <w:sz w:val="22"/>
                <w:szCs w:val="22"/>
              </w:rPr>
              <w:t xml:space="preserve">Área </w:t>
            </w:r>
            <w:r w:rsidR="007126B6" w:rsidRPr="007D3AA4">
              <w:rPr>
                <w:rFonts w:ascii="Palatino Linotype" w:hAnsi="Palatino Linotype"/>
                <w:b/>
                <w:sz w:val="22"/>
                <w:szCs w:val="22"/>
              </w:rPr>
              <w:t>verde y comunal</w:t>
            </w:r>
          </w:p>
          <w:p w:rsidR="003F5FA4" w:rsidRPr="007D3AA4" w:rsidRDefault="003F5FA4" w:rsidP="00293270">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3F5FA4" w:rsidRPr="007D3AA4" w:rsidRDefault="003F5FA4" w:rsidP="00293270">
            <w:pPr>
              <w:spacing w:after="120" w:line="276" w:lineRule="auto"/>
              <w:rPr>
                <w:rFonts w:ascii="Palatino Linotype" w:hAnsi="Palatino Linotype"/>
                <w:b/>
                <w:sz w:val="22"/>
                <w:szCs w:val="22"/>
              </w:rPr>
            </w:pPr>
          </w:p>
        </w:tc>
        <w:tc>
          <w:tcPr>
            <w:tcW w:w="2551" w:type="dxa"/>
            <w:tcBorders>
              <w:left w:val="single" w:sz="4" w:space="0" w:color="auto"/>
            </w:tcBorders>
            <w:shd w:val="clear" w:color="auto" w:fill="auto"/>
          </w:tcPr>
          <w:p w:rsidR="003F5FA4" w:rsidRPr="007D3AA4" w:rsidRDefault="007126B6" w:rsidP="00293270">
            <w:pPr>
              <w:spacing w:after="120" w:line="276" w:lineRule="auto"/>
              <w:jc w:val="center"/>
              <w:rPr>
                <w:rFonts w:ascii="Palatino Linotype" w:hAnsi="Palatino Linotype"/>
                <w:b/>
                <w:sz w:val="22"/>
                <w:szCs w:val="22"/>
              </w:rPr>
            </w:pPr>
            <w:r w:rsidRPr="007D3AA4">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b/>
                <w:sz w:val="22"/>
                <w:szCs w:val="22"/>
              </w:rPr>
            </w:pPr>
            <w:r w:rsidRPr="007D3AA4">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b/>
                <w:sz w:val="22"/>
                <w:szCs w:val="22"/>
              </w:rPr>
            </w:pPr>
            <w:r w:rsidRPr="007D3AA4">
              <w:rPr>
                <w:rFonts w:ascii="Palatino Linotype" w:hAnsi="Palatino Linotype"/>
                <w:b/>
                <w:sz w:val="22"/>
                <w:szCs w:val="22"/>
              </w:rPr>
              <w:t>Total</w:t>
            </w:r>
          </w:p>
        </w:tc>
        <w:tc>
          <w:tcPr>
            <w:tcW w:w="1701" w:type="dxa"/>
            <w:tcBorders>
              <w:top w:val="single" w:sz="4" w:space="0" w:color="auto"/>
              <w:bottom w:val="single" w:sz="4" w:space="0" w:color="auto"/>
            </w:tcBorders>
            <w:shd w:val="clear" w:color="auto" w:fill="auto"/>
            <w:vAlign w:val="center"/>
          </w:tcPr>
          <w:p w:rsidR="003F5FA4" w:rsidRPr="007D3AA4" w:rsidRDefault="007126B6" w:rsidP="00293270">
            <w:pPr>
              <w:spacing w:after="120" w:line="276" w:lineRule="auto"/>
              <w:jc w:val="center"/>
              <w:rPr>
                <w:rFonts w:ascii="Palatino Linotype" w:hAnsi="Palatino Linotype"/>
                <w:sz w:val="22"/>
                <w:szCs w:val="22"/>
              </w:rPr>
            </w:pPr>
            <w:r w:rsidRPr="007D3AA4">
              <w:rPr>
                <w:rFonts w:ascii="Palatino Linotype" w:hAnsi="Palatino Linotype"/>
                <w:b/>
                <w:sz w:val="22"/>
                <w:szCs w:val="22"/>
              </w:rPr>
              <w:t>Superficie</w:t>
            </w:r>
          </w:p>
        </w:tc>
      </w:tr>
      <w:tr w:rsidR="003F5FA4" w:rsidRPr="007D3AA4" w:rsidTr="007126B6">
        <w:trPr>
          <w:trHeight w:val="293"/>
        </w:trPr>
        <w:tc>
          <w:tcPr>
            <w:tcW w:w="1384"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c>
          <w:tcPr>
            <w:tcW w:w="851" w:type="dxa"/>
            <w:shd w:val="clear" w:color="auto" w:fill="auto"/>
          </w:tcPr>
          <w:p w:rsidR="003F5FA4" w:rsidRPr="007D3AA4" w:rsidRDefault="003F5FA4" w:rsidP="00293270">
            <w:pPr>
              <w:spacing w:after="120" w:line="276" w:lineRule="auto"/>
              <w:rPr>
                <w:rFonts w:ascii="Palatino Linotype" w:hAnsi="Palatino Linotype"/>
                <w:b/>
                <w:sz w:val="22"/>
                <w:szCs w:val="22"/>
              </w:rPr>
            </w:pPr>
          </w:p>
          <w:p w:rsidR="003F5FA4" w:rsidRPr="007D3AA4" w:rsidRDefault="003F5FA4" w:rsidP="00293270">
            <w:pPr>
              <w:spacing w:after="120" w:line="276" w:lineRule="auto"/>
              <w:rPr>
                <w:rFonts w:ascii="Palatino Linotype" w:hAnsi="Palatino Linotype"/>
                <w:b/>
                <w:sz w:val="22"/>
                <w:szCs w:val="22"/>
              </w:rPr>
            </w:pPr>
            <w:r w:rsidRPr="007D3AA4">
              <w:rPr>
                <w:rFonts w:ascii="Palatino Linotype" w:hAnsi="Palatino Linotype"/>
                <w:b/>
                <w:sz w:val="22"/>
                <w:szCs w:val="22"/>
              </w:rPr>
              <w:t>Norte:</w:t>
            </w:r>
          </w:p>
        </w:tc>
        <w:tc>
          <w:tcPr>
            <w:tcW w:w="2551" w:type="dxa"/>
            <w:shd w:val="clear" w:color="auto" w:fill="auto"/>
          </w:tcPr>
          <w:p w:rsidR="003F5FA4" w:rsidRPr="007D3AA4" w:rsidRDefault="003F5FA4" w:rsidP="007126B6">
            <w:pPr>
              <w:spacing w:after="120" w:line="276" w:lineRule="auto"/>
              <w:jc w:val="both"/>
              <w:rPr>
                <w:rFonts w:ascii="Palatino Linotype" w:hAnsi="Palatino Linotype"/>
                <w:sz w:val="22"/>
                <w:szCs w:val="22"/>
                <w:lang w:val="es-EC"/>
              </w:rPr>
            </w:pPr>
            <w:r w:rsidRPr="007D3AA4">
              <w:rPr>
                <w:rFonts w:ascii="Palatino Linotype" w:hAnsi="Palatino Linotype"/>
                <w:sz w:val="22"/>
                <w:szCs w:val="22"/>
                <w:lang w:val="es-EC"/>
              </w:rPr>
              <w:t xml:space="preserve">Área de </w:t>
            </w:r>
            <w:r w:rsidR="007126B6" w:rsidRPr="007D3AA4">
              <w:rPr>
                <w:rFonts w:ascii="Palatino Linotype" w:hAnsi="Palatino Linotype"/>
                <w:sz w:val="22"/>
                <w:szCs w:val="22"/>
                <w:lang w:val="es-EC"/>
              </w:rPr>
              <w:t>protección por red de alta tensión</w:t>
            </w:r>
          </w:p>
        </w:tc>
        <w:tc>
          <w:tcPr>
            <w:tcW w:w="1276" w:type="dxa"/>
            <w:tcBorders>
              <w:righ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lang w:val="en-US"/>
              </w:rPr>
            </w:pPr>
            <w:r w:rsidRPr="007D3AA4">
              <w:rPr>
                <w:rFonts w:ascii="Palatino Linotype" w:hAnsi="Palatino Linotype"/>
                <w:sz w:val="22"/>
                <w:szCs w:val="22"/>
              </w:rPr>
              <w:t>---</w:t>
            </w:r>
          </w:p>
        </w:tc>
        <w:tc>
          <w:tcPr>
            <w:tcW w:w="1134" w:type="dxa"/>
            <w:tcBorders>
              <w:lef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121,91 m</w:t>
            </w:r>
          </w:p>
          <w:p w:rsidR="003F5FA4" w:rsidRPr="007D3AA4" w:rsidRDefault="003F5FA4" w:rsidP="00293270">
            <w:pPr>
              <w:spacing w:after="120" w:line="276" w:lineRule="auto"/>
              <w:jc w:val="center"/>
              <w:rPr>
                <w:rFonts w:ascii="Palatino Linotype" w:hAnsi="Palatino Linotype"/>
                <w:sz w:val="22"/>
                <w:szCs w:val="22"/>
              </w:rPr>
            </w:pPr>
          </w:p>
        </w:tc>
        <w:tc>
          <w:tcPr>
            <w:tcW w:w="1701" w:type="dxa"/>
            <w:vMerge w:val="restart"/>
            <w:tcBorders>
              <w:top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3</w:t>
            </w:r>
            <w:r w:rsidR="007126B6">
              <w:rPr>
                <w:rFonts w:ascii="Palatino Linotype" w:hAnsi="Palatino Linotype"/>
                <w:sz w:val="22"/>
                <w:szCs w:val="22"/>
              </w:rPr>
              <w:t>.</w:t>
            </w:r>
            <w:r w:rsidRPr="007D3AA4">
              <w:rPr>
                <w:rFonts w:ascii="Palatino Linotype" w:hAnsi="Palatino Linotype"/>
                <w:sz w:val="22"/>
                <w:szCs w:val="22"/>
              </w:rPr>
              <w:t xml:space="preserve">244,83 </w:t>
            </w:r>
            <w:r w:rsidR="007126B6" w:rsidRPr="007D3AA4">
              <w:rPr>
                <w:rFonts w:ascii="Palatino Linotype" w:hAnsi="Palatino Linotype"/>
                <w:color w:val="000000"/>
                <w:sz w:val="22"/>
                <w:szCs w:val="22"/>
                <w:lang w:eastAsia="es-EC"/>
              </w:rPr>
              <w:t>m</w:t>
            </w:r>
            <w:r w:rsidR="007126B6" w:rsidRPr="007D3AA4">
              <w:rPr>
                <w:rFonts w:ascii="Palatino Linotype" w:hAnsi="Palatino Linotype"/>
                <w:color w:val="000000"/>
                <w:sz w:val="22"/>
                <w:szCs w:val="22"/>
                <w:vertAlign w:val="superscript"/>
                <w:lang w:eastAsia="es-EC"/>
              </w:rPr>
              <w:t>2</w:t>
            </w:r>
          </w:p>
        </w:tc>
      </w:tr>
      <w:tr w:rsidR="003F5FA4" w:rsidRPr="007D3AA4" w:rsidTr="007126B6">
        <w:tc>
          <w:tcPr>
            <w:tcW w:w="1384"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c>
          <w:tcPr>
            <w:tcW w:w="851" w:type="dxa"/>
            <w:shd w:val="clear" w:color="auto" w:fill="auto"/>
          </w:tcPr>
          <w:p w:rsidR="003F5FA4" w:rsidRPr="007D3AA4" w:rsidRDefault="003F5FA4" w:rsidP="00293270">
            <w:pPr>
              <w:spacing w:after="120" w:line="276" w:lineRule="auto"/>
              <w:rPr>
                <w:rFonts w:ascii="Palatino Linotype" w:hAnsi="Palatino Linotype"/>
                <w:b/>
                <w:sz w:val="22"/>
                <w:szCs w:val="22"/>
              </w:rPr>
            </w:pPr>
            <w:r w:rsidRPr="007D3AA4">
              <w:rPr>
                <w:rFonts w:ascii="Palatino Linotype" w:hAnsi="Palatino Linotype"/>
                <w:b/>
                <w:sz w:val="22"/>
                <w:szCs w:val="22"/>
              </w:rPr>
              <w:t>Sur:</w:t>
            </w:r>
          </w:p>
        </w:tc>
        <w:tc>
          <w:tcPr>
            <w:tcW w:w="2551" w:type="dxa"/>
            <w:shd w:val="clear" w:color="auto" w:fill="auto"/>
          </w:tcPr>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Propiedad particular</w:t>
            </w:r>
          </w:p>
        </w:tc>
        <w:tc>
          <w:tcPr>
            <w:tcW w:w="1276" w:type="dxa"/>
            <w:tcBorders>
              <w:righ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w:t>
            </w:r>
          </w:p>
        </w:tc>
        <w:tc>
          <w:tcPr>
            <w:tcW w:w="1134" w:type="dxa"/>
            <w:tcBorders>
              <w:lef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90,57 m.</w:t>
            </w:r>
          </w:p>
        </w:tc>
        <w:tc>
          <w:tcPr>
            <w:tcW w:w="1701"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r>
      <w:tr w:rsidR="003F5FA4" w:rsidRPr="007D3AA4" w:rsidTr="007126B6">
        <w:tc>
          <w:tcPr>
            <w:tcW w:w="1384"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c>
          <w:tcPr>
            <w:tcW w:w="851" w:type="dxa"/>
            <w:shd w:val="clear" w:color="auto" w:fill="auto"/>
            <w:vAlign w:val="center"/>
          </w:tcPr>
          <w:p w:rsidR="003F5FA4" w:rsidRPr="007D3AA4" w:rsidRDefault="003F5FA4" w:rsidP="00293270">
            <w:pPr>
              <w:spacing w:after="120" w:line="276" w:lineRule="auto"/>
              <w:rPr>
                <w:rFonts w:ascii="Palatino Linotype" w:hAnsi="Palatino Linotype"/>
                <w:b/>
                <w:sz w:val="22"/>
                <w:szCs w:val="22"/>
              </w:rPr>
            </w:pPr>
            <w:r w:rsidRPr="007D3AA4">
              <w:rPr>
                <w:rFonts w:ascii="Palatino Linotype" w:hAnsi="Palatino Linotype"/>
                <w:b/>
                <w:sz w:val="22"/>
                <w:szCs w:val="22"/>
              </w:rPr>
              <w:t>Este:</w:t>
            </w:r>
          </w:p>
        </w:tc>
        <w:tc>
          <w:tcPr>
            <w:tcW w:w="2551" w:type="dxa"/>
            <w:shd w:val="clear" w:color="auto" w:fill="auto"/>
          </w:tcPr>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Lote “40”</w:t>
            </w:r>
          </w:p>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Lote “41”</w:t>
            </w:r>
          </w:p>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Lote “41”</w:t>
            </w:r>
          </w:p>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Pasaje S/N 02</w:t>
            </w:r>
          </w:p>
        </w:tc>
        <w:tc>
          <w:tcPr>
            <w:tcW w:w="1276" w:type="dxa"/>
            <w:tcBorders>
              <w:right w:val="single" w:sz="4" w:space="0" w:color="auto"/>
            </w:tcBorders>
            <w:shd w:val="clear" w:color="auto" w:fill="auto"/>
            <w:vAlign w:val="center"/>
          </w:tcPr>
          <w:p w:rsidR="003F5FA4" w:rsidRPr="007D3AA4" w:rsidRDefault="003F5FA4" w:rsidP="00293270">
            <w:pPr>
              <w:spacing w:after="120" w:line="276" w:lineRule="auto"/>
              <w:rPr>
                <w:rFonts w:ascii="Palatino Linotype" w:hAnsi="Palatino Linotype"/>
                <w:sz w:val="22"/>
                <w:szCs w:val="22"/>
              </w:rPr>
            </w:pPr>
            <w:r w:rsidRPr="007D3AA4">
              <w:rPr>
                <w:rFonts w:ascii="Palatino Linotype" w:hAnsi="Palatino Linotype"/>
                <w:sz w:val="22"/>
                <w:szCs w:val="22"/>
              </w:rPr>
              <w:t xml:space="preserve">   16,75 m </w:t>
            </w:r>
          </w:p>
          <w:p w:rsidR="003F5FA4" w:rsidRPr="007D3AA4" w:rsidRDefault="003F5FA4" w:rsidP="00293270">
            <w:pPr>
              <w:spacing w:after="120" w:line="276" w:lineRule="auto"/>
              <w:rPr>
                <w:rFonts w:ascii="Palatino Linotype" w:hAnsi="Palatino Linotype"/>
                <w:sz w:val="22"/>
                <w:szCs w:val="22"/>
              </w:rPr>
            </w:pPr>
            <w:r w:rsidRPr="007D3AA4">
              <w:rPr>
                <w:rFonts w:ascii="Palatino Linotype" w:hAnsi="Palatino Linotype"/>
                <w:sz w:val="22"/>
                <w:szCs w:val="22"/>
              </w:rPr>
              <w:t xml:space="preserve">   11,26 m</w:t>
            </w:r>
          </w:p>
          <w:p w:rsidR="003F5FA4" w:rsidRPr="007D3AA4" w:rsidRDefault="003F5FA4" w:rsidP="00293270">
            <w:pPr>
              <w:spacing w:after="120" w:line="276" w:lineRule="auto"/>
              <w:rPr>
                <w:rFonts w:ascii="Palatino Linotype" w:hAnsi="Palatino Linotype"/>
                <w:sz w:val="22"/>
                <w:szCs w:val="22"/>
              </w:rPr>
            </w:pPr>
            <w:r w:rsidRPr="007D3AA4">
              <w:rPr>
                <w:rFonts w:ascii="Palatino Linotype" w:hAnsi="Palatino Linotype"/>
                <w:sz w:val="22"/>
                <w:szCs w:val="22"/>
              </w:rPr>
              <w:t xml:space="preserve">   16,00 m</w:t>
            </w:r>
          </w:p>
          <w:p w:rsidR="003F5FA4" w:rsidRPr="007D3AA4" w:rsidRDefault="003F5FA4" w:rsidP="00293270">
            <w:pPr>
              <w:spacing w:after="120" w:line="276" w:lineRule="auto"/>
              <w:rPr>
                <w:rFonts w:ascii="Palatino Linotype" w:hAnsi="Palatino Linotype"/>
                <w:sz w:val="22"/>
                <w:szCs w:val="22"/>
              </w:rPr>
            </w:pPr>
            <w:r w:rsidRPr="007D3AA4">
              <w:rPr>
                <w:rFonts w:ascii="Palatino Linotype" w:hAnsi="Palatino Linotype"/>
                <w:sz w:val="22"/>
                <w:szCs w:val="22"/>
              </w:rPr>
              <w:t xml:space="preserve">     3,00 m</w:t>
            </w:r>
          </w:p>
        </w:tc>
        <w:tc>
          <w:tcPr>
            <w:tcW w:w="1134" w:type="dxa"/>
            <w:tcBorders>
              <w:lef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 xml:space="preserve">47,01 m. </w:t>
            </w:r>
          </w:p>
        </w:tc>
        <w:tc>
          <w:tcPr>
            <w:tcW w:w="1701"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r>
      <w:tr w:rsidR="003F5FA4" w:rsidRPr="007D3AA4" w:rsidTr="007126B6">
        <w:tc>
          <w:tcPr>
            <w:tcW w:w="1384"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c>
          <w:tcPr>
            <w:tcW w:w="851" w:type="dxa"/>
            <w:shd w:val="clear" w:color="auto" w:fill="auto"/>
          </w:tcPr>
          <w:p w:rsidR="003F5FA4" w:rsidRPr="007D3AA4" w:rsidRDefault="003F5FA4" w:rsidP="00293270">
            <w:pPr>
              <w:spacing w:after="120" w:line="276" w:lineRule="auto"/>
              <w:rPr>
                <w:rFonts w:ascii="Palatino Linotype" w:hAnsi="Palatino Linotype"/>
                <w:b/>
                <w:sz w:val="22"/>
                <w:szCs w:val="22"/>
              </w:rPr>
            </w:pPr>
            <w:r w:rsidRPr="007D3AA4">
              <w:rPr>
                <w:rFonts w:ascii="Palatino Linotype" w:hAnsi="Palatino Linotype"/>
                <w:b/>
                <w:sz w:val="22"/>
                <w:szCs w:val="22"/>
              </w:rPr>
              <w:t>Oeste:</w:t>
            </w:r>
          </w:p>
        </w:tc>
        <w:tc>
          <w:tcPr>
            <w:tcW w:w="2551" w:type="dxa"/>
            <w:shd w:val="clear" w:color="auto" w:fill="auto"/>
          </w:tcPr>
          <w:p w:rsidR="003F5FA4" w:rsidRPr="007D3AA4" w:rsidRDefault="003F5FA4" w:rsidP="007126B6">
            <w:pPr>
              <w:spacing w:after="120" w:line="276" w:lineRule="auto"/>
              <w:jc w:val="both"/>
              <w:rPr>
                <w:rFonts w:ascii="Palatino Linotype" w:hAnsi="Palatino Linotype"/>
                <w:sz w:val="22"/>
                <w:szCs w:val="22"/>
              </w:rPr>
            </w:pPr>
            <w:r w:rsidRPr="007D3AA4">
              <w:rPr>
                <w:rFonts w:ascii="Palatino Linotype" w:hAnsi="Palatino Linotype"/>
                <w:sz w:val="22"/>
                <w:szCs w:val="22"/>
              </w:rPr>
              <w:t>Calle “S/N”</w:t>
            </w:r>
          </w:p>
        </w:tc>
        <w:tc>
          <w:tcPr>
            <w:tcW w:w="1276" w:type="dxa"/>
            <w:tcBorders>
              <w:righ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w:t>
            </w:r>
          </w:p>
        </w:tc>
        <w:tc>
          <w:tcPr>
            <w:tcW w:w="1134" w:type="dxa"/>
            <w:tcBorders>
              <w:left w:val="single" w:sz="4" w:space="0" w:color="auto"/>
            </w:tcBorders>
            <w:shd w:val="clear" w:color="auto" w:fill="auto"/>
            <w:vAlign w:val="center"/>
          </w:tcPr>
          <w:p w:rsidR="003F5FA4" w:rsidRPr="007D3AA4" w:rsidRDefault="003F5FA4" w:rsidP="00293270">
            <w:pPr>
              <w:spacing w:after="120" w:line="276" w:lineRule="auto"/>
              <w:jc w:val="center"/>
              <w:rPr>
                <w:rFonts w:ascii="Palatino Linotype" w:hAnsi="Palatino Linotype"/>
                <w:sz w:val="22"/>
                <w:szCs w:val="22"/>
              </w:rPr>
            </w:pPr>
            <w:r w:rsidRPr="007D3AA4">
              <w:rPr>
                <w:rFonts w:ascii="Palatino Linotype" w:hAnsi="Palatino Linotype"/>
                <w:sz w:val="22"/>
                <w:szCs w:val="22"/>
              </w:rPr>
              <w:t xml:space="preserve">37,42 m. </w:t>
            </w:r>
          </w:p>
        </w:tc>
        <w:tc>
          <w:tcPr>
            <w:tcW w:w="1701" w:type="dxa"/>
            <w:vMerge/>
            <w:shd w:val="clear" w:color="auto" w:fill="auto"/>
          </w:tcPr>
          <w:p w:rsidR="003F5FA4" w:rsidRPr="007D3AA4" w:rsidRDefault="003F5FA4" w:rsidP="00293270">
            <w:pPr>
              <w:spacing w:after="120" w:line="276" w:lineRule="auto"/>
              <w:rPr>
                <w:rFonts w:ascii="Palatino Linotype" w:hAnsi="Palatino Linotype"/>
                <w:sz w:val="22"/>
                <w:szCs w:val="22"/>
              </w:rPr>
            </w:pPr>
          </w:p>
        </w:tc>
      </w:tr>
    </w:tbl>
    <w:p w:rsidR="003F5FA4" w:rsidRPr="007D3AA4" w:rsidRDefault="003F5FA4" w:rsidP="003F5FA4">
      <w:pPr>
        <w:spacing w:after="120" w:line="276" w:lineRule="auto"/>
        <w:jc w:val="both"/>
        <w:rPr>
          <w:rFonts w:ascii="Palatino Linotype" w:hAnsi="Palatino Linotype"/>
          <w:sz w:val="22"/>
          <w:szCs w:val="22"/>
        </w:rPr>
      </w:pP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
          <w:bCs/>
          <w:sz w:val="22"/>
          <w:szCs w:val="22"/>
        </w:rPr>
        <w:lastRenderedPageBreak/>
        <w:t xml:space="preserve">Artículo 7.- Informe Técnico de Evaluación de Riesgos de la Secretaría General de Seguridad y Gobernabilidad.- </w:t>
      </w:r>
      <w:r w:rsidRPr="007D3AA4">
        <w:rPr>
          <w:rFonts w:ascii="Palatino Linotype" w:hAnsi="Palatino Linotype"/>
          <w:bCs/>
          <w:sz w:val="22"/>
          <w:szCs w:val="22"/>
        </w:rPr>
        <w:t xml:space="preserve"> 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Quitumbe</w:t>
      </w:r>
      <w:r w:rsidRPr="007D3AA4">
        <w:rPr>
          <w:rFonts w:ascii="Palatino Linotype" w:hAnsi="Palatino Linotype"/>
          <w:color w:val="2A2A2A"/>
          <w:sz w:val="22"/>
          <w:szCs w:val="22"/>
        </w:rPr>
        <w:t xml:space="preserve"> </w:t>
      </w:r>
      <w:r w:rsidRPr="007D3AA4">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Cs/>
          <w:sz w:val="22"/>
          <w:szCs w:val="22"/>
        </w:rPr>
        <w:t xml:space="preserve">El </w:t>
      </w:r>
      <w:r w:rsidRPr="007D3AA4">
        <w:rPr>
          <w:rFonts w:ascii="Palatino Linotype" w:hAnsi="Palatino Linotype"/>
          <w:sz w:val="22"/>
          <w:szCs w:val="22"/>
        </w:rPr>
        <w:t xml:space="preserve">Comité del Barrio “Nuestras Cumbres del Sur Occidente” (Etapa I) </w:t>
      </w:r>
      <w:r w:rsidRPr="007D3AA4">
        <w:rPr>
          <w:rFonts w:ascii="Palatino Linotype" w:hAnsi="Palatino Linotype"/>
          <w:bCs/>
          <w:sz w:val="22"/>
          <w:szCs w:val="22"/>
        </w:rPr>
        <w:t xml:space="preserve">deberá cumplir con lo establecido dentro de la calificación del riesgo y acatar las recomendaciones que se encuentran determinadas </w:t>
      </w:r>
      <w:r w:rsidRPr="007D3AA4">
        <w:rPr>
          <w:rFonts w:ascii="Palatino Linotype" w:hAnsi="Palatino Linotype"/>
          <w:color w:val="000000"/>
          <w:sz w:val="22"/>
          <w:szCs w:val="22"/>
          <w:shd w:val="clear" w:color="auto" w:fill="FFFFFF"/>
        </w:rPr>
        <w:t xml:space="preserve">en el informe de la Dirección Metropolitana de Gestión de Riesgos </w:t>
      </w:r>
      <w:r w:rsidRPr="007D3AA4">
        <w:rPr>
          <w:rFonts w:ascii="Palatino Linotype" w:hAnsi="Palatino Linotype"/>
          <w:sz w:val="22"/>
          <w:szCs w:val="22"/>
        </w:rPr>
        <w:t>No.</w:t>
      </w:r>
      <w:r w:rsidR="007126B6">
        <w:rPr>
          <w:rFonts w:ascii="Palatino Linotype" w:hAnsi="Palatino Linotype"/>
          <w:sz w:val="22"/>
          <w:szCs w:val="22"/>
        </w:rPr>
        <w:t xml:space="preserve"> </w:t>
      </w:r>
      <w:r w:rsidRPr="007D3AA4">
        <w:rPr>
          <w:rFonts w:ascii="Palatino Linotype" w:hAnsi="Palatino Linotype"/>
          <w:sz w:val="22"/>
          <w:szCs w:val="22"/>
        </w:rPr>
        <w:t>185- AT-DMGR-2018, de fecha 13</w:t>
      </w:r>
      <w:r w:rsidR="007126B6">
        <w:rPr>
          <w:rFonts w:ascii="Palatino Linotype" w:hAnsi="Palatino Linotype"/>
          <w:sz w:val="22"/>
          <w:szCs w:val="22"/>
        </w:rPr>
        <w:t xml:space="preserve"> de julio de </w:t>
      </w:r>
      <w:r w:rsidRPr="007D3AA4">
        <w:rPr>
          <w:rFonts w:ascii="Palatino Linotype" w:hAnsi="Palatino Linotype"/>
          <w:sz w:val="22"/>
          <w:szCs w:val="22"/>
        </w:rPr>
        <w:t>2018, que establece que:</w:t>
      </w:r>
    </w:p>
    <w:p w:rsidR="003F5FA4" w:rsidRPr="007D3AA4" w:rsidRDefault="003F5FA4" w:rsidP="007126B6">
      <w:pPr>
        <w:spacing w:after="120" w:line="276" w:lineRule="auto"/>
        <w:ind w:left="708"/>
        <w:jc w:val="both"/>
        <w:rPr>
          <w:rFonts w:ascii="Palatino Linotype" w:hAnsi="Palatino Linotype"/>
          <w:b/>
          <w:i/>
          <w:sz w:val="22"/>
          <w:szCs w:val="22"/>
        </w:rPr>
      </w:pPr>
      <w:r w:rsidRPr="007D3AA4">
        <w:rPr>
          <w:rFonts w:ascii="Palatino Linotype" w:hAnsi="Palatino Linotype"/>
          <w:b/>
          <w:i/>
          <w:sz w:val="22"/>
          <w:szCs w:val="22"/>
        </w:rPr>
        <w:t>“6 CALIFICACIÓN DEL RIESGO</w:t>
      </w:r>
    </w:p>
    <w:p w:rsidR="003F5FA4" w:rsidRPr="007D3AA4" w:rsidRDefault="003F5FA4" w:rsidP="007126B6">
      <w:pPr>
        <w:spacing w:after="120" w:line="276" w:lineRule="auto"/>
        <w:ind w:left="708"/>
        <w:jc w:val="both"/>
        <w:rPr>
          <w:rFonts w:ascii="Palatino Linotype" w:hAnsi="Palatino Linotype"/>
          <w:i/>
          <w:sz w:val="22"/>
          <w:szCs w:val="22"/>
        </w:rPr>
      </w:pPr>
      <w:r w:rsidRPr="007D3AA4">
        <w:rPr>
          <w:rFonts w:ascii="Palatino Linotype" w:hAnsi="Palatino Linotype"/>
          <w:i/>
          <w:sz w:val="22"/>
          <w:szCs w:val="22"/>
        </w:rPr>
        <w:t xml:space="preserve">La zona en estudio, una vez realizada la inspección técnica al AHHYC “Nuestras Cumbres del Sur Occidente Etapa 1” de la parroquia </w:t>
      </w:r>
      <w:proofErr w:type="spellStart"/>
      <w:r w:rsidRPr="007D3AA4">
        <w:rPr>
          <w:rFonts w:ascii="Palatino Linotype" w:hAnsi="Palatino Linotype"/>
          <w:i/>
          <w:sz w:val="22"/>
          <w:szCs w:val="22"/>
        </w:rPr>
        <w:t>Chillogallo</w:t>
      </w:r>
      <w:proofErr w:type="spellEnd"/>
      <w:r w:rsidRPr="007D3AA4">
        <w:rPr>
          <w:rFonts w:ascii="Palatino Linotype" w:hAnsi="Palatino Linotype"/>
          <w:i/>
          <w:sz w:val="22"/>
          <w:szCs w:val="22"/>
        </w:rPr>
        <w:t>, considerando las amenazas, elementos expuestos y vulnerabilidades se determina que:</w:t>
      </w:r>
    </w:p>
    <w:p w:rsidR="003F5FA4" w:rsidRPr="007D3AA4" w:rsidRDefault="003F5FA4" w:rsidP="007126B6">
      <w:pPr>
        <w:pStyle w:val="Prrafodelista"/>
        <w:numPr>
          <w:ilvl w:val="0"/>
          <w:numId w:val="10"/>
        </w:numPr>
        <w:spacing w:after="120" w:line="276" w:lineRule="auto"/>
        <w:ind w:left="1416" w:hanging="284"/>
        <w:jc w:val="both"/>
        <w:rPr>
          <w:rFonts w:ascii="Palatino Linotype" w:hAnsi="Palatino Linotype"/>
          <w:i/>
          <w:sz w:val="22"/>
          <w:szCs w:val="22"/>
        </w:rPr>
      </w:pPr>
      <w:r w:rsidRPr="007D3AA4">
        <w:rPr>
          <w:rFonts w:ascii="Palatino Linotype" w:hAnsi="Palatino Linotype"/>
          <w:b/>
          <w:i/>
          <w:sz w:val="22"/>
          <w:szCs w:val="22"/>
        </w:rPr>
        <w:t xml:space="preserve">Riesgo por movimientos en masa: </w:t>
      </w:r>
      <w:r w:rsidRPr="007D3AA4">
        <w:rPr>
          <w:rFonts w:ascii="Palatino Linotype" w:hAnsi="Palatino Linotype"/>
          <w:i/>
          <w:sz w:val="22"/>
          <w:szCs w:val="22"/>
        </w:rPr>
        <w:t xml:space="preserve">el AHHYC “Nuestras Cumbres del Sur Occidente Etapa 1” en general presenta un </w:t>
      </w:r>
      <w:r w:rsidRPr="007D3AA4">
        <w:rPr>
          <w:rFonts w:ascii="Palatino Linotype" w:hAnsi="Palatino Linotype"/>
          <w:i/>
          <w:sz w:val="22"/>
          <w:szCs w:val="22"/>
          <w:u w:val="single"/>
        </w:rPr>
        <w:t>Riesgo Moderado Mitigable</w:t>
      </w:r>
      <w:r w:rsidRPr="007D3AA4">
        <w:rPr>
          <w:rFonts w:ascii="Palatino Linotype" w:hAnsi="Palatino Linotype"/>
          <w:i/>
          <w:sz w:val="22"/>
          <w:szCs w:val="22"/>
        </w:rPr>
        <w:t>, sin embargo</w:t>
      </w:r>
      <w:r w:rsidR="007126B6">
        <w:rPr>
          <w:rFonts w:ascii="Palatino Linotype" w:hAnsi="Palatino Linotype"/>
          <w:i/>
          <w:sz w:val="22"/>
          <w:szCs w:val="22"/>
        </w:rPr>
        <w:t>,</w:t>
      </w:r>
      <w:r w:rsidRPr="007D3AA4">
        <w:rPr>
          <w:rFonts w:ascii="Palatino Linotype" w:hAnsi="Palatino Linotype"/>
          <w:i/>
          <w:sz w:val="22"/>
          <w:szCs w:val="22"/>
        </w:rPr>
        <w:t xml:space="preserve"> para los lotes con cortes de terreno sin protección y/o estabilización se tiene un riesgo </w:t>
      </w:r>
      <w:r w:rsidRPr="007D3AA4">
        <w:rPr>
          <w:rFonts w:ascii="Palatino Linotype" w:hAnsi="Palatino Linotype"/>
          <w:i/>
          <w:sz w:val="22"/>
          <w:szCs w:val="22"/>
          <w:u w:val="single"/>
        </w:rPr>
        <w:t>Alto Mitigable</w:t>
      </w:r>
      <w:r w:rsidRPr="007D3AA4">
        <w:rPr>
          <w:rFonts w:ascii="Palatino Linotype" w:hAnsi="Palatino Linotype"/>
          <w:i/>
          <w:sz w:val="22"/>
          <w:szCs w:val="22"/>
        </w:rPr>
        <w:t xml:space="preserve">.  </w:t>
      </w:r>
    </w:p>
    <w:p w:rsidR="003F5FA4" w:rsidRPr="007D3AA4" w:rsidRDefault="003F5FA4" w:rsidP="007126B6">
      <w:pPr>
        <w:pStyle w:val="Prrafodelista"/>
        <w:numPr>
          <w:ilvl w:val="0"/>
          <w:numId w:val="10"/>
        </w:numPr>
        <w:spacing w:after="120" w:line="276" w:lineRule="auto"/>
        <w:ind w:left="1416" w:hanging="284"/>
        <w:jc w:val="both"/>
        <w:rPr>
          <w:rFonts w:ascii="Palatino Linotype" w:hAnsi="Palatino Linotype"/>
          <w:i/>
          <w:sz w:val="22"/>
          <w:szCs w:val="22"/>
        </w:rPr>
      </w:pPr>
      <w:r w:rsidRPr="007D3AA4">
        <w:rPr>
          <w:rFonts w:ascii="Palatino Linotype" w:hAnsi="Palatino Linotype"/>
          <w:b/>
          <w:i/>
          <w:sz w:val="22"/>
          <w:szCs w:val="22"/>
        </w:rPr>
        <w:t>Riesgo por eventos sísmicos:</w:t>
      </w:r>
      <w:r w:rsidRPr="007D3AA4">
        <w:rPr>
          <w:rFonts w:ascii="Palatino Linotype" w:hAnsi="Palatino Linotype"/>
          <w:i/>
          <w:sz w:val="22"/>
          <w:szCs w:val="22"/>
        </w:rPr>
        <w:t xml:space="preserve"> de manera general, todo el AHHYC “Nuestras Cumbres del Sur Occidente Etapa 1” de la parroquia </w:t>
      </w:r>
      <w:proofErr w:type="spellStart"/>
      <w:r w:rsidRPr="007D3AA4">
        <w:rPr>
          <w:rFonts w:ascii="Palatino Linotype" w:hAnsi="Palatino Linotype"/>
          <w:i/>
          <w:sz w:val="22"/>
          <w:szCs w:val="22"/>
        </w:rPr>
        <w:t>Chillogallo</w:t>
      </w:r>
      <w:proofErr w:type="spellEnd"/>
      <w:r w:rsidRPr="007D3AA4">
        <w:rPr>
          <w:rFonts w:ascii="Palatino Linotype" w:hAnsi="Palatino Linotype"/>
          <w:i/>
          <w:sz w:val="22"/>
          <w:szCs w:val="22"/>
        </w:rPr>
        <w:t xml:space="preserve"> presenta condiciones de </w:t>
      </w:r>
      <w:r w:rsidRPr="007D3AA4">
        <w:rPr>
          <w:rFonts w:ascii="Palatino Linotype" w:hAnsi="Palatino Linotype"/>
          <w:i/>
          <w:sz w:val="22"/>
          <w:szCs w:val="22"/>
          <w:u w:val="single"/>
        </w:rPr>
        <w:t>Riesgo Alto</w:t>
      </w:r>
      <w:r w:rsidRPr="007D3AA4">
        <w:rPr>
          <w:rFonts w:ascii="Palatino Linotype" w:hAnsi="Palatino Linotype"/>
          <w:i/>
          <w:sz w:val="22"/>
          <w:szCs w:val="22"/>
        </w:rPr>
        <w:t>, debido a la informalidad de las construcciones y al estado de conservación de varias viviendas.</w:t>
      </w:r>
    </w:p>
    <w:p w:rsidR="003F5FA4" w:rsidRPr="007D3AA4" w:rsidRDefault="003F5FA4" w:rsidP="007126B6">
      <w:pPr>
        <w:pStyle w:val="Prrafodelista"/>
        <w:numPr>
          <w:ilvl w:val="0"/>
          <w:numId w:val="10"/>
        </w:numPr>
        <w:spacing w:after="120" w:line="276" w:lineRule="auto"/>
        <w:ind w:left="1417" w:hanging="283"/>
        <w:contextualSpacing/>
        <w:jc w:val="both"/>
        <w:rPr>
          <w:rFonts w:ascii="Palatino Linotype" w:hAnsi="Palatino Linotype"/>
          <w:i/>
          <w:sz w:val="22"/>
          <w:szCs w:val="22"/>
        </w:rPr>
      </w:pPr>
      <w:r w:rsidRPr="007D3AA4">
        <w:rPr>
          <w:rFonts w:ascii="Palatino Linotype" w:hAnsi="Palatino Linotype"/>
          <w:b/>
          <w:i/>
          <w:sz w:val="22"/>
          <w:szCs w:val="22"/>
        </w:rPr>
        <w:t>Riesgo por fenómenos volcánicos:</w:t>
      </w:r>
      <w:r w:rsidRPr="007D3AA4">
        <w:rPr>
          <w:rFonts w:ascii="Palatino Linotype" w:hAnsi="Palatino Linotype"/>
          <w:i/>
          <w:sz w:val="22"/>
          <w:szCs w:val="22"/>
        </w:rPr>
        <w:t xml:space="preserve"> el riesgo ante esta amenaza para todo el AHHYC “Nuestras Cumbres del Sur Occidente Etapa 1” es </w:t>
      </w:r>
      <w:r w:rsidRPr="007D3AA4">
        <w:rPr>
          <w:rFonts w:ascii="Palatino Linotype" w:hAnsi="Palatino Linotype"/>
          <w:i/>
          <w:sz w:val="22"/>
          <w:szCs w:val="22"/>
          <w:u w:val="single"/>
        </w:rPr>
        <w:t>Riesgo Moderado</w:t>
      </w:r>
      <w:r w:rsidRPr="007D3AA4">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3F5FA4" w:rsidRPr="007D3AA4" w:rsidRDefault="003F5FA4" w:rsidP="007126B6">
      <w:pPr>
        <w:spacing w:after="120" w:line="276" w:lineRule="auto"/>
        <w:ind w:left="708"/>
        <w:jc w:val="both"/>
        <w:rPr>
          <w:rFonts w:ascii="Palatino Linotype" w:hAnsi="Palatino Linotype"/>
          <w:bCs/>
          <w:i/>
          <w:sz w:val="22"/>
          <w:szCs w:val="22"/>
        </w:rPr>
      </w:pPr>
      <w:r w:rsidRPr="007D3AA4">
        <w:rPr>
          <w:rFonts w:ascii="Palatino Linotype" w:hAnsi="Palatino Linotype"/>
          <w:bCs/>
          <w:i/>
          <w:sz w:val="22"/>
          <w:szCs w:val="22"/>
        </w:rPr>
        <w:t>Por lo tanto, la DMGR sugiere que se puede continuar con el proceso de regularización de los lotes analizados del AHHYC “</w:t>
      </w:r>
      <w:r w:rsidRPr="007D3AA4">
        <w:rPr>
          <w:rFonts w:ascii="Palatino Linotype" w:hAnsi="Palatino Linotype"/>
          <w:i/>
          <w:sz w:val="22"/>
          <w:szCs w:val="22"/>
        </w:rPr>
        <w:t>Nuestras Cumbres del Sur Occidente Etapa 1</w:t>
      </w:r>
      <w:r w:rsidRPr="007D3AA4">
        <w:rPr>
          <w:rFonts w:ascii="Palatino Linotype" w:hAnsi="Palatino Linotype"/>
          <w:bCs/>
          <w:i/>
          <w:sz w:val="22"/>
          <w:szCs w:val="22"/>
        </w:rPr>
        <w:t xml:space="preserve">”, ya que </w:t>
      </w:r>
      <w:r w:rsidRPr="007D3AA4">
        <w:rPr>
          <w:rFonts w:ascii="Palatino Linotype" w:hAnsi="Palatino Linotype"/>
          <w:bCs/>
          <w:i/>
          <w:sz w:val="22"/>
          <w:szCs w:val="22"/>
        </w:rPr>
        <w:lastRenderedPageBreak/>
        <w:t xml:space="preserve">siguiendo las recomendaciones que se describen en este informe, contribuirá a garantizar la reducción del riesgo en la zona en análisis. </w:t>
      </w:r>
    </w:p>
    <w:p w:rsidR="007126B6" w:rsidRDefault="003F5FA4" w:rsidP="007126B6">
      <w:pPr>
        <w:spacing w:after="120" w:line="276" w:lineRule="auto"/>
        <w:ind w:left="708"/>
        <w:jc w:val="both"/>
        <w:rPr>
          <w:rFonts w:ascii="Palatino Linotype" w:hAnsi="Palatino Linotype"/>
          <w:i/>
          <w:sz w:val="22"/>
          <w:szCs w:val="22"/>
        </w:rPr>
      </w:pPr>
      <w:r w:rsidRPr="007D3AA4">
        <w:rPr>
          <w:rFonts w:ascii="Palatino Linotype" w:hAnsi="Palatino Linotype"/>
          <w:bCs/>
          <w:i/>
          <w:sz w:val="22"/>
          <w:szCs w:val="22"/>
        </w:rPr>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3F5FA4" w:rsidRPr="007126B6" w:rsidRDefault="003F5FA4" w:rsidP="007126B6">
      <w:pPr>
        <w:spacing w:after="120" w:line="276" w:lineRule="auto"/>
        <w:ind w:left="708"/>
        <w:jc w:val="both"/>
        <w:rPr>
          <w:rFonts w:ascii="Palatino Linotype" w:hAnsi="Palatino Linotype"/>
          <w:i/>
          <w:sz w:val="22"/>
          <w:szCs w:val="22"/>
        </w:rPr>
      </w:pPr>
      <w:r w:rsidRPr="007D3AA4">
        <w:rPr>
          <w:rFonts w:ascii="Palatino Linotype" w:hAnsi="Palatino Linotype"/>
          <w:b/>
          <w:bCs/>
          <w:i/>
          <w:sz w:val="22"/>
          <w:szCs w:val="22"/>
        </w:rPr>
        <w:t>Medidas Estructurales:</w:t>
      </w:r>
      <w:r w:rsidRPr="007D3AA4">
        <w:rPr>
          <w:rFonts w:ascii="Palatino Linotype" w:hAnsi="Palatino Linotype"/>
          <w:bCs/>
          <w:i/>
          <w:sz w:val="22"/>
          <w:szCs w:val="22"/>
        </w:rPr>
        <w:t xml:space="preserve"> Acciones de ingeniería para reducir impactos de las amenazas como:</w:t>
      </w:r>
    </w:p>
    <w:p w:rsidR="003F5FA4" w:rsidRPr="007D3AA4" w:rsidRDefault="003F5FA4" w:rsidP="007126B6">
      <w:pPr>
        <w:pStyle w:val="Prrafodelista"/>
        <w:numPr>
          <w:ilvl w:val="0"/>
          <w:numId w:val="9"/>
        </w:numPr>
        <w:spacing w:after="120" w:line="276" w:lineRule="auto"/>
        <w:ind w:left="1995"/>
        <w:jc w:val="both"/>
        <w:rPr>
          <w:rFonts w:ascii="Palatino Linotype" w:hAnsi="Palatino Linotype"/>
          <w:bCs/>
          <w:i/>
          <w:sz w:val="22"/>
          <w:szCs w:val="22"/>
        </w:rPr>
      </w:pPr>
      <w:r w:rsidRPr="007D3AA4">
        <w:rPr>
          <w:rFonts w:ascii="Palatino Linotype" w:hAnsi="Palatino Linotype"/>
          <w:bCs/>
          <w:i/>
          <w:sz w:val="22"/>
          <w:szCs w:val="22"/>
        </w:rPr>
        <w:t>Protección y control: Intervención directa de la amenaza (Diques, muros de contención, canalización de aguas.)</w:t>
      </w:r>
    </w:p>
    <w:p w:rsidR="003F5FA4" w:rsidRPr="007D3AA4" w:rsidRDefault="003F5FA4" w:rsidP="007126B6">
      <w:pPr>
        <w:pStyle w:val="Prrafodelista"/>
        <w:numPr>
          <w:ilvl w:val="0"/>
          <w:numId w:val="9"/>
        </w:numPr>
        <w:spacing w:after="120" w:line="276" w:lineRule="auto"/>
        <w:ind w:left="1995"/>
        <w:jc w:val="both"/>
        <w:rPr>
          <w:rFonts w:ascii="Palatino Linotype" w:hAnsi="Palatino Linotype"/>
          <w:bCs/>
          <w:i/>
          <w:sz w:val="22"/>
          <w:szCs w:val="22"/>
        </w:rPr>
      </w:pPr>
      <w:r w:rsidRPr="007D3AA4">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3F5FA4" w:rsidRPr="007D3AA4" w:rsidRDefault="003F5FA4" w:rsidP="007126B6">
      <w:pPr>
        <w:spacing w:after="120" w:line="276" w:lineRule="auto"/>
        <w:ind w:left="708"/>
        <w:jc w:val="both"/>
        <w:rPr>
          <w:rFonts w:ascii="Palatino Linotype" w:hAnsi="Palatino Linotype"/>
          <w:bCs/>
          <w:i/>
          <w:sz w:val="22"/>
          <w:szCs w:val="22"/>
        </w:rPr>
      </w:pPr>
      <w:r w:rsidRPr="007D3AA4">
        <w:rPr>
          <w:rFonts w:ascii="Palatino Linotype" w:hAnsi="Palatino Linotype"/>
          <w:b/>
          <w:bCs/>
          <w:i/>
          <w:sz w:val="22"/>
          <w:szCs w:val="22"/>
        </w:rPr>
        <w:t>Medidas No estructurales:</w:t>
      </w:r>
      <w:r w:rsidRPr="007D3AA4">
        <w:rPr>
          <w:rFonts w:ascii="Palatino Linotype" w:hAnsi="Palatino Linotype"/>
          <w:bCs/>
          <w:i/>
          <w:sz w:val="22"/>
          <w:szCs w:val="22"/>
        </w:rPr>
        <w:t xml:space="preserve"> Desarrollo del conocimiento, políticas, leyes y mecanismos participativos.</w:t>
      </w:r>
    </w:p>
    <w:p w:rsidR="003F5FA4" w:rsidRPr="007D3AA4" w:rsidRDefault="003F5FA4" w:rsidP="007126B6">
      <w:pPr>
        <w:pStyle w:val="Prrafodelista"/>
        <w:numPr>
          <w:ilvl w:val="0"/>
          <w:numId w:val="9"/>
        </w:numPr>
        <w:spacing w:after="120" w:line="276" w:lineRule="auto"/>
        <w:ind w:left="1995"/>
        <w:jc w:val="both"/>
        <w:rPr>
          <w:rFonts w:ascii="Palatino Linotype" w:hAnsi="Palatino Linotype"/>
          <w:bCs/>
          <w:i/>
          <w:sz w:val="22"/>
          <w:szCs w:val="22"/>
        </w:rPr>
      </w:pPr>
      <w:r w:rsidRPr="007D3AA4">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3F5FA4" w:rsidRPr="007D3AA4" w:rsidRDefault="003F5FA4" w:rsidP="007126B6">
      <w:pPr>
        <w:pStyle w:val="Prrafodelista"/>
        <w:numPr>
          <w:ilvl w:val="0"/>
          <w:numId w:val="9"/>
        </w:numPr>
        <w:spacing w:after="120" w:line="276" w:lineRule="auto"/>
        <w:ind w:left="1995"/>
        <w:jc w:val="both"/>
        <w:rPr>
          <w:rFonts w:ascii="Palatino Linotype" w:hAnsi="Palatino Linotype"/>
          <w:bCs/>
          <w:i/>
          <w:sz w:val="22"/>
          <w:szCs w:val="22"/>
        </w:rPr>
      </w:pPr>
      <w:r w:rsidRPr="007D3AA4">
        <w:rPr>
          <w:rFonts w:ascii="Palatino Linotype" w:hAnsi="Palatino Linotype"/>
          <w:bCs/>
          <w:i/>
          <w:sz w:val="22"/>
          <w:szCs w:val="22"/>
        </w:rPr>
        <w:t>Acciones Pasivas: Relacionadas con legislación y planificación (normas de construcción, uso del suelo y ordenamiento territorial, etc.)</w:t>
      </w:r>
    </w:p>
    <w:p w:rsidR="003F5FA4" w:rsidRPr="007D3AA4" w:rsidRDefault="003F5FA4" w:rsidP="007126B6">
      <w:pPr>
        <w:spacing w:after="120" w:line="276" w:lineRule="auto"/>
        <w:ind w:left="708"/>
        <w:jc w:val="both"/>
        <w:rPr>
          <w:rFonts w:ascii="Palatino Linotype" w:hAnsi="Palatino Linotype"/>
          <w:b/>
          <w:bCs/>
          <w:i/>
          <w:sz w:val="22"/>
          <w:szCs w:val="22"/>
        </w:rPr>
      </w:pPr>
      <w:r w:rsidRPr="007D3AA4">
        <w:rPr>
          <w:rFonts w:ascii="Palatino Linotype" w:hAnsi="Palatino Linotype"/>
          <w:b/>
          <w:bCs/>
          <w:i/>
          <w:sz w:val="22"/>
          <w:szCs w:val="22"/>
        </w:rPr>
        <w:t>7 RECOMENDACIONES</w:t>
      </w:r>
    </w:p>
    <w:p w:rsidR="003F5FA4" w:rsidRPr="007D3AA4" w:rsidRDefault="003F5FA4" w:rsidP="007126B6">
      <w:pPr>
        <w:spacing w:after="120" w:line="276" w:lineRule="auto"/>
        <w:ind w:left="708"/>
        <w:jc w:val="both"/>
        <w:rPr>
          <w:rFonts w:ascii="Palatino Linotype" w:hAnsi="Palatino Linotype"/>
          <w:b/>
          <w:bCs/>
          <w:i/>
          <w:sz w:val="22"/>
          <w:szCs w:val="22"/>
        </w:rPr>
      </w:pPr>
      <w:r w:rsidRPr="007D3AA4">
        <w:rPr>
          <w:rFonts w:ascii="Palatino Linotype" w:hAnsi="Palatino Linotype"/>
          <w:b/>
          <w:bCs/>
          <w:i/>
          <w:sz w:val="22"/>
          <w:szCs w:val="22"/>
        </w:rPr>
        <w:t>Para el riesgo por movimientos en masa:</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bCs/>
          <w:i/>
          <w:sz w:val="22"/>
          <w:szCs w:val="22"/>
        </w:rPr>
      </w:pPr>
      <w:r w:rsidRPr="007D3AA4">
        <w:rPr>
          <w:rFonts w:ascii="Palatino Linotype" w:hAnsi="Palatino Linotype"/>
          <w:bCs/>
          <w:i/>
          <w:sz w:val="22"/>
          <w:szCs w:val="22"/>
        </w:rPr>
        <w:t>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i/>
          <w:color w:val="000000"/>
          <w:sz w:val="22"/>
          <w:szCs w:val="22"/>
        </w:rPr>
      </w:pPr>
      <w:r w:rsidRPr="007D3AA4">
        <w:rPr>
          <w:rFonts w:ascii="Palatino Linotype" w:hAnsi="Palatino Linotype"/>
          <w:bCs/>
          <w:i/>
          <w:sz w:val="22"/>
          <w:szCs w:val="22"/>
        </w:rPr>
        <w:t xml:space="preserve">Se recomienda que mediante mingas comunitarias se implemente un sistema adecuado de conducción de escorrentía pluvial (cunetas o zanjas) en los pasajes de tierra afirmada </w:t>
      </w:r>
      <w:r w:rsidRPr="007D3AA4">
        <w:rPr>
          <w:rFonts w:ascii="Palatino Linotype" w:hAnsi="Palatino Linotype"/>
          <w:bCs/>
          <w:i/>
          <w:sz w:val="22"/>
          <w:szCs w:val="22"/>
        </w:rPr>
        <w:lastRenderedPageBreak/>
        <w:t>para prevenir la erosión del suelo, arrastre y acumulación de material sólido en lotes o barrios ubicados en cotas inferiores.</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bCs/>
          <w:i/>
          <w:sz w:val="22"/>
          <w:szCs w:val="22"/>
        </w:rPr>
      </w:pPr>
      <w:r w:rsidRPr="007D3AA4">
        <w:rPr>
          <w:rFonts w:ascii="Palatino Linotype" w:hAnsi="Palatino Linotype"/>
          <w:bCs/>
          <w:i/>
          <w:sz w:val="22"/>
          <w:szCs w:val="22"/>
        </w:rPr>
        <w:t xml:space="preserve">Una vez concluido el proceso de regularización y titularización individual de los lotes del AHHYC </w:t>
      </w:r>
      <w:r w:rsidRPr="007D3AA4">
        <w:rPr>
          <w:rFonts w:ascii="Palatino Linotype" w:hAnsi="Palatino Linotype"/>
          <w:i/>
          <w:sz w:val="22"/>
          <w:szCs w:val="22"/>
        </w:rPr>
        <w:t>“Nuestras Cumbres del Sur Occidente Etapa 1”</w:t>
      </w:r>
      <w:r w:rsidRPr="007D3AA4">
        <w:rPr>
          <w:rFonts w:ascii="Palatino Linotype" w:hAnsi="Palatino Linotype"/>
          <w:bCs/>
          <w:i/>
          <w:sz w:val="22"/>
          <w:szCs w:val="22"/>
        </w:rPr>
        <w:t xml:space="preserve">, el propietario de cada predio deberá cumplir lo establecido en las </w:t>
      </w:r>
      <w:r w:rsidRPr="007D3AA4">
        <w:rPr>
          <w:rFonts w:ascii="Palatino Linotype" w:hAnsi="Palatino Linotype"/>
          <w:bCs/>
          <w:i/>
          <w:sz w:val="22"/>
          <w:szCs w:val="22"/>
          <w:u w:val="single"/>
        </w:rPr>
        <w:t>Condiciones generales de edificabilidad para zonas susceptibles a amenazas naturales</w:t>
      </w:r>
      <w:r w:rsidRPr="007D3AA4">
        <w:rPr>
          <w:rFonts w:ascii="Palatino Linotype" w:hAnsi="Palatino Linotype"/>
          <w:bCs/>
          <w:i/>
          <w:sz w:val="22"/>
          <w:szCs w:val="22"/>
        </w:rPr>
        <w:t xml:space="preserve"> de la Sección 1.3 (RIESGOS) contemplada en la Ordenanza Metropolitana No. 0127 de 2016. </w:t>
      </w:r>
    </w:p>
    <w:p w:rsidR="003F5FA4" w:rsidRPr="007D3AA4" w:rsidRDefault="003F5FA4" w:rsidP="007126B6">
      <w:pPr>
        <w:spacing w:after="120" w:line="276" w:lineRule="auto"/>
        <w:ind w:left="687"/>
        <w:jc w:val="both"/>
        <w:rPr>
          <w:rFonts w:ascii="Palatino Linotype" w:hAnsi="Palatino Linotype"/>
          <w:b/>
          <w:bCs/>
          <w:i/>
          <w:sz w:val="22"/>
          <w:szCs w:val="22"/>
        </w:rPr>
      </w:pPr>
      <w:r w:rsidRPr="007D3AA4">
        <w:rPr>
          <w:rFonts w:ascii="Palatino Linotype" w:hAnsi="Palatino Linotype"/>
          <w:b/>
          <w:bCs/>
          <w:i/>
          <w:sz w:val="22"/>
          <w:szCs w:val="22"/>
        </w:rPr>
        <w:t>Para el riesgo sísmico:</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bCs/>
          <w:i/>
          <w:sz w:val="22"/>
          <w:szCs w:val="22"/>
        </w:rPr>
      </w:pPr>
      <w:r w:rsidRPr="007D3AA4">
        <w:rPr>
          <w:rFonts w:ascii="Palatino Linotype" w:hAnsi="Palatino Linotype"/>
          <w:bCs/>
          <w:i/>
          <w:sz w:val="22"/>
          <w:szCs w:val="22"/>
        </w:rPr>
        <w:t xml:space="preserve">Se recomienda que los propietarios y/o posesionarios actuales no construyan viviendas adicionales en el </w:t>
      </w:r>
      <w:proofErr w:type="spellStart"/>
      <w:r w:rsidRPr="007D3AA4">
        <w:rPr>
          <w:rFonts w:ascii="Palatino Linotype" w:hAnsi="Palatino Linotype"/>
          <w:bCs/>
          <w:i/>
          <w:sz w:val="22"/>
          <w:szCs w:val="22"/>
        </w:rPr>
        <w:t>macrolote</w:t>
      </w:r>
      <w:proofErr w:type="spellEnd"/>
      <w:r w:rsidRPr="007D3AA4">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7D3AA4">
        <w:rPr>
          <w:rFonts w:ascii="Palatino Linotype" w:hAnsi="Palatino Linotype"/>
          <w:i/>
          <w:sz w:val="22"/>
          <w:szCs w:val="22"/>
        </w:rPr>
        <w:t>“Nuestras Cumbres del Sur Occidente Etapa 1”</w:t>
      </w:r>
      <w:r w:rsidRPr="007D3AA4">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i/>
          <w:color w:val="000000"/>
          <w:sz w:val="22"/>
          <w:szCs w:val="22"/>
        </w:rPr>
      </w:pPr>
      <w:r w:rsidRPr="007D3AA4">
        <w:rPr>
          <w:rFonts w:ascii="Palatino Linotype" w:hAnsi="Palatino Linotype"/>
          <w:bCs/>
          <w:i/>
          <w:sz w:val="22"/>
          <w:szCs w:val="22"/>
        </w:rPr>
        <w:t xml:space="preserve">Posterior a la regularización del AHHYC </w:t>
      </w:r>
      <w:r w:rsidRPr="007D3AA4">
        <w:rPr>
          <w:rFonts w:ascii="Palatino Linotype" w:hAnsi="Palatino Linotype"/>
          <w:i/>
          <w:sz w:val="22"/>
          <w:szCs w:val="22"/>
        </w:rPr>
        <w:t>“Nuestras Cumbres del Sur Occidente Etapa 1”</w:t>
      </w:r>
      <w:r w:rsidRPr="007D3AA4">
        <w:rPr>
          <w:rFonts w:ascii="Palatino Linotype" w:hAnsi="Palatino Linotype"/>
          <w:bCs/>
          <w:i/>
          <w:sz w:val="22"/>
          <w:szCs w:val="22"/>
        </w:rPr>
        <w:t xml:space="preserve">, las </w:t>
      </w:r>
      <w:r w:rsidRPr="007D3AA4">
        <w:rPr>
          <w:rFonts w:ascii="Palatino Linotype" w:hAnsi="Palatino Linotype"/>
          <w:i/>
          <w:sz w:val="22"/>
          <w:szCs w:val="22"/>
        </w:rPr>
        <w:t xml:space="preserve">edificaciones en proceso de construcción, aumento en planta o elevación y demás edificaciones dentro del área en análisis, que no </w:t>
      </w:r>
      <w:r w:rsidRPr="007D3AA4">
        <w:rPr>
          <w:rFonts w:ascii="Palatino Linotype" w:hAnsi="Palatino Linotype"/>
          <w:bCs/>
          <w:i/>
          <w:sz w:val="22"/>
          <w:szCs w:val="22"/>
        </w:rPr>
        <w:t>dispongan</w:t>
      </w:r>
      <w:r w:rsidRPr="007D3AA4">
        <w:rPr>
          <w:rFonts w:ascii="Palatino Linotype" w:hAnsi="Palatino Linotype"/>
          <w:i/>
          <w:sz w:val="22"/>
          <w:szCs w:val="22"/>
        </w:rPr>
        <w:t xml:space="preserve"> de un diseño estructural o algún tipo de asesoría técnica, los propietarios deberán </w:t>
      </w:r>
      <w:r w:rsidRPr="007D3AA4">
        <w:rPr>
          <w:rFonts w:ascii="Palatino Linotype" w:hAnsi="Palatino Linotype"/>
          <w:bCs/>
          <w:i/>
          <w:sz w:val="22"/>
          <w:szCs w:val="22"/>
        </w:rPr>
        <w:t>contratar a un especialista (</w:t>
      </w:r>
      <w:r w:rsidRPr="007D3AA4">
        <w:rPr>
          <w:rFonts w:ascii="Palatino Linotype" w:hAnsi="Palatino Linotype"/>
          <w:i/>
          <w:sz w:val="22"/>
          <w:szCs w:val="22"/>
        </w:rPr>
        <w:t xml:space="preserve">Ingeniero/a Civil), para que realice evaluaciones estructurales de las viviendas y </w:t>
      </w:r>
      <w:r w:rsidRPr="007D3AA4">
        <w:rPr>
          <w:rFonts w:ascii="Palatino Linotype" w:hAnsi="Palatino Linotype"/>
          <w:bCs/>
          <w:i/>
          <w:sz w:val="22"/>
          <w:szCs w:val="22"/>
        </w:rPr>
        <w:t xml:space="preserve">proponga alternativas de reparación y/o reforzamiento estructural en caso de ameritarlo. </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i/>
          <w:color w:val="000000"/>
          <w:sz w:val="22"/>
          <w:szCs w:val="22"/>
        </w:rPr>
      </w:pPr>
      <w:r w:rsidRPr="007D3AA4">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3F5FA4" w:rsidRPr="007D3AA4" w:rsidRDefault="003F5FA4" w:rsidP="007126B6">
      <w:pPr>
        <w:spacing w:after="120" w:line="276" w:lineRule="auto"/>
        <w:ind w:left="708"/>
        <w:jc w:val="both"/>
        <w:rPr>
          <w:rFonts w:ascii="Palatino Linotype" w:hAnsi="Palatino Linotype"/>
          <w:b/>
          <w:bCs/>
          <w:i/>
          <w:sz w:val="22"/>
          <w:szCs w:val="22"/>
        </w:rPr>
      </w:pPr>
      <w:r w:rsidRPr="007D3AA4">
        <w:rPr>
          <w:rFonts w:ascii="Palatino Linotype" w:hAnsi="Palatino Linotype"/>
          <w:b/>
          <w:bCs/>
          <w:i/>
          <w:sz w:val="22"/>
          <w:szCs w:val="22"/>
        </w:rPr>
        <w:t>Para el riesgo Volcánico (caída de ceniza):</w:t>
      </w:r>
    </w:p>
    <w:p w:rsidR="003F5FA4" w:rsidRPr="007D3AA4" w:rsidRDefault="003F5FA4" w:rsidP="007126B6">
      <w:pPr>
        <w:pStyle w:val="Prrafodelista"/>
        <w:numPr>
          <w:ilvl w:val="0"/>
          <w:numId w:val="8"/>
        </w:numPr>
        <w:spacing w:after="120" w:line="276" w:lineRule="auto"/>
        <w:ind w:left="1044" w:hanging="357"/>
        <w:jc w:val="both"/>
        <w:rPr>
          <w:rFonts w:ascii="Palatino Linotype" w:hAnsi="Palatino Linotype"/>
          <w:b/>
          <w:bCs/>
          <w:i/>
          <w:sz w:val="22"/>
          <w:szCs w:val="22"/>
        </w:rPr>
      </w:pPr>
      <w:r w:rsidRPr="007D3AA4">
        <w:rPr>
          <w:rFonts w:ascii="Palatino Linotype" w:hAnsi="Palatino Linotype"/>
          <w:bCs/>
          <w:i/>
          <w:sz w:val="22"/>
          <w:szCs w:val="22"/>
        </w:rPr>
        <w:t xml:space="preserve">Las afectaciones que podría ocasionar la caída de </w:t>
      </w:r>
      <w:proofErr w:type="spellStart"/>
      <w:r w:rsidRPr="007D3AA4">
        <w:rPr>
          <w:rFonts w:ascii="Palatino Linotype" w:hAnsi="Palatino Linotype"/>
          <w:bCs/>
          <w:i/>
          <w:sz w:val="22"/>
          <w:szCs w:val="22"/>
        </w:rPr>
        <w:t>piroclastos</w:t>
      </w:r>
      <w:proofErr w:type="spellEnd"/>
      <w:r w:rsidRPr="007D3AA4">
        <w:rPr>
          <w:rFonts w:ascii="Palatino Linotype" w:hAnsi="Palatino Linotype"/>
          <w:bCs/>
          <w:i/>
          <w:sz w:val="22"/>
          <w:szCs w:val="22"/>
        </w:rPr>
        <w:t xml:space="preserve"> (ceniza y lapilli) se </w:t>
      </w:r>
      <w:r w:rsidRPr="007D3AA4">
        <w:rPr>
          <w:rFonts w:ascii="Palatino Linotype" w:hAnsi="Palatino Linotype"/>
          <w:i/>
          <w:color w:val="000000"/>
          <w:sz w:val="22"/>
          <w:szCs w:val="22"/>
        </w:rPr>
        <w:t>mitiga</w:t>
      </w:r>
      <w:r w:rsidRPr="007D3AA4">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3F5FA4" w:rsidRPr="007D3AA4" w:rsidRDefault="003F5FA4" w:rsidP="007126B6">
      <w:pPr>
        <w:spacing w:after="120" w:line="276" w:lineRule="auto"/>
        <w:ind w:left="708"/>
        <w:jc w:val="both"/>
        <w:rPr>
          <w:rFonts w:ascii="Palatino Linotype" w:hAnsi="Palatino Linotype"/>
          <w:b/>
          <w:bCs/>
          <w:i/>
          <w:sz w:val="22"/>
          <w:szCs w:val="22"/>
        </w:rPr>
      </w:pPr>
      <w:r w:rsidRPr="007D3AA4">
        <w:rPr>
          <w:rFonts w:ascii="Palatino Linotype" w:hAnsi="Palatino Linotype"/>
          <w:b/>
          <w:bCs/>
          <w:i/>
          <w:sz w:val="22"/>
          <w:szCs w:val="22"/>
        </w:rPr>
        <w:t>Recomendaciones Generales</w:t>
      </w:r>
    </w:p>
    <w:p w:rsidR="003F5FA4" w:rsidRPr="007D3AA4" w:rsidRDefault="003F5FA4" w:rsidP="007126B6">
      <w:pPr>
        <w:pStyle w:val="Prrafodelista"/>
        <w:numPr>
          <w:ilvl w:val="0"/>
          <w:numId w:val="8"/>
        </w:numPr>
        <w:spacing w:after="120" w:line="276" w:lineRule="auto"/>
        <w:ind w:left="991" w:hanging="357"/>
        <w:jc w:val="both"/>
        <w:rPr>
          <w:rFonts w:ascii="Palatino Linotype" w:hAnsi="Palatino Linotype"/>
          <w:bCs/>
          <w:i/>
          <w:sz w:val="22"/>
          <w:szCs w:val="22"/>
        </w:rPr>
      </w:pPr>
      <w:r w:rsidRPr="007D3AA4">
        <w:rPr>
          <w:rFonts w:ascii="Palatino Linotype" w:hAnsi="Palatino Linotype"/>
          <w:i/>
          <w:sz w:val="22"/>
          <w:szCs w:val="22"/>
        </w:rPr>
        <w:lastRenderedPageBreak/>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“Nuestras Cumbres del Sur Occidente Etapa 1”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7D3AA4">
        <w:rPr>
          <w:rFonts w:ascii="Palatino Linotype" w:hAnsi="Palatino Linotype"/>
          <w:bCs/>
          <w:i/>
          <w:sz w:val="22"/>
          <w:szCs w:val="22"/>
        </w:rPr>
        <w:t xml:space="preserve"> </w:t>
      </w:r>
    </w:p>
    <w:p w:rsidR="003F5FA4" w:rsidRPr="007D3AA4" w:rsidRDefault="003F5FA4" w:rsidP="007126B6">
      <w:pPr>
        <w:spacing w:after="120" w:line="276" w:lineRule="auto"/>
        <w:ind w:left="708"/>
        <w:jc w:val="both"/>
        <w:rPr>
          <w:rFonts w:ascii="Palatino Linotype" w:hAnsi="Palatino Linotype"/>
          <w:b/>
          <w:bCs/>
          <w:i/>
          <w:sz w:val="22"/>
          <w:szCs w:val="22"/>
        </w:rPr>
      </w:pPr>
      <w:r w:rsidRPr="007D3AA4">
        <w:rPr>
          <w:rFonts w:ascii="Palatino Linotype" w:hAnsi="Palatino Linotype"/>
          <w:b/>
          <w:bCs/>
          <w:i/>
          <w:sz w:val="22"/>
          <w:szCs w:val="22"/>
        </w:rPr>
        <w:t>Cumplimiento de la normativa vigente:</w:t>
      </w:r>
    </w:p>
    <w:p w:rsidR="003F5FA4" w:rsidRPr="007D3AA4" w:rsidRDefault="003F5FA4" w:rsidP="007126B6">
      <w:pPr>
        <w:pStyle w:val="Prrafodelista"/>
        <w:numPr>
          <w:ilvl w:val="0"/>
          <w:numId w:val="8"/>
        </w:numPr>
        <w:spacing w:after="120" w:line="276" w:lineRule="auto"/>
        <w:ind w:left="991" w:hanging="357"/>
        <w:jc w:val="both"/>
        <w:rPr>
          <w:rFonts w:ascii="Palatino Linotype" w:hAnsi="Palatino Linotype"/>
          <w:bCs/>
          <w:i/>
          <w:sz w:val="22"/>
          <w:szCs w:val="22"/>
        </w:rPr>
      </w:pPr>
      <w:r w:rsidRPr="007D3AA4">
        <w:rPr>
          <w:rFonts w:ascii="Palatino Linotype" w:hAnsi="Palatino Linotype"/>
          <w:bCs/>
          <w:i/>
          <w:sz w:val="22"/>
          <w:szCs w:val="22"/>
        </w:rPr>
        <w:t xml:space="preserve">De acuerdo a la Constitución de la República del Ecuador donde establecen las </w:t>
      </w:r>
      <w:r w:rsidRPr="007D3AA4">
        <w:rPr>
          <w:rFonts w:ascii="Palatino Linotype" w:hAnsi="Palatino Linotype"/>
          <w:i/>
          <w:sz w:val="22"/>
          <w:szCs w:val="22"/>
        </w:rPr>
        <w:t xml:space="preserve">competencias exclusivas a </w:t>
      </w:r>
      <w:r w:rsidRPr="007D3AA4">
        <w:rPr>
          <w:rFonts w:ascii="Palatino Linotype" w:hAnsi="Palatino Linotype"/>
          <w:bCs/>
          <w:i/>
          <w:sz w:val="22"/>
          <w:szCs w:val="22"/>
        </w:rPr>
        <w:t>los</w:t>
      </w:r>
      <w:r w:rsidRPr="007D3AA4">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7D3AA4">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3F5FA4" w:rsidRPr="007D3AA4" w:rsidRDefault="003F5FA4" w:rsidP="007126B6">
      <w:pPr>
        <w:pStyle w:val="Prrafodelista"/>
        <w:numPr>
          <w:ilvl w:val="0"/>
          <w:numId w:val="8"/>
        </w:numPr>
        <w:spacing w:after="120" w:line="276" w:lineRule="auto"/>
        <w:ind w:left="991" w:hanging="357"/>
        <w:jc w:val="both"/>
        <w:rPr>
          <w:rFonts w:ascii="Palatino Linotype" w:hAnsi="Palatino Linotype"/>
          <w:bCs/>
          <w:i/>
          <w:sz w:val="22"/>
          <w:szCs w:val="22"/>
        </w:rPr>
      </w:pPr>
      <w:r w:rsidRPr="007D3AA4">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3F5FA4" w:rsidRPr="007D3AA4" w:rsidRDefault="003F5FA4" w:rsidP="007126B6">
      <w:pPr>
        <w:pStyle w:val="Prrafodelista"/>
        <w:numPr>
          <w:ilvl w:val="0"/>
          <w:numId w:val="11"/>
        </w:numPr>
        <w:spacing w:after="120" w:line="276" w:lineRule="auto"/>
        <w:ind w:left="992"/>
        <w:jc w:val="both"/>
        <w:rPr>
          <w:rFonts w:ascii="Palatino Linotype" w:hAnsi="Palatino Linotype"/>
          <w:i/>
          <w:sz w:val="22"/>
          <w:szCs w:val="22"/>
        </w:rPr>
      </w:pPr>
      <w:r w:rsidRPr="007D3AA4">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F5FA4" w:rsidRPr="007D3AA4" w:rsidRDefault="003F5FA4" w:rsidP="007126B6">
      <w:pPr>
        <w:pStyle w:val="Prrafodelista"/>
        <w:numPr>
          <w:ilvl w:val="0"/>
          <w:numId w:val="11"/>
        </w:numPr>
        <w:spacing w:after="120" w:line="276" w:lineRule="auto"/>
        <w:ind w:left="992"/>
        <w:jc w:val="both"/>
        <w:rPr>
          <w:rFonts w:ascii="Palatino Linotype" w:hAnsi="Palatino Linotype"/>
          <w:i/>
          <w:sz w:val="22"/>
          <w:szCs w:val="22"/>
        </w:rPr>
      </w:pPr>
      <w:r w:rsidRPr="007D3AA4">
        <w:rPr>
          <w:rFonts w:ascii="Palatino Linotype" w:hAnsi="Palatino Linotype"/>
          <w:bCs/>
          <w:i/>
          <w:sz w:val="22"/>
          <w:szCs w:val="22"/>
        </w:rPr>
        <w:t xml:space="preserve">La Unidad Especial Regula Tu Barrio deberá comunicar a la comunidad del AHHYC </w:t>
      </w:r>
      <w:r w:rsidRPr="007D3AA4">
        <w:rPr>
          <w:rFonts w:ascii="Palatino Linotype" w:hAnsi="Palatino Linotype"/>
          <w:i/>
          <w:sz w:val="22"/>
          <w:szCs w:val="22"/>
        </w:rPr>
        <w:t xml:space="preserve">“Nuestras Cumbres del Sur Occidente Etapa 1” </w:t>
      </w:r>
      <w:r w:rsidRPr="007D3AA4">
        <w:rPr>
          <w:rFonts w:ascii="Palatino Linotype" w:hAnsi="Palatino Linotype"/>
          <w:bCs/>
          <w:i/>
          <w:sz w:val="22"/>
          <w:szCs w:val="22"/>
        </w:rPr>
        <w:t>lo descrito en el presente informe, especialmente la calificación del riesgo ante las diferentes amenazas analizadas y las respectivas recomendaciones técnicas.”</w:t>
      </w:r>
    </w:p>
    <w:p w:rsidR="003F5FA4" w:rsidRPr="007126B6" w:rsidRDefault="007126B6" w:rsidP="003F5FA4">
      <w:pPr>
        <w:spacing w:after="120" w:line="276" w:lineRule="auto"/>
        <w:ind w:left="-76"/>
        <w:jc w:val="both"/>
        <w:rPr>
          <w:rFonts w:ascii="Palatino Linotype" w:hAnsi="Palatino Linotype"/>
          <w:bCs/>
          <w:sz w:val="22"/>
          <w:szCs w:val="22"/>
        </w:rPr>
      </w:pPr>
      <w:r w:rsidRPr="007126B6">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w:t>
      </w:r>
      <w:r w:rsidRPr="007126B6">
        <w:rPr>
          <w:rFonts w:ascii="Palatino Linotype" w:hAnsi="Palatino Linotype"/>
          <w:bCs/>
          <w:sz w:val="22"/>
          <w:szCs w:val="22"/>
        </w:rPr>
        <w:lastRenderedPageBreak/>
        <w:t xml:space="preserve">Gobernabilidad, </w:t>
      </w:r>
      <w:r w:rsidRPr="007126B6">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3F5FA4" w:rsidRPr="007126B6">
        <w:rPr>
          <w:rFonts w:ascii="Palatino Linotype" w:hAnsi="Palatino Linotype"/>
          <w:bCs/>
          <w:sz w:val="22"/>
          <w:szCs w:val="22"/>
        </w:rPr>
        <w:t>.</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
          <w:sz w:val="22"/>
          <w:szCs w:val="22"/>
        </w:rPr>
        <w:t>Articulo 8.-</w:t>
      </w:r>
      <w:r w:rsidRPr="007D3AA4">
        <w:rPr>
          <w:rFonts w:ascii="Palatino Linotype" w:hAnsi="Palatino Linotype"/>
          <w:sz w:val="22"/>
          <w:szCs w:val="22"/>
        </w:rPr>
        <w:t xml:space="preserve"> </w:t>
      </w:r>
      <w:r w:rsidRPr="007D3AA4">
        <w:rPr>
          <w:rFonts w:ascii="Palatino Linotype" w:hAnsi="Palatino Linotype"/>
          <w:b/>
          <w:bCs/>
          <w:sz w:val="22"/>
          <w:szCs w:val="22"/>
        </w:rPr>
        <w:t xml:space="preserve">De las vías y </w:t>
      </w:r>
      <w:proofErr w:type="gramStart"/>
      <w:r w:rsidRPr="007D3AA4">
        <w:rPr>
          <w:rFonts w:ascii="Palatino Linotype" w:hAnsi="Palatino Linotype"/>
          <w:b/>
          <w:bCs/>
          <w:sz w:val="22"/>
          <w:szCs w:val="22"/>
        </w:rPr>
        <w:t>pasajes.-</w:t>
      </w:r>
      <w:proofErr w:type="gramEnd"/>
      <w:r w:rsidRPr="007D3AA4">
        <w:rPr>
          <w:rFonts w:ascii="Palatino Linotype" w:hAnsi="Palatino Linotype"/>
          <w:b/>
          <w:bCs/>
          <w:sz w:val="22"/>
          <w:szCs w:val="22"/>
        </w:rPr>
        <w:t xml:space="preserve"> </w:t>
      </w:r>
      <w:r w:rsidRPr="007D3AA4">
        <w:rPr>
          <w:rFonts w:ascii="Palatino Linotype" w:hAnsi="Palatino Linotype"/>
          <w:bCs/>
          <w:sz w:val="22"/>
          <w:szCs w:val="22"/>
        </w:rPr>
        <w:t xml:space="preserve">El </w:t>
      </w:r>
      <w:r w:rsidRPr="007D3AA4">
        <w:rPr>
          <w:rFonts w:ascii="Palatino Linotype" w:hAnsi="Palatino Linotype"/>
          <w:sz w:val="22"/>
          <w:szCs w:val="22"/>
        </w:rPr>
        <w:t xml:space="preserve">Asentamiento Humano de Hecho y Consolidado de Interés Social denominado Comité del Barrio “Nuestras Cumbres del Sur Occidente” (Etapa I) </w:t>
      </w:r>
      <w:r w:rsidRPr="007D3AA4">
        <w:rPr>
          <w:rFonts w:ascii="Palatino Linotype" w:eastAsia="Calibri" w:hAnsi="Palatino Linotype"/>
          <w:sz w:val="22"/>
          <w:szCs w:val="22"/>
          <w:lang w:val="es-EC" w:eastAsia="en-US"/>
        </w:rPr>
        <w:t xml:space="preserve"> </w:t>
      </w:r>
      <w:r w:rsidRPr="007D3AA4">
        <w:rPr>
          <w:rFonts w:ascii="Palatino Linotype" w:hAnsi="Palatino Linotype"/>
          <w:sz w:val="22"/>
          <w:szCs w:val="22"/>
        </w:rPr>
        <w:t>contempla un sistema vial de uso público</w:t>
      </w:r>
      <w:r w:rsidRPr="007D3AA4">
        <w:rPr>
          <w:rFonts w:ascii="Palatino Linotype" w:hAnsi="Palatino Linotype"/>
          <w:iCs/>
          <w:sz w:val="22"/>
          <w:szCs w:val="22"/>
        </w:rPr>
        <w:t>, debido a que es un Asentamiento Humano de Hecho y Consolidado de Interés Social de 15 años de existencia</w:t>
      </w:r>
      <w:r w:rsidRPr="007D3AA4">
        <w:rPr>
          <w:rFonts w:ascii="Palatino Linotype" w:hAnsi="Palatino Linotype"/>
          <w:color w:val="2A2A2A"/>
          <w:sz w:val="22"/>
          <w:szCs w:val="22"/>
        </w:rPr>
        <w:t xml:space="preserve"> </w:t>
      </w:r>
      <w:r w:rsidRPr="007D3AA4">
        <w:rPr>
          <w:rFonts w:ascii="Palatino Linotype" w:hAnsi="Palatino Linotype"/>
          <w:sz w:val="22"/>
          <w:szCs w:val="22"/>
        </w:rPr>
        <w:t>con 44</w:t>
      </w:r>
      <w:r w:rsidR="007126B6">
        <w:rPr>
          <w:rFonts w:ascii="Palatino Linotype" w:hAnsi="Palatino Linotype"/>
          <w:sz w:val="22"/>
          <w:szCs w:val="22"/>
        </w:rPr>
        <w:t>,</w:t>
      </w:r>
      <w:r w:rsidRPr="007D3AA4">
        <w:rPr>
          <w:rFonts w:ascii="Palatino Linotype" w:hAnsi="Palatino Linotype"/>
          <w:sz w:val="22"/>
          <w:szCs w:val="22"/>
        </w:rPr>
        <w:t xml:space="preserve">12% de consolidación de viviendas, razón por lo cual el ancho de vías y pasaje se sujetará al plano adjunto a la presente Ordenanza. </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 xml:space="preserve">Se aprueban vías y pasaje con los siguientes anchos: </w:t>
      </w:r>
    </w:p>
    <w:tbl>
      <w:tblPr>
        <w:tblW w:w="4960" w:type="dxa"/>
        <w:tblInd w:w="54" w:type="dxa"/>
        <w:tblCellMar>
          <w:left w:w="70" w:type="dxa"/>
          <w:right w:w="70" w:type="dxa"/>
        </w:tblCellMar>
        <w:tblLook w:val="04A0" w:firstRow="1" w:lastRow="0" w:firstColumn="1" w:lastColumn="0" w:noHBand="0" w:noVBand="1"/>
      </w:tblPr>
      <w:tblGrid>
        <w:gridCol w:w="4960"/>
      </w:tblGrid>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lang w:val="es-EC"/>
              </w:rPr>
              <w:t xml:space="preserve">Calle Oe14E         </w:t>
            </w:r>
            <w:r w:rsidR="007126B6">
              <w:rPr>
                <w:rFonts w:ascii="Palatino Linotype" w:hAnsi="Palatino Linotype"/>
                <w:color w:val="000000"/>
                <w:sz w:val="22"/>
                <w:szCs w:val="22"/>
                <w:lang w:val="es-EC"/>
              </w:rPr>
              <w:tab/>
            </w:r>
            <w:r w:rsidRPr="007D3AA4">
              <w:rPr>
                <w:rFonts w:ascii="Palatino Linotype" w:hAnsi="Palatino Linotype"/>
                <w:color w:val="000000"/>
                <w:sz w:val="22"/>
                <w:szCs w:val="22"/>
                <w:lang w:val="es-EC"/>
              </w:rPr>
              <w:t>variable de 6,53</w:t>
            </w:r>
            <w:r w:rsidR="007126B6">
              <w:rPr>
                <w:rFonts w:ascii="Palatino Linotype" w:hAnsi="Palatino Linotype"/>
                <w:color w:val="000000"/>
                <w:sz w:val="22"/>
                <w:szCs w:val="22"/>
                <w:lang w:val="es-EC"/>
              </w:rPr>
              <w:t xml:space="preserve"> </w:t>
            </w:r>
            <w:r w:rsidRPr="007D3AA4">
              <w:rPr>
                <w:rFonts w:ascii="Palatino Linotype" w:hAnsi="Palatino Linotype"/>
                <w:color w:val="000000"/>
                <w:sz w:val="22"/>
                <w:szCs w:val="22"/>
                <w:lang w:val="es-EC"/>
              </w:rPr>
              <w:t>m a 6,71</w:t>
            </w:r>
            <w:r w:rsidR="007126B6">
              <w:rPr>
                <w:rFonts w:ascii="Palatino Linotype" w:hAnsi="Palatino Linotype"/>
                <w:color w:val="000000"/>
                <w:sz w:val="22"/>
                <w:szCs w:val="22"/>
                <w:lang w:val="es-EC"/>
              </w:rPr>
              <w:t xml:space="preserve"> </w:t>
            </w:r>
            <w:r w:rsidRPr="007D3AA4">
              <w:rPr>
                <w:rFonts w:ascii="Palatino Linotype" w:hAnsi="Palatino Linotype"/>
                <w:color w:val="000000"/>
                <w:sz w:val="22"/>
                <w:szCs w:val="22"/>
                <w:lang w:val="es-EC"/>
              </w:rPr>
              <w:t>m</w:t>
            </w:r>
            <w:r w:rsidR="007126B6">
              <w:rPr>
                <w:rFonts w:ascii="Palatino Linotype" w:hAnsi="Palatino Linotype"/>
                <w:color w:val="000000"/>
                <w:sz w:val="22"/>
                <w:szCs w:val="22"/>
                <w:lang w:val="es-EC"/>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lang w:val="es-EC"/>
              </w:rPr>
              <w:t xml:space="preserve">Calle Oe14D         </w:t>
            </w:r>
            <w:r w:rsidR="007126B6">
              <w:rPr>
                <w:rFonts w:ascii="Palatino Linotype" w:hAnsi="Palatino Linotype"/>
                <w:color w:val="000000"/>
                <w:sz w:val="22"/>
                <w:szCs w:val="22"/>
                <w:lang w:val="es-EC"/>
              </w:rPr>
              <w:tab/>
            </w:r>
            <w:r w:rsidRPr="007D3AA4">
              <w:rPr>
                <w:rFonts w:ascii="Palatino Linotype" w:hAnsi="Palatino Linotype"/>
                <w:color w:val="000000"/>
                <w:sz w:val="22"/>
                <w:szCs w:val="22"/>
                <w:lang w:val="es-EC"/>
              </w:rPr>
              <w:t>variable de 6,72</w:t>
            </w:r>
            <w:r w:rsidR="007126B6">
              <w:rPr>
                <w:rFonts w:ascii="Palatino Linotype" w:hAnsi="Palatino Linotype"/>
                <w:color w:val="000000"/>
                <w:sz w:val="22"/>
                <w:szCs w:val="22"/>
                <w:lang w:val="es-EC"/>
              </w:rPr>
              <w:t xml:space="preserve"> </w:t>
            </w:r>
            <w:r w:rsidRPr="007D3AA4">
              <w:rPr>
                <w:rFonts w:ascii="Palatino Linotype" w:hAnsi="Palatino Linotype"/>
                <w:color w:val="000000"/>
                <w:sz w:val="22"/>
                <w:szCs w:val="22"/>
                <w:lang w:val="es-EC"/>
              </w:rPr>
              <w:t>m a 7,83</w:t>
            </w:r>
            <w:r w:rsidR="007126B6">
              <w:rPr>
                <w:rFonts w:ascii="Palatino Linotype" w:hAnsi="Palatino Linotype"/>
                <w:color w:val="000000"/>
                <w:sz w:val="22"/>
                <w:szCs w:val="22"/>
                <w:lang w:val="es-EC"/>
              </w:rPr>
              <w:t xml:space="preserve"> </w:t>
            </w:r>
            <w:r w:rsidRPr="007D3AA4">
              <w:rPr>
                <w:rFonts w:ascii="Palatino Linotype" w:hAnsi="Palatino Linotype"/>
                <w:color w:val="000000"/>
                <w:sz w:val="22"/>
                <w:szCs w:val="22"/>
                <w:lang w:val="es-EC"/>
              </w:rPr>
              <w:t>m</w:t>
            </w:r>
            <w:r w:rsidR="007126B6">
              <w:rPr>
                <w:rFonts w:ascii="Palatino Linotype" w:hAnsi="Palatino Linotype"/>
                <w:color w:val="000000"/>
                <w:sz w:val="22"/>
                <w:szCs w:val="22"/>
                <w:lang w:val="es-EC"/>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“S34B”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6,06</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6,31</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“S34A”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6,21</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6,63</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“S34”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6,08</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6,50</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“S33J”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6,32</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6,95</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7126B6">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“S/N 01”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5,35</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5,82</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r w:rsidR="003F5FA4" w:rsidRPr="007D3AA4" w:rsidTr="00293270">
        <w:trPr>
          <w:trHeight w:val="300"/>
        </w:trPr>
        <w:tc>
          <w:tcPr>
            <w:tcW w:w="4960" w:type="dxa"/>
            <w:tcBorders>
              <w:top w:val="nil"/>
              <w:left w:val="nil"/>
              <w:bottom w:val="nil"/>
              <w:right w:val="nil"/>
            </w:tcBorders>
            <w:shd w:val="clear" w:color="auto" w:fill="auto"/>
            <w:vAlign w:val="center"/>
            <w:hideMark/>
          </w:tcPr>
          <w:p w:rsidR="003F5FA4" w:rsidRPr="007D3AA4" w:rsidRDefault="003F5FA4" w:rsidP="00293270">
            <w:pPr>
              <w:spacing w:after="120" w:line="276" w:lineRule="auto"/>
              <w:rPr>
                <w:rFonts w:ascii="Palatino Linotype" w:hAnsi="Palatino Linotype"/>
                <w:color w:val="000000"/>
                <w:sz w:val="22"/>
                <w:szCs w:val="22"/>
              </w:rPr>
            </w:pPr>
            <w:r w:rsidRPr="007D3AA4">
              <w:rPr>
                <w:rFonts w:ascii="Palatino Linotype" w:hAnsi="Palatino Linotype"/>
                <w:color w:val="000000"/>
                <w:sz w:val="22"/>
                <w:szCs w:val="22"/>
              </w:rPr>
              <w:t xml:space="preserve">Pasaje  “S/N 02”   </w:t>
            </w:r>
            <w:r w:rsidR="007126B6">
              <w:rPr>
                <w:rFonts w:ascii="Palatino Linotype" w:hAnsi="Palatino Linotype"/>
                <w:color w:val="000000"/>
                <w:sz w:val="22"/>
                <w:szCs w:val="22"/>
              </w:rPr>
              <w:tab/>
            </w:r>
            <w:r w:rsidRPr="007D3AA4">
              <w:rPr>
                <w:rFonts w:ascii="Palatino Linotype" w:hAnsi="Palatino Linotype"/>
                <w:color w:val="000000"/>
                <w:sz w:val="22"/>
                <w:szCs w:val="22"/>
              </w:rPr>
              <w:t>variable de 5,93</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 a 5,98</w:t>
            </w:r>
            <w:r w:rsidR="007126B6">
              <w:rPr>
                <w:rFonts w:ascii="Palatino Linotype" w:hAnsi="Palatino Linotype"/>
                <w:color w:val="000000"/>
                <w:sz w:val="22"/>
                <w:szCs w:val="22"/>
              </w:rPr>
              <w:t xml:space="preserve"> </w:t>
            </w:r>
            <w:r w:rsidRPr="007D3AA4">
              <w:rPr>
                <w:rFonts w:ascii="Palatino Linotype" w:hAnsi="Palatino Linotype"/>
                <w:color w:val="000000"/>
                <w:sz w:val="22"/>
                <w:szCs w:val="22"/>
              </w:rPr>
              <w:t>m</w:t>
            </w:r>
            <w:r w:rsidR="007126B6">
              <w:rPr>
                <w:rFonts w:ascii="Palatino Linotype" w:hAnsi="Palatino Linotype"/>
                <w:color w:val="000000"/>
                <w:sz w:val="22"/>
                <w:szCs w:val="22"/>
              </w:rPr>
              <w:t>.</w:t>
            </w:r>
          </w:p>
        </w:tc>
      </w:tr>
    </w:tbl>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b/>
          <w:bCs/>
          <w:sz w:val="22"/>
          <w:szCs w:val="22"/>
        </w:rPr>
        <w:t xml:space="preserve">Artículo 9.- De las obras a </w:t>
      </w:r>
      <w:proofErr w:type="gramStart"/>
      <w:r w:rsidRPr="007D3AA4">
        <w:rPr>
          <w:rFonts w:ascii="Palatino Linotype" w:hAnsi="Palatino Linotype"/>
          <w:b/>
          <w:bCs/>
          <w:sz w:val="22"/>
          <w:szCs w:val="22"/>
        </w:rPr>
        <w:t>ejecutarse.-</w:t>
      </w:r>
      <w:proofErr w:type="gramEnd"/>
      <w:r w:rsidRPr="007D3AA4">
        <w:rPr>
          <w:rFonts w:ascii="Palatino Linotype" w:hAnsi="Palatino Linotype"/>
          <w:b/>
          <w:bCs/>
          <w:sz w:val="22"/>
          <w:szCs w:val="22"/>
        </w:rPr>
        <w:t xml:space="preserve"> </w:t>
      </w:r>
      <w:r w:rsidRPr="007D3AA4">
        <w:rPr>
          <w:rFonts w:ascii="Palatino Linotype" w:hAnsi="Palatino Linotype"/>
          <w:sz w:val="22"/>
          <w:szCs w:val="22"/>
        </w:rPr>
        <w:t xml:space="preserve">Las obras a ejecutarse en el Asentamiento Humano de Hecho y Consolidado de Interés Social, son las siguientes: </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Calzadas                      100%</w:t>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Pr="007D3AA4">
        <w:rPr>
          <w:rFonts w:ascii="Palatino Linotype" w:hAnsi="Palatino Linotype"/>
          <w:sz w:val="22"/>
          <w:szCs w:val="22"/>
        </w:rPr>
        <w:t>Aceras</w:t>
      </w:r>
      <w:r w:rsidRPr="007D3AA4">
        <w:rPr>
          <w:rFonts w:ascii="Palatino Linotype" w:hAnsi="Palatino Linotype"/>
          <w:sz w:val="22"/>
          <w:szCs w:val="22"/>
        </w:rPr>
        <w:tab/>
      </w:r>
      <w:r w:rsidRPr="007D3AA4">
        <w:rPr>
          <w:rFonts w:ascii="Palatino Linotype" w:hAnsi="Palatino Linotype"/>
          <w:sz w:val="22"/>
          <w:szCs w:val="22"/>
        </w:rPr>
        <w:tab/>
      </w:r>
      <w:r w:rsidRPr="007D3AA4">
        <w:rPr>
          <w:rFonts w:ascii="Palatino Linotype" w:hAnsi="Palatino Linotype"/>
          <w:sz w:val="22"/>
          <w:szCs w:val="22"/>
        </w:rPr>
        <w:tab/>
        <w:t>100%</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 xml:space="preserve">Bordillos </w:t>
      </w:r>
      <w:r w:rsidRPr="007D3AA4">
        <w:rPr>
          <w:rFonts w:ascii="Palatino Linotype" w:hAnsi="Palatino Linotype"/>
          <w:sz w:val="22"/>
          <w:szCs w:val="22"/>
        </w:rPr>
        <w:tab/>
      </w:r>
      <w:r w:rsidRPr="007D3AA4">
        <w:rPr>
          <w:rFonts w:ascii="Palatino Linotype" w:hAnsi="Palatino Linotype"/>
          <w:sz w:val="22"/>
          <w:szCs w:val="22"/>
        </w:rPr>
        <w:tab/>
        <w:t>100%</w:t>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Pr="007D3AA4">
        <w:rPr>
          <w:rFonts w:ascii="Palatino Linotype" w:hAnsi="Palatino Linotype"/>
          <w:sz w:val="22"/>
          <w:szCs w:val="22"/>
        </w:rPr>
        <w:t>Alcantarillado             100%</w:t>
      </w:r>
    </w:p>
    <w:p w:rsidR="003F5FA4" w:rsidRPr="007D3AA4" w:rsidRDefault="003F5FA4" w:rsidP="003F5FA4">
      <w:pPr>
        <w:spacing w:after="120" w:line="276" w:lineRule="auto"/>
        <w:jc w:val="both"/>
        <w:rPr>
          <w:rFonts w:ascii="Palatino Linotype" w:hAnsi="Palatino Linotype"/>
          <w:sz w:val="22"/>
          <w:szCs w:val="22"/>
        </w:rPr>
      </w:pPr>
      <w:r w:rsidRPr="007D3AA4">
        <w:rPr>
          <w:rFonts w:ascii="Palatino Linotype" w:hAnsi="Palatino Linotype"/>
          <w:sz w:val="22"/>
          <w:szCs w:val="22"/>
        </w:rPr>
        <w:t xml:space="preserve">Agua </w:t>
      </w:r>
      <w:r w:rsidR="007126B6">
        <w:rPr>
          <w:rFonts w:ascii="Palatino Linotype" w:hAnsi="Palatino Linotype"/>
          <w:sz w:val="22"/>
          <w:szCs w:val="22"/>
        </w:rPr>
        <w:t xml:space="preserve">potable   </w:t>
      </w:r>
      <w:r w:rsidR="007126B6">
        <w:rPr>
          <w:rFonts w:ascii="Palatino Linotype" w:hAnsi="Palatino Linotype"/>
          <w:sz w:val="22"/>
          <w:szCs w:val="22"/>
        </w:rPr>
        <w:tab/>
      </w:r>
      <w:r w:rsidRPr="007D3AA4">
        <w:rPr>
          <w:rFonts w:ascii="Palatino Linotype" w:hAnsi="Palatino Linotype"/>
          <w:sz w:val="22"/>
          <w:szCs w:val="22"/>
        </w:rPr>
        <w:t>100%</w:t>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007126B6">
        <w:rPr>
          <w:rFonts w:ascii="Palatino Linotype" w:hAnsi="Palatino Linotype"/>
          <w:sz w:val="22"/>
          <w:szCs w:val="22"/>
        </w:rPr>
        <w:tab/>
      </w:r>
      <w:r w:rsidRPr="007D3AA4">
        <w:rPr>
          <w:rFonts w:ascii="Palatino Linotype" w:hAnsi="Palatino Linotype"/>
          <w:sz w:val="22"/>
          <w:szCs w:val="22"/>
        </w:rPr>
        <w:t xml:space="preserve">Energía </w:t>
      </w:r>
      <w:r w:rsidR="007126B6">
        <w:rPr>
          <w:rFonts w:ascii="Palatino Linotype" w:hAnsi="Palatino Linotype"/>
          <w:sz w:val="22"/>
          <w:szCs w:val="22"/>
        </w:rPr>
        <w:t>e</w:t>
      </w:r>
      <w:r w:rsidRPr="007D3AA4">
        <w:rPr>
          <w:rFonts w:ascii="Palatino Linotype" w:hAnsi="Palatino Linotype"/>
          <w:sz w:val="22"/>
          <w:szCs w:val="22"/>
        </w:rPr>
        <w:t>léctrica         30%</w:t>
      </w:r>
    </w:p>
    <w:p w:rsidR="003F5FA4" w:rsidRPr="007D3AA4" w:rsidRDefault="003F5FA4" w:rsidP="003F5FA4">
      <w:pPr>
        <w:spacing w:after="120" w:line="276" w:lineRule="auto"/>
        <w:jc w:val="both"/>
        <w:rPr>
          <w:rFonts w:ascii="Palatino Linotype" w:hAnsi="Palatino Linotype"/>
          <w:color w:val="212121"/>
          <w:sz w:val="22"/>
          <w:szCs w:val="22"/>
          <w:shd w:val="clear" w:color="auto" w:fill="FFFFFF"/>
        </w:rPr>
      </w:pPr>
      <w:r w:rsidRPr="007D3AA4">
        <w:rPr>
          <w:rFonts w:ascii="Palatino Linotype" w:hAnsi="Palatino Linotype"/>
          <w:b/>
          <w:bCs/>
          <w:sz w:val="22"/>
          <w:szCs w:val="22"/>
        </w:rPr>
        <w:t>Artículo 10.- Del plazo de ejecución de las obras.-</w:t>
      </w:r>
      <w:r w:rsidRPr="007D3AA4">
        <w:rPr>
          <w:rFonts w:ascii="Palatino Linotype" w:hAnsi="Palatino Linotype"/>
          <w:sz w:val="22"/>
          <w:szCs w:val="22"/>
        </w:rPr>
        <w:t xml:space="preserve"> </w:t>
      </w:r>
      <w:r w:rsidRPr="007D3AA4">
        <w:rPr>
          <w:rStyle w:val="apple-converted-space"/>
          <w:rFonts w:ascii="Palatino Linotype" w:eastAsiaTheme="majorEastAsia" w:hAnsi="Palatino Linotype"/>
          <w:color w:val="212121"/>
          <w:sz w:val="22"/>
          <w:szCs w:val="22"/>
          <w:shd w:val="clear" w:color="auto" w:fill="FFFFFF"/>
        </w:rPr>
        <w:t> </w:t>
      </w:r>
      <w:r w:rsidRPr="007D3AA4">
        <w:rPr>
          <w:rFonts w:ascii="Palatino Linotype" w:hAnsi="Palatino Linotype"/>
          <w:color w:val="212121"/>
          <w:sz w:val="22"/>
          <w:szCs w:val="22"/>
          <w:shd w:val="clear" w:color="auto" w:fill="FFFFFF"/>
        </w:rPr>
        <w:t>El plazo de ejecución de la totalidad de las obras civiles y de infraestructura, será de ocho (8)</w:t>
      </w:r>
      <w:r w:rsidRPr="007D3AA4">
        <w:rPr>
          <w:rStyle w:val="apple-converted-space"/>
          <w:rFonts w:ascii="Palatino Linotype" w:eastAsiaTheme="majorEastAsia" w:hAnsi="Palatino Linotype"/>
          <w:color w:val="212121"/>
          <w:sz w:val="22"/>
          <w:szCs w:val="22"/>
          <w:shd w:val="clear" w:color="auto" w:fill="FFFFFF"/>
        </w:rPr>
        <w:t> </w:t>
      </w:r>
      <w:r w:rsidRPr="007D3AA4">
        <w:rPr>
          <w:rFonts w:ascii="Palatino Linotype" w:hAnsi="Palatino Linotype"/>
          <w:color w:val="212121"/>
          <w:sz w:val="22"/>
          <w:szCs w:val="22"/>
          <w:shd w:val="clear" w:color="auto" w:fill="FFFFFF"/>
        </w:rPr>
        <w:t>años, de conformidad al cronograma de obras presentado por</w:t>
      </w:r>
      <w:r w:rsidRPr="007D3AA4">
        <w:rPr>
          <w:rStyle w:val="apple-converted-space"/>
          <w:rFonts w:ascii="Palatino Linotype" w:eastAsiaTheme="majorEastAsia" w:hAnsi="Palatino Linotype"/>
          <w:color w:val="0D0D0D"/>
          <w:sz w:val="22"/>
          <w:szCs w:val="22"/>
          <w:shd w:val="clear" w:color="auto" w:fill="FFFFFF"/>
        </w:rPr>
        <w:t> </w:t>
      </w:r>
      <w:r w:rsidRPr="007D3AA4">
        <w:rPr>
          <w:rFonts w:ascii="Palatino Linotype" w:hAnsi="Palatino Linotype"/>
          <w:color w:val="212121"/>
          <w:sz w:val="22"/>
          <w:szCs w:val="22"/>
          <w:shd w:val="clear" w:color="auto" w:fill="FFFFFF"/>
        </w:rPr>
        <w:t>el Asentamiento Humano de Hecho y Consolidado de Interés Social denominado Comité del Barrio “Nuestras Cumbres del Sur Occidente” (Etapa 1)</w:t>
      </w:r>
      <w:r w:rsidRPr="007D3AA4">
        <w:rPr>
          <w:rFonts w:ascii="Palatino Linotype" w:hAnsi="Palatino Linotype"/>
          <w:b/>
          <w:bCs/>
          <w:color w:val="212121"/>
          <w:sz w:val="22"/>
          <w:szCs w:val="22"/>
          <w:shd w:val="clear" w:color="auto" w:fill="FFFFFF"/>
        </w:rPr>
        <w:t>,</w:t>
      </w:r>
      <w:r w:rsidRPr="007D3AA4">
        <w:rPr>
          <w:rStyle w:val="apple-converted-space"/>
          <w:rFonts w:ascii="Palatino Linotype" w:eastAsiaTheme="majorEastAsia" w:hAnsi="Palatino Linotype"/>
          <w:b/>
          <w:bCs/>
          <w:color w:val="212121"/>
          <w:sz w:val="22"/>
          <w:szCs w:val="22"/>
          <w:shd w:val="clear" w:color="auto" w:fill="FFFFFF"/>
        </w:rPr>
        <w:t> </w:t>
      </w:r>
      <w:r w:rsidRPr="007D3AA4">
        <w:rPr>
          <w:rFonts w:ascii="Palatino Linotype" w:hAnsi="Palatino Linotype"/>
          <w:color w:val="212121"/>
          <w:sz w:val="22"/>
          <w:szCs w:val="22"/>
          <w:shd w:val="clear" w:color="auto" w:fill="FFFFFF"/>
        </w:rPr>
        <w:t>plazo que se contará a partir de la fecha de inscripción de la presente Ordenanza en el Registro de la Propiedad del Distrito Metropolitano de Quito.</w:t>
      </w:r>
    </w:p>
    <w:p w:rsidR="003F5FA4" w:rsidRPr="007D3AA4" w:rsidRDefault="003F5FA4" w:rsidP="003F5FA4">
      <w:pPr>
        <w:spacing w:after="120" w:line="276" w:lineRule="auto"/>
        <w:jc w:val="both"/>
        <w:rPr>
          <w:rFonts w:ascii="Palatino Linotype" w:hAnsi="Palatino Linotype"/>
          <w:iCs/>
          <w:sz w:val="22"/>
          <w:szCs w:val="22"/>
        </w:rPr>
      </w:pPr>
      <w:r w:rsidRPr="007D3AA4">
        <w:rPr>
          <w:rFonts w:ascii="Palatino Linotype" w:hAnsi="Palatino Linotype"/>
          <w:iCs/>
          <w:sz w:val="22"/>
          <w:szCs w:val="22"/>
        </w:rPr>
        <w:lastRenderedPageBreak/>
        <w:t xml:space="preserve">Cuando las obras se ejecutaren por autogestión del </w:t>
      </w:r>
      <w:r w:rsidRPr="007D3AA4">
        <w:rPr>
          <w:rFonts w:ascii="Palatino Linotype" w:hAnsi="Palatino Linotype"/>
          <w:color w:val="212121"/>
          <w:sz w:val="22"/>
          <w:szCs w:val="22"/>
          <w:shd w:val="clear" w:color="auto" w:fill="FFFFFF"/>
        </w:rPr>
        <w:t>Asentamiento Humano de Hecho y Consolidado de Interés Social denominado Comité del Barrio “Nuestras Cumbres del Sur Occidente” (Etapa 1)</w:t>
      </w:r>
      <w:r w:rsidRPr="007D3AA4">
        <w:rPr>
          <w:rFonts w:ascii="Palatino Linotype" w:hAnsi="Palatino Linotype"/>
          <w:iCs/>
          <w:sz w:val="22"/>
          <w:szCs w:val="22"/>
        </w:rPr>
        <w:t>, el valor por contribución especial a mejoras se establecerá de conformidad con la ley.</w:t>
      </w:r>
    </w:p>
    <w:p w:rsidR="003F5FA4" w:rsidRPr="007D3AA4" w:rsidRDefault="003F5FA4" w:rsidP="003F5FA4">
      <w:pPr>
        <w:spacing w:after="120" w:line="276" w:lineRule="auto"/>
        <w:jc w:val="both"/>
        <w:rPr>
          <w:rFonts w:ascii="Palatino Linotype" w:hAnsi="Palatino Linotype"/>
          <w:color w:val="2A2A2A"/>
          <w:sz w:val="22"/>
          <w:szCs w:val="22"/>
        </w:rPr>
      </w:pPr>
      <w:r w:rsidRPr="007D3AA4">
        <w:rPr>
          <w:rFonts w:ascii="Palatino Linotype" w:hAnsi="Palatino Linotype"/>
          <w:b/>
          <w:bCs/>
          <w:sz w:val="22"/>
          <w:szCs w:val="22"/>
        </w:rPr>
        <w:t>Artículo 11</w:t>
      </w:r>
      <w:r w:rsidRPr="007D3AA4">
        <w:rPr>
          <w:rFonts w:ascii="Palatino Linotype" w:hAnsi="Palatino Linotype"/>
          <w:b/>
          <w:bCs/>
          <w:sz w:val="22"/>
          <w:szCs w:val="22"/>
          <w:lang w:val="es-ES_tradnl"/>
        </w:rPr>
        <w:t xml:space="preserve">.- Del control de ejecución de las </w:t>
      </w:r>
      <w:proofErr w:type="gramStart"/>
      <w:r w:rsidRPr="007D3AA4">
        <w:rPr>
          <w:rFonts w:ascii="Palatino Linotype" w:hAnsi="Palatino Linotype"/>
          <w:b/>
          <w:bCs/>
          <w:sz w:val="22"/>
          <w:szCs w:val="22"/>
          <w:lang w:val="es-ES_tradnl"/>
        </w:rPr>
        <w:t>obras.-</w:t>
      </w:r>
      <w:proofErr w:type="gramEnd"/>
      <w:r w:rsidRPr="007D3AA4">
        <w:rPr>
          <w:rFonts w:ascii="Palatino Linotype" w:hAnsi="Palatino Linotype"/>
          <w:color w:val="2A2A2A"/>
          <w:sz w:val="22"/>
          <w:szCs w:val="22"/>
          <w:shd w:val="clear" w:color="auto" w:fill="FFFFFF"/>
        </w:rPr>
        <w:t xml:space="preserve"> La Administración Zonal Quitumbe, </w:t>
      </w:r>
      <w:r w:rsidRPr="007D3AA4">
        <w:rPr>
          <w:rFonts w:ascii="Palatino Linotype" w:hAnsi="Palatino Linotype"/>
          <w:iCs/>
          <w:sz w:val="22"/>
          <w:szCs w:val="22"/>
          <w:lang w:val="es-EC"/>
        </w:rPr>
        <w:t>r</w:t>
      </w:r>
      <w:r w:rsidRPr="007D3AA4">
        <w:rPr>
          <w:rFonts w:ascii="Palatino Linotype" w:hAnsi="Palatino Linotype"/>
          <w:sz w:val="22"/>
          <w:szCs w:val="22"/>
          <w:lang w:val="es-EC"/>
        </w:rPr>
        <w:t xml:space="preserve">ealizará el seguimiento en la ejecución y avance de las obras civiles y de infraestructura hasta la terminación de las mismas, </w:t>
      </w:r>
      <w:r w:rsidRPr="007D3AA4">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7D3AA4">
        <w:rPr>
          <w:rFonts w:ascii="Palatino Linotype" w:hAnsi="Palatino Linotype"/>
          <w:color w:val="2A2A2A"/>
          <w:sz w:val="22"/>
          <w:szCs w:val="22"/>
        </w:rPr>
        <w:t>.</w:t>
      </w:r>
    </w:p>
    <w:p w:rsidR="003F5FA4" w:rsidRPr="007D3AA4" w:rsidRDefault="003F5FA4" w:rsidP="003F5FA4">
      <w:pPr>
        <w:spacing w:after="120" w:line="276" w:lineRule="auto"/>
        <w:jc w:val="both"/>
        <w:rPr>
          <w:rFonts w:ascii="Palatino Linotype" w:hAnsi="Palatino Linotype"/>
          <w:color w:val="000000"/>
          <w:sz w:val="22"/>
          <w:szCs w:val="22"/>
        </w:rPr>
      </w:pPr>
      <w:r w:rsidRPr="007D3AA4">
        <w:rPr>
          <w:rFonts w:ascii="Palatino Linotype" w:hAnsi="Palatino Linotype"/>
          <w:b/>
          <w:bCs/>
          <w:sz w:val="22"/>
          <w:szCs w:val="22"/>
        </w:rPr>
        <w:t>Artículo</w:t>
      </w:r>
      <w:r w:rsidRPr="007D3AA4">
        <w:rPr>
          <w:rFonts w:ascii="Palatino Linotype" w:hAnsi="Palatino Linotype"/>
          <w:b/>
          <w:bCs/>
          <w:sz w:val="22"/>
          <w:szCs w:val="22"/>
          <w:lang w:val="es-ES_tradnl"/>
        </w:rPr>
        <w:t xml:space="preserve"> 12.- De la multa por retraso en ejecución de </w:t>
      </w:r>
      <w:proofErr w:type="gramStart"/>
      <w:r w:rsidRPr="007D3AA4">
        <w:rPr>
          <w:rFonts w:ascii="Palatino Linotype" w:hAnsi="Palatino Linotype"/>
          <w:b/>
          <w:bCs/>
          <w:sz w:val="22"/>
          <w:szCs w:val="22"/>
          <w:lang w:val="es-ES_tradnl"/>
        </w:rPr>
        <w:t>obras.-</w:t>
      </w:r>
      <w:proofErr w:type="gramEnd"/>
      <w:r w:rsidRPr="007D3AA4">
        <w:rPr>
          <w:rFonts w:ascii="Palatino Linotype" w:hAnsi="Palatino Linotype"/>
          <w:b/>
          <w:bCs/>
          <w:sz w:val="22"/>
          <w:szCs w:val="22"/>
          <w:lang w:val="es-ES_tradnl"/>
        </w:rPr>
        <w:t xml:space="preserve"> </w:t>
      </w:r>
      <w:r w:rsidRPr="007D3AA4">
        <w:rPr>
          <w:rFonts w:ascii="Palatino Linotype" w:hAnsi="Palatino Linotype"/>
          <w:color w:val="212121"/>
          <w:sz w:val="22"/>
          <w:szCs w:val="22"/>
          <w:lang w:val="es-ES_tradnl"/>
        </w:rPr>
        <w:t>En caso de retraso en la ejecución de las obras civiles y de infraestructura</w:t>
      </w:r>
      <w:r w:rsidRPr="007D3AA4">
        <w:rPr>
          <w:rFonts w:ascii="Palatino Linotype" w:hAnsi="Palatino Linotype"/>
          <w:color w:val="0D0D0D"/>
          <w:sz w:val="22"/>
          <w:szCs w:val="22"/>
        </w:rPr>
        <w:t xml:space="preserve"> el </w:t>
      </w:r>
      <w:r w:rsidRPr="007D3AA4">
        <w:rPr>
          <w:rFonts w:ascii="Palatino Linotype" w:hAnsi="Palatino Linotype"/>
          <w:sz w:val="22"/>
          <w:szCs w:val="22"/>
        </w:rPr>
        <w:t xml:space="preserve">Asentamiento </w:t>
      </w:r>
      <w:r w:rsidRPr="007D3AA4">
        <w:rPr>
          <w:rFonts w:ascii="Palatino Linotype" w:hAnsi="Palatino Linotype"/>
          <w:bCs/>
          <w:iCs/>
          <w:sz w:val="22"/>
          <w:szCs w:val="22"/>
        </w:rPr>
        <w:t xml:space="preserve">Humano de Hecho y Consolidado de Interés Social denominado </w:t>
      </w:r>
      <w:r w:rsidRPr="007D3AA4">
        <w:rPr>
          <w:rFonts w:ascii="Palatino Linotype" w:hAnsi="Palatino Linotype"/>
          <w:sz w:val="22"/>
          <w:szCs w:val="22"/>
        </w:rPr>
        <w:t>Comité del Barrio “Nuestras Cumbres del Sur Occidente” (Etapa I) se</w:t>
      </w:r>
      <w:r w:rsidRPr="007D3AA4">
        <w:rPr>
          <w:rFonts w:ascii="Palatino Linotype" w:hAnsi="Palatino Linotype"/>
          <w:color w:val="000000"/>
          <w:sz w:val="22"/>
          <w:szCs w:val="22"/>
        </w:rPr>
        <w:t xml:space="preserve"> sujetará a las sanciones contempladas en el </w:t>
      </w:r>
      <w:r w:rsidR="007126B6" w:rsidRPr="007D3AA4">
        <w:rPr>
          <w:rFonts w:ascii="Palatino Linotype" w:hAnsi="Palatino Linotype"/>
          <w:color w:val="000000"/>
          <w:sz w:val="22"/>
          <w:szCs w:val="22"/>
        </w:rPr>
        <w:t>ordenamiento jurídico nacional y metropolitano vigente.</w:t>
      </w:r>
    </w:p>
    <w:p w:rsidR="003F5FA4" w:rsidRPr="007D3AA4" w:rsidRDefault="007126B6" w:rsidP="003F5FA4">
      <w:pPr>
        <w:pStyle w:val="Textoindependiente"/>
        <w:tabs>
          <w:tab w:val="left" w:pos="1306"/>
        </w:tabs>
        <w:spacing w:line="276" w:lineRule="auto"/>
        <w:jc w:val="both"/>
        <w:rPr>
          <w:rFonts w:ascii="Palatino Linotype" w:hAnsi="Palatino Linotype"/>
          <w:sz w:val="22"/>
          <w:szCs w:val="22"/>
        </w:rPr>
      </w:pPr>
      <w:r>
        <w:rPr>
          <w:rFonts w:ascii="Palatino Linotype" w:hAnsi="Palatino Linotype"/>
          <w:b/>
          <w:bCs/>
          <w:iCs/>
          <w:sz w:val="22"/>
          <w:szCs w:val="22"/>
        </w:rPr>
        <w:t xml:space="preserve">Artículo </w:t>
      </w:r>
      <w:r w:rsidR="003F5FA4" w:rsidRPr="007D3AA4">
        <w:rPr>
          <w:rFonts w:ascii="Palatino Linotype" w:hAnsi="Palatino Linotype"/>
          <w:b/>
          <w:bCs/>
          <w:iCs/>
          <w:sz w:val="22"/>
          <w:szCs w:val="22"/>
        </w:rPr>
        <w:t>13.- De la garantía de ejecución de las obras.-</w:t>
      </w:r>
      <w:r w:rsidR="003F5FA4" w:rsidRPr="007D3AA4">
        <w:rPr>
          <w:rFonts w:ascii="Palatino Linotype" w:hAnsi="Palatino Linotype"/>
          <w:sz w:val="22"/>
          <w:szCs w:val="22"/>
        </w:rPr>
        <w:t xml:space="preserve"> Los lotes producto del fraccionamiento del predio donde se encuentra ubicado </w:t>
      </w:r>
      <w:r w:rsidR="003F5FA4" w:rsidRPr="007D3AA4">
        <w:rPr>
          <w:rFonts w:ascii="Palatino Linotype" w:hAnsi="Palatino Linotype"/>
          <w:color w:val="212121"/>
          <w:sz w:val="22"/>
          <w:szCs w:val="22"/>
        </w:rPr>
        <w:t>el</w:t>
      </w:r>
      <w:r w:rsidR="003F5FA4" w:rsidRPr="007D3AA4">
        <w:rPr>
          <w:rStyle w:val="apple-converted-space"/>
          <w:rFonts w:ascii="Palatino Linotype" w:eastAsiaTheme="majorEastAsia" w:hAnsi="Palatino Linotype"/>
          <w:color w:val="212121"/>
          <w:sz w:val="22"/>
          <w:szCs w:val="22"/>
        </w:rPr>
        <w:t> </w:t>
      </w:r>
      <w:r w:rsidR="003F5FA4" w:rsidRPr="007D3AA4">
        <w:rPr>
          <w:rFonts w:ascii="Palatino Linotype" w:hAnsi="Palatino Linotype"/>
          <w:sz w:val="22"/>
          <w:szCs w:val="22"/>
        </w:rPr>
        <w:t xml:space="preserve">Asentamiento </w:t>
      </w:r>
      <w:r w:rsidR="003F5FA4" w:rsidRPr="007D3AA4">
        <w:rPr>
          <w:rFonts w:ascii="Palatino Linotype" w:hAnsi="Palatino Linotype"/>
          <w:bCs/>
          <w:iCs/>
          <w:sz w:val="22"/>
          <w:szCs w:val="22"/>
        </w:rPr>
        <w:t xml:space="preserve">Humano de Hecho y Consolidado de Interés Social denominado Comité del Barrio “Nuestras Cumbre del Sur Occidente” (Etapa 1) </w:t>
      </w:r>
      <w:r w:rsidR="003F5FA4" w:rsidRPr="007D3AA4">
        <w:rPr>
          <w:rFonts w:ascii="Palatino Linotype" w:hAnsi="Palatino Linotype"/>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3F5FA4" w:rsidRPr="007D3AA4" w:rsidRDefault="003F5FA4" w:rsidP="003F5FA4">
      <w:pPr>
        <w:spacing w:after="120" w:line="276" w:lineRule="auto"/>
        <w:jc w:val="both"/>
        <w:rPr>
          <w:rFonts w:ascii="Palatino Linotype" w:hAnsi="Palatino Linotype"/>
          <w:sz w:val="22"/>
          <w:szCs w:val="22"/>
          <w:lang w:val="es-ES_tradnl"/>
        </w:rPr>
      </w:pPr>
      <w:r w:rsidRPr="007D3AA4">
        <w:rPr>
          <w:rFonts w:ascii="Palatino Linotype" w:hAnsi="Palatino Linotype"/>
          <w:b/>
          <w:bCs/>
          <w:sz w:val="22"/>
          <w:szCs w:val="22"/>
        </w:rPr>
        <w:t>Artículo</w:t>
      </w:r>
      <w:r w:rsidRPr="007D3AA4">
        <w:rPr>
          <w:rFonts w:ascii="Palatino Linotype" w:hAnsi="Palatino Linotype"/>
          <w:b/>
          <w:bCs/>
          <w:sz w:val="22"/>
          <w:szCs w:val="22"/>
          <w:lang w:val="es-ES_tradnl"/>
        </w:rPr>
        <w:t xml:space="preserve"> 14.- De la </w:t>
      </w:r>
      <w:r w:rsidR="007126B6" w:rsidRPr="007D3AA4">
        <w:rPr>
          <w:rFonts w:ascii="Palatino Linotype" w:hAnsi="Palatino Linotype"/>
          <w:b/>
          <w:bCs/>
          <w:sz w:val="22"/>
          <w:szCs w:val="22"/>
          <w:lang w:val="es-ES_tradnl"/>
        </w:rPr>
        <w:t xml:space="preserve">protocolización e inscripción de la </w:t>
      </w:r>
      <w:proofErr w:type="gramStart"/>
      <w:r w:rsidR="007126B6" w:rsidRPr="007D3AA4">
        <w:rPr>
          <w:rFonts w:ascii="Palatino Linotype" w:hAnsi="Palatino Linotype"/>
          <w:b/>
          <w:bCs/>
          <w:sz w:val="22"/>
          <w:szCs w:val="22"/>
          <w:lang w:val="es-ES_tradnl"/>
        </w:rPr>
        <w:t>ordenanza</w:t>
      </w:r>
      <w:r w:rsidRPr="007D3AA4">
        <w:rPr>
          <w:rFonts w:ascii="Palatino Linotype" w:hAnsi="Palatino Linotype"/>
          <w:b/>
          <w:bCs/>
          <w:sz w:val="22"/>
          <w:szCs w:val="22"/>
          <w:lang w:val="es-ES_tradnl"/>
        </w:rPr>
        <w:t>.-</w:t>
      </w:r>
      <w:proofErr w:type="gramEnd"/>
      <w:r w:rsidRPr="007D3AA4">
        <w:rPr>
          <w:rFonts w:ascii="Palatino Linotype" w:hAnsi="Palatino Linotype"/>
          <w:b/>
          <w:bCs/>
          <w:sz w:val="22"/>
          <w:szCs w:val="22"/>
          <w:lang w:val="es-ES_tradnl"/>
        </w:rPr>
        <w:t xml:space="preserve">  </w:t>
      </w:r>
      <w:r w:rsidRPr="007D3AA4">
        <w:rPr>
          <w:rFonts w:ascii="Palatino Linotype" w:hAnsi="Palatino Linotype"/>
          <w:sz w:val="22"/>
          <w:szCs w:val="22"/>
          <w:lang w:val="es-EC"/>
        </w:rPr>
        <w:t>Los socios del predio del Asentamiento Humano de Hecho y Consolidado de Interés Social denominado</w:t>
      </w:r>
      <w:r w:rsidRPr="007D3AA4">
        <w:rPr>
          <w:rFonts w:ascii="Palatino Linotype" w:hAnsi="Palatino Linotype"/>
          <w:sz w:val="22"/>
          <w:szCs w:val="22"/>
        </w:rPr>
        <w:t xml:space="preserve"> Comité del Barrio “Nuestras Cumbres del Sur Occidente” (Etapa I)</w:t>
      </w:r>
      <w:r w:rsidRPr="007D3AA4">
        <w:rPr>
          <w:rFonts w:ascii="Palatino Linotype" w:hAnsi="Palatino Linotype"/>
          <w:sz w:val="22"/>
          <w:szCs w:val="22"/>
          <w:lang w:val="es-ES_tradnl"/>
        </w:rPr>
        <w:t xml:space="preserve">, deberán </w:t>
      </w:r>
      <w:r w:rsidR="007126B6">
        <w:rPr>
          <w:rFonts w:ascii="Palatino Linotype" w:hAnsi="Palatino Linotype"/>
          <w:sz w:val="22"/>
          <w:szCs w:val="22"/>
          <w:lang w:val="es-EC"/>
        </w:rPr>
        <w:t>protocolizar la presente o</w:t>
      </w:r>
      <w:r w:rsidRPr="007D3AA4">
        <w:rPr>
          <w:rFonts w:ascii="Palatino Linotype" w:hAnsi="Palatino Linotype"/>
          <w:sz w:val="22"/>
          <w:szCs w:val="22"/>
          <w:lang w:val="es-EC"/>
        </w:rPr>
        <w:t xml:space="preserve">rdenanza ante Notario Público e inscribirla en el Registro de la Propiedad del Distrito Metropolitano de Quito, </w:t>
      </w:r>
      <w:r w:rsidRPr="007D3AA4">
        <w:rPr>
          <w:rFonts w:ascii="Palatino Linotype" w:hAnsi="Palatino Linotype"/>
          <w:sz w:val="22"/>
          <w:szCs w:val="22"/>
          <w:lang w:val="es-ES_tradnl"/>
        </w:rPr>
        <w:t>con todos sus documentos habilitantes</w:t>
      </w:r>
      <w:r w:rsidRPr="007D3AA4">
        <w:rPr>
          <w:rFonts w:ascii="Palatino Linotype" w:hAnsi="Palatino Linotype"/>
          <w:sz w:val="22"/>
          <w:szCs w:val="22"/>
          <w:lang w:val="es-EC"/>
        </w:rPr>
        <w:t>.</w:t>
      </w:r>
    </w:p>
    <w:p w:rsidR="003F5FA4" w:rsidRPr="007D3AA4" w:rsidRDefault="003F5FA4" w:rsidP="003F5FA4">
      <w:pPr>
        <w:spacing w:after="120" w:line="276" w:lineRule="auto"/>
        <w:ind w:left="1"/>
        <w:jc w:val="both"/>
        <w:rPr>
          <w:rFonts w:ascii="Palatino Linotype" w:hAnsi="Palatino Linotype"/>
          <w:bCs/>
          <w:sz w:val="22"/>
          <w:szCs w:val="22"/>
          <w:lang w:val="es-ES_tradnl"/>
        </w:rPr>
      </w:pPr>
      <w:r w:rsidRPr="007D3AA4">
        <w:rPr>
          <w:rFonts w:ascii="Palatino Linotype" w:hAnsi="Palatino Linotype"/>
          <w:bCs/>
          <w:sz w:val="22"/>
          <w:szCs w:val="22"/>
          <w:lang w:val="es-ES_tradnl"/>
        </w:rPr>
        <w:t xml:space="preserve">En caso no legalizar la presente </w:t>
      </w:r>
      <w:r w:rsidR="007126B6">
        <w:rPr>
          <w:rFonts w:ascii="Palatino Linotype" w:hAnsi="Palatino Linotype"/>
          <w:bCs/>
          <w:sz w:val="22"/>
          <w:szCs w:val="22"/>
          <w:lang w:val="es-ES_tradnl"/>
        </w:rPr>
        <w:t>o</w:t>
      </w:r>
      <w:r w:rsidRPr="007D3AA4">
        <w:rPr>
          <w:rFonts w:ascii="Palatino Linotype" w:hAnsi="Palatino Linotype"/>
          <w:bCs/>
          <w:sz w:val="22"/>
          <w:szCs w:val="22"/>
          <w:lang w:val="es-ES_tradnl"/>
        </w:rPr>
        <w:t>rdenanza, ésta caducará conforme lo determinado en la normativa nacional vigente.</w:t>
      </w:r>
    </w:p>
    <w:p w:rsidR="003F5FA4" w:rsidRPr="007D3AA4" w:rsidRDefault="003F5FA4" w:rsidP="003F5FA4">
      <w:pPr>
        <w:spacing w:after="120" w:line="276" w:lineRule="auto"/>
        <w:jc w:val="both"/>
        <w:rPr>
          <w:rFonts w:ascii="Palatino Linotype" w:hAnsi="Palatino Linotype"/>
          <w:sz w:val="22"/>
          <w:szCs w:val="22"/>
          <w:lang w:val="es-ES_tradnl"/>
        </w:rPr>
      </w:pPr>
      <w:r w:rsidRPr="007D3AA4">
        <w:rPr>
          <w:rFonts w:ascii="Palatino Linotype" w:hAnsi="Palatino Linotype"/>
          <w:sz w:val="22"/>
          <w:szCs w:val="22"/>
          <w:lang w:val="es-ES_tradnl"/>
        </w:rPr>
        <w:t xml:space="preserve">La inscripción de la presente </w:t>
      </w:r>
      <w:r w:rsidR="007126B6">
        <w:rPr>
          <w:rFonts w:ascii="Palatino Linotype" w:hAnsi="Palatino Linotype"/>
          <w:sz w:val="22"/>
          <w:szCs w:val="22"/>
          <w:lang w:val="es-ES_tradnl"/>
        </w:rPr>
        <w:t>o</w:t>
      </w:r>
      <w:r w:rsidRPr="007D3AA4">
        <w:rPr>
          <w:rFonts w:ascii="Palatino Linotype" w:hAnsi="Palatino Linotype"/>
          <w:sz w:val="22"/>
          <w:szCs w:val="22"/>
          <w:lang w:val="es-ES_tradnl"/>
        </w:rPr>
        <w:t>rdenanza servirá como título de dominio para efectos de la transferencia de áreas verdes, en caso de que existan.</w:t>
      </w:r>
    </w:p>
    <w:p w:rsidR="003F5FA4" w:rsidRPr="007D3AA4" w:rsidRDefault="003F5FA4" w:rsidP="003F5FA4">
      <w:pPr>
        <w:spacing w:after="120" w:line="276" w:lineRule="auto"/>
        <w:jc w:val="both"/>
        <w:rPr>
          <w:rFonts w:ascii="Palatino Linotype" w:hAnsi="Palatino Linotype"/>
          <w:sz w:val="22"/>
          <w:szCs w:val="22"/>
          <w:lang w:val="es-ES_tradnl"/>
        </w:rPr>
      </w:pPr>
      <w:r w:rsidRPr="007D3AA4">
        <w:rPr>
          <w:rFonts w:ascii="Palatino Linotype" w:hAnsi="Palatino Linotype"/>
          <w:b/>
          <w:sz w:val="22"/>
          <w:szCs w:val="22"/>
          <w:lang w:val="es-ES_tradnl"/>
        </w:rPr>
        <w:t>Artículo 15.- De la entrega de escrituras individuales.-</w:t>
      </w:r>
      <w:r w:rsidRPr="007D3AA4">
        <w:rPr>
          <w:rFonts w:ascii="Palatino Linotype" w:hAnsi="Palatino Linotype"/>
          <w:sz w:val="22"/>
          <w:szCs w:val="22"/>
          <w:lang w:val="es-ES_tradnl"/>
        </w:rPr>
        <w:t xml:space="preserve"> El Asentamiento Humano de Hecho y Consolidado de Interés Social denominado </w:t>
      </w:r>
      <w:r w:rsidRPr="007D3AA4">
        <w:rPr>
          <w:rFonts w:ascii="Palatino Linotype" w:hAnsi="Palatino Linotype"/>
          <w:sz w:val="22"/>
          <w:szCs w:val="22"/>
        </w:rPr>
        <w:t>Comité del Barrio “Nuestras Cumbres del Sur Occidente” (Etapa I)</w:t>
      </w:r>
      <w:r w:rsidRPr="007D3AA4">
        <w:rPr>
          <w:rFonts w:ascii="Palatino Linotype" w:eastAsia="Calibri" w:hAnsi="Palatino Linotype"/>
          <w:sz w:val="22"/>
          <w:szCs w:val="22"/>
          <w:lang w:val="es-EC" w:eastAsia="en-US"/>
        </w:rPr>
        <w:t xml:space="preserve">, </w:t>
      </w:r>
      <w:r w:rsidRPr="007D3AA4">
        <w:rPr>
          <w:rFonts w:ascii="Palatino Linotype" w:hAnsi="Palatino Linotype"/>
          <w:sz w:val="22"/>
          <w:szCs w:val="22"/>
          <w:lang w:val="es-ES_tradnl"/>
        </w:rPr>
        <w:t xml:space="preserve">a través de sus representantes deberá entregar las respectivas escrituras individuales a favor de los socios conforme consta en el plano adjunto a esta </w:t>
      </w:r>
      <w:r w:rsidRPr="007D3AA4">
        <w:rPr>
          <w:rFonts w:ascii="Palatino Linotype" w:hAnsi="Palatino Linotype"/>
          <w:sz w:val="22"/>
          <w:szCs w:val="22"/>
          <w:lang w:val="es-ES_tradnl"/>
        </w:rPr>
        <w:lastRenderedPageBreak/>
        <w:t xml:space="preserve">Ordenanza una vez inscrita en el Registro de la Propiedad del cantón Quito, bajo eventual responsabilidad civil y penal de los dirigentes en caso de incumplimiento. </w:t>
      </w:r>
    </w:p>
    <w:p w:rsidR="003F5FA4" w:rsidRPr="007D3AA4" w:rsidRDefault="003F5FA4" w:rsidP="003F5FA4">
      <w:pPr>
        <w:spacing w:after="120" w:line="276" w:lineRule="auto"/>
        <w:jc w:val="both"/>
        <w:rPr>
          <w:rFonts w:ascii="Palatino Linotype" w:hAnsi="Palatino Linotype"/>
          <w:bCs/>
          <w:sz w:val="22"/>
          <w:szCs w:val="22"/>
          <w:lang w:val="es-ES_tradnl"/>
        </w:rPr>
      </w:pPr>
      <w:r w:rsidRPr="007D3AA4">
        <w:rPr>
          <w:rFonts w:ascii="Palatino Linotype" w:hAnsi="Palatino Linotype"/>
          <w:b/>
          <w:bCs/>
          <w:sz w:val="22"/>
          <w:szCs w:val="22"/>
          <w:lang w:val="es-ES_tradnl"/>
        </w:rPr>
        <w:t xml:space="preserve">Artículo 16.- Solicitudes de ampliación de </w:t>
      </w:r>
      <w:proofErr w:type="gramStart"/>
      <w:r w:rsidRPr="007D3AA4">
        <w:rPr>
          <w:rFonts w:ascii="Palatino Linotype" w:hAnsi="Palatino Linotype"/>
          <w:b/>
          <w:bCs/>
          <w:sz w:val="22"/>
          <w:szCs w:val="22"/>
          <w:lang w:val="es-ES_tradnl"/>
        </w:rPr>
        <w:t>plazo.-</w:t>
      </w:r>
      <w:proofErr w:type="gramEnd"/>
      <w:r w:rsidRPr="007D3AA4">
        <w:rPr>
          <w:rFonts w:ascii="Palatino Linotype" w:hAnsi="Palatino Linotype"/>
          <w:b/>
          <w:bCs/>
          <w:sz w:val="22"/>
          <w:szCs w:val="22"/>
          <w:lang w:val="es-ES_tradnl"/>
        </w:rPr>
        <w:t xml:space="preserve"> </w:t>
      </w:r>
      <w:r w:rsidRPr="007D3AA4">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F5FA4" w:rsidRPr="007D3AA4" w:rsidRDefault="003F5FA4" w:rsidP="003F5FA4">
      <w:pPr>
        <w:spacing w:after="120" w:line="276" w:lineRule="auto"/>
        <w:jc w:val="both"/>
        <w:rPr>
          <w:rFonts w:ascii="Palatino Linotype" w:hAnsi="Palatino Linotype"/>
          <w:bCs/>
          <w:sz w:val="22"/>
          <w:szCs w:val="22"/>
          <w:lang w:val="es-ES_tradnl"/>
        </w:rPr>
      </w:pPr>
      <w:r w:rsidRPr="007D3AA4">
        <w:rPr>
          <w:rFonts w:ascii="Palatino Linotype" w:hAnsi="Palatino Linotype"/>
          <w:b/>
          <w:bCs/>
          <w:sz w:val="22"/>
          <w:szCs w:val="22"/>
          <w:lang w:val="es-ES_tradnl"/>
        </w:rPr>
        <w:t xml:space="preserve">Artículo 17.- Potestad de </w:t>
      </w:r>
      <w:proofErr w:type="gramStart"/>
      <w:r w:rsidRPr="007D3AA4">
        <w:rPr>
          <w:rFonts w:ascii="Palatino Linotype" w:hAnsi="Palatino Linotype"/>
          <w:b/>
          <w:bCs/>
          <w:sz w:val="22"/>
          <w:szCs w:val="22"/>
          <w:lang w:val="es-ES_tradnl"/>
        </w:rPr>
        <w:t>ejecución.-</w:t>
      </w:r>
      <w:proofErr w:type="gramEnd"/>
      <w:r w:rsidRPr="007D3AA4">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Pr="00091622" w:rsidRDefault="00823CB7" w:rsidP="00AF343E">
      <w:pPr>
        <w:spacing w:after="240"/>
        <w:contextualSpacing/>
        <w:jc w:val="both"/>
        <w:rPr>
          <w:rFonts w:ascii="Palatino Linotype" w:hAnsi="Palatino Linotype"/>
          <w:sz w:val="22"/>
          <w:szCs w:val="22"/>
        </w:rPr>
      </w:pPr>
    </w:p>
    <w:p w:rsidR="00F36FDA" w:rsidRDefault="00F36FDA"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6C6089">
        <w:rPr>
          <w:rFonts w:ascii="Palatino Linotype" w:eastAsia="MS Mincho" w:hAnsi="Palatino Linotype"/>
          <w:sz w:val="22"/>
          <w:szCs w:val="22"/>
          <w:lang w:val="es-EC"/>
        </w:rPr>
        <w:t>2</w:t>
      </w:r>
      <w:r w:rsidR="007126B6">
        <w:rPr>
          <w:rFonts w:ascii="Palatino Linotype" w:eastAsia="MS Mincho" w:hAnsi="Palatino Linotype"/>
          <w:sz w:val="22"/>
          <w:szCs w:val="22"/>
          <w:lang w:val="es-EC"/>
        </w:rPr>
        <w:t>6</w:t>
      </w:r>
      <w:r w:rsidR="00D427EA" w:rsidRPr="00091622">
        <w:rPr>
          <w:rFonts w:ascii="Palatino Linotype" w:eastAsia="MS Mincho" w:hAnsi="Palatino Linotype"/>
          <w:sz w:val="22"/>
          <w:szCs w:val="22"/>
          <w:lang w:val="es-EC"/>
        </w:rPr>
        <w:t xml:space="preserve"> de </w:t>
      </w:r>
      <w:r w:rsidR="007126B6">
        <w:rPr>
          <w:rFonts w:ascii="Palatino Linotype" w:eastAsia="MS Mincho" w:hAnsi="Palatino Linotype"/>
          <w:sz w:val="22"/>
          <w:szCs w:val="22"/>
          <w:lang w:val="es-EC"/>
        </w:rPr>
        <w:t xml:space="preserve">junio de 2017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6FDA" w:rsidRDefault="00F36FDA" w:rsidP="00F112F0">
      <w:pPr>
        <w:pStyle w:val="Textosinformato"/>
        <w:jc w:val="center"/>
        <w:rPr>
          <w:rFonts w:ascii="Palatino Linotype" w:eastAsia="MS Mincho" w:hAnsi="Palatino Linotype"/>
          <w:b/>
          <w:bCs/>
          <w:sz w:val="22"/>
          <w:szCs w:val="22"/>
          <w:lang w:val="es-EC"/>
        </w:rPr>
      </w:pPr>
    </w:p>
    <w:p w:rsidR="007126B6" w:rsidRDefault="007126B6" w:rsidP="00F112F0">
      <w:pPr>
        <w:pStyle w:val="Textosinformato"/>
        <w:jc w:val="center"/>
        <w:rPr>
          <w:rFonts w:ascii="Palatino Linotype" w:eastAsia="MS Mincho" w:hAnsi="Palatino Linotype"/>
          <w:b/>
          <w:bCs/>
          <w:sz w:val="22"/>
          <w:szCs w:val="22"/>
          <w:lang w:val="es-EC"/>
        </w:rPr>
      </w:pPr>
    </w:p>
    <w:p w:rsidR="007126B6" w:rsidRDefault="007126B6" w:rsidP="00F112F0">
      <w:pPr>
        <w:pStyle w:val="Textosinformato"/>
        <w:jc w:val="center"/>
        <w:rPr>
          <w:rFonts w:ascii="Palatino Linotype" w:eastAsia="MS Mincho" w:hAnsi="Palatino Linotype"/>
          <w:b/>
          <w:bCs/>
          <w:sz w:val="22"/>
          <w:szCs w:val="22"/>
          <w:lang w:val="es-EC"/>
        </w:rPr>
      </w:pPr>
    </w:p>
    <w:p w:rsidR="007126B6" w:rsidRDefault="007126B6" w:rsidP="00F112F0">
      <w:pPr>
        <w:pStyle w:val="Textosinformato"/>
        <w:jc w:val="center"/>
        <w:rPr>
          <w:rFonts w:ascii="Palatino Linotype" w:eastAsia="MS Mincho" w:hAnsi="Palatino Linotype"/>
          <w:b/>
          <w:bCs/>
          <w:sz w:val="22"/>
          <w:szCs w:val="22"/>
          <w:lang w:val="es-EC"/>
        </w:rPr>
      </w:pPr>
    </w:p>
    <w:p w:rsidR="007126B6" w:rsidRDefault="007126B6" w:rsidP="00F112F0">
      <w:pPr>
        <w:pStyle w:val="Textosinformato"/>
        <w:jc w:val="center"/>
        <w:rPr>
          <w:rFonts w:ascii="Palatino Linotype" w:eastAsia="MS Mincho" w:hAnsi="Palatino Linotype"/>
          <w:b/>
          <w:bCs/>
          <w:sz w:val="22"/>
          <w:szCs w:val="22"/>
          <w:lang w:val="es-EC"/>
        </w:rPr>
      </w:pPr>
    </w:p>
    <w:p w:rsidR="007126B6" w:rsidRDefault="007126B6"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C6" w:rsidRDefault="001144C6">
      <w:r>
        <w:separator/>
      </w:r>
    </w:p>
  </w:endnote>
  <w:endnote w:type="continuationSeparator" w:id="0">
    <w:p w:rsidR="001144C6" w:rsidRDefault="0011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250E5">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7126B6">
              <w:rPr>
                <w:rFonts w:ascii="Palatino Linotype" w:hAnsi="Palatino Linotype"/>
                <w:b/>
                <w:bCs/>
                <w:sz w:val="22"/>
                <w:szCs w:val="22"/>
              </w:rPr>
              <w:t>3</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E56C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7126B6">
              <w:rPr>
                <w:rFonts w:ascii="Palatino Linotype" w:hAnsi="Palatino Linotype"/>
                <w:b/>
                <w:bCs/>
                <w:sz w:val="22"/>
                <w:szCs w:val="22"/>
              </w:rPr>
              <w:t>3</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C6" w:rsidRDefault="001144C6">
      <w:r>
        <w:separator/>
      </w:r>
    </w:p>
  </w:footnote>
  <w:footnote w:type="continuationSeparator" w:id="0">
    <w:p w:rsidR="001144C6" w:rsidRDefault="0011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18"/>
  </w:num>
  <w:num w:numId="4">
    <w:abstractNumId w:val="14"/>
  </w:num>
  <w:num w:numId="5">
    <w:abstractNumId w:val="20"/>
  </w:num>
  <w:num w:numId="6">
    <w:abstractNumId w:val="15"/>
  </w:num>
  <w:num w:numId="7">
    <w:abstractNumId w:val="21"/>
  </w:num>
  <w:num w:numId="8">
    <w:abstractNumId w:val="16"/>
  </w:num>
  <w:num w:numId="9">
    <w:abstractNumId w:val="11"/>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7"/>
  </w:num>
  <w:num w:numId="16">
    <w:abstractNumId w:val="1"/>
  </w:num>
  <w:num w:numId="17">
    <w:abstractNumId w:val="19"/>
  </w:num>
  <w:num w:numId="18">
    <w:abstractNumId w:val="17"/>
  </w:num>
  <w:num w:numId="19">
    <w:abstractNumId w:val="8"/>
  </w:num>
  <w:num w:numId="20">
    <w:abstractNumId w:val="13"/>
  </w:num>
  <w:num w:numId="21">
    <w:abstractNumId w:val="5"/>
  </w:num>
  <w:num w:numId="22">
    <w:abstractNumId w:val="23"/>
  </w:num>
  <w:num w:numId="23">
    <w:abstractNumId w:val="22"/>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44C6"/>
    <w:rsid w:val="00116A5A"/>
    <w:rsid w:val="00117528"/>
    <w:rsid w:val="001177DB"/>
    <w:rsid w:val="00120CFF"/>
    <w:rsid w:val="001250E5"/>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B0FB6"/>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56C2"/>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4615"/>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7A1"/>
    <w:rsid w:val="00905AAC"/>
    <w:rsid w:val="00907ED5"/>
    <w:rsid w:val="00917AF0"/>
    <w:rsid w:val="00917D16"/>
    <w:rsid w:val="00920038"/>
    <w:rsid w:val="009354CF"/>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2C17"/>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D71A3-F464-4BAA-AE81-73E9268D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4616</Words>
  <Characters>25389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2</cp:revision>
  <cp:lastPrinted>2019-04-25T22:50:00Z</cp:lastPrinted>
  <dcterms:created xsi:type="dcterms:W3CDTF">2019-04-25T22:55:00Z</dcterms:created>
  <dcterms:modified xsi:type="dcterms:W3CDTF">2019-04-25T22:55:00Z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