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t>EXPOSICIÓN DE MOTIVOS</w:t>
      </w:r>
    </w:p>
    <w:p w:rsidR="00930448" w:rsidRPr="0076281E" w:rsidRDefault="00930448" w:rsidP="00930448">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La Constitución de la República del Ecuador, en su artículo 30, garantiza a las personas el “</w:t>
      </w:r>
      <w:r w:rsidRPr="0076281E">
        <w:rPr>
          <w:rFonts w:ascii="Palatino Linotype" w:hAnsi="Palatino Linotype" w:cs="Times New Roman"/>
          <w:b w:val="0"/>
          <w:i/>
          <w:sz w:val="22"/>
          <w:szCs w:val="22"/>
        </w:rPr>
        <w:t>derecho a un hábitat seguro y saludable, y a una vivienda adecuada y digna, con independencia de su situación social y económica</w:t>
      </w:r>
      <w:r w:rsidRPr="0076281E">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DA18B1" w:rsidRDefault="00930448" w:rsidP="00DA18B1">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A18B1" w:rsidRPr="00DA18B1" w:rsidRDefault="00DA18B1" w:rsidP="00DA18B1">
      <w:pPr>
        <w:pStyle w:val="a"/>
        <w:spacing w:after="120" w:line="276" w:lineRule="auto"/>
        <w:ind w:firstLine="708"/>
        <w:jc w:val="both"/>
        <w:rPr>
          <w:rFonts w:ascii="Palatino Linotype" w:hAnsi="Palatino Linotype" w:cs="Times New Roman"/>
          <w:b w:val="0"/>
          <w:sz w:val="22"/>
          <w:szCs w:val="22"/>
        </w:rPr>
      </w:pPr>
      <w:r w:rsidRPr="001F60EB">
        <w:rPr>
          <w:rFonts w:ascii="Palatino Linotype" w:hAnsi="Palatino Linotype"/>
          <w:b w:val="0"/>
          <w:sz w:val="22"/>
          <w:szCs w:val="22"/>
        </w:rPr>
        <w:t>El Asentamiento Humano de Hecho y Consolidado de Interés Social denominado: Urbanización de Interés Social de Desarrollo Progresivo del Barrio Portal de San Juan, ubicado en la parroquia Calderón,</w:t>
      </w:r>
      <w:r w:rsidRPr="001F60EB">
        <w:rPr>
          <w:rFonts w:ascii="Palatino Linotype" w:hAnsi="Palatino Linotype"/>
          <w:sz w:val="22"/>
          <w:szCs w:val="22"/>
        </w:rPr>
        <w:t xml:space="preserve"> </w:t>
      </w:r>
      <w:r w:rsidRPr="001F60EB">
        <w:rPr>
          <w:rFonts w:ascii="Palatino Linotype" w:hAnsi="Palatino Linotype"/>
          <w:b w:val="0"/>
          <w:sz w:val="22"/>
          <w:szCs w:val="22"/>
        </w:rPr>
        <w:t>tiene</w:t>
      </w:r>
      <w:r w:rsidRPr="001F60EB">
        <w:rPr>
          <w:rFonts w:ascii="Palatino Linotype" w:hAnsi="Palatino Linotype"/>
          <w:sz w:val="22"/>
          <w:szCs w:val="22"/>
        </w:rPr>
        <w:t xml:space="preserve"> </w:t>
      </w:r>
      <w:r w:rsidRPr="001F60EB">
        <w:rPr>
          <w:rFonts w:ascii="Palatino Linotype" w:hAnsi="Palatino Linotype"/>
          <w:b w:val="0"/>
          <w:sz w:val="22"/>
          <w:szCs w:val="22"/>
        </w:rPr>
        <w:t>una consolidación del 42,86%,</w:t>
      </w:r>
      <w:r w:rsidRPr="001F60EB">
        <w:rPr>
          <w:rFonts w:ascii="Palatino Linotype" w:hAnsi="Palatino Linotype"/>
          <w:sz w:val="22"/>
          <w:szCs w:val="22"/>
        </w:rPr>
        <w:t xml:space="preserve"> </w:t>
      </w:r>
      <w:r w:rsidRPr="001F60EB">
        <w:rPr>
          <w:rFonts w:ascii="Palatino Linotype" w:hAnsi="Palatino Linotype"/>
          <w:b w:val="0"/>
          <w:sz w:val="22"/>
          <w:szCs w:val="22"/>
        </w:rPr>
        <w:t>al inicio del proceso de reforma de la ordenanza contaba con 14 años de existencia; sin embargo, al momento de la sanción de la presente ordenanza el asentamiento cuenta con 16 años de asentamiento y 112 beneficiarios.</w:t>
      </w:r>
    </w:p>
    <w:p w:rsidR="002305D7" w:rsidRPr="0076281E" w:rsidRDefault="00DA18B1" w:rsidP="00DA18B1">
      <w:pPr>
        <w:pStyle w:val="Sinespaciado"/>
        <w:spacing w:after="120" w:line="276" w:lineRule="auto"/>
        <w:ind w:firstLine="708"/>
        <w:jc w:val="both"/>
        <w:rPr>
          <w:rFonts w:ascii="Palatino Linotype" w:hAnsi="Palatino Linotype"/>
          <w:b/>
        </w:rPr>
      </w:pPr>
      <w:r w:rsidRPr="001F60EB">
        <w:rPr>
          <w:rFonts w:ascii="Palatino Linotype" w:hAnsi="Palatino Linotype"/>
        </w:rPr>
        <w:t xml:space="preserve">Dicho Asentamiento Humano de Hecho y Consolidado de Interés Social fue reconocido mediante Ordenanza Metropolitana </w:t>
      </w:r>
      <w:r>
        <w:rPr>
          <w:rFonts w:ascii="Palatino Linotype" w:hAnsi="Palatino Linotype"/>
          <w:lang w:val="es-ES_tradnl"/>
        </w:rPr>
        <w:t xml:space="preserve">No. </w:t>
      </w:r>
      <w:r w:rsidRPr="001F60EB">
        <w:rPr>
          <w:rFonts w:ascii="Palatino Linotype" w:hAnsi="Palatino Linotype"/>
          <w:lang w:val="es-ES_tradnl"/>
        </w:rPr>
        <w:t xml:space="preserve">0087, sancionada el 22 de junio de 2011 por el señor Alcalde del Distrito Metropolitano de Quito, sin embargo, </w:t>
      </w:r>
      <w:r w:rsidRPr="001F60EB">
        <w:rPr>
          <w:rFonts w:ascii="Palatino Linotype" w:hAnsi="Palatino Linotype"/>
        </w:rPr>
        <w:t xml:space="preserve">las áreas que conforman técnicamente el asentamiento han variado; se identifica y se aprueba por excepción únicamente al lote número 15 del plano del asentamiento; el asentamiento ha sido reconocido de Interés Social; </w:t>
      </w:r>
      <w:r w:rsidRPr="001F60EB">
        <w:rPr>
          <w:rFonts w:ascii="Palatino Linotype" w:hAnsi="Palatino Linotype"/>
          <w:lang w:val="es-ES_tradnl"/>
        </w:rPr>
        <w:t>el plazo establecido para la inscripción en el Registro de la Propiedad de la Ordenanza ha fenecido;</w:t>
      </w:r>
      <w:r w:rsidRPr="001F60EB">
        <w:rPr>
          <w:rFonts w:ascii="Palatino Linotype" w:hAnsi="Palatino Linotype"/>
        </w:rPr>
        <w:t xml:space="preserve"> el asentamiento ha sido considerado para ser incluido dentro del proceso de partición administrativa de conformidad con lo que establece el artículo 486 del Código Orgánico de Organización Territorial, Autonomía y Descentralización; además se incluyen artículos que contienen disposiciones legales que van en beneficio de la comunidad, por lo tanto, es necesario se reforme la Ordenanza Metropolitana </w:t>
      </w:r>
      <w:r>
        <w:rPr>
          <w:rFonts w:ascii="Palatino Linotype" w:hAnsi="Palatino Linotype"/>
          <w:lang w:val="es-ES_tradnl"/>
        </w:rPr>
        <w:t xml:space="preserve">No. </w:t>
      </w:r>
      <w:r w:rsidRPr="001F60EB">
        <w:rPr>
          <w:rFonts w:ascii="Palatino Linotype" w:hAnsi="Palatino Linotype"/>
          <w:lang w:val="es-ES_tradnl"/>
        </w:rPr>
        <w:t xml:space="preserve">0087, sancionada el 22 de junio de 2011, </w:t>
      </w:r>
      <w:r w:rsidRPr="001F60EB">
        <w:rPr>
          <w:rFonts w:ascii="Palatino Linotype" w:hAnsi="Palatino Linotype"/>
        </w:rPr>
        <w:t>por lo que la Unidad Especial Regula Tu Barrio realizó el proceso tendiente a reformar dicha Ordenanza, a fin de dotar a la población beneficiaria de servicios básicos; y, a su vez, permitir que los legítimos propietarios cuenten con el título de dominio que garantice su propiedad y el ejercicio del derecho a la vivienda, adecuada y digna, conforme lo prevé la Constitución del Ecuador.</w:t>
      </w:r>
    </w:p>
    <w:p w:rsidR="0002561F" w:rsidRPr="0076281E" w:rsidRDefault="0002561F" w:rsidP="00F61B37">
      <w:pPr>
        <w:pStyle w:val="a"/>
        <w:spacing w:after="120" w:line="276" w:lineRule="auto"/>
        <w:jc w:val="both"/>
        <w:rPr>
          <w:rFonts w:ascii="Palatino Linotype" w:hAnsi="Palatino Linotype" w:cs="Times New Roman"/>
          <w:b w:val="0"/>
          <w:sz w:val="22"/>
          <w:szCs w:val="22"/>
        </w:rPr>
        <w:sectPr w:rsidR="0002561F" w:rsidRPr="0076281E" w:rsidSect="00201283">
          <w:headerReference w:type="default" r:id="rId9"/>
          <w:footerReference w:type="first" r:id="rId10"/>
          <w:pgSz w:w="11906" w:h="16838"/>
          <w:pgMar w:top="3402" w:right="1416" w:bottom="567" w:left="1701" w:header="709" w:footer="70" w:gutter="0"/>
          <w:cols w:space="708"/>
          <w:docGrid w:linePitch="360"/>
        </w:sectPr>
      </w:pPr>
    </w:p>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lastRenderedPageBreak/>
        <w:t>EL CONCEJO METROPOLITANO DE QUITO</w:t>
      </w:r>
    </w:p>
    <w:p w:rsidR="00361728" w:rsidRPr="0076281E" w:rsidRDefault="00A45897" w:rsidP="00F61B37">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Vistos </w:t>
      </w:r>
      <w:r w:rsidR="00930448" w:rsidRPr="0076281E">
        <w:rPr>
          <w:rFonts w:ascii="Palatino Linotype" w:hAnsi="Palatino Linotype"/>
          <w:sz w:val="22"/>
          <w:szCs w:val="22"/>
        </w:rPr>
        <w:t>e</w:t>
      </w:r>
      <w:r w:rsidRPr="0076281E">
        <w:rPr>
          <w:rFonts w:ascii="Palatino Linotype" w:hAnsi="Palatino Linotype"/>
          <w:sz w:val="22"/>
          <w:szCs w:val="22"/>
        </w:rPr>
        <w:t xml:space="preserve">l </w:t>
      </w:r>
      <w:r w:rsidR="00361728" w:rsidRPr="0076281E">
        <w:rPr>
          <w:rFonts w:ascii="Palatino Linotype" w:hAnsi="Palatino Linotype"/>
          <w:sz w:val="22"/>
          <w:szCs w:val="22"/>
        </w:rPr>
        <w:t xml:space="preserve">Informe No. </w:t>
      </w:r>
      <w:proofErr w:type="spellStart"/>
      <w:r w:rsidR="00CD710B" w:rsidRPr="0076281E">
        <w:rPr>
          <w:rFonts w:ascii="Palatino Linotype" w:hAnsi="Palatino Linotype"/>
          <w:sz w:val="22"/>
          <w:szCs w:val="22"/>
        </w:rPr>
        <w:t>IC</w:t>
      </w:r>
      <w:proofErr w:type="spellEnd"/>
      <w:r w:rsidR="00CD710B" w:rsidRPr="0076281E">
        <w:rPr>
          <w:rFonts w:ascii="Palatino Linotype" w:hAnsi="Palatino Linotype"/>
          <w:sz w:val="22"/>
          <w:szCs w:val="22"/>
        </w:rPr>
        <w:t>-O-201</w:t>
      </w:r>
      <w:r w:rsidR="00704CC1" w:rsidRPr="0076281E">
        <w:rPr>
          <w:rFonts w:ascii="Palatino Linotype" w:hAnsi="Palatino Linotype"/>
          <w:sz w:val="22"/>
          <w:szCs w:val="22"/>
        </w:rPr>
        <w:t>8</w:t>
      </w:r>
      <w:r w:rsidR="0002561F" w:rsidRPr="0076281E">
        <w:rPr>
          <w:rFonts w:ascii="Palatino Linotype" w:hAnsi="Palatino Linotype"/>
          <w:sz w:val="22"/>
          <w:szCs w:val="22"/>
        </w:rPr>
        <w:t>-</w:t>
      </w:r>
      <w:r w:rsidR="00704CC1" w:rsidRPr="0076281E">
        <w:rPr>
          <w:rFonts w:ascii="Palatino Linotype" w:hAnsi="Palatino Linotype"/>
          <w:sz w:val="22"/>
          <w:szCs w:val="22"/>
        </w:rPr>
        <w:t>12</w:t>
      </w:r>
      <w:r w:rsidR="00DA18B1">
        <w:rPr>
          <w:rFonts w:ascii="Palatino Linotype" w:hAnsi="Palatino Linotype"/>
          <w:sz w:val="22"/>
          <w:szCs w:val="22"/>
        </w:rPr>
        <w:t>5</w:t>
      </w:r>
      <w:r w:rsidR="0002561F" w:rsidRPr="0076281E">
        <w:rPr>
          <w:rFonts w:ascii="Palatino Linotype" w:hAnsi="Palatino Linotype"/>
          <w:sz w:val="22"/>
          <w:szCs w:val="22"/>
        </w:rPr>
        <w:t xml:space="preserve">, </w:t>
      </w:r>
      <w:r w:rsidR="00361728" w:rsidRPr="0076281E">
        <w:rPr>
          <w:rFonts w:ascii="Palatino Linotype" w:hAnsi="Palatino Linotype"/>
          <w:sz w:val="22"/>
          <w:szCs w:val="22"/>
        </w:rPr>
        <w:t>de</w:t>
      </w:r>
      <w:r w:rsidR="0002561F" w:rsidRPr="0076281E">
        <w:rPr>
          <w:rFonts w:ascii="Palatino Linotype" w:hAnsi="Palatino Linotype"/>
          <w:sz w:val="22"/>
          <w:szCs w:val="22"/>
        </w:rPr>
        <w:t xml:space="preserve"> </w:t>
      </w:r>
      <w:r w:rsidR="00704CC1" w:rsidRPr="0076281E">
        <w:rPr>
          <w:rFonts w:ascii="Palatino Linotype" w:hAnsi="Palatino Linotype"/>
          <w:sz w:val="22"/>
          <w:szCs w:val="22"/>
        </w:rPr>
        <w:t xml:space="preserve">5 </w:t>
      </w:r>
      <w:r w:rsidR="00930448" w:rsidRPr="0076281E">
        <w:rPr>
          <w:rFonts w:ascii="Palatino Linotype" w:hAnsi="Palatino Linotype"/>
          <w:sz w:val="22"/>
          <w:szCs w:val="22"/>
        </w:rPr>
        <w:t xml:space="preserve">de </w:t>
      </w:r>
      <w:r w:rsidR="00704CC1" w:rsidRPr="0076281E">
        <w:rPr>
          <w:rFonts w:ascii="Palatino Linotype" w:hAnsi="Palatino Linotype"/>
          <w:sz w:val="22"/>
          <w:szCs w:val="22"/>
        </w:rPr>
        <w:t>junio de 2018</w:t>
      </w:r>
      <w:r w:rsidR="00361728" w:rsidRPr="0076281E">
        <w:rPr>
          <w:rFonts w:ascii="Palatino Linotype" w:hAnsi="Palatino Linotype"/>
          <w:sz w:val="22"/>
          <w:szCs w:val="22"/>
        </w:rPr>
        <w:t>, expedido por la Comisi</w:t>
      </w:r>
      <w:r w:rsidR="002305D7" w:rsidRPr="0076281E">
        <w:rPr>
          <w:rFonts w:ascii="Palatino Linotype" w:hAnsi="Palatino Linotype"/>
          <w:sz w:val="22"/>
          <w:szCs w:val="22"/>
        </w:rPr>
        <w:t>ón</w:t>
      </w:r>
      <w:r w:rsidR="00361728" w:rsidRPr="0076281E">
        <w:rPr>
          <w:rFonts w:ascii="Palatino Linotype" w:hAnsi="Palatino Linotype"/>
          <w:sz w:val="22"/>
          <w:szCs w:val="22"/>
        </w:rPr>
        <w:t xml:space="preserve"> de Ordenamiento Territorial.</w:t>
      </w:r>
    </w:p>
    <w:p w:rsidR="00361728" w:rsidRPr="0076281E" w:rsidRDefault="00361728"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CONSIDERANDO:</w:t>
      </w:r>
    </w:p>
    <w:p w:rsidR="00BA599D" w:rsidRPr="0076281E" w:rsidRDefault="00BA599D"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rPr>
        <w:t>Que,</w:t>
      </w:r>
      <w:r w:rsidRPr="0076281E">
        <w:rPr>
          <w:rFonts w:ascii="Palatino Linotype" w:hAnsi="Palatino Linotype"/>
          <w:b/>
        </w:rPr>
        <w:tab/>
      </w:r>
      <w:r w:rsidR="006274AF" w:rsidRPr="0076281E">
        <w:rPr>
          <w:rFonts w:ascii="Palatino Linotype" w:hAnsi="Palatino Linotype"/>
        </w:rPr>
        <w:t>el artículo 30 de la Constitución de la República del Ecuador (en adelante “Constitución”) establece que: “</w:t>
      </w:r>
      <w:r w:rsidR="006274AF" w:rsidRPr="0076281E">
        <w:rPr>
          <w:rFonts w:ascii="Palatino Linotype" w:hAnsi="Palatino Linotype"/>
          <w:i/>
        </w:rPr>
        <w:t>Las personas tienen derecho a un hábitat seguro y saludable, y a una vivienda adecuada y digna, con independencia de su situación social y económica.</w:t>
      </w:r>
      <w:r w:rsidR="006274AF"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artículo 31 de la Constitución expresa que: “</w:t>
      </w:r>
      <w:r w:rsidRPr="0076281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6281E">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el artículo 240 de la Constitución establece que: “</w:t>
      </w:r>
      <w:r w:rsidRPr="0076281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t>el numeral 1 y 2 del artículo 264 de la Constitución manifiesta que: “</w:t>
      </w:r>
      <w:r w:rsidRPr="0076281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76281E">
        <w:rPr>
          <w:rFonts w:ascii="Palatino Linotype" w:hAnsi="Palatino Linotype"/>
        </w:rPr>
        <w:t xml:space="preserve">”; </w:t>
      </w:r>
      <w:r w:rsidRPr="0076281E">
        <w:rPr>
          <w:rFonts w:ascii="Palatino Linotype" w:hAnsi="Palatino Linotype"/>
          <w:i/>
        </w:rPr>
        <w:t>(…)2.- “Ejercer el control sobre el uso y ocupac</w:t>
      </w:r>
      <w:r w:rsidR="00BA599D" w:rsidRPr="0076281E">
        <w:rPr>
          <w:rFonts w:ascii="Palatino Linotype" w:hAnsi="Palatino Linotype"/>
          <w:i/>
        </w:rPr>
        <w:t>ión del suelo en el cantón (…)”</w:t>
      </w:r>
      <w:r w:rsidR="00BA599D"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76281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76281E" w:rsidRDefault="006274AF" w:rsidP="00BA599D">
      <w:pPr>
        <w:pStyle w:val="Sinespaciado"/>
        <w:spacing w:after="120" w:line="276" w:lineRule="auto"/>
        <w:ind w:left="705" w:hanging="705"/>
        <w:jc w:val="both"/>
        <w:rPr>
          <w:rFonts w:ascii="Palatino Linotype" w:hAnsi="Palatino Linotype"/>
          <w:i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 xml:space="preserve">el artículo 57, en concordancia con el artículo 87 del COOTAD, establece que las funciones del Concejo Municipal, entre otras, son: </w:t>
      </w:r>
      <w:r w:rsidRPr="0076281E">
        <w:rPr>
          <w:rFonts w:ascii="Palatino Linotype" w:hAnsi="Palatino Linotype"/>
          <w:iCs/>
        </w:rPr>
        <w:t>“</w:t>
      </w:r>
      <w:r w:rsidRPr="0076281E">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76281E">
        <w:rPr>
          <w:rFonts w:ascii="Palatino Linotype" w:hAnsi="Palatino Linotype"/>
          <w:i/>
        </w:rPr>
        <w:t xml:space="preserve"> y, </w:t>
      </w:r>
      <w:r w:rsidRPr="0076281E">
        <w:rPr>
          <w:rFonts w:ascii="Palatino Linotype" w:hAnsi="Palatino Linotype"/>
          <w:i/>
        </w:rPr>
        <w:lastRenderedPageBreak/>
        <w:t xml:space="preserve">(…) </w:t>
      </w:r>
      <w:r w:rsidRPr="0076281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76281E">
        <w:rPr>
          <w:rFonts w:ascii="Palatino Linotype" w:hAnsi="Palatino Linotype"/>
          <w:i/>
          <w:iCs/>
        </w:rPr>
        <w:t>interbarrial</w:t>
      </w:r>
      <w:proofErr w:type="spellEnd"/>
      <w:r w:rsidRPr="0076281E">
        <w:rPr>
          <w:rFonts w:ascii="Palatino Linotype" w:hAnsi="Palatino Linotype"/>
          <w:i/>
          <w:iCs/>
        </w:rPr>
        <w:t>.</w:t>
      </w:r>
      <w:r w:rsidRPr="0076281E">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 xml:space="preserve">Que,  </w:t>
      </w:r>
      <w:r w:rsidRPr="0076281E">
        <w:rPr>
          <w:rFonts w:ascii="Palatino Linotype" w:hAnsi="Palatino Linotype"/>
        </w:rPr>
        <w:t>el artículo 322 del COOTAD establece el procedimiento para la aprobación de las ordenanzas municipales;</w:t>
      </w:r>
    </w:p>
    <w:p w:rsidR="007A1F48" w:rsidRPr="00825AD4" w:rsidRDefault="007A1F48" w:rsidP="007A1F48">
      <w:pPr>
        <w:pStyle w:val="Sinespaciado"/>
        <w:spacing w:after="120" w:line="276" w:lineRule="auto"/>
        <w:ind w:left="709" w:hanging="709"/>
        <w:jc w:val="both"/>
        <w:rPr>
          <w:rFonts w:ascii="Palatino Linotype" w:hAnsi="Palatino Linotype"/>
        </w:rPr>
      </w:pPr>
      <w:r w:rsidRPr="00825AD4">
        <w:rPr>
          <w:rFonts w:ascii="Palatino Linotype" w:hAnsi="Palatino Linotype"/>
          <w:b/>
          <w:bCs/>
        </w:rPr>
        <w:t xml:space="preserve">Que, </w:t>
      </w:r>
      <w:r>
        <w:rPr>
          <w:rFonts w:ascii="Palatino Linotype" w:hAnsi="Palatino Linotype"/>
          <w:b/>
          <w:bCs/>
        </w:rPr>
        <w:tab/>
      </w:r>
      <w:r w:rsidRPr="00825AD4">
        <w:rPr>
          <w:rFonts w:ascii="Palatino Linotype" w:hAnsi="Palatino Linotype"/>
          <w:bCs/>
        </w:rPr>
        <w:t>el artículo 486 del COOTAD establece que: “</w:t>
      </w:r>
      <w:r w:rsidRPr="00825AD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5AD4">
        <w:rPr>
          <w:rFonts w:ascii="Palatino Linotype" w:hAnsi="Palatino Linotype"/>
          <w:bCs/>
          <w:lang w:val="es-ES_tradnl"/>
        </w:rPr>
        <w:t>”</w:t>
      </w:r>
      <w:r w:rsidRPr="00825AD4">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la Disposición Transitoria Décima Cuarta del COOTAD, señala: “</w:t>
      </w:r>
      <w:r w:rsidRPr="0076281E">
        <w:rPr>
          <w:rFonts w:ascii="Palatino Linotype" w:hAnsi="Palatino Linotype"/>
          <w:bCs/>
          <w:i/>
        </w:rPr>
        <w:t xml:space="preserve">(…) </w:t>
      </w:r>
      <w:r w:rsidRPr="0076281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DA18B1" w:rsidRDefault="006274AF" w:rsidP="00DA18B1">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A18B1" w:rsidRPr="00DA18B1" w:rsidRDefault="00DA18B1" w:rsidP="00DA18B1">
      <w:pPr>
        <w:pStyle w:val="Sinespaciado"/>
        <w:spacing w:after="120" w:line="276" w:lineRule="auto"/>
        <w:ind w:left="705" w:hanging="705"/>
        <w:jc w:val="both"/>
        <w:rPr>
          <w:rFonts w:ascii="Palatino Linotype" w:hAnsi="Palatino Linotype"/>
          <w:bCs/>
        </w:rPr>
      </w:pPr>
      <w:r w:rsidRPr="001F60EB">
        <w:rPr>
          <w:rFonts w:ascii="Palatino Linotype" w:hAnsi="Palatino Linotype"/>
          <w:b/>
          <w:bCs/>
        </w:rPr>
        <w:t>Que,</w:t>
      </w:r>
      <w:r w:rsidRPr="001F60EB">
        <w:rPr>
          <w:rFonts w:ascii="Palatino Linotype" w:hAnsi="Palatino Linotype"/>
          <w:b/>
          <w:bCs/>
        </w:rPr>
        <w:tab/>
      </w:r>
      <w:r w:rsidRPr="001F60EB">
        <w:rPr>
          <w:rFonts w:ascii="Palatino Linotype" w:hAnsi="Palatino Linotype"/>
        </w:rPr>
        <w:t>mediante Ordenanza Municipal No. 0087 sancionada el 22 de junio de 2011</w:t>
      </w:r>
      <w:r>
        <w:rPr>
          <w:rFonts w:ascii="Palatino Linotype" w:hAnsi="Palatino Linotype"/>
        </w:rPr>
        <w:t>,</w:t>
      </w:r>
      <w:r w:rsidRPr="001F60EB">
        <w:rPr>
          <w:rFonts w:ascii="Palatino Linotype" w:hAnsi="Palatino Linotype"/>
        </w:rPr>
        <w:t xml:space="preserve"> se aprueba el Asentamiento Humano de Hecho y Consolidado denominado: Urbanización de Interés Social de Desarrollo Progresivo del Barrio Portal de San Juan;</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Pr="0076281E">
        <w:rPr>
          <w:rFonts w:ascii="Palatino Linotype" w:hAnsi="Palatino Linotype"/>
          <w:bCs/>
        </w:rPr>
        <w:t>la Ordenanza No</w:t>
      </w:r>
      <w:r w:rsidR="00CD710B" w:rsidRPr="0076281E">
        <w:rPr>
          <w:rFonts w:ascii="Palatino Linotype" w:hAnsi="Palatino Linotype"/>
          <w:bCs/>
        </w:rPr>
        <w:t>. 147 de 9 de diciembre de 2016,</w:t>
      </w:r>
      <w:r w:rsidRPr="0076281E">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00447C04" w:rsidRPr="0076281E">
        <w:rPr>
          <w:rFonts w:ascii="Palatino Linotype" w:hAnsi="Palatino Linotype"/>
          <w:b/>
          <w:bCs/>
        </w:rPr>
        <w:tab/>
      </w:r>
      <w:r w:rsidRPr="0076281E">
        <w:rPr>
          <w:rFonts w:ascii="Palatino Linotype" w:hAnsi="Palatino Linotype"/>
          <w:bCs/>
        </w:rPr>
        <w:t xml:space="preserve">mediante Ordenanza No. 147 de 9 de diciembre de 2016, se establecieron los procesos y procedimientos para la regularización integral de los asentamientos humanos de hecho y consolidados, así como su declaratoria de interés social, para aquellos asentamientos </w:t>
      </w:r>
      <w:r w:rsidRPr="0076281E">
        <w:rPr>
          <w:rFonts w:ascii="Palatino Linotype" w:hAnsi="Palatino Linotype"/>
          <w:bCs/>
        </w:rPr>
        <w:lastRenderedPageBreak/>
        <w:t>que cumplen las condiciones socioeconómicas, legales y físicas establecidas para el efecto;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00447C04" w:rsidRPr="0076281E">
        <w:rPr>
          <w:rFonts w:ascii="Palatino Linotype" w:hAnsi="Palatino Linotype"/>
          <w:b/>
          <w:bCs/>
        </w:rPr>
        <w:tab/>
      </w:r>
      <w:r w:rsidRPr="0076281E">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3863BC" w:rsidRPr="0076281E" w:rsidRDefault="003863BC" w:rsidP="003863BC">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 0010 de 19 de marzo de 2010; y,</w:t>
      </w:r>
    </w:p>
    <w:p w:rsidR="00F8528F" w:rsidRPr="0076281E" w:rsidRDefault="00F8528F" w:rsidP="00BA599D">
      <w:pPr>
        <w:pStyle w:val="Sinespaciado"/>
        <w:spacing w:after="120" w:line="276" w:lineRule="auto"/>
        <w:ind w:left="705" w:hanging="705"/>
        <w:jc w:val="both"/>
        <w:rPr>
          <w:rFonts w:ascii="Palatino Linotype" w:hAnsi="Palatino Linotype"/>
          <w:b/>
          <w:bCs/>
        </w:rPr>
      </w:pPr>
      <w:r w:rsidRPr="0076281E">
        <w:rPr>
          <w:rFonts w:ascii="Palatino Linotype" w:hAnsi="Palatino Linotype"/>
          <w:b/>
          <w:bCs/>
        </w:rPr>
        <w:t>Que,</w:t>
      </w:r>
      <w:r w:rsidRPr="0076281E">
        <w:rPr>
          <w:rFonts w:ascii="Palatino Linotype" w:hAnsi="Palatino Linotype"/>
        </w:rPr>
        <w:tab/>
      </w:r>
      <w:r w:rsidR="00DA18B1" w:rsidRPr="001F60EB">
        <w:rPr>
          <w:rFonts w:ascii="Palatino Linotype" w:hAnsi="Palatino Linotype"/>
        </w:rPr>
        <w:t xml:space="preserve">la Mesa Institucional de Trabajo, reunida el 23 de noviembre de 2016 en la Administración Zonal Calderón, integrada por: el Ab. Henry Valencia, Administrador Zonal Calderón; Ab. Mónica Espín, Dirección Jurídica de la Administración Zonal Calderón; Ing. Galo Erazo, Director de Gestión de Territorio de la Administración Zonal Calderón; Arq. Víctor Aguilar, Delegado de la Dirección Metropolitana de Catastro; Ing. Marco </w:t>
      </w:r>
      <w:proofErr w:type="spellStart"/>
      <w:r w:rsidR="00DA18B1" w:rsidRPr="001F60EB">
        <w:rPr>
          <w:rFonts w:ascii="Palatino Linotype" w:hAnsi="Palatino Linotype"/>
        </w:rPr>
        <w:t>Manobanda</w:t>
      </w:r>
      <w:proofErr w:type="spellEnd"/>
      <w:r w:rsidR="00DA18B1" w:rsidRPr="001F60EB">
        <w:rPr>
          <w:rFonts w:ascii="Palatino Linotype" w:hAnsi="Palatino Linotype"/>
        </w:rPr>
        <w:t>, Delegado de la Dirección Metropolitana de Gestión de Riesgo; Arq. Elizabeth Ortiz, Delegada de la Secretaría de Territorio, Hábitat y Vivienda; Arq. Juan Echeverría, Coordinador Encargado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w:t>
      </w:r>
      <w:r w:rsidR="00DA18B1">
        <w:rPr>
          <w:rFonts w:ascii="Palatino Linotype" w:hAnsi="Palatino Linotype"/>
        </w:rPr>
        <w:t>o.</w:t>
      </w:r>
      <w:r w:rsidR="00DA18B1" w:rsidRPr="001F60EB">
        <w:rPr>
          <w:rFonts w:ascii="Palatino Linotype" w:hAnsi="Palatino Linotype"/>
        </w:rPr>
        <w:t xml:space="preserve"> 019-</w:t>
      </w:r>
      <w:proofErr w:type="spellStart"/>
      <w:r w:rsidR="00DA18B1" w:rsidRPr="001F60EB">
        <w:rPr>
          <w:rFonts w:ascii="Palatino Linotype" w:hAnsi="Palatino Linotype"/>
        </w:rPr>
        <w:t>UERB</w:t>
      </w:r>
      <w:proofErr w:type="spellEnd"/>
      <w:r w:rsidR="00DA18B1" w:rsidRPr="001F60EB">
        <w:rPr>
          <w:rFonts w:ascii="Palatino Linotype" w:hAnsi="Palatino Linotype"/>
        </w:rPr>
        <w:t>-</w:t>
      </w:r>
      <w:proofErr w:type="spellStart"/>
      <w:r w:rsidR="00DA18B1" w:rsidRPr="001F60EB">
        <w:rPr>
          <w:rFonts w:ascii="Palatino Linotype" w:hAnsi="Palatino Linotype"/>
        </w:rPr>
        <w:t>AZCA</w:t>
      </w:r>
      <w:proofErr w:type="spellEnd"/>
      <w:r w:rsidR="00DA18B1" w:rsidRPr="001F60EB">
        <w:rPr>
          <w:rFonts w:ascii="Palatino Linotype" w:hAnsi="Palatino Linotype"/>
        </w:rPr>
        <w:t>-</w:t>
      </w:r>
      <w:proofErr w:type="spellStart"/>
      <w:r w:rsidR="00DA18B1" w:rsidRPr="001F60EB">
        <w:rPr>
          <w:rFonts w:ascii="Palatino Linotype" w:hAnsi="Palatino Linotype"/>
        </w:rPr>
        <w:t>SOLT</w:t>
      </w:r>
      <w:proofErr w:type="spellEnd"/>
      <w:r w:rsidR="00DA18B1" w:rsidRPr="001F60EB">
        <w:rPr>
          <w:rFonts w:ascii="Palatino Linotype" w:hAnsi="Palatino Linotype"/>
        </w:rPr>
        <w:t>-2016, de fecha 23 de noviembre de 2016, habilitante de la Ordenanza de reconocimiento del</w:t>
      </w:r>
      <w:r w:rsidR="00DA18B1" w:rsidRPr="001F60EB">
        <w:rPr>
          <w:rFonts w:ascii="Palatino Linotype" w:hAnsi="Palatino Linotype"/>
          <w:bCs/>
        </w:rPr>
        <w:t xml:space="preserve"> Asentamiento Humano de Hecho y Consolidado de Interés Social, denominado: </w:t>
      </w:r>
      <w:r w:rsidR="00DA18B1" w:rsidRPr="001F60EB">
        <w:rPr>
          <w:rFonts w:ascii="Palatino Linotype" w:hAnsi="Palatino Linotype"/>
        </w:rPr>
        <w:t>Urbanización de Interés Social de Desarrollo Progresivo del Barrio Portal de San Juan</w:t>
      </w:r>
      <w:r w:rsidR="00BC5FD3" w:rsidRPr="0076281E">
        <w:rPr>
          <w:rFonts w:ascii="Palatino Linotype" w:hAnsi="Palatino Linotype"/>
          <w:bCs/>
        </w:rPr>
        <w:t>.</w:t>
      </w:r>
    </w:p>
    <w:p w:rsidR="006274AF" w:rsidRDefault="006274AF" w:rsidP="00F61B37">
      <w:pPr>
        <w:spacing w:after="120" w:line="276" w:lineRule="auto"/>
        <w:jc w:val="both"/>
        <w:rPr>
          <w:rFonts w:ascii="Palatino Linotype" w:hAnsi="Palatino Linotype"/>
          <w:b/>
          <w:sz w:val="22"/>
          <w:szCs w:val="22"/>
        </w:rPr>
      </w:pPr>
      <w:r w:rsidRPr="0076281E">
        <w:rPr>
          <w:rFonts w:ascii="Palatino Linotype" w:hAnsi="Palatino Linotype"/>
          <w:b/>
          <w:bCs/>
          <w:sz w:val="22"/>
          <w:szCs w:val="22"/>
        </w:rPr>
        <w:t xml:space="preserve">En </w:t>
      </w:r>
      <w:r w:rsidRPr="0076281E">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76281E">
        <w:rPr>
          <w:rFonts w:ascii="Palatino Linotype" w:hAnsi="Palatino Linotype"/>
          <w:b/>
          <w:sz w:val="22"/>
          <w:szCs w:val="22"/>
        </w:rPr>
        <w:t>A0010</w:t>
      </w:r>
      <w:proofErr w:type="spellEnd"/>
      <w:r w:rsidRPr="0076281E">
        <w:rPr>
          <w:rFonts w:ascii="Palatino Linotype" w:hAnsi="Palatino Linotype"/>
          <w:b/>
          <w:sz w:val="22"/>
          <w:szCs w:val="22"/>
        </w:rPr>
        <w:t>, de 19 de marzo de 2010,</w:t>
      </w:r>
    </w:p>
    <w:p w:rsidR="00DA18B1" w:rsidRPr="0076281E" w:rsidRDefault="00DA18B1" w:rsidP="00F61B37">
      <w:pPr>
        <w:spacing w:after="120" w:line="276" w:lineRule="auto"/>
        <w:jc w:val="both"/>
        <w:rPr>
          <w:rFonts w:ascii="Palatino Linotype" w:hAnsi="Palatino Linotype"/>
          <w:b/>
          <w:sz w:val="22"/>
          <w:szCs w:val="22"/>
        </w:rPr>
      </w:pPr>
    </w:p>
    <w:p w:rsidR="006274AF" w:rsidRDefault="006274AF"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lastRenderedPageBreak/>
        <w:t>EXPIDE LA SIGUIENTE:</w:t>
      </w:r>
    </w:p>
    <w:p w:rsidR="00DA18B1" w:rsidRDefault="00DA18B1" w:rsidP="0013600D">
      <w:pPr>
        <w:pStyle w:val="Ttulo7"/>
        <w:spacing w:before="0" w:after="120" w:line="276" w:lineRule="auto"/>
        <w:jc w:val="center"/>
        <w:rPr>
          <w:rFonts w:ascii="Palatino Linotype" w:hAnsi="Palatino Linotype"/>
          <w:b/>
          <w:bCs/>
          <w:sz w:val="22"/>
          <w:szCs w:val="22"/>
        </w:rPr>
      </w:pPr>
      <w:r w:rsidRPr="001F60EB">
        <w:rPr>
          <w:rFonts w:ascii="Palatino Linotype" w:hAnsi="Palatino Linotype"/>
          <w:b/>
          <w:bCs/>
          <w:kern w:val="32"/>
          <w:sz w:val="22"/>
          <w:szCs w:val="22"/>
        </w:rPr>
        <w:t>ORDENANZA REFORMATORIA A LA ORDENANZA No. 0087, SANCIONADA EL 22 DE JUNIO DE 2011, DE LA URBANIZACIÓN DE</w:t>
      </w:r>
      <w:r w:rsidRPr="001F60EB">
        <w:rPr>
          <w:rFonts w:ascii="Palatino Linotype" w:hAnsi="Palatino Linotype"/>
          <w:b/>
          <w:sz w:val="22"/>
          <w:szCs w:val="22"/>
        </w:rPr>
        <w:t xml:space="preserve"> INTERÉS SOCIAL DE DESARROLLO PROGRESIVO DEL BARRIO PORTAL DE SAN JUAN</w:t>
      </w:r>
    </w:p>
    <w:p w:rsidR="00DA18B1" w:rsidRPr="001F60EB" w:rsidRDefault="00DA18B1" w:rsidP="00DA18B1">
      <w:pPr>
        <w:pStyle w:val="Ttulo7"/>
        <w:spacing w:before="0" w:after="120" w:line="276" w:lineRule="auto"/>
        <w:rPr>
          <w:rFonts w:ascii="Palatino Linotype" w:hAnsi="Palatino Linotype"/>
          <w:bCs/>
          <w:i/>
          <w:sz w:val="22"/>
          <w:szCs w:val="22"/>
        </w:rPr>
      </w:pPr>
      <w:r w:rsidRPr="001F60EB">
        <w:rPr>
          <w:rFonts w:ascii="Palatino Linotype" w:hAnsi="Palatino Linotype"/>
          <w:b/>
          <w:bCs/>
          <w:sz w:val="22"/>
          <w:szCs w:val="22"/>
        </w:rPr>
        <w:t xml:space="preserve">Artículo 1.- </w:t>
      </w:r>
      <w:r w:rsidRPr="001F60EB">
        <w:rPr>
          <w:rFonts w:ascii="Palatino Linotype" w:hAnsi="Palatino Linotype"/>
          <w:bCs/>
          <w:sz w:val="22"/>
          <w:szCs w:val="22"/>
        </w:rPr>
        <w:t xml:space="preserve">Agréguese al artículo 1 de la Ordenanza No. 0087, sancionada el 22 de junio de 2011,  </w:t>
      </w:r>
      <w:r>
        <w:rPr>
          <w:rFonts w:ascii="Palatino Linotype" w:hAnsi="Palatino Linotype"/>
          <w:bCs/>
          <w:sz w:val="22"/>
          <w:szCs w:val="22"/>
        </w:rPr>
        <w:t>un inciso al tener del siguiente texto</w:t>
      </w:r>
      <w:r w:rsidRPr="001F60EB">
        <w:rPr>
          <w:rFonts w:ascii="Palatino Linotype" w:hAnsi="Palatino Linotype"/>
          <w:bCs/>
          <w:sz w:val="22"/>
          <w:szCs w:val="22"/>
        </w:rPr>
        <w:t>:</w:t>
      </w:r>
    </w:p>
    <w:p w:rsidR="00DA18B1" w:rsidRPr="001F60EB" w:rsidRDefault="00DA18B1" w:rsidP="00DA18B1">
      <w:pPr>
        <w:spacing w:after="120" w:line="276" w:lineRule="auto"/>
        <w:ind w:left="708"/>
        <w:rPr>
          <w:rFonts w:ascii="Palatino Linotype" w:hAnsi="Palatino Linotype"/>
          <w:i/>
          <w:sz w:val="22"/>
          <w:szCs w:val="22"/>
        </w:rPr>
      </w:pPr>
      <w:r w:rsidRPr="001F60EB">
        <w:rPr>
          <w:rFonts w:ascii="Palatino Linotype" w:hAnsi="Palatino Linotype"/>
          <w:i/>
          <w:sz w:val="22"/>
          <w:szCs w:val="22"/>
        </w:rPr>
        <w:t>“Por las condiciones del asentamiento humano de hecho y consolidado, se lo aprueba considerándolo de interés social.”</w:t>
      </w:r>
    </w:p>
    <w:p w:rsidR="00DA18B1" w:rsidRPr="001F60EB" w:rsidRDefault="00DA18B1" w:rsidP="00DA18B1">
      <w:pPr>
        <w:pStyle w:val="Ttulo7"/>
        <w:spacing w:before="0" w:after="120" w:line="276" w:lineRule="auto"/>
        <w:rPr>
          <w:rFonts w:ascii="Palatino Linotype" w:hAnsi="Palatino Linotype"/>
          <w:bCs/>
          <w:i/>
          <w:sz w:val="22"/>
          <w:szCs w:val="22"/>
        </w:rPr>
      </w:pPr>
      <w:r w:rsidRPr="001F60EB">
        <w:rPr>
          <w:rFonts w:ascii="Palatino Linotype" w:hAnsi="Palatino Linotype"/>
          <w:b/>
          <w:bCs/>
          <w:sz w:val="22"/>
          <w:szCs w:val="22"/>
        </w:rPr>
        <w:t xml:space="preserve">Artículo 2.- </w:t>
      </w:r>
      <w:r w:rsidRPr="001F60EB">
        <w:rPr>
          <w:rFonts w:ascii="Palatino Linotype" w:hAnsi="Palatino Linotype"/>
          <w:bCs/>
          <w:sz w:val="22"/>
          <w:szCs w:val="22"/>
        </w:rPr>
        <w:t>Sustitúyase</w:t>
      </w:r>
      <w:r w:rsidRPr="001F60EB">
        <w:rPr>
          <w:rFonts w:ascii="Palatino Linotype" w:hAnsi="Palatino Linotype"/>
          <w:b/>
          <w:bCs/>
          <w:sz w:val="22"/>
          <w:szCs w:val="22"/>
        </w:rPr>
        <w:t xml:space="preserve"> </w:t>
      </w:r>
      <w:r w:rsidRPr="001F60EB">
        <w:rPr>
          <w:rFonts w:ascii="Palatino Linotype" w:hAnsi="Palatino Linotype"/>
          <w:bCs/>
          <w:sz w:val="22"/>
          <w:szCs w:val="22"/>
        </w:rPr>
        <w:t>del artículo 2 de la Ordenanza No. 0087, sancionada el 22 de junio de 2011, lo siguiente:</w:t>
      </w:r>
    </w:p>
    <w:p w:rsidR="00DA18B1" w:rsidRPr="00DA18B1" w:rsidRDefault="00DA18B1" w:rsidP="00DA18B1">
      <w:pPr>
        <w:pStyle w:val="Prrafodelista"/>
        <w:numPr>
          <w:ilvl w:val="0"/>
          <w:numId w:val="43"/>
        </w:numPr>
        <w:spacing w:after="120" w:line="276" w:lineRule="auto"/>
        <w:rPr>
          <w:rFonts w:ascii="Palatino Linotype" w:hAnsi="Palatino Linotype"/>
          <w:i/>
          <w:sz w:val="22"/>
          <w:szCs w:val="22"/>
        </w:rPr>
      </w:pPr>
      <w:r>
        <w:rPr>
          <w:rFonts w:ascii="Palatino Linotype" w:hAnsi="Palatino Linotype"/>
          <w:sz w:val="22"/>
          <w:szCs w:val="22"/>
        </w:rPr>
        <w:t>“</w:t>
      </w:r>
      <w:r w:rsidRPr="00DA18B1">
        <w:rPr>
          <w:rFonts w:ascii="Palatino Linotype" w:hAnsi="Palatino Linotype"/>
          <w:i/>
          <w:sz w:val="22"/>
          <w:szCs w:val="22"/>
        </w:rPr>
        <w:t xml:space="preserve">Área </w:t>
      </w:r>
      <w:r>
        <w:rPr>
          <w:rFonts w:ascii="Palatino Linotype" w:hAnsi="Palatino Linotype"/>
          <w:i/>
          <w:sz w:val="22"/>
          <w:szCs w:val="22"/>
        </w:rPr>
        <w:t>ú</w:t>
      </w:r>
      <w:r w:rsidRPr="00DA18B1">
        <w:rPr>
          <w:rFonts w:ascii="Palatino Linotype" w:hAnsi="Palatino Linotype"/>
          <w:i/>
          <w:sz w:val="22"/>
          <w:szCs w:val="22"/>
        </w:rPr>
        <w:t xml:space="preserve">til de </w:t>
      </w:r>
      <w:r>
        <w:rPr>
          <w:rFonts w:ascii="Palatino Linotype" w:hAnsi="Palatino Linotype"/>
          <w:i/>
          <w:sz w:val="22"/>
          <w:szCs w:val="22"/>
        </w:rPr>
        <w:t>l</w:t>
      </w:r>
      <w:r w:rsidRPr="00DA18B1">
        <w:rPr>
          <w:rFonts w:ascii="Palatino Linotype" w:hAnsi="Palatino Linotype"/>
          <w:i/>
          <w:sz w:val="22"/>
          <w:szCs w:val="22"/>
        </w:rPr>
        <w:t>otes: 5</w:t>
      </w:r>
      <w:r>
        <w:rPr>
          <w:rFonts w:ascii="Palatino Linotype" w:hAnsi="Palatino Linotype"/>
          <w:i/>
          <w:sz w:val="22"/>
          <w:szCs w:val="22"/>
        </w:rPr>
        <w:t>.</w:t>
      </w:r>
      <w:r w:rsidRPr="00DA18B1">
        <w:rPr>
          <w:rFonts w:ascii="Palatino Linotype" w:hAnsi="Palatino Linotype"/>
          <w:i/>
          <w:sz w:val="22"/>
          <w:szCs w:val="22"/>
        </w:rPr>
        <w:t xml:space="preserve">298,21 </w:t>
      </w:r>
      <w:proofErr w:type="spellStart"/>
      <w:r w:rsidRPr="00DA18B1">
        <w:rPr>
          <w:rFonts w:ascii="Palatino Linotype" w:hAnsi="Palatino Linotype"/>
          <w:i/>
          <w:sz w:val="22"/>
          <w:szCs w:val="22"/>
        </w:rPr>
        <w:t>m</w:t>
      </w:r>
      <w:r w:rsidRPr="00DA18B1">
        <w:rPr>
          <w:rFonts w:ascii="Palatino Linotype" w:hAnsi="Palatino Linotype"/>
          <w:i/>
          <w:sz w:val="22"/>
          <w:szCs w:val="22"/>
          <w:vertAlign w:val="superscript"/>
        </w:rPr>
        <w:t>2</w:t>
      </w:r>
      <w:proofErr w:type="spellEnd"/>
      <w:r w:rsidRPr="00DA18B1">
        <w:rPr>
          <w:rFonts w:ascii="Palatino Linotype" w:hAnsi="Palatino Linotype"/>
          <w:i/>
          <w:sz w:val="22"/>
          <w:szCs w:val="22"/>
        </w:rPr>
        <w:t>”</w:t>
      </w:r>
      <w:r w:rsidRPr="00DA18B1">
        <w:rPr>
          <w:rFonts w:ascii="Palatino Linotype" w:hAnsi="Palatino Linotype"/>
          <w:sz w:val="22"/>
          <w:szCs w:val="22"/>
        </w:rPr>
        <w:t>,</w:t>
      </w:r>
      <w:r w:rsidRPr="00DA18B1">
        <w:rPr>
          <w:rFonts w:ascii="Palatino Linotype" w:hAnsi="Palatino Linotype"/>
          <w:i/>
          <w:sz w:val="22"/>
          <w:szCs w:val="22"/>
        </w:rPr>
        <w:t xml:space="preserve"> </w:t>
      </w:r>
      <w:r w:rsidRPr="00DA18B1">
        <w:rPr>
          <w:rFonts w:ascii="Palatino Linotype" w:hAnsi="Palatino Linotype"/>
          <w:sz w:val="22"/>
          <w:szCs w:val="22"/>
        </w:rPr>
        <w:t>por:</w:t>
      </w:r>
      <w:r w:rsidRPr="00DA18B1">
        <w:rPr>
          <w:rFonts w:ascii="Palatino Linotype" w:hAnsi="Palatino Linotype"/>
          <w:i/>
          <w:sz w:val="22"/>
          <w:szCs w:val="22"/>
        </w:rPr>
        <w:t xml:space="preserve"> “Área </w:t>
      </w:r>
      <w:r>
        <w:rPr>
          <w:rFonts w:ascii="Palatino Linotype" w:hAnsi="Palatino Linotype"/>
          <w:i/>
          <w:sz w:val="22"/>
          <w:szCs w:val="22"/>
        </w:rPr>
        <w:t>ú</w:t>
      </w:r>
      <w:r w:rsidRPr="00DA18B1">
        <w:rPr>
          <w:rFonts w:ascii="Palatino Linotype" w:hAnsi="Palatino Linotype"/>
          <w:i/>
          <w:sz w:val="22"/>
          <w:szCs w:val="22"/>
        </w:rPr>
        <w:t xml:space="preserve">til de </w:t>
      </w:r>
      <w:r>
        <w:rPr>
          <w:rFonts w:ascii="Palatino Linotype" w:hAnsi="Palatino Linotype"/>
          <w:i/>
          <w:sz w:val="22"/>
          <w:szCs w:val="22"/>
        </w:rPr>
        <w:t>l</w:t>
      </w:r>
      <w:r w:rsidRPr="00DA18B1">
        <w:rPr>
          <w:rFonts w:ascii="Palatino Linotype" w:hAnsi="Palatino Linotype"/>
          <w:i/>
          <w:sz w:val="22"/>
          <w:szCs w:val="22"/>
        </w:rPr>
        <w:t>otes: 5.310,99</w:t>
      </w:r>
      <w:r>
        <w:rPr>
          <w:rFonts w:ascii="Palatino Linotype" w:hAnsi="Palatino Linotype"/>
          <w:i/>
          <w:sz w:val="22"/>
          <w:szCs w:val="22"/>
        </w:rPr>
        <w:t xml:space="preserve"> </w:t>
      </w:r>
      <w:proofErr w:type="spellStart"/>
      <w:r w:rsidRPr="00DA18B1">
        <w:rPr>
          <w:rFonts w:ascii="Palatino Linotype" w:hAnsi="Palatino Linotype"/>
          <w:i/>
          <w:sz w:val="22"/>
          <w:szCs w:val="22"/>
        </w:rPr>
        <w:t>m</w:t>
      </w:r>
      <w:r w:rsidRPr="00DA18B1">
        <w:rPr>
          <w:rFonts w:ascii="Palatino Linotype" w:hAnsi="Palatino Linotype"/>
          <w:i/>
          <w:sz w:val="22"/>
          <w:szCs w:val="22"/>
          <w:vertAlign w:val="superscript"/>
        </w:rPr>
        <w:t>2</w:t>
      </w:r>
      <w:proofErr w:type="spellEnd"/>
      <w:r w:rsidRPr="00DA18B1">
        <w:rPr>
          <w:rFonts w:ascii="Palatino Linotype" w:hAnsi="Palatino Linotype"/>
          <w:i/>
          <w:sz w:val="22"/>
          <w:szCs w:val="22"/>
        </w:rPr>
        <w:t>”</w:t>
      </w:r>
      <w:r>
        <w:rPr>
          <w:rFonts w:ascii="Palatino Linotype" w:hAnsi="Palatino Linotype"/>
          <w:i/>
          <w:sz w:val="22"/>
          <w:szCs w:val="22"/>
        </w:rPr>
        <w:t>.</w:t>
      </w:r>
    </w:p>
    <w:p w:rsidR="00DA18B1" w:rsidRPr="00DA18B1" w:rsidRDefault="00DA18B1" w:rsidP="00DA18B1">
      <w:pPr>
        <w:pStyle w:val="Prrafodelista"/>
        <w:numPr>
          <w:ilvl w:val="0"/>
          <w:numId w:val="43"/>
        </w:numPr>
        <w:spacing w:after="120" w:line="276" w:lineRule="auto"/>
        <w:rPr>
          <w:rFonts w:ascii="Palatino Linotype" w:hAnsi="Palatino Linotype"/>
          <w:i/>
          <w:sz w:val="22"/>
          <w:szCs w:val="22"/>
        </w:rPr>
      </w:pPr>
      <w:r>
        <w:rPr>
          <w:rFonts w:ascii="Palatino Linotype" w:hAnsi="Palatino Linotype"/>
          <w:i/>
          <w:sz w:val="22"/>
          <w:szCs w:val="22"/>
        </w:rPr>
        <w:t>“</w:t>
      </w:r>
      <w:r w:rsidRPr="00DA18B1">
        <w:rPr>
          <w:rFonts w:ascii="Palatino Linotype" w:hAnsi="Palatino Linotype"/>
          <w:i/>
          <w:sz w:val="22"/>
          <w:szCs w:val="22"/>
        </w:rPr>
        <w:t xml:space="preserve">Área de </w:t>
      </w:r>
      <w:r>
        <w:rPr>
          <w:rFonts w:ascii="Palatino Linotype" w:hAnsi="Palatino Linotype"/>
          <w:i/>
          <w:sz w:val="22"/>
          <w:szCs w:val="22"/>
        </w:rPr>
        <w:t>v</w:t>
      </w:r>
      <w:r w:rsidRPr="00DA18B1">
        <w:rPr>
          <w:rFonts w:ascii="Palatino Linotype" w:hAnsi="Palatino Linotype"/>
          <w:i/>
          <w:sz w:val="22"/>
          <w:szCs w:val="22"/>
        </w:rPr>
        <w:t xml:space="preserve">ías y </w:t>
      </w:r>
      <w:r>
        <w:rPr>
          <w:rFonts w:ascii="Palatino Linotype" w:hAnsi="Palatino Linotype"/>
          <w:i/>
          <w:sz w:val="22"/>
          <w:szCs w:val="22"/>
        </w:rPr>
        <w:t>p</w:t>
      </w:r>
      <w:r w:rsidRPr="00DA18B1">
        <w:rPr>
          <w:rFonts w:ascii="Palatino Linotype" w:hAnsi="Palatino Linotype"/>
          <w:i/>
          <w:sz w:val="22"/>
          <w:szCs w:val="22"/>
        </w:rPr>
        <w:t>asajes: 1</w:t>
      </w:r>
      <w:r>
        <w:rPr>
          <w:rFonts w:ascii="Palatino Linotype" w:hAnsi="Palatino Linotype"/>
          <w:i/>
          <w:sz w:val="22"/>
          <w:szCs w:val="22"/>
        </w:rPr>
        <w:t>.</w:t>
      </w:r>
      <w:r w:rsidRPr="00DA18B1">
        <w:rPr>
          <w:rFonts w:ascii="Palatino Linotype" w:hAnsi="Palatino Linotype"/>
          <w:i/>
          <w:sz w:val="22"/>
          <w:szCs w:val="22"/>
        </w:rPr>
        <w:t xml:space="preserve">080,92 </w:t>
      </w:r>
      <w:proofErr w:type="spellStart"/>
      <w:r w:rsidRPr="00DA18B1">
        <w:rPr>
          <w:rFonts w:ascii="Palatino Linotype" w:hAnsi="Palatino Linotype"/>
          <w:i/>
          <w:sz w:val="22"/>
          <w:szCs w:val="22"/>
        </w:rPr>
        <w:t>m</w:t>
      </w:r>
      <w:r w:rsidRPr="00DA18B1">
        <w:rPr>
          <w:rFonts w:ascii="Palatino Linotype" w:hAnsi="Palatino Linotype"/>
          <w:i/>
          <w:sz w:val="22"/>
          <w:szCs w:val="22"/>
          <w:vertAlign w:val="superscript"/>
        </w:rPr>
        <w:t>2</w:t>
      </w:r>
      <w:proofErr w:type="spellEnd"/>
      <w:r w:rsidRPr="00DA18B1">
        <w:rPr>
          <w:rFonts w:ascii="Palatino Linotype" w:hAnsi="Palatino Linotype"/>
          <w:i/>
          <w:sz w:val="22"/>
          <w:szCs w:val="22"/>
        </w:rPr>
        <w:t>”</w:t>
      </w:r>
      <w:r w:rsidRPr="00DA18B1">
        <w:rPr>
          <w:rFonts w:ascii="Palatino Linotype" w:hAnsi="Palatino Linotype"/>
          <w:sz w:val="22"/>
          <w:szCs w:val="22"/>
        </w:rPr>
        <w:t>,</w:t>
      </w:r>
      <w:r w:rsidRPr="00DA18B1">
        <w:rPr>
          <w:rFonts w:ascii="Palatino Linotype" w:hAnsi="Palatino Linotype"/>
          <w:i/>
          <w:sz w:val="22"/>
          <w:szCs w:val="22"/>
        </w:rPr>
        <w:t xml:space="preserve"> </w:t>
      </w:r>
      <w:r w:rsidRPr="00DA18B1">
        <w:rPr>
          <w:rFonts w:ascii="Palatino Linotype" w:hAnsi="Palatino Linotype"/>
          <w:sz w:val="22"/>
          <w:szCs w:val="22"/>
        </w:rPr>
        <w:t>por:</w:t>
      </w:r>
      <w:r w:rsidRPr="00DA18B1">
        <w:rPr>
          <w:rFonts w:ascii="Palatino Linotype" w:hAnsi="Palatino Linotype"/>
          <w:i/>
          <w:sz w:val="22"/>
          <w:szCs w:val="22"/>
        </w:rPr>
        <w:t xml:space="preserve"> “Área de </w:t>
      </w:r>
      <w:r>
        <w:rPr>
          <w:rFonts w:ascii="Palatino Linotype" w:hAnsi="Palatino Linotype"/>
          <w:i/>
          <w:sz w:val="22"/>
          <w:szCs w:val="22"/>
        </w:rPr>
        <w:t>v</w:t>
      </w:r>
      <w:r w:rsidRPr="00DA18B1">
        <w:rPr>
          <w:rFonts w:ascii="Palatino Linotype" w:hAnsi="Palatino Linotype"/>
          <w:i/>
          <w:sz w:val="22"/>
          <w:szCs w:val="22"/>
        </w:rPr>
        <w:t xml:space="preserve">ías y </w:t>
      </w:r>
      <w:r>
        <w:rPr>
          <w:rFonts w:ascii="Palatino Linotype" w:hAnsi="Palatino Linotype"/>
          <w:i/>
          <w:sz w:val="22"/>
          <w:szCs w:val="22"/>
        </w:rPr>
        <w:t>p</w:t>
      </w:r>
      <w:r w:rsidRPr="00DA18B1">
        <w:rPr>
          <w:rFonts w:ascii="Palatino Linotype" w:hAnsi="Palatino Linotype"/>
          <w:i/>
          <w:sz w:val="22"/>
          <w:szCs w:val="22"/>
        </w:rPr>
        <w:t>asajes: 1.098,68</w:t>
      </w:r>
      <w:r>
        <w:rPr>
          <w:rFonts w:ascii="Palatino Linotype" w:hAnsi="Palatino Linotype"/>
          <w:i/>
          <w:sz w:val="22"/>
          <w:szCs w:val="22"/>
        </w:rPr>
        <w:t xml:space="preserve"> </w:t>
      </w:r>
      <w:proofErr w:type="spellStart"/>
      <w:r w:rsidRPr="00DA18B1">
        <w:rPr>
          <w:rFonts w:ascii="Palatino Linotype" w:hAnsi="Palatino Linotype"/>
          <w:i/>
          <w:sz w:val="22"/>
          <w:szCs w:val="22"/>
        </w:rPr>
        <w:t>m</w:t>
      </w:r>
      <w:r w:rsidRPr="00DA18B1">
        <w:rPr>
          <w:rFonts w:ascii="Palatino Linotype" w:hAnsi="Palatino Linotype"/>
          <w:i/>
          <w:sz w:val="22"/>
          <w:szCs w:val="22"/>
          <w:vertAlign w:val="superscript"/>
        </w:rPr>
        <w:t>2</w:t>
      </w:r>
      <w:proofErr w:type="spellEnd"/>
      <w:r w:rsidRPr="00DA18B1">
        <w:rPr>
          <w:rFonts w:ascii="Palatino Linotype" w:hAnsi="Palatino Linotype"/>
          <w:i/>
          <w:sz w:val="22"/>
          <w:szCs w:val="22"/>
        </w:rPr>
        <w:t>”</w:t>
      </w:r>
      <w:r>
        <w:rPr>
          <w:rFonts w:ascii="Palatino Linotype" w:hAnsi="Palatino Linotype"/>
          <w:i/>
          <w:sz w:val="22"/>
          <w:szCs w:val="22"/>
        </w:rPr>
        <w:t>.</w:t>
      </w:r>
    </w:p>
    <w:p w:rsidR="00DA18B1" w:rsidRPr="00DA18B1" w:rsidRDefault="00DA18B1" w:rsidP="00DA18B1">
      <w:pPr>
        <w:pStyle w:val="Prrafodelista"/>
        <w:numPr>
          <w:ilvl w:val="0"/>
          <w:numId w:val="43"/>
        </w:numPr>
        <w:spacing w:after="120" w:line="276" w:lineRule="auto"/>
        <w:rPr>
          <w:rFonts w:ascii="Palatino Linotype" w:hAnsi="Palatino Linotype"/>
          <w:i/>
          <w:sz w:val="22"/>
          <w:szCs w:val="22"/>
        </w:rPr>
      </w:pPr>
      <w:r>
        <w:rPr>
          <w:rFonts w:ascii="Palatino Linotype" w:hAnsi="Palatino Linotype"/>
          <w:sz w:val="22"/>
          <w:szCs w:val="22"/>
        </w:rPr>
        <w:t>“</w:t>
      </w:r>
      <w:r w:rsidRPr="00DA18B1">
        <w:rPr>
          <w:rFonts w:ascii="Palatino Linotype" w:hAnsi="Palatino Linotype"/>
          <w:i/>
          <w:sz w:val="22"/>
          <w:szCs w:val="22"/>
        </w:rPr>
        <w:t xml:space="preserve">Área </w:t>
      </w:r>
      <w:r>
        <w:rPr>
          <w:rFonts w:ascii="Palatino Linotype" w:hAnsi="Palatino Linotype"/>
          <w:i/>
          <w:sz w:val="22"/>
          <w:szCs w:val="22"/>
        </w:rPr>
        <w:t>v</w:t>
      </w:r>
      <w:r w:rsidRPr="00DA18B1">
        <w:rPr>
          <w:rFonts w:ascii="Palatino Linotype" w:hAnsi="Palatino Linotype"/>
          <w:i/>
          <w:sz w:val="22"/>
          <w:szCs w:val="22"/>
        </w:rPr>
        <w:t>erde y equipamiento comunal: 474,30</w:t>
      </w:r>
      <w:r>
        <w:rPr>
          <w:rFonts w:ascii="Palatino Linotype" w:hAnsi="Palatino Linotype"/>
          <w:i/>
          <w:sz w:val="22"/>
          <w:szCs w:val="22"/>
        </w:rPr>
        <w:t xml:space="preserve"> </w:t>
      </w:r>
      <w:proofErr w:type="spellStart"/>
      <w:r w:rsidRPr="00DA18B1">
        <w:rPr>
          <w:rFonts w:ascii="Palatino Linotype" w:hAnsi="Palatino Linotype"/>
          <w:i/>
          <w:sz w:val="22"/>
          <w:szCs w:val="22"/>
        </w:rPr>
        <w:t>m</w:t>
      </w:r>
      <w:r w:rsidRPr="00DA18B1">
        <w:rPr>
          <w:rFonts w:ascii="Palatino Linotype" w:hAnsi="Palatino Linotype"/>
          <w:i/>
          <w:sz w:val="22"/>
          <w:szCs w:val="22"/>
          <w:vertAlign w:val="superscript"/>
        </w:rPr>
        <w:t>2</w:t>
      </w:r>
      <w:proofErr w:type="spellEnd"/>
      <w:r w:rsidRPr="00DA18B1">
        <w:rPr>
          <w:rFonts w:ascii="Palatino Linotype" w:hAnsi="Palatino Linotype"/>
          <w:i/>
          <w:sz w:val="22"/>
          <w:szCs w:val="22"/>
        </w:rPr>
        <w:t>”</w:t>
      </w:r>
      <w:r w:rsidRPr="00DA18B1">
        <w:rPr>
          <w:rFonts w:ascii="Palatino Linotype" w:hAnsi="Palatino Linotype"/>
          <w:sz w:val="22"/>
          <w:szCs w:val="22"/>
        </w:rPr>
        <w:t>,</w:t>
      </w:r>
      <w:r w:rsidRPr="00DA18B1">
        <w:rPr>
          <w:rFonts w:ascii="Palatino Linotype" w:hAnsi="Palatino Linotype"/>
          <w:i/>
          <w:sz w:val="22"/>
          <w:szCs w:val="22"/>
        </w:rPr>
        <w:t xml:space="preserve"> </w:t>
      </w:r>
      <w:r w:rsidRPr="00DA18B1">
        <w:rPr>
          <w:rFonts w:ascii="Palatino Linotype" w:hAnsi="Palatino Linotype"/>
          <w:sz w:val="22"/>
          <w:szCs w:val="22"/>
        </w:rPr>
        <w:t>por:</w:t>
      </w:r>
      <w:r w:rsidRPr="00DA18B1">
        <w:rPr>
          <w:rFonts w:ascii="Palatino Linotype" w:hAnsi="Palatino Linotype"/>
          <w:i/>
          <w:sz w:val="22"/>
          <w:szCs w:val="22"/>
        </w:rPr>
        <w:t xml:space="preserve"> “Área </w:t>
      </w:r>
      <w:r>
        <w:rPr>
          <w:rFonts w:ascii="Palatino Linotype" w:hAnsi="Palatino Linotype"/>
          <w:i/>
          <w:sz w:val="22"/>
          <w:szCs w:val="22"/>
        </w:rPr>
        <w:t>v</w:t>
      </w:r>
      <w:r w:rsidRPr="00DA18B1">
        <w:rPr>
          <w:rFonts w:ascii="Palatino Linotype" w:hAnsi="Palatino Linotype"/>
          <w:i/>
          <w:sz w:val="22"/>
          <w:szCs w:val="22"/>
        </w:rPr>
        <w:t>erde: 463,99</w:t>
      </w:r>
      <w:r>
        <w:rPr>
          <w:rFonts w:ascii="Palatino Linotype" w:hAnsi="Palatino Linotype"/>
          <w:i/>
          <w:sz w:val="22"/>
          <w:szCs w:val="22"/>
        </w:rPr>
        <w:t xml:space="preserve"> </w:t>
      </w:r>
      <w:proofErr w:type="spellStart"/>
      <w:r w:rsidRPr="00DA18B1">
        <w:rPr>
          <w:rFonts w:ascii="Palatino Linotype" w:hAnsi="Palatino Linotype"/>
          <w:i/>
          <w:sz w:val="22"/>
          <w:szCs w:val="22"/>
        </w:rPr>
        <w:t>m</w:t>
      </w:r>
      <w:r w:rsidRPr="00DA18B1">
        <w:rPr>
          <w:rFonts w:ascii="Palatino Linotype" w:hAnsi="Palatino Linotype"/>
          <w:i/>
          <w:sz w:val="22"/>
          <w:szCs w:val="22"/>
          <w:vertAlign w:val="superscript"/>
        </w:rPr>
        <w:t>2</w:t>
      </w:r>
      <w:proofErr w:type="spellEnd"/>
      <w:r w:rsidRPr="00DA18B1">
        <w:rPr>
          <w:rFonts w:ascii="Palatino Linotype" w:hAnsi="Palatino Linotype"/>
          <w:i/>
          <w:sz w:val="22"/>
          <w:szCs w:val="22"/>
        </w:rPr>
        <w:t>”</w:t>
      </w:r>
      <w:r>
        <w:rPr>
          <w:rFonts w:ascii="Palatino Linotype" w:hAnsi="Palatino Linotype"/>
          <w:i/>
          <w:sz w:val="22"/>
          <w:szCs w:val="22"/>
        </w:rPr>
        <w:t>.</w:t>
      </w:r>
    </w:p>
    <w:p w:rsidR="00DA18B1" w:rsidRPr="00DA18B1" w:rsidRDefault="00DA18B1" w:rsidP="00DA18B1">
      <w:pPr>
        <w:pStyle w:val="Prrafodelista"/>
        <w:numPr>
          <w:ilvl w:val="0"/>
          <w:numId w:val="43"/>
        </w:numPr>
        <w:spacing w:after="120" w:line="276" w:lineRule="auto"/>
        <w:rPr>
          <w:rFonts w:ascii="Palatino Linotype" w:hAnsi="Palatino Linotype"/>
          <w:i/>
          <w:sz w:val="22"/>
          <w:szCs w:val="22"/>
        </w:rPr>
      </w:pPr>
      <w:r>
        <w:rPr>
          <w:rFonts w:ascii="Palatino Linotype" w:hAnsi="Palatino Linotype"/>
          <w:sz w:val="22"/>
          <w:szCs w:val="22"/>
        </w:rPr>
        <w:t>“</w:t>
      </w:r>
      <w:r w:rsidRPr="00DA18B1">
        <w:rPr>
          <w:rFonts w:ascii="Palatino Linotype" w:hAnsi="Palatino Linotype"/>
          <w:i/>
          <w:sz w:val="22"/>
          <w:szCs w:val="22"/>
        </w:rPr>
        <w:t xml:space="preserve">Área total de predio (lev. </w:t>
      </w:r>
      <w:proofErr w:type="spellStart"/>
      <w:r w:rsidRPr="00DA18B1">
        <w:rPr>
          <w:rFonts w:ascii="Palatino Linotype" w:hAnsi="Palatino Linotype"/>
          <w:i/>
          <w:sz w:val="22"/>
          <w:szCs w:val="22"/>
        </w:rPr>
        <w:t>topog</w:t>
      </w:r>
      <w:proofErr w:type="spellEnd"/>
      <w:r w:rsidRPr="00DA18B1">
        <w:rPr>
          <w:rFonts w:ascii="Palatino Linotype" w:hAnsi="Palatino Linotype"/>
          <w:i/>
          <w:sz w:val="22"/>
          <w:szCs w:val="22"/>
        </w:rPr>
        <w:t>.): 6</w:t>
      </w:r>
      <w:r>
        <w:rPr>
          <w:rFonts w:ascii="Palatino Linotype" w:hAnsi="Palatino Linotype"/>
          <w:i/>
          <w:sz w:val="22"/>
          <w:szCs w:val="22"/>
        </w:rPr>
        <w:t>.</w:t>
      </w:r>
      <w:r w:rsidRPr="00DA18B1">
        <w:rPr>
          <w:rFonts w:ascii="Palatino Linotype" w:hAnsi="Palatino Linotype"/>
          <w:i/>
          <w:sz w:val="22"/>
          <w:szCs w:val="22"/>
        </w:rPr>
        <w:t xml:space="preserve">853,43 </w:t>
      </w:r>
      <w:proofErr w:type="spellStart"/>
      <w:r w:rsidRPr="00DA18B1">
        <w:rPr>
          <w:rFonts w:ascii="Palatino Linotype" w:hAnsi="Palatino Linotype"/>
          <w:i/>
          <w:sz w:val="22"/>
          <w:szCs w:val="22"/>
        </w:rPr>
        <w:t>m</w:t>
      </w:r>
      <w:r w:rsidRPr="00DA18B1">
        <w:rPr>
          <w:rFonts w:ascii="Palatino Linotype" w:hAnsi="Palatino Linotype"/>
          <w:i/>
          <w:sz w:val="22"/>
          <w:szCs w:val="22"/>
          <w:vertAlign w:val="superscript"/>
        </w:rPr>
        <w:t>2</w:t>
      </w:r>
      <w:proofErr w:type="spellEnd"/>
      <w:r w:rsidRPr="00DA18B1">
        <w:rPr>
          <w:rFonts w:ascii="Palatino Linotype" w:hAnsi="Palatino Linotype"/>
          <w:i/>
          <w:sz w:val="22"/>
          <w:szCs w:val="22"/>
        </w:rPr>
        <w:t xml:space="preserve"> y Área total de predio (escrit.): 7</w:t>
      </w:r>
      <w:r>
        <w:rPr>
          <w:rFonts w:ascii="Palatino Linotype" w:hAnsi="Palatino Linotype"/>
          <w:i/>
          <w:sz w:val="22"/>
          <w:szCs w:val="22"/>
        </w:rPr>
        <w:t>.</w:t>
      </w:r>
      <w:r w:rsidRPr="00DA18B1">
        <w:rPr>
          <w:rFonts w:ascii="Palatino Linotype" w:hAnsi="Palatino Linotype"/>
          <w:i/>
          <w:sz w:val="22"/>
          <w:szCs w:val="22"/>
        </w:rPr>
        <w:t xml:space="preserve">111 </w:t>
      </w:r>
      <w:proofErr w:type="spellStart"/>
      <w:r w:rsidRPr="00DA18B1">
        <w:rPr>
          <w:rFonts w:ascii="Palatino Linotype" w:hAnsi="Palatino Linotype"/>
          <w:i/>
          <w:sz w:val="22"/>
          <w:szCs w:val="22"/>
        </w:rPr>
        <w:t>m</w:t>
      </w:r>
      <w:r w:rsidRPr="00DA18B1">
        <w:rPr>
          <w:rFonts w:ascii="Palatino Linotype" w:hAnsi="Palatino Linotype"/>
          <w:i/>
          <w:sz w:val="22"/>
          <w:szCs w:val="22"/>
          <w:vertAlign w:val="superscript"/>
        </w:rPr>
        <w:t>2</w:t>
      </w:r>
      <w:proofErr w:type="spellEnd"/>
      <w:r w:rsidRPr="00DA18B1">
        <w:rPr>
          <w:rFonts w:ascii="Palatino Linotype" w:hAnsi="Palatino Linotype"/>
          <w:i/>
          <w:sz w:val="22"/>
          <w:szCs w:val="22"/>
        </w:rPr>
        <w:t>”</w:t>
      </w:r>
      <w:r w:rsidRPr="00DA18B1">
        <w:rPr>
          <w:rFonts w:ascii="Palatino Linotype" w:hAnsi="Palatino Linotype"/>
          <w:sz w:val="22"/>
          <w:szCs w:val="22"/>
        </w:rPr>
        <w:t>,</w:t>
      </w:r>
      <w:r w:rsidRPr="00DA18B1">
        <w:rPr>
          <w:rFonts w:ascii="Palatino Linotype" w:hAnsi="Palatino Linotype"/>
          <w:i/>
          <w:sz w:val="22"/>
          <w:szCs w:val="22"/>
        </w:rPr>
        <w:t xml:space="preserve"> </w:t>
      </w:r>
      <w:r w:rsidRPr="00DA18B1">
        <w:rPr>
          <w:rFonts w:ascii="Palatino Linotype" w:hAnsi="Palatino Linotype"/>
          <w:sz w:val="22"/>
          <w:szCs w:val="22"/>
        </w:rPr>
        <w:t>por:</w:t>
      </w:r>
      <w:r w:rsidRPr="00DA18B1">
        <w:rPr>
          <w:rFonts w:ascii="Palatino Linotype" w:hAnsi="Palatino Linotype"/>
          <w:i/>
          <w:sz w:val="22"/>
          <w:szCs w:val="22"/>
        </w:rPr>
        <w:t xml:space="preserve"> “Área Total de Lote: 6</w:t>
      </w:r>
      <w:r>
        <w:rPr>
          <w:rFonts w:ascii="Palatino Linotype" w:hAnsi="Palatino Linotype"/>
          <w:i/>
          <w:sz w:val="22"/>
          <w:szCs w:val="22"/>
        </w:rPr>
        <w:t>.</w:t>
      </w:r>
      <w:r w:rsidRPr="00DA18B1">
        <w:rPr>
          <w:rFonts w:ascii="Palatino Linotype" w:hAnsi="Palatino Linotype"/>
          <w:i/>
          <w:sz w:val="22"/>
          <w:szCs w:val="22"/>
        </w:rPr>
        <w:t>873,66</w:t>
      </w:r>
      <w:r>
        <w:rPr>
          <w:rFonts w:ascii="Palatino Linotype" w:hAnsi="Palatino Linotype"/>
          <w:i/>
          <w:sz w:val="22"/>
          <w:szCs w:val="22"/>
        </w:rPr>
        <w:t xml:space="preserve"> </w:t>
      </w:r>
      <w:proofErr w:type="spellStart"/>
      <w:r w:rsidRPr="00DA18B1">
        <w:rPr>
          <w:rFonts w:ascii="Palatino Linotype" w:hAnsi="Palatino Linotype"/>
          <w:i/>
          <w:sz w:val="22"/>
          <w:szCs w:val="22"/>
        </w:rPr>
        <w:t>m</w:t>
      </w:r>
      <w:r w:rsidRPr="00DA18B1">
        <w:rPr>
          <w:rFonts w:ascii="Palatino Linotype" w:hAnsi="Palatino Linotype"/>
          <w:i/>
          <w:sz w:val="22"/>
          <w:szCs w:val="22"/>
          <w:vertAlign w:val="superscript"/>
        </w:rPr>
        <w:t>2</w:t>
      </w:r>
      <w:proofErr w:type="spellEnd"/>
      <w:r w:rsidRPr="00DA18B1">
        <w:rPr>
          <w:rFonts w:ascii="Palatino Linotype" w:hAnsi="Palatino Linotype"/>
          <w:i/>
          <w:sz w:val="22"/>
          <w:szCs w:val="22"/>
        </w:rPr>
        <w:t>”</w:t>
      </w:r>
    </w:p>
    <w:p w:rsidR="00DA18B1" w:rsidRPr="001F60EB" w:rsidRDefault="00DA18B1" w:rsidP="00DA18B1">
      <w:pPr>
        <w:pStyle w:val="Ttulo7"/>
        <w:spacing w:before="0" w:after="120" w:line="276" w:lineRule="auto"/>
        <w:rPr>
          <w:rFonts w:ascii="Palatino Linotype" w:hAnsi="Palatino Linotype"/>
          <w:bCs/>
          <w:i/>
          <w:sz w:val="22"/>
          <w:szCs w:val="22"/>
        </w:rPr>
      </w:pPr>
      <w:r w:rsidRPr="001F60EB">
        <w:rPr>
          <w:rFonts w:ascii="Palatino Linotype" w:hAnsi="Palatino Linotype"/>
          <w:b/>
          <w:bCs/>
          <w:sz w:val="22"/>
          <w:szCs w:val="22"/>
        </w:rPr>
        <w:t xml:space="preserve">Artículo 3.- </w:t>
      </w:r>
      <w:r w:rsidRPr="001F60EB">
        <w:rPr>
          <w:rFonts w:ascii="Palatino Linotype" w:hAnsi="Palatino Linotype"/>
          <w:bCs/>
          <w:sz w:val="22"/>
          <w:szCs w:val="22"/>
        </w:rPr>
        <w:t>Elimínese</w:t>
      </w:r>
      <w:r w:rsidRPr="001F60EB">
        <w:rPr>
          <w:rFonts w:ascii="Palatino Linotype" w:hAnsi="Palatino Linotype"/>
          <w:b/>
          <w:bCs/>
          <w:sz w:val="22"/>
          <w:szCs w:val="22"/>
        </w:rPr>
        <w:t xml:space="preserve"> </w:t>
      </w:r>
      <w:r w:rsidRPr="001F60EB">
        <w:rPr>
          <w:rFonts w:ascii="Palatino Linotype" w:hAnsi="Palatino Linotype"/>
          <w:bCs/>
          <w:sz w:val="22"/>
          <w:szCs w:val="22"/>
        </w:rPr>
        <w:t xml:space="preserve">del artículo 2 de la Ordenanza No. 0087, sancionada el 22 de junio de 2011, lo siguiente: </w:t>
      </w:r>
      <w:r>
        <w:rPr>
          <w:rFonts w:ascii="Palatino Linotype" w:hAnsi="Palatino Linotype"/>
          <w:bCs/>
          <w:sz w:val="22"/>
          <w:szCs w:val="22"/>
        </w:rPr>
        <w:t>“</w:t>
      </w:r>
      <w:r w:rsidRPr="00DA18B1">
        <w:rPr>
          <w:rFonts w:ascii="Palatino Linotype" w:hAnsi="Palatino Linotype"/>
          <w:bCs/>
          <w:i/>
          <w:sz w:val="22"/>
          <w:szCs w:val="22"/>
        </w:rPr>
        <w:t xml:space="preserve">Diferencia (Lev. </w:t>
      </w:r>
      <w:proofErr w:type="spellStart"/>
      <w:r w:rsidRPr="00DA18B1">
        <w:rPr>
          <w:rFonts w:ascii="Palatino Linotype" w:hAnsi="Palatino Linotype"/>
          <w:bCs/>
          <w:i/>
          <w:sz w:val="22"/>
          <w:szCs w:val="22"/>
        </w:rPr>
        <w:t>Topog</w:t>
      </w:r>
      <w:proofErr w:type="spellEnd"/>
      <w:r w:rsidRPr="00DA18B1">
        <w:rPr>
          <w:rFonts w:ascii="Palatino Linotype" w:hAnsi="Palatino Linotype"/>
          <w:bCs/>
          <w:i/>
          <w:sz w:val="22"/>
          <w:szCs w:val="22"/>
        </w:rPr>
        <w:t xml:space="preserve">. – </w:t>
      </w:r>
      <w:proofErr w:type="spellStart"/>
      <w:r w:rsidRPr="00DA18B1">
        <w:rPr>
          <w:rFonts w:ascii="Palatino Linotype" w:hAnsi="Palatino Linotype"/>
          <w:bCs/>
          <w:i/>
          <w:sz w:val="22"/>
          <w:szCs w:val="22"/>
        </w:rPr>
        <w:t>Ecrit</w:t>
      </w:r>
      <w:proofErr w:type="spellEnd"/>
      <w:r w:rsidRPr="00DA18B1">
        <w:rPr>
          <w:rFonts w:ascii="Palatino Linotype" w:hAnsi="Palatino Linotype"/>
          <w:bCs/>
          <w:i/>
          <w:sz w:val="22"/>
          <w:szCs w:val="22"/>
        </w:rPr>
        <w:t xml:space="preserve">.) 257,57 </w:t>
      </w:r>
      <w:proofErr w:type="spellStart"/>
      <w:r w:rsidRPr="00DA18B1">
        <w:rPr>
          <w:rFonts w:ascii="Palatino Linotype" w:hAnsi="Palatino Linotype"/>
          <w:i/>
          <w:sz w:val="22"/>
          <w:szCs w:val="22"/>
        </w:rPr>
        <w:t>m</w:t>
      </w:r>
      <w:r w:rsidRPr="00DA18B1">
        <w:rPr>
          <w:rFonts w:ascii="Palatino Linotype" w:hAnsi="Palatino Linotype"/>
          <w:i/>
          <w:sz w:val="22"/>
          <w:szCs w:val="22"/>
          <w:vertAlign w:val="superscript"/>
        </w:rPr>
        <w:t>2</w:t>
      </w:r>
      <w:proofErr w:type="spellEnd"/>
      <w:r w:rsidRPr="00DA18B1">
        <w:rPr>
          <w:rFonts w:ascii="Palatino Linotype" w:hAnsi="Palatino Linotype"/>
          <w:i/>
          <w:sz w:val="22"/>
          <w:szCs w:val="22"/>
        </w:rPr>
        <w:t>”</w:t>
      </w:r>
      <w:r w:rsidRPr="001F60EB">
        <w:rPr>
          <w:rFonts w:ascii="Palatino Linotype" w:hAnsi="Palatino Linotype"/>
          <w:bCs/>
          <w:sz w:val="22"/>
          <w:szCs w:val="22"/>
        </w:rPr>
        <w:t>.</w:t>
      </w:r>
    </w:p>
    <w:p w:rsidR="00DA18B1" w:rsidRPr="001F60EB" w:rsidRDefault="00DA18B1" w:rsidP="00DA18B1">
      <w:pPr>
        <w:pStyle w:val="Ttulo7"/>
        <w:spacing w:before="0" w:after="120" w:line="276" w:lineRule="auto"/>
        <w:rPr>
          <w:rFonts w:ascii="Palatino Linotype" w:hAnsi="Palatino Linotype"/>
          <w:bCs/>
          <w:i/>
          <w:sz w:val="22"/>
          <w:szCs w:val="22"/>
        </w:rPr>
      </w:pPr>
      <w:r w:rsidRPr="001F60EB">
        <w:rPr>
          <w:rFonts w:ascii="Palatino Linotype" w:hAnsi="Palatino Linotype"/>
          <w:b/>
          <w:bCs/>
          <w:sz w:val="22"/>
          <w:szCs w:val="22"/>
        </w:rPr>
        <w:t xml:space="preserve">Artículo 4.- </w:t>
      </w:r>
      <w:r w:rsidRPr="001F60EB">
        <w:rPr>
          <w:rFonts w:ascii="Palatino Linotype" w:hAnsi="Palatino Linotype"/>
          <w:bCs/>
          <w:sz w:val="22"/>
          <w:szCs w:val="22"/>
        </w:rPr>
        <w:t>Sustitúyase el último párrafo del artículo 2 de la Ordenanza No.  0087, sancionada el 22 de junio de 2011, por el siguiente:</w:t>
      </w:r>
    </w:p>
    <w:p w:rsidR="00DA18B1" w:rsidRPr="001F60EB" w:rsidRDefault="00DA18B1" w:rsidP="00DA18B1">
      <w:pPr>
        <w:spacing w:after="120" w:line="276" w:lineRule="auto"/>
        <w:ind w:left="708"/>
        <w:jc w:val="both"/>
        <w:rPr>
          <w:rFonts w:ascii="Palatino Linotype" w:hAnsi="Palatino Linotype"/>
          <w:i/>
          <w:sz w:val="22"/>
          <w:szCs w:val="22"/>
        </w:rPr>
      </w:pPr>
      <w:r w:rsidRPr="001F60EB">
        <w:rPr>
          <w:rFonts w:ascii="Palatino Linotype" w:hAnsi="Palatino Linotype"/>
          <w:i/>
          <w:sz w:val="22"/>
          <w:szCs w:val="22"/>
        </w:rPr>
        <w:t>“El número total de lotes es de 28, signados del uno (1) al veinte y ocho (28), cuyo detalle es el que consta en los planos aprobatorios que forman parte de la presente Ordenanza.”</w:t>
      </w:r>
    </w:p>
    <w:p w:rsidR="00DA18B1" w:rsidRPr="001F60EB" w:rsidRDefault="00DA18B1" w:rsidP="00DA18B1">
      <w:pPr>
        <w:pStyle w:val="Ttulo7"/>
        <w:spacing w:before="0" w:after="120" w:line="276" w:lineRule="auto"/>
        <w:rPr>
          <w:rFonts w:ascii="Palatino Linotype" w:hAnsi="Palatino Linotype"/>
          <w:bCs/>
          <w:i/>
          <w:sz w:val="22"/>
          <w:szCs w:val="22"/>
        </w:rPr>
      </w:pPr>
      <w:r w:rsidRPr="001F60EB">
        <w:rPr>
          <w:rFonts w:ascii="Palatino Linotype" w:hAnsi="Palatino Linotype"/>
          <w:b/>
          <w:bCs/>
          <w:sz w:val="22"/>
          <w:szCs w:val="22"/>
        </w:rPr>
        <w:t xml:space="preserve">Artículo 5.- </w:t>
      </w:r>
      <w:r w:rsidRPr="001F60EB">
        <w:rPr>
          <w:rFonts w:ascii="Palatino Linotype" w:hAnsi="Palatino Linotype"/>
          <w:bCs/>
          <w:sz w:val="22"/>
          <w:szCs w:val="22"/>
        </w:rPr>
        <w:t>Sustitúyase el último párrafo del artículo 3 de la Ordenanza No.  0087, sancionada el 22 de junio de 2011, por el siguiente:</w:t>
      </w:r>
    </w:p>
    <w:p w:rsidR="00DA18B1" w:rsidRPr="001F60EB" w:rsidRDefault="00DA18B1" w:rsidP="00DA18B1">
      <w:pPr>
        <w:spacing w:after="120" w:line="276" w:lineRule="auto"/>
        <w:ind w:left="708"/>
        <w:jc w:val="both"/>
        <w:rPr>
          <w:rFonts w:ascii="Palatino Linotype" w:hAnsi="Palatino Linotype"/>
          <w:bCs/>
          <w:i/>
          <w:sz w:val="22"/>
          <w:szCs w:val="22"/>
        </w:rPr>
      </w:pPr>
      <w:r w:rsidRPr="001F60EB">
        <w:rPr>
          <w:rFonts w:ascii="Palatino Linotype" w:hAnsi="Palatino Linotype"/>
          <w:b/>
          <w:i/>
          <w:sz w:val="22"/>
          <w:szCs w:val="22"/>
        </w:rPr>
        <w:t xml:space="preserve">“Lotes por excepción.- </w:t>
      </w:r>
      <w:r w:rsidRPr="001F60EB">
        <w:rPr>
          <w:rFonts w:ascii="Palatino Linotype" w:hAnsi="Palatino Linotype"/>
          <w:bCs/>
          <w:i/>
          <w:color w:val="000000"/>
          <w:sz w:val="22"/>
          <w:szCs w:val="22"/>
        </w:rPr>
        <w:t>Por tratarse de un asentamiento de hecho y consolidado de interés social, se aprueba por excepción el siguiente lote de menor superficie conforme el plano: 15.”</w:t>
      </w:r>
    </w:p>
    <w:p w:rsidR="00DA18B1" w:rsidRDefault="00DA18B1" w:rsidP="00DA18B1">
      <w:pPr>
        <w:pStyle w:val="Ttulo7"/>
        <w:spacing w:before="0" w:after="120" w:line="276" w:lineRule="auto"/>
        <w:jc w:val="both"/>
        <w:rPr>
          <w:rFonts w:ascii="Palatino Linotype" w:hAnsi="Palatino Linotype"/>
          <w:bCs/>
          <w:sz w:val="22"/>
          <w:szCs w:val="22"/>
        </w:rPr>
      </w:pPr>
      <w:r w:rsidRPr="001F60EB">
        <w:rPr>
          <w:rFonts w:ascii="Palatino Linotype" w:hAnsi="Palatino Linotype"/>
          <w:b/>
          <w:bCs/>
          <w:sz w:val="22"/>
          <w:szCs w:val="22"/>
        </w:rPr>
        <w:t xml:space="preserve">Artículo 6.- </w:t>
      </w:r>
      <w:r w:rsidRPr="001F60EB">
        <w:rPr>
          <w:rFonts w:ascii="Palatino Linotype" w:hAnsi="Palatino Linotype"/>
          <w:bCs/>
          <w:sz w:val="22"/>
          <w:szCs w:val="22"/>
        </w:rPr>
        <w:t xml:space="preserve">Sustitúyase del artículo 4 de la Ordenanza No.  0087, sancionada el 22 de junio de 2011, el porcentaje que corresponde al </w:t>
      </w:r>
      <w:r>
        <w:rPr>
          <w:rFonts w:ascii="Palatino Linotype" w:hAnsi="Palatino Linotype"/>
          <w:bCs/>
          <w:sz w:val="22"/>
          <w:szCs w:val="22"/>
        </w:rPr>
        <w:t>“</w:t>
      </w:r>
      <w:r w:rsidRPr="00DA18B1">
        <w:rPr>
          <w:rFonts w:ascii="Palatino Linotype" w:hAnsi="Palatino Linotype"/>
          <w:bCs/>
          <w:i/>
          <w:sz w:val="22"/>
          <w:szCs w:val="22"/>
        </w:rPr>
        <w:t>8,95%</w:t>
      </w:r>
      <w:r>
        <w:rPr>
          <w:rFonts w:ascii="Palatino Linotype" w:hAnsi="Palatino Linotype"/>
          <w:bCs/>
          <w:sz w:val="22"/>
          <w:szCs w:val="22"/>
        </w:rPr>
        <w:t>”</w:t>
      </w:r>
      <w:r w:rsidRPr="001F60EB">
        <w:rPr>
          <w:rFonts w:ascii="Palatino Linotype" w:hAnsi="Palatino Linotype"/>
          <w:bCs/>
          <w:sz w:val="22"/>
          <w:szCs w:val="22"/>
        </w:rPr>
        <w:t xml:space="preserve"> por “</w:t>
      </w:r>
      <w:r w:rsidRPr="00DA18B1">
        <w:rPr>
          <w:rFonts w:ascii="Palatino Linotype" w:hAnsi="Palatino Linotype"/>
          <w:bCs/>
          <w:i/>
          <w:sz w:val="22"/>
          <w:szCs w:val="22"/>
        </w:rPr>
        <w:t>8,74%</w:t>
      </w:r>
      <w:r w:rsidRPr="001F60EB">
        <w:rPr>
          <w:rFonts w:ascii="Palatino Linotype" w:hAnsi="Palatino Linotype"/>
          <w:bCs/>
          <w:sz w:val="22"/>
          <w:szCs w:val="22"/>
        </w:rPr>
        <w:t xml:space="preserve">” del área útil de los lotes; y, el </w:t>
      </w:r>
      <w:proofErr w:type="spellStart"/>
      <w:r w:rsidRPr="001F60EB">
        <w:rPr>
          <w:rFonts w:ascii="Palatino Linotype" w:hAnsi="Palatino Linotype"/>
          <w:bCs/>
          <w:sz w:val="22"/>
          <w:szCs w:val="22"/>
        </w:rPr>
        <w:t>linderaje</w:t>
      </w:r>
      <w:proofErr w:type="spellEnd"/>
      <w:r w:rsidRPr="001F60EB">
        <w:rPr>
          <w:rFonts w:ascii="Palatino Linotype" w:hAnsi="Palatino Linotype"/>
          <w:bCs/>
          <w:sz w:val="22"/>
          <w:szCs w:val="22"/>
        </w:rPr>
        <w:t xml:space="preserve"> del  Área Verde 1 y Equipamiento Comunal por el siguiente:</w:t>
      </w:r>
    </w:p>
    <w:p w:rsidR="00DA18B1" w:rsidRDefault="00DA18B1" w:rsidP="00DA18B1"/>
    <w:p w:rsidR="00DA18B1" w:rsidRPr="00DA18B1" w:rsidRDefault="00DA18B1" w:rsidP="00DA18B1"/>
    <w:tbl>
      <w:tblPr>
        <w:tblW w:w="49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76"/>
        <w:gridCol w:w="2923"/>
        <w:gridCol w:w="1379"/>
        <w:gridCol w:w="1379"/>
        <w:gridCol w:w="1498"/>
      </w:tblGrid>
      <w:tr w:rsidR="00DA18B1" w:rsidRPr="00DA18B1" w:rsidTr="00DA18B1">
        <w:trPr>
          <w:trHeight w:val="310"/>
          <w:jc w:val="center"/>
        </w:trPr>
        <w:tc>
          <w:tcPr>
            <w:tcW w:w="5000" w:type="pct"/>
            <w:gridSpan w:val="6"/>
            <w:shd w:val="clear" w:color="auto" w:fill="auto"/>
            <w:vAlign w:val="center"/>
          </w:tcPr>
          <w:p w:rsidR="00DA18B1" w:rsidRPr="00DA18B1" w:rsidRDefault="00DA18B1" w:rsidP="00242D53">
            <w:pPr>
              <w:spacing w:after="120" w:line="276" w:lineRule="auto"/>
              <w:jc w:val="center"/>
              <w:rPr>
                <w:rFonts w:ascii="Palatino Linotype" w:hAnsi="Palatino Linotype"/>
                <w:b/>
                <w:i/>
                <w:sz w:val="22"/>
                <w:szCs w:val="22"/>
              </w:rPr>
            </w:pPr>
            <w:r w:rsidRPr="00DA18B1">
              <w:rPr>
                <w:rFonts w:ascii="Palatino Linotype" w:hAnsi="Palatino Linotype"/>
                <w:b/>
                <w:i/>
                <w:sz w:val="22"/>
                <w:szCs w:val="22"/>
              </w:rPr>
              <w:lastRenderedPageBreak/>
              <w:t>Área verde</w:t>
            </w:r>
          </w:p>
        </w:tc>
      </w:tr>
      <w:tr w:rsidR="00DA18B1" w:rsidRPr="00DA18B1" w:rsidTr="00DA18B1">
        <w:trPr>
          <w:trHeight w:val="268"/>
          <w:jc w:val="center"/>
        </w:trPr>
        <w:tc>
          <w:tcPr>
            <w:tcW w:w="595" w:type="pct"/>
            <w:vMerge w:val="restart"/>
            <w:tcBorders>
              <w:top w:val="single" w:sz="4" w:space="0" w:color="auto"/>
            </w:tcBorders>
            <w:shd w:val="clear" w:color="auto" w:fill="auto"/>
            <w:vAlign w:val="center"/>
          </w:tcPr>
          <w:p w:rsidR="00DA18B1" w:rsidRPr="00DA18B1" w:rsidRDefault="00DA18B1" w:rsidP="00DA18B1">
            <w:pPr>
              <w:spacing w:after="120" w:line="276" w:lineRule="auto"/>
              <w:jc w:val="center"/>
              <w:rPr>
                <w:rFonts w:ascii="Palatino Linotype" w:hAnsi="Palatino Linotype"/>
                <w:i/>
                <w:sz w:val="22"/>
                <w:szCs w:val="22"/>
              </w:rPr>
            </w:pPr>
            <w:r>
              <w:rPr>
                <w:rFonts w:ascii="Palatino Linotype" w:hAnsi="Palatino Linotype"/>
                <w:b/>
                <w:i/>
                <w:sz w:val="22"/>
                <w:szCs w:val="22"/>
              </w:rPr>
              <w:t>Área verde 1</w:t>
            </w:r>
          </w:p>
        </w:tc>
        <w:tc>
          <w:tcPr>
            <w:tcW w:w="527" w:type="pct"/>
            <w:tcBorders>
              <w:right w:val="single" w:sz="4" w:space="0" w:color="auto"/>
            </w:tcBorders>
            <w:shd w:val="clear" w:color="auto" w:fill="auto"/>
          </w:tcPr>
          <w:p w:rsidR="00DA18B1" w:rsidRPr="00DA18B1" w:rsidRDefault="00DA18B1" w:rsidP="00242D53">
            <w:pPr>
              <w:spacing w:after="120" w:line="276" w:lineRule="auto"/>
              <w:rPr>
                <w:rFonts w:ascii="Palatino Linotype" w:hAnsi="Palatino Linotype"/>
                <w:b/>
                <w:i/>
                <w:sz w:val="22"/>
                <w:szCs w:val="22"/>
              </w:rPr>
            </w:pPr>
          </w:p>
        </w:tc>
        <w:tc>
          <w:tcPr>
            <w:tcW w:w="1579" w:type="pct"/>
            <w:tcBorders>
              <w:left w:val="single" w:sz="4" w:space="0" w:color="auto"/>
            </w:tcBorders>
            <w:shd w:val="clear" w:color="auto" w:fill="auto"/>
          </w:tcPr>
          <w:p w:rsidR="00DA18B1" w:rsidRPr="00DA18B1" w:rsidRDefault="00DA18B1" w:rsidP="00242D53">
            <w:pPr>
              <w:spacing w:after="120" w:line="276" w:lineRule="auto"/>
              <w:jc w:val="center"/>
              <w:rPr>
                <w:rFonts w:ascii="Palatino Linotype" w:hAnsi="Palatino Linotype"/>
                <w:b/>
                <w:i/>
                <w:sz w:val="22"/>
                <w:szCs w:val="22"/>
              </w:rPr>
            </w:pPr>
            <w:r w:rsidRPr="00DA18B1">
              <w:rPr>
                <w:rFonts w:ascii="Palatino Linotype" w:hAnsi="Palatino Linotype"/>
                <w:b/>
                <w:i/>
                <w:sz w:val="22"/>
                <w:szCs w:val="22"/>
              </w:rPr>
              <w:t>Lindero</w:t>
            </w:r>
          </w:p>
        </w:tc>
        <w:tc>
          <w:tcPr>
            <w:tcW w:w="745" w:type="pct"/>
            <w:tcBorders>
              <w:left w:val="single" w:sz="4" w:space="0" w:color="auto"/>
              <w:right w:val="single" w:sz="4" w:space="0" w:color="auto"/>
            </w:tcBorders>
            <w:shd w:val="clear" w:color="auto" w:fill="auto"/>
            <w:vAlign w:val="center"/>
          </w:tcPr>
          <w:p w:rsidR="00DA18B1" w:rsidRPr="00DA18B1" w:rsidRDefault="00DA18B1" w:rsidP="00242D53">
            <w:pPr>
              <w:spacing w:after="120" w:line="276" w:lineRule="auto"/>
              <w:jc w:val="center"/>
              <w:rPr>
                <w:rFonts w:ascii="Palatino Linotype" w:hAnsi="Palatino Linotype"/>
                <w:b/>
                <w:i/>
                <w:sz w:val="22"/>
                <w:szCs w:val="22"/>
              </w:rPr>
            </w:pPr>
            <w:r w:rsidRPr="00DA18B1">
              <w:rPr>
                <w:rFonts w:ascii="Palatino Linotype" w:hAnsi="Palatino Linotype"/>
                <w:b/>
                <w:i/>
                <w:sz w:val="22"/>
                <w:szCs w:val="22"/>
              </w:rPr>
              <w:t>En parte</w:t>
            </w:r>
          </w:p>
        </w:tc>
        <w:tc>
          <w:tcPr>
            <w:tcW w:w="745" w:type="pct"/>
            <w:tcBorders>
              <w:left w:val="single" w:sz="4" w:space="0" w:color="auto"/>
              <w:bottom w:val="single" w:sz="4" w:space="0" w:color="auto"/>
            </w:tcBorders>
            <w:shd w:val="clear" w:color="auto" w:fill="auto"/>
            <w:vAlign w:val="center"/>
          </w:tcPr>
          <w:p w:rsidR="00DA18B1" w:rsidRPr="00DA18B1" w:rsidRDefault="00DA18B1" w:rsidP="00242D53">
            <w:pPr>
              <w:spacing w:after="120" w:line="276" w:lineRule="auto"/>
              <w:jc w:val="center"/>
              <w:rPr>
                <w:rFonts w:ascii="Palatino Linotype" w:hAnsi="Palatino Linotype"/>
                <w:b/>
                <w:i/>
                <w:sz w:val="22"/>
                <w:szCs w:val="22"/>
              </w:rPr>
            </w:pPr>
            <w:r w:rsidRPr="00DA18B1">
              <w:rPr>
                <w:rFonts w:ascii="Palatino Linotype" w:hAnsi="Palatino Linotype"/>
                <w:b/>
                <w:i/>
                <w:sz w:val="22"/>
                <w:szCs w:val="22"/>
              </w:rPr>
              <w:t>Total</w:t>
            </w:r>
          </w:p>
        </w:tc>
        <w:tc>
          <w:tcPr>
            <w:tcW w:w="808" w:type="pct"/>
            <w:tcBorders>
              <w:top w:val="single" w:sz="4" w:space="0" w:color="auto"/>
              <w:bottom w:val="single" w:sz="4" w:space="0" w:color="auto"/>
            </w:tcBorders>
            <w:shd w:val="clear" w:color="auto" w:fill="auto"/>
            <w:vAlign w:val="center"/>
          </w:tcPr>
          <w:p w:rsidR="00DA18B1" w:rsidRPr="00DA18B1" w:rsidRDefault="00DA18B1" w:rsidP="00242D53">
            <w:pPr>
              <w:spacing w:after="120" w:line="276" w:lineRule="auto"/>
              <w:jc w:val="center"/>
              <w:rPr>
                <w:rFonts w:ascii="Palatino Linotype" w:hAnsi="Palatino Linotype"/>
                <w:i/>
                <w:sz w:val="22"/>
                <w:szCs w:val="22"/>
              </w:rPr>
            </w:pPr>
            <w:r w:rsidRPr="00DA18B1">
              <w:rPr>
                <w:rFonts w:ascii="Palatino Linotype" w:hAnsi="Palatino Linotype"/>
                <w:b/>
                <w:i/>
                <w:sz w:val="22"/>
                <w:szCs w:val="22"/>
              </w:rPr>
              <w:t>Superficie</w:t>
            </w:r>
          </w:p>
        </w:tc>
      </w:tr>
      <w:tr w:rsidR="00DA18B1" w:rsidRPr="00DA18B1" w:rsidTr="00DA18B1">
        <w:trPr>
          <w:trHeight w:val="222"/>
          <w:jc w:val="center"/>
        </w:trPr>
        <w:tc>
          <w:tcPr>
            <w:tcW w:w="595" w:type="pct"/>
            <w:vMerge/>
            <w:shd w:val="clear" w:color="auto" w:fill="auto"/>
          </w:tcPr>
          <w:p w:rsidR="00DA18B1" w:rsidRPr="00DA18B1" w:rsidRDefault="00DA18B1" w:rsidP="00242D53">
            <w:pPr>
              <w:spacing w:after="120" w:line="276" w:lineRule="auto"/>
              <w:rPr>
                <w:rFonts w:ascii="Palatino Linotype" w:hAnsi="Palatino Linotype"/>
                <w:i/>
                <w:sz w:val="22"/>
                <w:szCs w:val="22"/>
              </w:rPr>
            </w:pPr>
          </w:p>
        </w:tc>
        <w:tc>
          <w:tcPr>
            <w:tcW w:w="527" w:type="pct"/>
            <w:shd w:val="clear" w:color="auto" w:fill="auto"/>
          </w:tcPr>
          <w:p w:rsidR="00DA18B1" w:rsidRPr="00DA18B1" w:rsidRDefault="00DA18B1" w:rsidP="00242D53">
            <w:pPr>
              <w:spacing w:after="120" w:line="276" w:lineRule="auto"/>
              <w:rPr>
                <w:rFonts w:ascii="Palatino Linotype" w:hAnsi="Palatino Linotype"/>
                <w:b/>
                <w:i/>
                <w:sz w:val="22"/>
                <w:szCs w:val="22"/>
              </w:rPr>
            </w:pPr>
            <w:r w:rsidRPr="00DA18B1">
              <w:rPr>
                <w:rFonts w:ascii="Palatino Linotype" w:hAnsi="Palatino Linotype"/>
                <w:b/>
                <w:i/>
                <w:sz w:val="22"/>
                <w:szCs w:val="22"/>
              </w:rPr>
              <w:t>Norte:</w:t>
            </w:r>
          </w:p>
        </w:tc>
        <w:tc>
          <w:tcPr>
            <w:tcW w:w="1579" w:type="pct"/>
            <w:shd w:val="clear" w:color="auto" w:fill="auto"/>
          </w:tcPr>
          <w:p w:rsidR="00DA18B1" w:rsidRPr="00DA18B1" w:rsidRDefault="00DA18B1" w:rsidP="00DA18B1">
            <w:pPr>
              <w:spacing w:after="120" w:line="276" w:lineRule="auto"/>
              <w:jc w:val="both"/>
              <w:rPr>
                <w:rFonts w:ascii="Palatino Linotype" w:hAnsi="Palatino Linotype"/>
                <w:i/>
                <w:sz w:val="22"/>
                <w:szCs w:val="22"/>
              </w:rPr>
            </w:pPr>
            <w:r w:rsidRPr="00DA18B1">
              <w:rPr>
                <w:rFonts w:ascii="Palatino Linotype" w:hAnsi="Palatino Linotype"/>
                <w:i/>
                <w:sz w:val="22"/>
                <w:szCs w:val="22"/>
              </w:rPr>
              <w:t>Propiedad Particular</w:t>
            </w:r>
          </w:p>
        </w:tc>
        <w:tc>
          <w:tcPr>
            <w:tcW w:w="745" w:type="pct"/>
            <w:tcBorders>
              <w:right w:val="single" w:sz="4" w:space="0" w:color="auto"/>
            </w:tcBorders>
            <w:shd w:val="clear" w:color="auto" w:fill="auto"/>
            <w:vAlign w:val="center"/>
          </w:tcPr>
          <w:p w:rsidR="00DA18B1" w:rsidRPr="00DA18B1" w:rsidRDefault="00DA18B1" w:rsidP="00DA18B1">
            <w:pPr>
              <w:spacing w:after="120" w:line="276" w:lineRule="auto"/>
              <w:jc w:val="center"/>
              <w:rPr>
                <w:rFonts w:ascii="Palatino Linotype" w:hAnsi="Palatino Linotype"/>
                <w:i/>
                <w:sz w:val="22"/>
                <w:szCs w:val="22"/>
              </w:rPr>
            </w:pPr>
          </w:p>
        </w:tc>
        <w:tc>
          <w:tcPr>
            <w:tcW w:w="745" w:type="pct"/>
            <w:tcBorders>
              <w:left w:val="single" w:sz="4" w:space="0" w:color="auto"/>
            </w:tcBorders>
            <w:shd w:val="clear" w:color="auto" w:fill="auto"/>
            <w:vAlign w:val="center"/>
          </w:tcPr>
          <w:p w:rsidR="00DA18B1" w:rsidRPr="00DA18B1" w:rsidRDefault="00DA18B1" w:rsidP="00DA18B1">
            <w:pPr>
              <w:spacing w:after="120" w:line="276" w:lineRule="auto"/>
              <w:jc w:val="center"/>
              <w:rPr>
                <w:rFonts w:ascii="Palatino Linotype" w:hAnsi="Palatino Linotype"/>
                <w:i/>
                <w:sz w:val="22"/>
                <w:szCs w:val="22"/>
              </w:rPr>
            </w:pPr>
            <w:r w:rsidRPr="00DA18B1">
              <w:rPr>
                <w:rFonts w:ascii="Palatino Linotype" w:hAnsi="Palatino Linotype"/>
                <w:i/>
                <w:sz w:val="22"/>
                <w:szCs w:val="22"/>
              </w:rPr>
              <w:t>12,47 m.</w:t>
            </w:r>
          </w:p>
        </w:tc>
        <w:tc>
          <w:tcPr>
            <w:tcW w:w="808" w:type="pct"/>
            <w:vMerge w:val="restart"/>
            <w:tcBorders>
              <w:top w:val="single" w:sz="4" w:space="0" w:color="auto"/>
            </w:tcBorders>
            <w:shd w:val="clear" w:color="auto" w:fill="auto"/>
            <w:vAlign w:val="center"/>
          </w:tcPr>
          <w:p w:rsidR="00DA18B1" w:rsidRPr="00DA18B1" w:rsidRDefault="00DA18B1" w:rsidP="00DA18B1">
            <w:pPr>
              <w:spacing w:after="120" w:line="276" w:lineRule="auto"/>
              <w:jc w:val="center"/>
              <w:rPr>
                <w:rFonts w:ascii="Palatino Linotype" w:hAnsi="Palatino Linotype"/>
                <w:i/>
                <w:sz w:val="22"/>
                <w:szCs w:val="22"/>
              </w:rPr>
            </w:pPr>
            <w:r w:rsidRPr="00DA18B1">
              <w:rPr>
                <w:rFonts w:ascii="Palatino Linotype" w:hAnsi="Palatino Linotype"/>
                <w:i/>
                <w:sz w:val="22"/>
                <w:szCs w:val="22"/>
              </w:rPr>
              <w:t xml:space="preserve">463,99 </w:t>
            </w:r>
            <w:proofErr w:type="spellStart"/>
            <w:r w:rsidRPr="00DA18B1">
              <w:rPr>
                <w:rFonts w:ascii="Palatino Linotype" w:hAnsi="Palatino Linotype"/>
                <w:i/>
                <w:sz w:val="22"/>
                <w:szCs w:val="22"/>
              </w:rPr>
              <w:t>m</w:t>
            </w:r>
            <w:r w:rsidRPr="00DA18B1">
              <w:rPr>
                <w:rFonts w:ascii="Palatino Linotype" w:hAnsi="Palatino Linotype"/>
                <w:i/>
                <w:sz w:val="22"/>
                <w:szCs w:val="22"/>
                <w:vertAlign w:val="superscript"/>
              </w:rPr>
              <w:t>2</w:t>
            </w:r>
            <w:proofErr w:type="spellEnd"/>
          </w:p>
        </w:tc>
      </w:tr>
      <w:tr w:rsidR="00DA18B1" w:rsidRPr="00DA18B1" w:rsidTr="00DA18B1">
        <w:trPr>
          <w:trHeight w:val="244"/>
          <w:jc w:val="center"/>
        </w:trPr>
        <w:tc>
          <w:tcPr>
            <w:tcW w:w="595" w:type="pct"/>
            <w:vMerge/>
            <w:shd w:val="clear" w:color="auto" w:fill="auto"/>
          </w:tcPr>
          <w:p w:rsidR="00DA18B1" w:rsidRPr="00DA18B1" w:rsidRDefault="00DA18B1" w:rsidP="00242D53">
            <w:pPr>
              <w:spacing w:after="120" w:line="276" w:lineRule="auto"/>
              <w:rPr>
                <w:rFonts w:ascii="Palatino Linotype" w:hAnsi="Palatino Linotype"/>
                <w:i/>
                <w:sz w:val="22"/>
                <w:szCs w:val="22"/>
              </w:rPr>
            </w:pPr>
          </w:p>
        </w:tc>
        <w:tc>
          <w:tcPr>
            <w:tcW w:w="527" w:type="pct"/>
            <w:shd w:val="clear" w:color="auto" w:fill="auto"/>
          </w:tcPr>
          <w:p w:rsidR="00DA18B1" w:rsidRPr="00DA18B1" w:rsidRDefault="00DA18B1" w:rsidP="00242D53">
            <w:pPr>
              <w:spacing w:after="120" w:line="276" w:lineRule="auto"/>
              <w:rPr>
                <w:rFonts w:ascii="Palatino Linotype" w:hAnsi="Palatino Linotype"/>
                <w:b/>
                <w:i/>
                <w:sz w:val="22"/>
                <w:szCs w:val="22"/>
              </w:rPr>
            </w:pPr>
            <w:r w:rsidRPr="00DA18B1">
              <w:rPr>
                <w:rFonts w:ascii="Palatino Linotype" w:hAnsi="Palatino Linotype"/>
                <w:b/>
                <w:i/>
                <w:sz w:val="22"/>
                <w:szCs w:val="22"/>
              </w:rPr>
              <w:t>Sur:</w:t>
            </w:r>
          </w:p>
        </w:tc>
        <w:tc>
          <w:tcPr>
            <w:tcW w:w="1579" w:type="pct"/>
            <w:shd w:val="clear" w:color="auto" w:fill="auto"/>
          </w:tcPr>
          <w:p w:rsidR="00DA18B1" w:rsidRPr="00DA18B1" w:rsidRDefault="00DA18B1" w:rsidP="00DA18B1">
            <w:pPr>
              <w:spacing w:after="120" w:line="276" w:lineRule="auto"/>
              <w:jc w:val="both"/>
              <w:rPr>
                <w:rFonts w:ascii="Palatino Linotype" w:hAnsi="Palatino Linotype"/>
                <w:i/>
                <w:sz w:val="22"/>
                <w:szCs w:val="22"/>
              </w:rPr>
            </w:pPr>
            <w:r w:rsidRPr="00DA18B1">
              <w:rPr>
                <w:rFonts w:ascii="Palatino Linotype" w:hAnsi="Palatino Linotype"/>
                <w:i/>
                <w:sz w:val="22"/>
                <w:szCs w:val="22"/>
              </w:rPr>
              <w:t>Propiedad Particular</w:t>
            </w:r>
          </w:p>
        </w:tc>
        <w:tc>
          <w:tcPr>
            <w:tcW w:w="745" w:type="pct"/>
            <w:tcBorders>
              <w:right w:val="single" w:sz="4" w:space="0" w:color="auto"/>
            </w:tcBorders>
            <w:shd w:val="clear" w:color="auto" w:fill="auto"/>
            <w:vAlign w:val="center"/>
          </w:tcPr>
          <w:p w:rsidR="00DA18B1" w:rsidRPr="00DA18B1" w:rsidRDefault="00DA18B1" w:rsidP="00DA18B1">
            <w:pPr>
              <w:spacing w:after="120" w:line="276" w:lineRule="auto"/>
              <w:jc w:val="center"/>
              <w:rPr>
                <w:rFonts w:ascii="Palatino Linotype" w:hAnsi="Palatino Linotype"/>
                <w:i/>
                <w:sz w:val="22"/>
                <w:szCs w:val="22"/>
              </w:rPr>
            </w:pPr>
          </w:p>
        </w:tc>
        <w:tc>
          <w:tcPr>
            <w:tcW w:w="745" w:type="pct"/>
            <w:tcBorders>
              <w:left w:val="single" w:sz="4" w:space="0" w:color="auto"/>
            </w:tcBorders>
            <w:shd w:val="clear" w:color="auto" w:fill="auto"/>
            <w:vAlign w:val="center"/>
          </w:tcPr>
          <w:p w:rsidR="00DA18B1" w:rsidRPr="00DA18B1" w:rsidRDefault="00DA18B1" w:rsidP="00DA18B1">
            <w:pPr>
              <w:spacing w:after="120" w:line="276" w:lineRule="auto"/>
              <w:jc w:val="center"/>
              <w:rPr>
                <w:rFonts w:ascii="Palatino Linotype" w:hAnsi="Palatino Linotype"/>
                <w:i/>
                <w:sz w:val="22"/>
                <w:szCs w:val="22"/>
              </w:rPr>
            </w:pPr>
            <w:r w:rsidRPr="00DA18B1">
              <w:rPr>
                <w:rFonts w:ascii="Palatino Linotype" w:hAnsi="Palatino Linotype"/>
                <w:i/>
                <w:sz w:val="22"/>
                <w:szCs w:val="22"/>
              </w:rPr>
              <w:t>9,53 m.</w:t>
            </w:r>
          </w:p>
        </w:tc>
        <w:tc>
          <w:tcPr>
            <w:tcW w:w="808" w:type="pct"/>
            <w:vMerge/>
            <w:shd w:val="clear" w:color="auto" w:fill="auto"/>
          </w:tcPr>
          <w:p w:rsidR="00DA18B1" w:rsidRPr="00DA18B1" w:rsidRDefault="00DA18B1" w:rsidP="00242D53">
            <w:pPr>
              <w:spacing w:after="120" w:line="276" w:lineRule="auto"/>
              <w:jc w:val="right"/>
              <w:rPr>
                <w:rFonts w:ascii="Palatino Linotype" w:hAnsi="Palatino Linotype"/>
                <w:i/>
                <w:sz w:val="22"/>
                <w:szCs w:val="22"/>
              </w:rPr>
            </w:pPr>
          </w:p>
        </w:tc>
      </w:tr>
      <w:tr w:rsidR="00DA18B1" w:rsidRPr="00DA18B1" w:rsidTr="00DA18B1">
        <w:trPr>
          <w:trHeight w:val="1781"/>
          <w:jc w:val="center"/>
        </w:trPr>
        <w:tc>
          <w:tcPr>
            <w:tcW w:w="595" w:type="pct"/>
            <w:vMerge/>
            <w:shd w:val="clear" w:color="auto" w:fill="auto"/>
          </w:tcPr>
          <w:p w:rsidR="00DA18B1" w:rsidRPr="00DA18B1" w:rsidRDefault="00DA18B1" w:rsidP="00242D53">
            <w:pPr>
              <w:spacing w:after="120" w:line="276" w:lineRule="auto"/>
              <w:rPr>
                <w:rFonts w:ascii="Palatino Linotype" w:hAnsi="Palatino Linotype"/>
                <w:i/>
                <w:sz w:val="22"/>
                <w:szCs w:val="22"/>
              </w:rPr>
            </w:pPr>
          </w:p>
        </w:tc>
        <w:tc>
          <w:tcPr>
            <w:tcW w:w="527" w:type="pct"/>
            <w:shd w:val="clear" w:color="auto" w:fill="auto"/>
            <w:vAlign w:val="center"/>
          </w:tcPr>
          <w:p w:rsidR="00DA18B1" w:rsidRPr="00DA18B1" w:rsidRDefault="00DA18B1" w:rsidP="00242D53">
            <w:pPr>
              <w:spacing w:after="120" w:line="276" w:lineRule="auto"/>
              <w:rPr>
                <w:rFonts w:ascii="Palatino Linotype" w:hAnsi="Palatino Linotype"/>
                <w:b/>
                <w:i/>
                <w:sz w:val="22"/>
                <w:szCs w:val="22"/>
              </w:rPr>
            </w:pPr>
            <w:r w:rsidRPr="00DA18B1">
              <w:rPr>
                <w:rFonts w:ascii="Palatino Linotype" w:hAnsi="Palatino Linotype"/>
                <w:b/>
                <w:i/>
                <w:sz w:val="22"/>
                <w:szCs w:val="22"/>
              </w:rPr>
              <w:t>Este:</w:t>
            </w:r>
          </w:p>
        </w:tc>
        <w:tc>
          <w:tcPr>
            <w:tcW w:w="1579" w:type="pct"/>
            <w:shd w:val="clear" w:color="auto" w:fill="auto"/>
          </w:tcPr>
          <w:p w:rsidR="00DA18B1" w:rsidRPr="00DA18B1" w:rsidRDefault="00DA18B1" w:rsidP="00DA18B1">
            <w:pPr>
              <w:spacing w:after="120" w:line="276" w:lineRule="auto"/>
              <w:jc w:val="both"/>
              <w:rPr>
                <w:rFonts w:ascii="Palatino Linotype" w:hAnsi="Palatino Linotype"/>
                <w:i/>
                <w:sz w:val="22"/>
                <w:szCs w:val="22"/>
              </w:rPr>
            </w:pPr>
            <w:r w:rsidRPr="00DA18B1">
              <w:rPr>
                <w:rFonts w:ascii="Palatino Linotype" w:hAnsi="Palatino Linotype"/>
                <w:i/>
                <w:sz w:val="22"/>
                <w:szCs w:val="22"/>
              </w:rPr>
              <w:t>Lote 14</w:t>
            </w:r>
          </w:p>
          <w:p w:rsidR="00DA18B1" w:rsidRPr="00DA18B1" w:rsidRDefault="00DA18B1" w:rsidP="00DA18B1">
            <w:pPr>
              <w:spacing w:after="120" w:line="276" w:lineRule="auto"/>
              <w:jc w:val="both"/>
              <w:rPr>
                <w:rFonts w:ascii="Palatino Linotype" w:hAnsi="Palatino Linotype"/>
                <w:i/>
                <w:sz w:val="22"/>
                <w:szCs w:val="22"/>
              </w:rPr>
            </w:pPr>
            <w:r w:rsidRPr="00DA18B1">
              <w:rPr>
                <w:rFonts w:ascii="Palatino Linotype" w:hAnsi="Palatino Linotype"/>
                <w:i/>
                <w:sz w:val="22"/>
                <w:szCs w:val="22"/>
              </w:rPr>
              <w:t xml:space="preserve">P. Peatonal </w:t>
            </w:r>
            <w:proofErr w:type="spellStart"/>
            <w:r w:rsidRPr="00DA18B1">
              <w:rPr>
                <w:rFonts w:ascii="Palatino Linotype" w:hAnsi="Palatino Linotype"/>
                <w:i/>
                <w:sz w:val="22"/>
                <w:szCs w:val="22"/>
              </w:rPr>
              <w:t>E8E</w:t>
            </w:r>
            <w:proofErr w:type="spellEnd"/>
            <w:r w:rsidRPr="00DA18B1">
              <w:rPr>
                <w:rFonts w:ascii="Palatino Linotype" w:hAnsi="Palatino Linotype"/>
                <w:i/>
                <w:sz w:val="22"/>
                <w:szCs w:val="22"/>
              </w:rPr>
              <w:t xml:space="preserve"> El Tejar</w:t>
            </w:r>
          </w:p>
          <w:p w:rsidR="00DA18B1" w:rsidRPr="00DA18B1" w:rsidRDefault="00DA18B1" w:rsidP="00DA18B1">
            <w:pPr>
              <w:spacing w:after="120" w:line="276" w:lineRule="auto"/>
              <w:jc w:val="both"/>
              <w:rPr>
                <w:rFonts w:ascii="Palatino Linotype" w:hAnsi="Palatino Linotype"/>
                <w:i/>
                <w:sz w:val="22"/>
                <w:szCs w:val="22"/>
              </w:rPr>
            </w:pPr>
            <w:r w:rsidRPr="00DA18B1">
              <w:rPr>
                <w:rFonts w:ascii="Palatino Linotype" w:hAnsi="Palatino Linotype"/>
                <w:i/>
                <w:sz w:val="22"/>
                <w:szCs w:val="22"/>
              </w:rPr>
              <w:t xml:space="preserve">P. Peatonal </w:t>
            </w:r>
            <w:proofErr w:type="spellStart"/>
            <w:r w:rsidRPr="00DA18B1">
              <w:rPr>
                <w:rFonts w:ascii="Palatino Linotype" w:hAnsi="Palatino Linotype"/>
                <w:i/>
                <w:sz w:val="22"/>
                <w:szCs w:val="22"/>
              </w:rPr>
              <w:t>E8E</w:t>
            </w:r>
            <w:proofErr w:type="spellEnd"/>
            <w:r w:rsidRPr="00DA18B1">
              <w:rPr>
                <w:rFonts w:ascii="Palatino Linotype" w:hAnsi="Palatino Linotype"/>
                <w:i/>
                <w:sz w:val="22"/>
                <w:szCs w:val="22"/>
              </w:rPr>
              <w:t xml:space="preserve"> El Tejar</w:t>
            </w:r>
          </w:p>
          <w:p w:rsidR="00DA18B1" w:rsidRPr="00DA18B1" w:rsidRDefault="00DA18B1" w:rsidP="00DA18B1">
            <w:pPr>
              <w:spacing w:after="120" w:line="276" w:lineRule="auto"/>
              <w:jc w:val="both"/>
              <w:rPr>
                <w:rFonts w:ascii="Palatino Linotype" w:hAnsi="Palatino Linotype"/>
                <w:i/>
                <w:color w:val="000000"/>
                <w:sz w:val="22"/>
                <w:szCs w:val="22"/>
                <w:highlight w:val="yellow"/>
              </w:rPr>
            </w:pPr>
            <w:r w:rsidRPr="00DA18B1">
              <w:rPr>
                <w:rFonts w:ascii="Palatino Linotype" w:hAnsi="Palatino Linotype"/>
                <w:i/>
                <w:sz w:val="22"/>
                <w:szCs w:val="22"/>
              </w:rPr>
              <w:t>Lote 28</w:t>
            </w:r>
          </w:p>
        </w:tc>
        <w:tc>
          <w:tcPr>
            <w:tcW w:w="745" w:type="pct"/>
            <w:tcBorders>
              <w:right w:val="single" w:sz="4" w:space="0" w:color="auto"/>
            </w:tcBorders>
            <w:shd w:val="clear" w:color="auto" w:fill="auto"/>
            <w:vAlign w:val="center"/>
          </w:tcPr>
          <w:p w:rsidR="00DA18B1" w:rsidRPr="00DA18B1" w:rsidRDefault="00DA18B1" w:rsidP="00DA18B1">
            <w:pPr>
              <w:spacing w:after="120" w:line="276" w:lineRule="auto"/>
              <w:jc w:val="center"/>
              <w:rPr>
                <w:rFonts w:ascii="Palatino Linotype" w:hAnsi="Palatino Linotype"/>
                <w:i/>
                <w:sz w:val="22"/>
                <w:szCs w:val="22"/>
              </w:rPr>
            </w:pPr>
            <w:r w:rsidRPr="00DA18B1">
              <w:rPr>
                <w:rFonts w:ascii="Palatino Linotype" w:hAnsi="Palatino Linotype"/>
                <w:i/>
                <w:sz w:val="22"/>
                <w:szCs w:val="22"/>
              </w:rPr>
              <w:t>19,09 m.</w:t>
            </w:r>
          </w:p>
          <w:p w:rsidR="00DA18B1" w:rsidRPr="00DA18B1" w:rsidRDefault="00DA18B1" w:rsidP="00DA18B1">
            <w:pPr>
              <w:spacing w:after="120" w:line="276" w:lineRule="auto"/>
              <w:jc w:val="center"/>
              <w:rPr>
                <w:rFonts w:ascii="Palatino Linotype" w:hAnsi="Palatino Linotype"/>
                <w:i/>
                <w:sz w:val="22"/>
                <w:szCs w:val="22"/>
              </w:rPr>
            </w:pPr>
            <w:r w:rsidRPr="00DA18B1">
              <w:rPr>
                <w:rFonts w:ascii="Palatino Linotype" w:hAnsi="Palatino Linotype"/>
                <w:i/>
                <w:sz w:val="22"/>
                <w:szCs w:val="22"/>
              </w:rPr>
              <w:t>6,00 m.</w:t>
            </w:r>
          </w:p>
          <w:p w:rsidR="00DA18B1" w:rsidRPr="00DA18B1" w:rsidRDefault="00DA18B1" w:rsidP="00DA18B1">
            <w:pPr>
              <w:spacing w:after="120" w:line="276" w:lineRule="auto"/>
              <w:jc w:val="center"/>
              <w:rPr>
                <w:rFonts w:ascii="Palatino Linotype" w:hAnsi="Palatino Linotype"/>
                <w:i/>
                <w:sz w:val="22"/>
                <w:szCs w:val="22"/>
              </w:rPr>
            </w:pPr>
            <w:r w:rsidRPr="00DA18B1">
              <w:rPr>
                <w:rFonts w:ascii="Palatino Linotype" w:hAnsi="Palatino Linotype"/>
                <w:i/>
                <w:sz w:val="22"/>
                <w:szCs w:val="22"/>
              </w:rPr>
              <w:t>9,85 m.</w:t>
            </w:r>
          </w:p>
          <w:p w:rsidR="00DA18B1" w:rsidRPr="00DA18B1" w:rsidRDefault="00DA18B1" w:rsidP="00DA18B1">
            <w:pPr>
              <w:spacing w:after="120" w:line="276" w:lineRule="auto"/>
              <w:jc w:val="center"/>
              <w:rPr>
                <w:rFonts w:ascii="Palatino Linotype" w:hAnsi="Palatino Linotype"/>
                <w:i/>
                <w:sz w:val="22"/>
                <w:szCs w:val="22"/>
                <w:highlight w:val="yellow"/>
              </w:rPr>
            </w:pPr>
            <w:r w:rsidRPr="00DA18B1">
              <w:rPr>
                <w:rFonts w:ascii="Palatino Linotype" w:hAnsi="Palatino Linotype"/>
                <w:i/>
                <w:sz w:val="22"/>
                <w:szCs w:val="22"/>
              </w:rPr>
              <w:t>20,17 m.</w:t>
            </w:r>
          </w:p>
        </w:tc>
        <w:tc>
          <w:tcPr>
            <w:tcW w:w="745" w:type="pct"/>
            <w:tcBorders>
              <w:left w:val="single" w:sz="4" w:space="0" w:color="auto"/>
            </w:tcBorders>
            <w:shd w:val="clear" w:color="auto" w:fill="auto"/>
            <w:vAlign w:val="center"/>
          </w:tcPr>
          <w:p w:rsidR="00DA18B1" w:rsidRPr="00DA18B1" w:rsidRDefault="00DA18B1" w:rsidP="00DA18B1">
            <w:pPr>
              <w:spacing w:after="120" w:line="276" w:lineRule="auto"/>
              <w:jc w:val="center"/>
              <w:rPr>
                <w:rFonts w:ascii="Palatino Linotype" w:hAnsi="Palatino Linotype"/>
                <w:i/>
                <w:sz w:val="22"/>
                <w:szCs w:val="22"/>
              </w:rPr>
            </w:pPr>
          </w:p>
          <w:p w:rsidR="00DA18B1" w:rsidRPr="00DA18B1" w:rsidRDefault="00DA18B1" w:rsidP="00DA18B1">
            <w:pPr>
              <w:spacing w:after="120" w:line="276" w:lineRule="auto"/>
              <w:jc w:val="center"/>
              <w:rPr>
                <w:rFonts w:ascii="Palatino Linotype" w:hAnsi="Palatino Linotype"/>
                <w:i/>
                <w:sz w:val="22"/>
                <w:szCs w:val="22"/>
              </w:rPr>
            </w:pPr>
            <w:r w:rsidRPr="00DA18B1">
              <w:rPr>
                <w:rFonts w:ascii="Palatino Linotype" w:hAnsi="Palatino Linotype"/>
                <w:i/>
                <w:sz w:val="22"/>
                <w:szCs w:val="22"/>
              </w:rPr>
              <w:t>55,11 m.</w:t>
            </w:r>
          </w:p>
          <w:p w:rsidR="00DA18B1" w:rsidRPr="00DA18B1" w:rsidRDefault="00DA18B1" w:rsidP="00DA18B1">
            <w:pPr>
              <w:spacing w:after="120" w:line="276" w:lineRule="auto"/>
              <w:jc w:val="center"/>
              <w:rPr>
                <w:rFonts w:ascii="Palatino Linotype" w:hAnsi="Palatino Linotype"/>
                <w:i/>
                <w:sz w:val="22"/>
                <w:szCs w:val="22"/>
              </w:rPr>
            </w:pPr>
          </w:p>
        </w:tc>
        <w:tc>
          <w:tcPr>
            <w:tcW w:w="808" w:type="pct"/>
            <w:vMerge/>
            <w:shd w:val="clear" w:color="auto" w:fill="auto"/>
          </w:tcPr>
          <w:p w:rsidR="00DA18B1" w:rsidRPr="00DA18B1" w:rsidRDefault="00DA18B1" w:rsidP="00242D53">
            <w:pPr>
              <w:spacing w:after="120" w:line="276" w:lineRule="auto"/>
              <w:jc w:val="right"/>
              <w:rPr>
                <w:rFonts w:ascii="Palatino Linotype" w:hAnsi="Palatino Linotype"/>
                <w:i/>
                <w:sz w:val="22"/>
                <w:szCs w:val="22"/>
              </w:rPr>
            </w:pPr>
          </w:p>
        </w:tc>
      </w:tr>
      <w:tr w:rsidR="00DA18B1" w:rsidRPr="00DA18B1" w:rsidTr="00DA18B1">
        <w:trPr>
          <w:trHeight w:val="276"/>
          <w:jc w:val="center"/>
        </w:trPr>
        <w:tc>
          <w:tcPr>
            <w:tcW w:w="595" w:type="pct"/>
            <w:vMerge/>
            <w:tcBorders>
              <w:bottom w:val="single" w:sz="4" w:space="0" w:color="auto"/>
            </w:tcBorders>
            <w:shd w:val="clear" w:color="auto" w:fill="FFC000"/>
          </w:tcPr>
          <w:p w:rsidR="00DA18B1" w:rsidRPr="00DA18B1" w:rsidRDefault="00DA18B1" w:rsidP="00242D53">
            <w:pPr>
              <w:spacing w:after="120" w:line="276" w:lineRule="auto"/>
              <w:rPr>
                <w:rFonts w:ascii="Palatino Linotype" w:hAnsi="Palatino Linotype"/>
                <w:i/>
                <w:sz w:val="22"/>
                <w:szCs w:val="22"/>
              </w:rPr>
            </w:pPr>
          </w:p>
        </w:tc>
        <w:tc>
          <w:tcPr>
            <w:tcW w:w="527" w:type="pct"/>
            <w:shd w:val="clear" w:color="auto" w:fill="auto"/>
          </w:tcPr>
          <w:p w:rsidR="00DA18B1" w:rsidRPr="00DA18B1" w:rsidRDefault="00DA18B1" w:rsidP="00242D53">
            <w:pPr>
              <w:spacing w:after="120" w:line="276" w:lineRule="auto"/>
              <w:rPr>
                <w:rFonts w:ascii="Palatino Linotype" w:hAnsi="Palatino Linotype"/>
                <w:b/>
                <w:i/>
                <w:sz w:val="22"/>
                <w:szCs w:val="22"/>
              </w:rPr>
            </w:pPr>
            <w:r w:rsidRPr="00DA18B1">
              <w:rPr>
                <w:rFonts w:ascii="Palatino Linotype" w:hAnsi="Palatino Linotype"/>
                <w:b/>
                <w:i/>
                <w:sz w:val="22"/>
                <w:szCs w:val="22"/>
              </w:rPr>
              <w:t>Oeste:</w:t>
            </w:r>
          </w:p>
        </w:tc>
        <w:tc>
          <w:tcPr>
            <w:tcW w:w="1579" w:type="pct"/>
            <w:shd w:val="clear" w:color="auto" w:fill="auto"/>
          </w:tcPr>
          <w:p w:rsidR="00DA18B1" w:rsidRPr="00DA18B1" w:rsidRDefault="00DA18B1" w:rsidP="00DA18B1">
            <w:pPr>
              <w:spacing w:after="120" w:line="276" w:lineRule="auto"/>
              <w:jc w:val="both"/>
              <w:rPr>
                <w:rFonts w:ascii="Palatino Linotype" w:hAnsi="Palatino Linotype"/>
                <w:i/>
                <w:sz w:val="22"/>
                <w:szCs w:val="22"/>
              </w:rPr>
            </w:pPr>
            <w:r w:rsidRPr="00DA18B1">
              <w:rPr>
                <w:rFonts w:ascii="Palatino Linotype" w:hAnsi="Palatino Linotype"/>
                <w:i/>
                <w:sz w:val="22"/>
                <w:szCs w:val="22"/>
              </w:rPr>
              <w:t xml:space="preserve">Propiedad Particular </w:t>
            </w:r>
          </w:p>
        </w:tc>
        <w:tc>
          <w:tcPr>
            <w:tcW w:w="745" w:type="pct"/>
            <w:tcBorders>
              <w:right w:val="single" w:sz="4" w:space="0" w:color="auto"/>
            </w:tcBorders>
            <w:shd w:val="clear" w:color="auto" w:fill="auto"/>
            <w:vAlign w:val="center"/>
          </w:tcPr>
          <w:p w:rsidR="00DA18B1" w:rsidRPr="00DA18B1" w:rsidRDefault="00DA18B1" w:rsidP="00DA18B1">
            <w:pPr>
              <w:spacing w:after="120" w:line="276" w:lineRule="auto"/>
              <w:jc w:val="center"/>
              <w:rPr>
                <w:rFonts w:ascii="Palatino Linotype" w:hAnsi="Palatino Linotype"/>
                <w:i/>
                <w:sz w:val="22"/>
                <w:szCs w:val="22"/>
              </w:rPr>
            </w:pPr>
          </w:p>
        </w:tc>
        <w:tc>
          <w:tcPr>
            <w:tcW w:w="745" w:type="pct"/>
            <w:tcBorders>
              <w:left w:val="single" w:sz="4" w:space="0" w:color="auto"/>
              <w:bottom w:val="single" w:sz="4" w:space="0" w:color="auto"/>
            </w:tcBorders>
            <w:shd w:val="clear" w:color="auto" w:fill="auto"/>
            <w:vAlign w:val="center"/>
          </w:tcPr>
          <w:p w:rsidR="00DA18B1" w:rsidRPr="00DA18B1" w:rsidRDefault="00DA18B1" w:rsidP="00DA18B1">
            <w:pPr>
              <w:spacing w:after="120" w:line="276" w:lineRule="auto"/>
              <w:jc w:val="center"/>
              <w:rPr>
                <w:rFonts w:ascii="Palatino Linotype" w:hAnsi="Palatino Linotype"/>
                <w:i/>
                <w:sz w:val="22"/>
                <w:szCs w:val="22"/>
              </w:rPr>
            </w:pPr>
            <w:r w:rsidRPr="00DA18B1">
              <w:rPr>
                <w:rFonts w:ascii="Palatino Linotype" w:hAnsi="Palatino Linotype"/>
                <w:i/>
                <w:sz w:val="22"/>
                <w:szCs w:val="22"/>
              </w:rPr>
              <w:t>46,87 m</w:t>
            </w:r>
          </w:p>
        </w:tc>
        <w:tc>
          <w:tcPr>
            <w:tcW w:w="808" w:type="pct"/>
            <w:vMerge/>
            <w:tcBorders>
              <w:bottom w:val="single" w:sz="4" w:space="0" w:color="auto"/>
            </w:tcBorders>
            <w:shd w:val="clear" w:color="auto" w:fill="auto"/>
          </w:tcPr>
          <w:p w:rsidR="00DA18B1" w:rsidRPr="00DA18B1" w:rsidRDefault="00DA18B1" w:rsidP="00242D53">
            <w:pPr>
              <w:spacing w:after="120" w:line="276" w:lineRule="auto"/>
              <w:jc w:val="right"/>
              <w:rPr>
                <w:rFonts w:ascii="Palatino Linotype" w:hAnsi="Palatino Linotype"/>
                <w:i/>
                <w:sz w:val="22"/>
                <w:szCs w:val="22"/>
              </w:rPr>
            </w:pPr>
          </w:p>
        </w:tc>
      </w:tr>
    </w:tbl>
    <w:p w:rsidR="00DA18B1" w:rsidRPr="001F60EB" w:rsidRDefault="00DA18B1" w:rsidP="00DA18B1">
      <w:pPr>
        <w:pStyle w:val="Ttulo7"/>
        <w:spacing w:before="0" w:after="120" w:line="276" w:lineRule="auto"/>
        <w:jc w:val="right"/>
        <w:rPr>
          <w:rFonts w:ascii="Palatino Linotype" w:hAnsi="Palatino Linotype"/>
          <w:b/>
          <w:bCs/>
          <w:i/>
          <w:sz w:val="22"/>
          <w:szCs w:val="22"/>
        </w:rPr>
      </w:pPr>
    </w:p>
    <w:p w:rsidR="00DA18B1" w:rsidRDefault="00DA18B1" w:rsidP="00DA18B1">
      <w:pPr>
        <w:pStyle w:val="Ttulo7"/>
        <w:spacing w:before="0" w:after="120" w:line="276" w:lineRule="auto"/>
        <w:jc w:val="both"/>
        <w:rPr>
          <w:rFonts w:ascii="Palatino Linotype" w:hAnsi="Palatino Linotype"/>
          <w:bCs/>
          <w:sz w:val="22"/>
          <w:szCs w:val="22"/>
        </w:rPr>
      </w:pPr>
      <w:r w:rsidRPr="001F60EB">
        <w:rPr>
          <w:rFonts w:ascii="Palatino Linotype" w:hAnsi="Palatino Linotype"/>
          <w:b/>
          <w:bCs/>
          <w:sz w:val="22"/>
          <w:szCs w:val="22"/>
        </w:rPr>
        <w:t xml:space="preserve">Artículo 7.- </w:t>
      </w:r>
      <w:r w:rsidRPr="001F60EB">
        <w:rPr>
          <w:rFonts w:ascii="Palatino Linotype" w:hAnsi="Palatino Linotype"/>
          <w:bCs/>
          <w:sz w:val="22"/>
          <w:szCs w:val="22"/>
        </w:rPr>
        <w:t>Sustitúyase el artículo 6 de la Ordenanza No. 0087, sancionada el 22 de junio de 2011, por el siguiente:</w:t>
      </w:r>
    </w:p>
    <w:p w:rsidR="00DA18B1" w:rsidRDefault="00DA18B1" w:rsidP="00DA18B1">
      <w:pPr>
        <w:pStyle w:val="Ttulo7"/>
        <w:spacing w:before="0" w:after="120" w:line="276" w:lineRule="auto"/>
        <w:ind w:left="708"/>
        <w:jc w:val="both"/>
        <w:rPr>
          <w:rFonts w:ascii="Palatino Linotype" w:hAnsi="Palatino Linotype"/>
          <w:i/>
          <w:sz w:val="22"/>
          <w:szCs w:val="22"/>
        </w:rPr>
      </w:pPr>
      <w:r w:rsidRPr="001F60EB">
        <w:rPr>
          <w:rFonts w:ascii="Palatino Linotype" w:hAnsi="Palatino Linotype"/>
          <w:b/>
          <w:bCs/>
          <w:i/>
          <w:sz w:val="22"/>
          <w:szCs w:val="22"/>
        </w:rPr>
        <w:t xml:space="preserve">“Artículo 6.- De las vías.- </w:t>
      </w:r>
      <w:r w:rsidRPr="001F60EB">
        <w:rPr>
          <w:rFonts w:ascii="Palatino Linotype" w:hAnsi="Palatino Linotype"/>
          <w:i/>
          <w:sz w:val="22"/>
          <w:szCs w:val="22"/>
        </w:rPr>
        <w:t xml:space="preserve">El asentamiento </w:t>
      </w:r>
      <w:r w:rsidRPr="001F60EB">
        <w:rPr>
          <w:rFonts w:ascii="Palatino Linotype" w:hAnsi="Palatino Linotype"/>
          <w:bCs/>
          <w:i/>
          <w:iCs/>
          <w:sz w:val="22"/>
          <w:szCs w:val="22"/>
        </w:rPr>
        <w:t>humano de hecho y consolidado de interés social denominado</w:t>
      </w:r>
      <w:r w:rsidRPr="001F60EB">
        <w:rPr>
          <w:rFonts w:ascii="Palatino Linotype" w:hAnsi="Palatino Linotype"/>
          <w:bCs/>
          <w:i/>
          <w:sz w:val="22"/>
          <w:szCs w:val="22"/>
        </w:rPr>
        <w:t xml:space="preserve"> </w:t>
      </w:r>
      <w:r w:rsidRPr="001F60EB">
        <w:rPr>
          <w:rFonts w:ascii="Palatino Linotype" w:hAnsi="Palatino Linotype"/>
          <w:i/>
          <w:sz w:val="22"/>
          <w:szCs w:val="22"/>
        </w:rPr>
        <w:t>Urbanización de Interés Social de Desarrollo Progresivo del Barrio Portal de San Juan, contempla un sistema vial de uso público, debido a que éste es un asentamiento humano de hecho y consolidado de interés social actualmente con 16 años de existencia, con 42</w:t>
      </w:r>
      <w:r>
        <w:rPr>
          <w:rFonts w:ascii="Palatino Linotype" w:hAnsi="Palatino Linotype"/>
          <w:i/>
          <w:sz w:val="22"/>
          <w:szCs w:val="22"/>
        </w:rPr>
        <w:t>,</w:t>
      </w:r>
      <w:r w:rsidRPr="001F60EB">
        <w:rPr>
          <w:rFonts w:ascii="Palatino Linotype" w:hAnsi="Palatino Linotype"/>
          <w:i/>
          <w:sz w:val="22"/>
          <w:szCs w:val="22"/>
        </w:rPr>
        <w:t>86% de consolidación de viviendas y se encuentra ejecutando obras de infraestructura, razón por la cual los anchos viales se sujetarán al plano adjunto a la presente ordenanza.</w:t>
      </w:r>
    </w:p>
    <w:p w:rsidR="00DA18B1" w:rsidRDefault="00DA18B1" w:rsidP="00DA18B1">
      <w:pPr>
        <w:pStyle w:val="Ttulo7"/>
        <w:spacing w:before="0" w:after="120" w:line="276" w:lineRule="auto"/>
        <w:ind w:left="708"/>
        <w:jc w:val="both"/>
        <w:rPr>
          <w:rFonts w:ascii="Palatino Linotype" w:hAnsi="Palatino Linotype"/>
          <w:i/>
          <w:iCs/>
          <w:sz w:val="22"/>
          <w:szCs w:val="22"/>
        </w:rPr>
      </w:pPr>
      <w:r w:rsidRPr="001F60EB">
        <w:rPr>
          <w:rFonts w:ascii="Palatino Linotype" w:hAnsi="Palatino Linotype"/>
          <w:i/>
          <w:iCs/>
          <w:sz w:val="22"/>
          <w:szCs w:val="22"/>
        </w:rPr>
        <w:t>Se aprueban las vías con los siguientes anchos:</w:t>
      </w:r>
    </w:p>
    <w:p w:rsidR="00DA18B1" w:rsidRDefault="00DA18B1" w:rsidP="00DA18B1">
      <w:pPr>
        <w:pStyle w:val="Ttulo7"/>
        <w:spacing w:before="0" w:after="120" w:line="276" w:lineRule="auto"/>
        <w:ind w:left="708"/>
        <w:jc w:val="both"/>
        <w:rPr>
          <w:rFonts w:ascii="Palatino Linotype" w:hAnsi="Palatino Linotype"/>
          <w:i/>
          <w:color w:val="0D0D0D"/>
          <w:sz w:val="22"/>
          <w:szCs w:val="22"/>
        </w:rPr>
      </w:pPr>
      <w:r w:rsidRPr="001F60EB">
        <w:rPr>
          <w:rFonts w:ascii="Palatino Linotype" w:hAnsi="Palatino Linotype"/>
          <w:i/>
          <w:color w:val="0D0D0D"/>
          <w:sz w:val="22"/>
          <w:szCs w:val="22"/>
        </w:rPr>
        <w:t xml:space="preserve">Calle </w:t>
      </w:r>
      <w:proofErr w:type="spellStart"/>
      <w:r w:rsidRPr="001F60EB">
        <w:rPr>
          <w:rFonts w:ascii="Palatino Linotype" w:hAnsi="Palatino Linotype"/>
          <w:i/>
          <w:color w:val="0D0D0D"/>
          <w:sz w:val="22"/>
          <w:szCs w:val="22"/>
        </w:rPr>
        <w:t>E8E</w:t>
      </w:r>
      <w:proofErr w:type="spellEnd"/>
      <w:r w:rsidRPr="001F60EB">
        <w:rPr>
          <w:rFonts w:ascii="Palatino Linotype" w:hAnsi="Palatino Linotype"/>
          <w:i/>
          <w:color w:val="0D0D0D"/>
          <w:sz w:val="22"/>
          <w:szCs w:val="22"/>
        </w:rPr>
        <w:t xml:space="preserve"> El Tejar</w:t>
      </w:r>
      <w:r w:rsidRPr="001F60EB">
        <w:rPr>
          <w:rFonts w:ascii="Palatino Linotype" w:hAnsi="Palatino Linotype"/>
          <w:i/>
          <w:color w:val="0D0D0D"/>
          <w:sz w:val="22"/>
          <w:szCs w:val="22"/>
        </w:rPr>
        <w:tab/>
      </w:r>
      <w:r w:rsidRPr="001F60EB">
        <w:rPr>
          <w:rFonts w:ascii="Palatino Linotype" w:hAnsi="Palatino Linotype"/>
          <w:i/>
          <w:color w:val="0D0D0D"/>
          <w:sz w:val="22"/>
          <w:szCs w:val="22"/>
        </w:rPr>
        <w:tab/>
      </w:r>
      <w:r w:rsidRPr="001F60EB">
        <w:rPr>
          <w:rFonts w:ascii="Palatino Linotype" w:hAnsi="Palatino Linotype"/>
          <w:i/>
          <w:color w:val="0D0D0D"/>
          <w:sz w:val="22"/>
          <w:szCs w:val="22"/>
        </w:rPr>
        <w:tab/>
        <w:t>8,00 m.</w:t>
      </w:r>
    </w:p>
    <w:p w:rsidR="00DA18B1" w:rsidRDefault="00DA18B1" w:rsidP="00DA18B1">
      <w:pPr>
        <w:pStyle w:val="Ttulo7"/>
        <w:spacing w:before="0" w:after="120" w:line="276" w:lineRule="auto"/>
        <w:ind w:left="708"/>
        <w:jc w:val="both"/>
        <w:rPr>
          <w:rFonts w:ascii="Palatino Linotype" w:hAnsi="Palatino Linotype"/>
          <w:i/>
          <w:color w:val="0D0D0D"/>
          <w:sz w:val="22"/>
          <w:szCs w:val="22"/>
        </w:rPr>
      </w:pPr>
      <w:r w:rsidRPr="001F60EB">
        <w:rPr>
          <w:rFonts w:ascii="Palatino Linotype" w:hAnsi="Palatino Linotype"/>
          <w:i/>
          <w:color w:val="0D0D0D"/>
          <w:sz w:val="22"/>
          <w:szCs w:val="22"/>
        </w:rPr>
        <w:t xml:space="preserve">Pasaje Peatonal </w:t>
      </w:r>
      <w:proofErr w:type="spellStart"/>
      <w:r w:rsidRPr="001F60EB">
        <w:rPr>
          <w:rFonts w:ascii="Palatino Linotype" w:hAnsi="Palatino Linotype"/>
          <w:i/>
          <w:color w:val="0D0D0D"/>
          <w:sz w:val="22"/>
          <w:szCs w:val="22"/>
        </w:rPr>
        <w:t>E8E</w:t>
      </w:r>
      <w:proofErr w:type="spellEnd"/>
      <w:r w:rsidRPr="001F60EB">
        <w:rPr>
          <w:rFonts w:ascii="Palatino Linotype" w:hAnsi="Palatino Linotype"/>
          <w:i/>
          <w:color w:val="0D0D0D"/>
          <w:sz w:val="22"/>
          <w:szCs w:val="22"/>
        </w:rPr>
        <w:t xml:space="preserve"> El Tejar</w:t>
      </w:r>
      <w:r w:rsidRPr="001F60EB">
        <w:rPr>
          <w:rFonts w:ascii="Palatino Linotype" w:hAnsi="Palatino Linotype"/>
          <w:i/>
          <w:color w:val="0D0D0D"/>
          <w:sz w:val="22"/>
          <w:szCs w:val="22"/>
        </w:rPr>
        <w:tab/>
      </w:r>
      <w:r w:rsidRPr="001F60EB">
        <w:rPr>
          <w:rFonts w:ascii="Palatino Linotype" w:hAnsi="Palatino Linotype"/>
          <w:i/>
          <w:color w:val="0D0D0D"/>
          <w:sz w:val="22"/>
          <w:szCs w:val="22"/>
        </w:rPr>
        <w:tab/>
        <w:t>6,00 m</w:t>
      </w:r>
      <w:r>
        <w:rPr>
          <w:rFonts w:ascii="Palatino Linotype" w:hAnsi="Palatino Linotype"/>
          <w:i/>
          <w:color w:val="0D0D0D"/>
          <w:sz w:val="22"/>
          <w:szCs w:val="22"/>
        </w:rPr>
        <w:t>.</w:t>
      </w:r>
      <w:r w:rsidRPr="001F60EB">
        <w:rPr>
          <w:rFonts w:ascii="Palatino Linotype" w:hAnsi="Palatino Linotype"/>
          <w:i/>
          <w:color w:val="0D0D0D"/>
          <w:sz w:val="22"/>
          <w:szCs w:val="22"/>
        </w:rPr>
        <w:t>”</w:t>
      </w:r>
    </w:p>
    <w:p w:rsidR="00DA18B1" w:rsidRDefault="00DA18B1" w:rsidP="00DA18B1">
      <w:pPr>
        <w:pStyle w:val="Ttulo7"/>
        <w:spacing w:before="0" w:after="120" w:line="276" w:lineRule="auto"/>
        <w:jc w:val="both"/>
        <w:rPr>
          <w:rFonts w:ascii="Palatino Linotype" w:hAnsi="Palatino Linotype"/>
          <w:bCs/>
          <w:sz w:val="22"/>
          <w:szCs w:val="22"/>
        </w:rPr>
      </w:pPr>
      <w:r w:rsidRPr="001F60EB">
        <w:rPr>
          <w:rFonts w:ascii="Palatino Linotype" w:hAnsi="Palatino Linotype"/>
          <w:b/>
          <w:bCs/>
          <w:sz w:val="22"/>
          <w:szCs w:val="22"/>
        </w:rPr>
        <w:t xml:space="preserve">Artículo 8.- </w:t>
      </w:r>
      <w:r w:rsidRPr="001F60EB">
        <w:rPr>
          <w:rFonts w:ascii="Palatino Linotype" w:hAnsi="Palatino Linotype"/>
          <w:bCs/>
          <w:sz w:val="22"/>
          <w:szCs w:val="22"/>
        </w:rPr>
        <w:t xml:space="preserve">Sustitúyase el artículo 7 de la Ordenanza No. 0087, sancionada el 22 de junio de 2011,  por el siguiente: </w:t>
      </w:r>
    </w:p>
    <w:p w:rsidR="00DA18B1" w:rsidRPr="00DA18B1" w:rsidRDefault="00DA18B1" w:rsidP="00DA18B1">
      <w:pPr>
        <w:pStyle w:val="Ttulo7"/>
        <w:spacing w:before="0" w:after="120" w:line="276" w:lineRule="auto"/>
        <w:ind w:left="708"/>
        <w:jc w:val="both"/>
        <w:rPr>
          <w:rFonts w:ascii="Palatino Linotype" w:hAnsi="Palatino Linotype"/>
          <w:bCs/>
          <w:i/>
          <w:sz w:val="22"/>
          <w:szCs w:val="22"/>
        </w:rPr>
      </w:pPr>
      <w:r w:rsidRPr="001F60EB">
        <w:rPr>
          <w:rFonts w:ascii="Palatino Linotype" w:hAnsi="Palatino Linotype"/>
          <w:b/>
          <w:bCs/>
          <w:i/>
          <w:sz w:val="22"/>
          <w:szCs w:val="22"/>
        </w:rPr>
        <w:t xml:space="preserve">“Artículo 7.- De las obras a ejecutarse.- </w:t>
      </w:r>
      <w:r w:rsidRPr="001F60EB">
        <w:rPr>
          <w:rFonts w:ascii="Palatino Linotype" w:hAnsi="Palatino Linotype"/>
          <w:i/>
          <w:sz w:val="22"/>
          <w:szCs w:val="22"/>
        </w:rPr>
        <w:t>Las obras a ejecutarse en el Asentamiento Humano de Hecho y Consolidado de Interés Social denominado</w:t>
      </w:r>
      <w:r w:rsidRPr="001F60EB">
        <w:rPr>
          <w:rFonts w:ascii="Palatino Linotype" w:hAnsi="Palatino Linotype"/>
          <w:b/>
          <w:i/>
          <w:sz w:val="22"/>
          <w:szCs w:val="22"/>
        </w:rPr>
        <w:t xml:space="preserve"> </w:t>
      </w:r>
      <w:r w:rsidRPr="001F60EB">
        <w:rPr>
          <w:rFonts w:ascii="Palatino Linotype" w:hAnsi="Palatino Linotype"/>
          <w:i/>
          <w:sz w:val="22"/>
          <w:szCs w:val="22"/>
        </w:rPr>
        <w:t xml:space="preserve">Urbanización de Interés Social de Desarrollo Progresivo del Barrio Portal de San Juan, son  las siguientes: </w:t>
      </w:r>
    </w:p>
    <w:p w:rsidR="00DA18B1" w:rsidRPr="001F60EB" w:rsidRDefault="00DA18B1" w:rsidP="00DA18B1">
      <w:pPr>
        <w:shd w:val="clear" w:color="auto" w:fill="FFFFFF"/>
        <w:spacing w:after="120" w:line="276" w:lineRule="auto"/>
        <w:ind w:left="708"/>
        <w:jc w:val="both"/>
        <w:rPr>
          <w:rFonts w:ascii="Palatino Linotype" w:hAnsi="Palatino Linotype"/>
          <w:bCs/>
          <w:i/>
          <w:sz w:val="22"/>
          <w:szCs w:val="22"/>
        </w:rPr>
      </w:pPr>
      <w:r w:rsidRPr="001F60EB">
        <w:rPr>
          <w:rFonts w:ascii="Palatino Linotype" w:hAnsi="Palatino Linotype"/>
          <w:bCs/>
          <w:i/>
          <w:sz w:val="22"/>
          <w:szCs w:val="22"/>
        </w:rPr>
        <w:t xml:space="preserve">Calzada:  </w:t>
      </w:r>
      <w:r w:rsidRPr="001F60EB">
        <w:rPr>
          <w:rFonts w:ascii="Palatino Linotype" w:hAnsi="Palatino Linotype"/>
          <w:bCs/>
          <w:i/>
          <w:sz w:val="22"/>
          <w:szCs w:val="22"/>
        </w:rPr>
        <w:tab/>
      </w:r>
      <w:r w:rsidRPr="001F60EB">
        <w:rPr>
          <w:rFonts w:ascii="Palatino Linotype" w:hAnsi="Palatino Linotype"/>
          <w:bCs/>
          <w:i/>
          <w:sz w:val="22"/>
          <w:szCs w:val="22"/>
        </w:rPr>
        <w:tab/>
        <w:t>100,00%</w:t>
      </w:r>
      <w:r>
        <w:rPr>
          <w:rFonts w:ascii="Palatino Linotype" w:hAnsi="Palatino Linotype"/>
          <w:bCs/>
          <w:i/>
          <w:sz w:val="22"/>
          <w:szCs w:val="22"/>
        </w:rPr>
        <w:tab/>
      </w:r>
      <w:r>
        <w:rPr>
          <w:rFonts w:ascii="Palatino Linotype" w:hAnsi="Palatino Linotype"/>
          <w:bCs/>
          <w:i/>
          <w:sz w:val="22"/>
          <w:szCs w:val="22"/>
        </w:rPr>
        <w:tab/>
      </w:r>
      <w:r w:rsidRPr="001F60EB">
        <w:rPr>
          <w:rFonts w:ascii="Palatino Linotype" w:hAnsi="Palatino Linotype"/>
          <w:bCs/>
          <w:i/>
          <w:sz w:val="22"/>
          <w:szCs w:val="22"/>
        </w:rPr>
        <w:t>Aceras:</w:t>
      </w:r>
      <w:r w:rsidRPr="001F60EB">
        <w:rPr>
          <w:rFonts w:ascii="Palatino Linotype" w:hAnsi="Palatino Linotype"/>
          <w:bCs/>
          <w:i/>
          <w:sz w:val="22"/>
          <w:szCs w:val="22"/>
        </w:rPr>
        <w:tab/>
      </w:r>
      <w:r w:rsidRPr="001F60EB">
        <w:rPr>
          <w:rFonts w:ascii="Palatino Linotype" w:hAnsi="Palatino Linotype"/>
          <w:bCs/>
          <w:i/>
          <w:sz w:val="22"/>
          <w:szCs w:val="22"/>
        </w:rPr>
        <w:tab/>
      </w:r>
      <w:r w:rsidRPr="001F60EB">
        <w:rPr>
          <w:rFonts w:ascii="Palatino Linotype" w:hAnsi="Palatino Linotype"/>
          <w:bCs/>
          <w:i/>
          <w:sz w:val="22"/>
          <w:szCs w:val="22"/>
        </w:rPr>
        <w:tab/>
      </w:r>
      <w:r w:rsidRPr="001F60EB">
        <w:rPr>
          <w:rFonts w:ascii="Palatino Linotype" w:hAnsi="Palatino Linotype"/>
          <w:bCs/>
          <w:i/>
          <w:sz w:val="22"/>
          <w:szCs w:val="22"/>
        </w:rPr>
        <w:tab/>
        <w:t>100,00%</w:t>
      </w:r>
    </w:p>
    <w:p w:rsidR="00DA18B1" w:rsidRPr="001F60EB" w:rsidRDefault="00DA18B1" w:rsidP="00DA18B1">
      <w:pPr>
        <w:spacing w:after="120" w:line="276" w:lineRule="auto"/>
        <w:ind w:left="708"/>
        <w:jc w:val="both"/>
        <w:rPr>
          <w:rFonts w:ascii="Palatino Linotype" w:hAnsi="Palatino Linotype"/>
          <w:bCs/>
          <w:i/>
          <w:sz w:val="22"/>
          <w:szCs w:val="22"/>
        </w:rPr>
      </w:pPr>
      <w:r w:rsidRPr="001F60EB">
        <w:rPr>
          <w:rFonts w:ascii="Palatino Linotype" w:hAnsi="Palatino Linotype"/>
          <w:bCs/>
          <w:i/>
          <w:sz w:val="22"/>
          <w:szCs w:val="22"/>
        </w:rPr>
        <w:t xml:space="preserve">Bordillos:                       </w:t>
      </w:r>
      <w:r w:rsidRPr="001F60EB">
        <w:rPr>
          <w:rFonts w:ascii="Palatino Linotype" w:hAnsi="Palatino Linotype"/>
          <w:bCs/>
          <w:i/>
          <w:sz w:val="22"/>
          <w:szCs w:val="22"/>
        </w:rPr>
        <w:tab/>
        <w:t>100,00%</w:t>
      </w:r>
      <w:r>
        <w:rPr>
          <w:rFonts w:ascii="Palatino Linotype" w:hAnsi="Palatino Linotype"/>
          <w:bCs/>
          <w:i/>
          <w:sz w:val="22"/>
          <w:szCs w:val="22"/>
        </w:rPr>
        <w:tab/>
      </w:r>
      <w:r>
        <w:rPr>
          <w:rFonts w:ascii="Palatino Linotype" w:hAnsi="Palatino Linotype"/>
          <w:bCs/>
          <w:i/>
          <w:sz w:val="22"/>
          <w:szCs w:val="22"/>
        </w:rPr>
        <w:tab/>
      </w:r>
      <w:r w:rsidRPr="001F60EB">
        <w:rPr>
          <w:rFonts w:ascii="Palatino Linotype" w:hAnsi="Palatino Linotype"/>
          <w:bCs/>
          <w:i/>
          <w:sz w:val="22"/>
          <w:szCs w:val="22"/>
        </w:rPr>
        <w:t xml:space="preserve">Agua Potable                      </w:t>
      </w:r>
      <w:r w:rsidRPr="001F60EB">
        <w:rPr>
          <w:rFonts w:ascii="Palatino Linotype" w:hAnsi="Palatino Linotype"/>
          <w:bCs/>
          <w:i/>
          <w:sz w:val="22"/>
          <w:szCs w:val="22"/>
        </w:rPr>
        <w:tab/>
        <w:t xml:space="preserve">  30,00%</w:t>
      </w:r>
    </w:p>
    <w:p w:rsidR="00DA18B1" w:rsidRPr="001F60EB" w:rsidRDefault="00DA18B1" w:rsidP="00DA18B1">
      <w:pPr>
        <w:spacing w:after="120" w:line="276" w:lineRule="auto"/>
        <w:ind w:left="708"/>
        <w:jc w:val="both"/>
        <w:rPr>
          <w:rFonts w:ascii="Palatino Linotype" w:hAnsi="Palatino Linotype"/>
          <w:bCs/>
          <w:i/>
          <w:sz w:val="22"/>
          <w:szCs w:val="22"/>
        </w:rPr>
      </w:pPr>
      <w:r w:rsidRPr="001F60EB">
        <w:rPr>
          <w:rFonts w:ascii="Palatino Linotype" w:hAnsi="Palatino Linotype"/>
          <w:bCs/>
          <w:i/>
          <w:sz w:val="22"/>
          <w:szCs w:val="22"/>
        </w:rPr>
        <w:t>Alcantarillado:</w:t>
      </w:r>
      <w:r w:rsidRPr="001F60EB">
        <w:rPr>
          <w:rFonts w:ascii="Palatino Linotype" w:hAnsi="Palatino Linotype"/>
          <w:bCs/>
          <w:i/>
          <w:sz w:val="22"/>
          <w:szCs w:val="22"/>
        </w:rPr>
        <w:tab/>
      </w:r>
      <w:r w:rsidRPr="001F60EB">
        <w:rPr>
          <w:rFonts w:ascii="Palatino Linotype" w:hAnsi="Palatino Linotype"/>
          <w:bCs/>
          <w:i/>
          <w:sz w:val="22"/>
          <w:szCs w:val="22"/>
        </w:rPr>
        <w:tab/>
        <w:t>100,00%</w:t>
      </w:r>
      <w:r>
        <w:rPr>
          <w:rFonts w:ascii="Palatino Linotype" w:hAnsi="Palatino Linotype"/>
          <w:bCs/>
          <w:i/>
          <w:sz w:val="22"/>
          <w:szCs w:val="22"/>
        </w:rPr>
        <w:tab/>
      </w:r>
      <w:r>
        <w:rPr>
          <w:rFonts w:ascii="Palatino Linotype" w:hAnsi="Palatino Linotype"/>
          <w:bCs/>
          <w:i/>
          <w:sz w:val="22"/>
          <w:szCs w:val="22"/>
        </w:rPr>
        <w:tab/>
      </w:r>
      <w:r w:rsidRPr="001F60EB">
        <w:rPr>
          <w:rFonts w:ascii="Palatino Linotype" w:hAnsi="Palatino Linotype"/>
          <w:bCs/>
          <w:i/>
          <w:sz w:val="22"/>
          <w:szCs w:val="22"/>
        </w:rPr>
        <w:t xml:space="preserve">Energía Eléctrica:                </w:t>
      </w:r>
      <w:r w:rsidRPr="001F60EB">
        <w:rPr>
          <w:rFonts w:ascii="Palatino Linotype" w:hAnsi="Palatino Linotype"/>
          <w:bCs/>
          <w:i/>
          <w:sz w:val="22"/>
          <w:szCs w:val="22"/>
        </w:rPr>
        <w:tab/>
        <w:t xml:space="preserve"> 100,00%</w:t>
      </w:r>
      <w:r>
        <w:rPr>
          <w:rFonts w:ascii="Palatino Linotype" w:hAnsi="Palatino Linotype"/>
          <w:bCs/>
          <w:i/>
          <w:sz w:val="22"/>
          <w:szCs w:val="22"/>
        </w:rPr>
        <w:t>”</w:t>
      </w:r>
    </w:p>
    <w:p w:rsidR="00DA18B1" w:rsidRPr="001F60EB" w:rsidRDefault="00DA18B1" w:rsidP="00DA18B1">
      <w:pPr>
        <w:spacing w:after="120" w:line="276" w:lineRule="auto"/>
        <w:jc w:val="both"/>
        <w:rPr>
          <w:rFonts w:ascii="Palatino Linotype" w:hAnsi="Palatino Linotype"/>
          <w:bCs/>
          <w:sz w:val="22"/>
          <w:szCs w:val="22"/>
        </w:rPr>
      </w:pPr>
      <w:r w:rsidRPr="001F60EB">
        <w:rPr>
          <w:rFonts w:ascii="Palatino Linotype" w:hAnsi="Palatino Linotype"/>
          <w:b/>
          <w:bCs/>
          <w:sz w:val="22"/>
          <w:szCs w:val="22"/>
        </w:rPr>
        <w:lastRenderedPageBreak/>
        <w:t xml:space="preserve">Artículo 9.- </w:t>
      </w:r>
      <w:r w:rsidRPr="001F60EB">
        <w:rPr>
          <w:rFonts w:ascii="Palatino Linotype" w:hAnsi="Palatino Linotype"/>
          <w:bCs/>
          <w:sz w:val="22"/>
          <w:szCs w:val="22"/>
        </w:rPr>
        <w:t xml:space="preserve">Sustitúyase el artículo 8 de la Ordenanza No. 0087, sancionada el 22 de junio de 2011,  por el siguiente: </w:t>
      </w:r>
    </w:p>
    <w:p w:rsidR="00DA18B1" w:rsidRPr="001F60EB" w:rsidRDefault="00DA18B1" w:rsidP="00DA18B1">
      <w:pPr>
        <w:spacing w:after="120" w:line="276" w:lineRule="auto"/>
        <w:ind w:left="708"/>
        <w:jc w:val="both"/>
        <w:rPr>
          <w:rFonts w:ascii="Palatino Linotype" w:hAnsi="Palatino Linotype"/>
          <w:i/>
          <w:iCs/>
          <w:sz w:val="22"/>
          <w:szCs w:val="22"/>
        </w:rPr>
      </w:pPr>
      <w:r w:rsidRPr="001F60EB">
        <w:rPr>
          <w:rFonts w:ascii="Palatino Linotype" w:hAnsi="Palatino Linotype"/>
          <w:b/>
          <w:bCs/>
          <w:i/>
          <w:sz w:val="22"/>
          <w:szCs w:val="22"/>
        </w:rPr>
        <w:t>“Artículo 8.- Del plazo de ejecución de las obras.-</w:t>
      </w:r>
      <w:r w:rsidRPr="001F60EB">
        <w:rPr>
          <w:rFonts w:ascii="Palatino Linotype" w:hAnsi="Palatino Linotype"/>
          <w:i/>
          <w:sz w:val="22"/>
          <w:szCs w:val="22"/>
        </w:rPr>
        <w:t xml:space="preserve"> El plazo de ejecución de la totalidad de las obras civiles y de infraestructura, será de ocho (8) años, </w:t>
      </w:r>
      <w:r w:rsidRPr="001F60EB">
        <w:rPr>
          <w:rFonts w:ascii="Palatino Linotype" w:hAnsi="Palatino Linotype"/>
          <w:i/>
          <w:iCs/>
          <w:sz w:val="22"/>
          <w:szCs w:val="22"/>
        </w:rPr>
        <w:t xml:space="preserve">de conformidad al cronograma de obras presentado por </w:t>
      </w:r>
      <w:r w:rsidRPr="001F60EB">
        <w:rPr>
          <w:rFonts w:ascii="Palatino Linotype" w:hAnsi="Palatino Linotype"/>
          <w:i/>
          <w:color w:val="0D0D0D"/>
          <w:sz w:val="22"/>
          <w:szCs w:val="22"/>
        </w:rPr>
        <w:t xml:space="preserve">los copropietarios del inmueble donde se ubica </w:t>
      </w:r>
      <w:r w:rsidRPr="001F60EB">
        <w:rPr>
          <w:rFonts w:ascii="Palatino Linotype" w:hAnsi="Palatino Linotype"/>
          <w:i/>
          <w:sz w:val="22"/>
          <w:szCs w:val="22"/>
        </w:rPr>
        <w:t>el Asentamiento Humano de Hecho y Consolidado de Interés Social</w:t>
      </w:r>
      <w:r w:rsidRPr="001F60EB">
        <w:rPr>
          <w:rFonts w:ascii="Palatino Linotype" w:hAnsi="Palatino Linotype"/>
          <w:b/>
          <w:i/>
          <w:sz w:val="22"/>
          <w:szCs w:val="22"/>
        </w:rPr>
        <w:t xml:space="preserve">, </w:t>
      </w:r>
      <w:r w:rsidRPr="001F60EB">
        <w:rPr>
          <w:rFonts w:ascii="Palatino Linotype" w:hAnsi="Palatino Linotype"/>
          <w:i/>
          <w:iCs/>
          <w:sz w:val="22"/>
          <w:szCs w:val="22"/>
        </w:rPr>
        <w:t xml:space="preserve">plazo que se contará a partir de la inscripción de la presente Ordenanza en el Registro de la Propiedad del Distrito Metropolitano de Quito. </w:t>
      </w:r>
    </w:p>
    <w:p w:rsidR="00DA18B1" w:rsidRDefault="00DA18B1" w:rsidP="00DA18B1">
      <w:pPr>
        <w:spacing w:after="120" w:line="276" w:lineRule="auto"/>
        <w:ind w:left="708"/>
        <w:jc w:val="both"/>
        <w:rPr>
          <w:rFonts w:ascii="Palatino Linotype" w:hAnsi="Palatino Linotype"/>
          <w:i/>
          <w:iCs/>
          <w:sz w:val="22"/>
          <w:szCs w:val="22"/>
        </w:rPr>
      </w:pPr>
      <w:r w:rsidRPr="001F60EB">
        <w:rPr>
          <w:rFonts w:ascii="Palatino Linotype" w:hAnsi="Palatino Linotype"/>
          <w:i/>
          <w:iCs/>
          <w:sz w:val="22"/>
          <w:szCs w:val="22"/>
        </w:rPr>
        <w:t xml:space="preserve">Cuando las obras se ejecutaren por autogestión de </w:t>
      </w:r>
      <w:r w:rsidRPr="001F60EB">
        <w:rPr>
          <w:rFonts w:ascii="Palatino Linotype" w:hAnsi="Palatino Linotype"/>
          <w:bCs/>
          <w:i/>
          <w:sz w:val="22"/>
          <w:szCs w:val="22"/>
        </w:rPr>
        <w:t>los copropietarios del inmueble donde se ubica el asentamiento, el valor por c</w:t>
      </w:r>
      <w:r w:rsidRPr="001F60EB">
        <w:rPr>
          <w:rFonts w:ascii="Palatino Linotype" w:hAnsi="Palatino Linotype"/>
          <w:i/>
          <w:iCs/>
          <w:sz w:val="22"/>
          <w:szCs w:val="22"/>
        </w:rPr>
        <w:t>ontribución especial de mejoras se establecerá de conformidad con la ley.”</w:t>
      </w:r>
    </w:p>
    <w:p w:rsidR="00DA18B1" w:rsidRDefault="00DA18B1" w:rsidP="00DA18B1">
      <w:pPr>
        <w:spacing w:after="120" w:line="276" w:lineRule="auto"/>
        <w:jc w:val="both"/>
        <w:rPr>
          <w:rFonts w:ascii="Palatino Linotype" w:hAnsi="Palatino Linotype"/>
          <w:i/>
          <w:iCs/>
          <w:sz w:val="22"/>
          <w:szCs w:val="22"/>
        </w:rPr>
      </w:pPr>
      <w:r w:rsidRPr="001F60EB">
        <w:rPr>
          <w:rFonts w:ascii="Palatino Linotype" w:hAnsi="Palatino Linotype"/>
          <w:b/>
          <w:bCs/>
          <w:sz w:val="22"/>
          <w:szCs w:val="22"/>
        </w:rPr>
        <w:t xml:space="preserve">Artículo 10.- </w:t>
      </w:r>
      <w:r w:rsidRPr="001F60EB">
        <w:rPr>
          <w:rFonts w:ascii="Palatino Linotype" w:hAnsi="Palatino Linotype"/>
          <w:bCs/>
          <w:sz w:val="22"/>
          <w:szCs w:val="22"/>
        </w:rPr>
        <w:t xml:space="preserve">Sustitúyase del artículo 9 de la Ordenanza No. 0087, sancionada el 22 de junio de 2011,  </w:t>
      </w:r>
      <w:r>
        <w:rPr>
          <w:rFonts w:ascii="Palatino Linotype" w:hAnsi="Palatino Linotype"/>
          <w:bCs/>
          <w:sz w:val="22"/>
          <w:szCs w:val="22"/>
        </w:rPr>
        <w:t>l</w:t>
      </w:r>
      <w:r w:rsidRPr="00DA18B1">
        <w:rPr>
          <w:rFonts w:ascii="Palatino Linotype" w:hAnsi="Palatino Linotype"/>
          <w:bCs/>
          <w:sz w:val="22"/>
          <w:szCs w:val="22"/>
        </w:rPr>
        <w:t>a palabra</w:t>
      </w:r>
      <w:r w:rsidRPr="001F60EB">
        <w:rPr>
          <w:rFonts w:ascii="Palatino Linotype" w:hAnsi="Palatino Linotype"/>
          <w:bCs/>
          <w:i/>
          <w:sz w:val="22"/>
          <w:szCs w:val="22"/>
        </w:rPr>
        <w:t xml:space="preserve"> “urbanización”, </w:t>
      </w:r>
      <w:r w:rsidRPr="00DA18B1">
        <w:rPr>
          <w:rFonts w:ascii="Palatino Linotype" w:hAnsi="Palatino Linotype"/>
          <w:bCs/>
          <w:sz w:val="22"/>
          <w:szCs w:val="22"/>
        </w:rPr>
        <w:t>por las siguientes:</w:t>
      </w:r>
      <w:r w:rsidRPr="001F60EB">
        <w:rPr>
          <w:rFonts w:ascii="Palatino Linotype" w:hAnsi="Palatino Linotype"/>
          <w:bCs/>
          <w:i/>
          <w:sz w:val="22"/>
          <w:szCs w:val="22"/>
        </w:rPr>
        <w:t xml:space="preserve"> “</w:t>
      </w:r>
      <w:r w:rsidRPr="001F60EB">
        <w:rPr>
          <w:rFonts w:ascii="Palatino Linotype" w:hAnsi="Palatino Linotype"/>
          <w:i/>
          <w:color w:val="000000" w:themeColor="text1"/>
          <w:sz w:val="22"/>
          <w:szCs w:val="22"/>
          <w:lang w:val="es-ES_tradnl"/>
        </w:rPr>
        <w:t xml:space="preserve">obras </w:t>
      </w:r>
      <w:r w:rsidRPr="001F60EB">
        <w:rPr>
          <w:rFonts w:ascii="Palatino Linotype" w:hAnsi="Palatino Linotype"/>
          <w:i/>
          <w:color w:val="000000" w:themeColor="text1"/>
          <w:sz w:val="22"/>
          <w:szCs w:val="22"/>
        </w:rPr>
        <w:t>civiles y de infraestructura</w:t>
      </w:r>
      <w:r w:rsidRPr="001F60EB">
        <w:rPr>
          <w:rFonts w:ascii="Palatino Linotype" w:hAnsi="Palatino Linotype"/>
          <w:color w:val="000000" w:themeColor="text1"/>
          <w:sz w:val="22"/>
          <w:szCs w:val="22"/>
        </w:rPr>
        <w:t>”</w:t>
      </w:r>
      <w:r>
        <w:rPr>
          <w:rFonts w:ascii="Palatino Linotype" w:hAnsi="Palatino Linotype"/>
          <w:color w:val="000000" w:themeColor="text1"/>
          <w:sz w:val="22"/>
          <w:szCs w:val="22"/>
        </w:rPr>
        <w:t>.</w:t>
      </w:r>
    </w:p>
    <w:p w:rsidR="00DA18B1" w:rsidRPr="00DA18B1" w:rsidRDefault="00DA18B1" w:rsidP="00DA18B1">
      <w:pPr>
        <w:spacing w:after="120" w:line="276" w:lineRule="auto"/>
        <w:jc w:val="both"/>
        <w:rPr>
          <w:rFonts w:ascii="Palatino Linotype" w:hAnsi="Palatino Linotype"/>
          <w:i/>
          <w:iCs/>
          <w:sz w:val="22"/>
          <w:szCs w:val="22"/>
        </w:rPr>
      </w:pPr>
      <w:r w:rsidRPr="001F60EB">
        <w:rPr>
          <w:rFonts w:ascii="Palatino Linotype" w:hAnsi="Palatino Linotype"/>
          <w:b/>
          <w:bCs/>
          <w:sz w:val="22"/>
          <w:szCs w:val="22"/>
        </w:rPr>
        <w:t xml:space="preserve">Artículo 11.- </w:t>
      </w:r>
      <w:r w:rsidRPr="001F60EB">
        <w:rPr>
          <w:rFonts w:ascii="Palatino Linotype" w:hAnsi="Palatino Linotype"/>
          <w:bCs/>
          <w:sz w:val="22"/>
          <w:szCs w:val="22"/>
        </w:rPr>
        <w:t>Sustitúyase el artículo 10 de la Ordenanza No. 0087, sancionada el 22 de junio de 2011,  por el siguiente:</w:t>
      </w:r>
    </w:p>
    <w:p w:rsidR="00DA18B1" w:rsidRPr="001F60EB" w:rsidRDefault="00DA18B1" w:rsidP="00DA18B1">
      <w:pPr>
        <w:shd w:val="clear" w:color="auto" w:fill="FFFFFF"/>
        <w:spacing w:after="120" w:line="276" w:lineRule="auto"/>
        <w:ind w:left="708"/>
        <w:jc w:val="both"/>
        <w:rPr>
          <w:rFonts w:ascii="Palatino Linotype" w:hAnsi="Palatino Linotype"/>
          <w:bCs/>
          <w:i/>
          <w:color w:val="000000"/>
          <w:sz w:val="22"/>
          <w:szCs w:val="22"/>
        </w:rPr>
      </w:pPr>
      <w:r w:rsidRPr="001F60EB">
        <w:rPr>
          <w:rFonts w:ascii="Palatino Linotype" w:hAnsi="Palatino Linotype"/>
          <w:b/>
          <w:bCs/>
          <w:i/>
          <w:sz w:val="22"/>
          <w:szCs w:val="22"/>
        </w:rPr>
        <w:t>“Artículo 10</w:t>
      </w:r>
      <w:r w:rsidRPr="001F60EB">
        <w:rPr>
          <w:rFonts w:ascii="Palatino Linotype" w:hAnsi="Palatino Linotype"/>
          <w:b/>
          <w:bCs/>
          <w:i/>
          <w:sz w:val="22"/>
          <w:szCs w:val="22"/>
          <w:lang w:val="es-ES_tradnl"/>
        </w:rPr>
        <w:t xml:space="preserve">.- De la multa por retraso en ejecución de obras.- </w:t>
      </w:r>
      <w:r w:rsidRPr="001F60EB">
        <w:rPr>
          <w:rFonts w:ascii="Palatino Linotype" w:hAnsi="Palatino Linotype"/>
          <w:i/>
          <w:sz w:val="22"/>
          <w:szCs w:val="22"/>
          <w:lang w:val="es-ES_tradnl"/>
        </w:rPr>
        <w:t xml:space="preserve">En caso de retraso en la ejecución de las obras </w:t>
      </w:r>
      <w:r w:rsidRPr="001F60EB">
        <w:rPr>
          <w:rFonts w:ascii="Palatino Linotype" w:hAnsi="Palatino Linotype"/>
          <w:i/>
          <w:sz w:val="22"/>
          <w:szCs w:val="22"/>
        </w:rPr>
        <w:t>civiles y de infraestructura</w:t>
      </w:r>
      <w:r w:rsidRPr="001F60EB">
        <w:rPr>
          <w:rFonts w:ascii="Palatino Linotype" w:hAnsi="Palatino Linotype"/>
          <w:i/>
          <w:sz w:val="22"/>
          <w:szCs w:val="22"/>
          <w:lang w:val="es-ES_tradnl"/>
        </w:rPr>
        <w:t>,</w:t>
      </w:r>
      <w:r w:rsidRPr="001F60EB">
        <w:rPr>
          <w:rFonts w:ascii="Palatino Linotype" w:hAnsi="Palatino Linotype"/>
          <w:i/>
          <w:color w:val="0D0D0D"/>
          <w:sz w:val="22"/>
          <w:szCs w:val="22"/>
        </w:rPr>
        <w:t xml:space="preserve"> los copropietarios del inmueble sobre el cual se ubica </w:t>
      </w:r>
      <w:r w:rsidRPr="001F60EB">
        <w:rPr>
          <w:rFonts w:ascii="Palatino Linotype" w:hAnsi="Palatino Linotype"/>
          <w:i/>
          <w:sz w:val="22"/>
          <w:szCs w:val="22"/>
        </w:rPr>
        <w:t xml:space="preserve">el Asentamiento Humano de Hecho y Consolidado de Interés Social denominado Urbanización de Interés Social de Desarrollo Progresivo del Barrio Portal de San Juan, </w:t>
      </w:r>
      <w:r w:rsidRPr="001F60EB">
        <w:rPr>
          <w:rFonts w:ascii="Palatino Linotype" w:hAnsi="Palatino Linotype"/>
          <w:bCs/>
          <w:i/>
          <w:iCs/>
          <w:sz w:val="22"/>
          <w:szCs w:val="22"/>
        </w:rPr>
        <w:t>s</w:t>
      </w:r>
      <w:r w:rsidRPr="001F60EB">
        <w:rPr>
          <w:rFonts w:ascii="Palatino Linotype" w:hAnsi="Palatino Linotype"/>
          <w:bCs/>
          <w:i/>
          <w:color w:val="000000"/>
          <w:sz w:val="22"/>
          <w:szCs w:val="22"/>
        </w:rPr>
        <w:t>e sujetarán a las sanciones contempladas en el Ordenamiento Jurídico Nacional y Metropolitano.”</w:t>
      </w:r>
    </w:p>
    <w:p w:rsidR="00DA18B1" w:rsidRPr="001F60EB" w:rsidRDefault="00DA18B1" w:rsidP="00DA18B1">
      <w:pPr>
        <w:spacing w:after="120" w:line="276" w:lineRule="auto"/>
        <w:jc w:val="both"/>
        <w:rPr>
          <w:rFonts w:ascii="Palatino Linotype" w:hAnsi="Palatino Linotype"/>
          <w:i/>
          <w:sz w:val="22"/>
          <w:szCs w:val="22"/>
        </w:rPr>
      </w:pPr>
      <w:r w:rsidRPr="001F60EB">
        <w:rPr>
          <w:rFonts w:ascii="Palatino Linotype" w:hAnsi="Palatino Linotype"/>
          <w:b/>
          <w:bCs/>
          <w:sz w:val="22"/>
          <w:szCs w:val="22"/>
        </w:rPr>
        <w:t xml:space="preserve">Artículo 12.- </w:t>
      </w:r>
      <w:r w:rsidRPr="001F60EB">
        <w:rPr>
          <w:rFonts w:ascii="Palatino Linotype" w:hAnsi="Palatino Linotype"/>
          <w:bCs/>
          <w:sz w:val="22"/>
          <w:szCs w:val="22"/>
        </w:rPr>
        <w:t>Sustitúyase del artículo 11 de la Ordenanza No. 0087, sancionada el 22 de junio de 2011,  la frase</w:t>
      </w:r>
      <w:r>
        <w:rPr>
          <w:rFonts w:ascii="Palatino Linotype" w:hAnsi="Palatino Linotype"/>
          <w:bCs/>
          <w:sz w:val="22"/>
          <w:szCs w:val="22"/>
        </w:rPr>
        <w:t xml:space="preserve"> “</w:t>
      </w:r>
      <w:r w:rsidRPr="00DA18B1">
        <w:rPr>
          <w:rFonts w:ascii="Palatino Linotype" w:hAnsi="Palatino Linotype"/>
          <w:bCs/>
          <w:i/>
          <w:sz w:val="22"/>
          <w:szCs w:val="22"/>
        </w:rPr>
        <w:t>según el listado de beneficiarios que constan en el plano de fraccionamiento</w:t>
      </w:r>
      <w:r>
        <w:rPr>
          <w:rFonts w:ascii="Palatino Linotype" w:hAnsi="Palatino Linotype"/>
          <w:bCs/>
          <w:sz w:val="22"/>
          <w:szCs w:val="22"/>
        </w:rPr>
        <w:t>”,</w:t>
      </w:r>
      <w:r w:rsidRPr="001F60EB">
        <w:rPr>
          <w:rFonts w:ascii="Palatino Linotype" w:hAnsi="Palatino Linotype"/>
          <w:bCs/>
          <w:sz w:val="22"/>
          <w:szCs w:val="22"/>
        </w:rPr>
        <w:t xml:space="preserve"> por el siguiente</w:t>
      </w:r>
      <w:r>
        <w:rPr>
          <w:rFonts w:ascii="Palatino Linotype" w:hAnsi="Palatino Linotype"/>
          <w:bCs/>
          <w:sz w:val="22"/>
          <w:szCs w:val="22"/>
        </w:rPr>
        <w:t>:</w:t>
      </w:r>
      <w:r w:rsidRPr="001F60EB">
        <w:rPr>
          <w:rFonts w:ascii="Palatino Linotype" w:hAnsi="Palatino Linotype"/>
          <w:bCs/>
          <w:sz w:val="22"/>
          <w:szCs w:val="22"/>
        </w:rPr>
        <w:t xml:space="preserve"> “</w:t>
      </w:r>
      <w:r w:rsidRPr="001F60EB">
        <w:rPr>
          <w:rFonts w:ascii="Palatino Linotype" w:hAnsi="Palatino Linotype"/>
          <w:i/>
          <w:sz w:val="22"/>
          <w:szCs w:val="22"/>
        </w:rPr>
        <w:t>y que subsistirá hasta la terminación de la ejecución de las obras civiles y de infraestructura.”</w:t>
      </w:r>
    </w:p>
    <w:p w:rsidR="00DA18B1" w:rsidRPr="001F60EB" w:rsidRDefault="00DA18B1" w:rsidP="00DA18B1">
      <w:pPr>
        <w:spacing w:after="120" w:line="276" w:lineRule="auto"/>
        <w:contextualSpacing/>
        <w:jc w:val="both"/>
        <w:rPr>
          <w:rFonts w:ascii="Palatino Linotype" w:hAnsi="Palatino Linotype"/>
          <w:bCs/>
          <w:sz w:val="22"/>
          <w:szCs w:val="22"/>
        </w:rPr>
      </w:pPr>
      <w:r w:rsidRPr="001F60EB">
        <w:rPr>
          <w:rFonts w:ascii="Palatino Linotype" w:hAnsi="Palatino Linotype"/>
          <w:b/>
          <w:bCs/>
          <w:sz w:val="22"/>
          <w:szCs w:val="22"/>
        </w:rPr>
        <w:t xml:space="preserve">Artículo 13.- </w:t>
      </w:r>
      <w:r w:rsidRPr="001F60EB">
        <w:rPr>
          <w:rFonts w:ascii="Palatino Linotype" w:hAnsi="Palatino Linotype"/>
          <w:bCs/>
          <w:sz w:val="22"/>
          <w:szCs w:val="22"/>
        </w:rPr>
        <w:t xml:space="preserve">Sustitúyase el artículo 13 de la Ordenanza No. 0087, sancionada el 22 de junio de 2011,  por el siguiente: </w:t>
      </w:r>
    </w:p>
    <w:p w:rsidR="00DA18B1" w:rsidRPr="001F60EB" w:rsidRDefault="00DA18B1" w:rsidP="00DA18B1">
      <w:pPr>
        <w:pStyle w:val="NormalWeb"/>
        <w:spacing w:before="0" w:beforeAutospacing="0" w:after="120" w:afterAutospacing="0" w:line="276" w:lineRule="auto"/>
        <w:ind w:left="708"/>
        <w:jc w:val="both"/>
        <w:rPr>
          <w:rFonts w:ascii="Palatino Linotype" w:hAnsi="Palatino Linotype"/>
          <w:i/>
          <w:sz w:val="22"/>
          <w:szCs w:val="22"/>
          <w:lang w:val="es-ES_tradnl"/>
        </w:rPr>
      </w:pPr>
      <w:r w:rsidRPr="001F60EB">
        <w:rPr>
          <w:rFonts w:ascii="Palatino Linotype" w:hAnsi="Palatino Linotype"/>
          <w:b/>
          <w:i/>
          <w:sz w:val="22"/>
          <w:szCs w:val="22"/>
        </w:rPr>
        <w:t>“</w:t>
      </w:r>
      <w:r w:rsidRPr="001F60EB">
        <w:rPr>
          <w:rFonts w:ascii="Palatino Linotype" w:hAnsi="Palatino Linotype"/>
          <w:b/>
          <w:bCs/>
          <w:i/>
          <w:sz w:val="22"/>
          <w:szCs w:val="22"/>
          <w:lang w:val="es-ES_tradnl"/>
        </w:rPr>
        <w:t xml:space="preserve">Artículo 13.- De la </w:t>
      </w:r>
      <w:r>
        <w:rPr>
          <w:rFonts w:ascii="Palatino Linotype" w:hAnsi="Palatino Linotype"/>
          <w:b/>
          <w:bCs/>
          <w:i/>
          <w:sz w:val="22"/>
          <w:szCs w:val="22"/>
          <w:lang w:val="es-ES_tradnl"/>
        </w:rPr>
        <w:t>p</w:t>
      </w:r>
      <w:r w:rsidRPr="001F60EB">
        <w:rPr>
          <w:rFonts w:ascii="Palatino Linotype" w:hAnsi="Palatino Linotype"/>
          <w:b/>
          <w:bCs/>
          <w:i/>
          <w:sz w:val="22"/>
          <w:szCs w:val="22"/>
          <w:lang w:val="es-ES_tradnl"/>
        </w:rPr>
        <w:t xml:space="preserve">rotocolización e </w:t>
      </w:r>
      <w:r>
        <w:rPr>
          <w:rFonts w:ascii="Palatino Linotype" w:hAnsi="Palatino Linotype"/>
          <w:b/>
          <w:bCs/>
          <w:i/>
          <w:sz w:val="22"/>
          <w:szCs w:val="22"/>
          <w:lang w:val="es-ES_tradnl"/>
        </w:rPr>
        <w:t>i</w:t>
      </w:r>
      <w:r w:rsidRPr="001F60EB">
        <w:rPr>
          <w:rFonts w:ascii="Palatino Linotype" w:hAnsi="Palatino Linotype"/>
          <w:b/>
          <w:bCs/>
          <w:i/>
          <w:sz w:val="22"/>
          <w:szCs w:val="22"/>
          <w:lang w:val="es-ES_tradnl"/>
        </w:rPr>
        <w:t xml:space="preserve">nscripción de la Ordenanza.- </w:t>
      </w:r>
      <w:r w:rsidRPr="001F60EB">
        <w:rPr>
          <w:rFonts w:ascii="Palatino Linotype" w:hAnsi="Palatino Linotype"/>
          <w:i/>
          <w:color w:val="0D0D0D"/>
          <w:sz w:val="22"/>
          <w:szCs w:val="22"/>
        </w:rPr>
        <w:t>Los copropietarios del predio donde se ubica e</w:t>
      </w:r>
      <w:r w:rsidRPr="001F60EB">
        <w:rPr>
          <w:rFonts w:ascii="Palatino Linotype" w:hAnsi="Palatino Linotype"/>
          <w:bCs/>
          <w:i/>
          <w:iCs/>
          <w:sz w:val="22"/>
          <w:szCs w:val="22"/>
        </w:rPr>
        <w:t xml:space="preserve">l </w:t>
      </w:r>
      <w:r w:rsidRPr="001F60EB">
        <w:rPr>
          <w:rFonts w:ascii="Palatino Linotype" w:hAnsi="Palatino Linotype"/>
          <w:i/>
          <w:sz w:val="22"/>
          <w:szCs w:val="22"/>
        </w:rPr>
        <w:t>Asentamiento Humano de Hecho y Consolidado de Interés Social denominado Urbanización de Interés Social de Desarrollo Progresivo del Barrio Portal de San Juan, posterior a la sanción de la presente ordenanza deben</w:t>
      </w:r>
      <w:r w:rsidRPr="001F60EB">
        <w:rPr>
          <w:rFonts w:ascii="Palatino Linotype" w:hAnsi="Palatino Linotype"/>
          <w:i/>
          <w:sz w:val="22"/>
          <w:szCs w:val="22"/>
          <w:lang w:val="es-ES_tradnl"/>
        </w:rPr>
        <w:t xml:space="preserve"> </w:t>
      </w:r>
      <w:r w:rsidRPr="001F60EB">
        <w:rPr>
          <w:rFonts w:ascii="Palatino Linotype" w:hAnsi="Palatino Linotype"/>
          <w:i/>
          <w:sz w:val="22"/>
          <w:szCs w:val="22"/>
        </w:rPr>
        <w:t xml:space="preserve">protocolizar la presente Ordenanza ante Notario Público e inscribirla en el Registro de la Propiedad del Distrito Metropolitano de Quito, </w:t>
      </w:r>
      <w:r w:rsidRPr="001F60EB">
        <w:rPr>
          <w:rFonts w:ascii="Palatino Linotype" w:hAnsi="Palatino Linotype"/>
          <w:i/>
          <w:sz w:val="22"/>
          <w:szCs w:val="22"/>
          <w:lang w:val="es-ES_tradnl"/>
        </w:rPr>
        <w:t>con todos sus documentos habilitantes;</w:t>
      </w:r>
    </w:p>
    <w:p w:rsidR="00DA18B1" w:rsidRPr="001F60EB" w:rsidRDefault="00DA18B1" w:rsidP="00DA18B1">
      <w:pPr>
        <w:spacing w:after="120" w:line="276" w:lineRule="auto"/>
        <w:ind w:left="708"/>
        <w:jc w:val="both"/>
        <w:rPr>
          <w:rFonts w:ascii="Palatino Linotype" w:hAnsi="Palatino Linotype"/>
          <w:i/>
          <w:sz w:val="22"/>
          <w:szCs w:val="22"/>
          <w:lang w:val="es-ES_tradnl"/>
        </w:rPr>
      </w:pPr>
      <w:r w:rsidRPr="001F60EB">
        <w:rPr>
          <w:rFonts w:ascii="Palatino Linotype" w:hAnsi="Palatino Linotype"/>
          <w:i/>
          <w:sz w:val="22"/>
          <w:szCs w:val="22"/>
          <w:lang w:val="es-ES_tradnl"/>
        </w:rPr>
        <w:lastRenderedPageBreak/>
        <w:t>En caso de no legalizar la presente Ordenanza, está caducará conforme lo determinado en la normativa nacional vigente.</w:t>
      </w:r>
    </w:p>
    <w:p w:rsidR="00DA18B1" w:rsidRPr="001F60EB" w:rsidRDefault="00DA18B1" w:rsidP="00DA18B1">
      <w:pPr>
        <w:spacing w:after="120" w:line="276" w:lineRule="auto"/>
        <w:ind w:left="709"/>
        <w:jc w:val="both"/>
        <w:rPr>
          <w:rFonts w:ascii="Palatino Linotype" w:hAnsi="Palatino Linotype"/>
          <w:i/>
          <w:sz w:val="22"/>
          <w:szCs w:val="22"/>
          <w:lang w:val="es-ES_tradnl"/>
        </w:rPr>
      </w:pPr>
      <w:r w:rsidRPr="001F60EB">
        <w:rPr>
          <w:rFonts w:ascii="Palatino Linotype" w:hAnsi="Palatino Linotype"/>
          <w:i/>
          <w:sz w:val="22"/>
          <w:szCs w:val="22"/>
          <w:lang w:val="es-ES_tradnl"/>
        </w:rPr>
        <w:t>La inscripción de la presente ordenanza servirá como título de dominio para efectos de la transferencia de áreas verdes, en caso de que existan”.</w:t>
      </w:r>
    </w:p>
    <w:p w:rsidR="00DA18B1" w:rsidRPr="001F60EB" w:rsidRDefault="00DA18B1" w:rsidP="00DA18B1">
      <w:pPr>
        <w:pStyle w:val="Ttulo7"/>
        <w:spacing w:before="0" w:after="120" w:line="276" w:lineRule="auto"/>
        <w:jc w:val="both"/>
        <w:rPr>
          <w:rFonts w:ascii="Palatino Linotype" w:hAnsi="Palatino Linotype"/>
          <w:bCs/>
          <w:i/>
          <w:sz w:val="22"/>
          <w:szCs w:val="22"/>
        </w:rPr>
      </w:pPr>
      <w:r w:rsidRPr="001F60EB">
        <w:rPr>
          <w:rFonts w:ascii="Palatino Linotype" w:hAnsi="Palatino Linotype"/>
          <w:b/>
          <w:bCs/>
          <w:sz w:val="22"/>
          <w:szCs w:val="22"/>
        </w:rPr>
        <w:t>Artículo 14.-</w:t>
      </w:r>
      <w:r w:rsidRPr="001F60EB">
        <w:rPr>
          <w:rFonts w:ascii="Palatino Linotype" w:hAnsi="Palatino Linotype"/>
          <w:bCs/>
          <w:sz w:val="22"/>
          <w:szCs w:val="22"/>
        </w:rPr>
        <w:t xml:space="preserve"> Sustitúyase el artículo 14 de la Ordenanza No. 0087, sancionada el 22 de junio de 2011 por el siguiente:</w:t>
      </w:r>
    </w:p>
    <w:p w:rsidR="00DA18B1" w:rsidRPr="001F60EB" w:rsidRDefault="00DA18B1" w:rsidP="00DA18B1">
      <w:pPr>
        <w:spacing w:after="120" w:line="276" w:lineRule="auto"/>
        <w:ind w:left="708"/>
        <w:jc w:val="both"/>
        <w:rPr>
          <w:rFonts w:ascii="Palatino Linotype" w:hAnsi="Palatino Linotype"/>
          <w:sz w:val="22"/>
          <w:szCs w:val="22"/>
          <w:lang w:val="es-ES_tradnl"/>
        </w:rPr>
      </w:pPr>
      <w:r w:rsidRPr="001F60EB">
        <w:rPr>
          <w:rFonts w:ascii="Palatino Linotype" w:hAnsi="Palatino Linotype"/>
          <w:b/>
          <w:sz w:val="22"/>
          <w:szCs w:val="22"/>
          <w:lang w:val="es-ES_tradnl"/>
        </w:rPr>
        <w:t>“</w:t>
      </w:r>
      <w:r w:rsidRPr="001F60EB">
        <w:rPr>
          <w:rFonts w:ascii="Palatino Linotype" w:hAnsi="Palatino Linotype"/>
          <w:b/>
          <w:i/>
          <w:sz w:val="22"/>
          <w:szCs w:val="22"/>
          <w:lang w:val="es-ES_tradnl"/>
        </w:rPr>
        <w:t>Artículo 14.- De la partición y adjudicación.-</w:t>
      </w:r>
      <w:r w:rsidRPr="001F60EB">
        <w:rPr>
          <w:rFonts w:ascii="Palatino Linotype" w:hAnsi="Palatino Linotype"/>
          <w:i/>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1F60EB">
        <w:rPr>
          <w:rFonts w:ascii="Palatino Linotype" w:hAnsi="Palatino Linotype"/>
          <w:sz w:val="22"/>
          <w:szCs w:val="22"/>
          <w:lang w:val="es-ES_tradnl"/>
        </w:rPr>
        <w:t xml:space="preserve">“ </w:t>
      </w:r>
    </w:p>
    <w:p w:rsidR="00DA18B1" w:rsidRPr="001F60EB" w:rsidRDefault="00DA18B1" w:rsidP="00DA18B1">
      <w:pPr>
        <w:pStyle w:val="Ttulo7"/>
        <w:spacing w:before="0" w:after="120" w:line="276" w:lineRule="auto"/>
        <w:jc w:val="both"/>
        <w:rPr>
          <w:rFonts w:ascii="Palatino Linotype" w:hAnsi="Palatino Linotype"/>
          <w:bCs/>
          <w:i/>
          <w:sz w:val="22"/>
          <w:szCs w:val="22"/>
        </w:rPr>
      </w:pPr>
      <w:r w:rsidRPr="001F60EB">
        <w:rPr>
          <w:rFonts w:ascii="Palatino Linotype" w:hAnsi="Palatino Linotype"/>
          <w:b/>
          <w:bCs/>
          <w:sz w:val="22"/>
          <w:szCs w:val="22"/>
        </w:rPr>
        <w:t>Artículo 15.-</w:t>
      </w:r>
      <w:r w:rsidRPr="001F60EB">
        <w:rPr>
          <w:rFonts w:ascii="Palatino Linotype" w:hAnsi="Palatino Linotype"/>
          <w:bCs/>
          <w:sz w:val="22"/>
          <w:szCs w:val="22"/>
        </w:rPr>
        <w:t xml:space="preserve"> Después del artículo 15 de la Ordenanza No. 0087, sancionada el 22 de junio de 2011 agréguese los siguientes artículos:</w:t>
      </w:r>
    </w:p>
    <w:p w:rsidR="00DA18B1" w:rsidRPr="001F60EB" w:rsidRDefault="00DA18B1" w:rsidP="00DA18B1">
      <w:pPr>
        <w:spacing w:after="120" w:line="276" w:lineRule="auto"/>
        <w:ind w:left="708"/>
        <w:jc w:val="both"/>
        <w:rPr>
          <w:rFonts w:ascii="Palatino Linotype" w:hAnsi="Palatino Linotype"/>
          <w:i/>
          <w:sz w:val="22"/>
          <w:szCs w:val="22"/>
        </w:rPr>
      </w:pPr>
      <w:r w:rsidRPr="001F60EB">
        <w:rPr>
          <w:rFonts w:ascii="Palatino Linotype" w:hAnsi="Palatino Linotype"/>
          <w:b/>
          <w:bCs/>
          <w:i/>
          <w:sz w:val="22"/>
          <w:szCs w:val="22"/>
        </w:rPr>
        <w:t xml:space="preserve"> “Artículo 16.- Informe Técnico de Evaluación de Riesgos de la Secretaría General de Seguridad y Gobernabilidad.- </w:t>
      </w:r>
      <w:r w:rsidRPr="001F60EB">
        <w:rPr>
          <w:rFonts w:ascii="Palatino Linotype" w:hAnsi="Palatino Linotype"/>
          <w:bCs/>
          <w:i/>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1F60EB">
        <w:rPr>
          <w:rFonts w:ascii="Palatino Linotype" w:hAnsi="Palatino Linotype"/>
          <w:i/>
          <w:color w:val="2A2A2A"/>
          <w:sz w:val="22"/>
          <w:szCs w:val="22"/>
        </w:rPr>
        <w:t xml:space="preserve">, </w:t>
      </w:r>
      <w:r w:rsidRPr="001F60EB">
        <w:rPr>
          <w:rFonts w:ascii="Palatino Linotype" w:hAnsi="Palatino Linotype"/>
          <w:i/>
          <w:sz w:val="22"/>
          <w:szCs w:val="22"/>
        </w:rPr>
        <w:t>caso contrario el Concejo Metropolitano podrá revocar la presente ordenanza, notificándose del particular a la Agencia Metropolitana de Control, para que se inicie las acciones pertinentes.</w:t>
      </w:r>
    </w:p>
    <w:p w:rsidR="00DA18B1" w:rsidRPr="001F60EB" w:rsidRDefault="00DA18B1" w:rsidP="00DA18B1">
      <w:pPr>
        <w:spacing w:after="120" w:line="276" w:lineRule="auto"/>
        <w:ind w:left="708"/>
        <w:jc w:val="both"/>
        <w:rPr>
          <w:rFonts w:ascii="Palatino Linotype" w:hAnsi="Palatino Linotype"/>
          <w:i/>
          <w:sz w:val="22"/>
          <w:szCs w:val="22"/>
        </w:rPr>
      </w:pPr>
      <w:r w:rsidRPr="001F60EB">
        <w:rPr>
          <w:rFonts w:ascii="Palatino Linotype" w:hAnsi="Palatino Linotype"/>
          <w:i/>
          <w:sz w:val="22"/>
          <w:szCs w:val="22"/>
        </w:rPr>
        <w:t xml:space="preserve">La Agencia Metropolitana de Control realizará el seguimiento en la ejecución y avance de las obras de mitigación hasta la terminación de las mismas. </w:t>
      </w:r>
    </w:p>
    <w:p w:rsidR="00DA18B1" w:rsidRPr="001F60EB" w:rsidRDefault="00DA18B1" w:rsidP="00DA18B1">
      <w:pPr>
        <w:spacing w:after="120" w:line="276" w:lineRule="auto"/>
        <w:ind w:left="708"/>
        <w:jc w:val="both"/>
        <w:rPr>
          <w:rFonts w:ascii="Palatino Linotype" w:hAnsi="Palatino Linotype"/>
          <w:bCs/>
          <w:i/>
          <w:sz w:val="22"/>
          <w:szCs w:val="22"/>
        </w:rPr>
      </w:pPr>
      <w:r w:rsidRPr="001F60EB">
        <w:rPr>
          <w:rFonts w:ascii="Palatino Linotype" w:hAnsi="Palatino Linotype"/>
          <w:bCs/>
          <w:i/>
          <w:sz w:val="22"/>
          <w:szCs w:val="22"/>
        </w:rPr>
        <w:t xml:space="preserve">El </w:t>
      </w:r>
      <w:r w:rsidRPr="001F60EB">
        <w:rPr>
          <w:rFonts w:ascii="Palatino Linotype" w:hAnsi="Palatino Linotype"/>
          <w:i/>
          <w:sz w:val="22"/>
          <w:szCs w:val="22"/>
        </w:rPr>
        <w:t>Asentamiento Humano de Hecho y Consolidado de Interés Social denominado</w:t>
      </w:r>
      <w:r w:rsidRPr="001F60EB">
        <w:rPr>
          <w:rFonts w:ascii="Palatino Linotype" w:hAnsi="Palatino Linotype"/>
          <w:bCs/>
          <w:i/>
          <w:sz w:val="22"/>
          <w:szCs w:val="22"/>
        </w:rPr>
        <w:t xml:space="preserve"> </w:t>
      </w:r>
      <w:r w:rsidRPr="001F60EB">
        <w:rPr>
          <w:rFonts w:ascii="Palatino Linotype" w:hAnsi="Palatino Linotype"/>
          <w:i/>
          <w:sz w:val="22"/>
          <w:szCs w:val="22"/>
        </w:rPr>
        <w:t xml:space="preserve">Urbanización de Interés Social de Desarrollo Progresivo del Barrio “Portal de San Juan”, </w:t>
      </w:r>
      <w:r w:rsidRPr="001F60EB">
        <w:rPr>
          <w:rFonts w:ascii="Palatino Linotype" w:hAnsi="Palatino Linotype"/>
          <w:bCs/>
          <w:i/>
          <w:sz w:val="22"/>
          <w:szCs w:val="22"/>
        </w:rPr>
        <w:t xml:space="preserve">deberá cumplir con lo establecido  dentro de la calificación del riesgo y acatar las recomendaciones que se encuentran determinadas </w:t>
      </w:r>
      <w:r w:rsidRPr="001F60EB">
        <w:rPr>
          <w:rFonts w:ascii="Palatino Linotype" w:hAnsi="Palatino Linotype"/>
          <w:i/>
          <w:color w:val="000000"/>
          <w:sz w:val="22"/>
          <w:szCs w:val="22"/>
          <w:shd w:val="clear" w:color="auto" w:fill="FFFFFF"/>
        </w:rPr>
        <w:t xml:space="preserve">en el informe de la Dirección Metropolitana de Gestión de Riesgos </w:t>
      </w:r>
      <w:r w:rsidRPr="001F60EB">
        <w:rPr>
          <w:rFonts w:ascii="Palatino Linotype" w:hAnsi="Palatino Linotype"/>
          <w:bCs/>
          <w:i/>
          <w:sz w:val="22"/>
          <w:szCs w:val="22"/>
        </w:rPr>
        <w:t>No. 031-AT-</w:t>
      </w:r>
      <w:proofErr w:type="spellStart"/>
      <w:r w:rsidRPr="001F60EB">
        <w:rPr>
          <w:rFonts w:ascii="Palatino Linotype" w:hAnsi="Palatino Linotype"/>
          <w:bCs/>
          <w:i/>
          <w:sz w:val="22"/>
          <w:szCs w:val="22"/>
        </w:rPr>
        <w:t>DMGR</w:t>
      </w:r>
      <w:proofErr w:type="spellEnd"/>
      <w:r w:rsidRPr="001F60EB">
        <w:rPr>
          <w:rFonts w:ascii="Palatino Linotype" w:hAnsi="Palatino Linotype"/>
          <w:bCs/>
          <w:i/>
          <w:sz w:val="22"/>
          <w:szCs w:val="22"/>
        </w:rPr>
        <w:t>-2018, del 05 de marzo del 2018 el mismo establece que:</w:t>
      </w:r>
    </w:p>
    <w:p w:rsidR="00DA18B1" w:rsidRDefault="00DA18B1" w:rsidP="00DA18B1">
      <w:pPr>
        <w:spacing w:after="120" w:line="276" w:lineRule="auto"/>
        <w:ind w:left="708"/>
        <w:contextualSpacing/>
        <w:jc w:val="both"/>
        <w:rPr>
          <w:rFonts w:ascii="Palatino Linotype" w:hAnsi="Palatino Linotype"/>
          <w:b/>
          <w:bCs/>
          <w:i/>
          <w:sz w:val="22"/>
          <w:szCs w:val="22"/>
        </w:rPr>
      </w:pPr>
    </w:p>
    <w:p w:rsidR="00DA18B1" w:rsidRPr="001F60EB" w:rsidRDefault="00DA18B1" w:rsidP="00DA18B1">
      <w:pPr>
        <w:spacing w:after="120" w:line="276" w:lineRule="auto"/>
        <w:ind w:left="708"/>
        <w:contextualSpacing/>
        <w:jc w:val="both"/>
        <w:rPr>
          <w:rFonts w:ascii="Palatino Linotype" w:hAnsi="Palatino Linotype"/>
          <w:b/>
          <w:bCs/>
          <w:i/>
          <w:sz w:val="22"/>
          <w:szCs w:val="22"/>
        </w:rPr>
      </w:pPr>
      <w:r w:rsidRPr="001F60EB">
        <w:rPr>
          <w:rFonts w:ascii="Palatino Linotype" w:hAnsi="Palatino Linotype"/>
          <w:b/>
          <w:bCs/>
          <w:i/>
          <w:sz w:val="22"/>
          <w:szCs w:val="22"/>
        </w:rPr>
        <w:lastRenderedPageBreak/>
        <w:t>“6 CALIFICACIÓN DEL RIESGO</w:t>
      </w:r>
    </w:p>
    <w:p w:rsidR="00DA18B1" w:rsidRPr="001F60EB" w:rsidRDefault="00DA18B1" w:rsidP="00DA18B1">
      <w:pPr>
        <w:spacing w:after="120" w:line="276" w:lineRule="auto"/>
        <w:ind w:left="708"/>
        <w:contextualSpacing/>
        <w:jc w:val="both"/>
        <w:rPr>
          <w:rFonts w:ascii="Palatino Linotype" w:hAnsi="Palatino Linotype"/>
          <w:i/>
          <w:sz w:val="22"/>
          <w:szCs w:val="22"/>
        </w:rPr>
      </w:pPr>
      <w:r w:rsidRPr="001F60EB">
        <w:rPr>
          <w:rFonts w:ascii="Palatino Linotype" w:hAnsi="Palatino Linotype"/>
          <w:i/>
          <w:sz w:val="22"/>
          <w:szCs w:val="22"/>
        </w:rPr>
        <w:t xml:space="preserve">Una vez realizada la inspección técnica al </w:t>
      </w:r>
      <w:proofErr w:type="spellStart"/>
      <w:r w:rsidRPr="001F60EB">
        <w:rPr>
          <w:rFonts w:ascii="Palatino Linotype" w:hAnsi="Palatino Linotype"/>
          <w:i/>
          <w:sz w:val="22"/>
          <w:szCs w:val="22"/>
        </w:rPr>
        <w:t>AHHYC</w:t>
      </w:r>
      <w:proofErr w:type="spellEnd"/>
      <w:r w:rsidRPr="001F60EB">
        <w:rPr>
          <w:rFonts w:ascii="Palatino Linotype" w:hAnsi="Palatino Linotype"/>
          <w:i/>
          <w:sz w:val="22"/>
          <w:szCs w:val="22"/>
        </w:rPr>
        <w:t xml:space="preserve"> “Portal de San Juan” de la Parroquia Calderón, y analizando las amenazas, elementos expuestos y vulnerabilidades, se determina que:</w:t>
      </w:r>
    </w:p>
    <w:p w:rsidR="00DA18B1" w:rsidRPr="001F60EB" w:rsidRDefault="00DA18B1" w:rsidP="00DA18B1">
      <w:pPr>
        <w:pStyle w:val="Prrafodelista"/>
        <w:numPr>
          <w:ilvl w:val="0"/>
          <w:numId w:val="38"/>
        </w:numPr>
        <w:spacing w:after="120" w:line="276" w:lineRule="auto"/>
        <w:ind w:left="1417" w:hanging="284"/>
        <w:jc w:val="both"/>
        <w:rPr>
          <w:rFonts w:ascii="Palatino Linotype" w:hAnsi="Palatino Linotype"/>
          <w:i/>
          <w:sz w:val="22"/>
          <w:szCs w:val="22"/>
        </w:rPr>
      </w:pPr>
      <w:r w:rsidRPr="001F60EB">
        <w:rPr>
          <w:rFonts w:ascii="Palatino Linotype" w:hAnsi="Palatino Linotype"/>
          <w:b/>
          <w:i/>
          <w:sz w:val="22"/>
          <w:szCs w:val="22"/>
        </w:rPr>
        <w:t xml:space="preserve">Riesgo por movimientos en masa: </w:t>
      </w:r>
      <w:r w:rsidRPr="001F60EB">
        <w:rPr>
          <w:rFonts w:ascii="Palatino Linotype" w:hAnsi="Palatino Linotype"/>
          <w:i/>
          <w:sz w:val="22"/>
          <w:szCs w:val="22"/>
        </w:rPr>
        <w:t xml:space="preserve">el  </w:t>
      </w:r>
      <w:proofErr w:type="spellStart"/>
      <w:r w:rsidRPr="001F60EB">
        <w:rPr>
          <w:rFonts w:ascii="Palatino Linotype" w:hAnsi="Palatino Linotype"/>
          <w:i/>
          <w:sz w:val="22"/>
          <w:szCs w:val="22"/>
        </w:rPr>
        <w:t>AHHYC</w:t>
      </w:r>
      <w:proofErr w:type="spellEnd"/>
      <w:r w:rsidRPr="001F60EB">
        <w:rPr>
          <w:rFonts w:ascii="Palatino Linotype" w:hAnsi="Palatino Linotype"/>
          <w:i/>
          <w:sz w:val="22"/>
          <w:szCs w:val="22"/>
        </w:rPr>
        <w:t xml:space="preserve"> “Portal de San Juan” de la Parroquia Calderón en general presenta un </w:t>
      </w:r>
      <w:r w:rsidRPr="001F60EB">
        <w:rPr>
          <w:rFonts w:ascii="Palatino Linotype" w:hAnsi="Palatino Linotype"/>
          <w:b/>
          <w:i/>
          <w:sz w:val="22"/>
          <w:szCs w:val="22"/>
          <w:u w:val="single"/>
        </w:rPr>
        <w:t>Riesgo Bajo Mitigable</w:t>
      </w:r>
      <w:r w:rsidRPr="001F60EB">
        <w:rPr>
          <w:rFonts w:ascii="Palatino Linotype" w:hAnsi="Palatino Linotype"/>
          <w:b/>
          <w:i/>
          <w:sz w:val="22"/>
          <w:szCs w:val="22"/>
        </w:rPr>
        <w:t xml:space="preserve"> </w:t>
      </w:r>
      <w:r w:rsidRPr="001F60EB">
        <w:rPr>
          <w:rFonts w:ascii="Palatino Linotype" w:hAnsi="Palatino Linotype"/>
          <w:i/>
          <w:sz w:val="22"/>
          <w:szCs w:val="22"/>
        </w:rPr>
        <w:t>frente a movimientos de remoción en masa. Esto debido a que no se observaron condiciones físicas en el terreno que representen amenaza, ni tampoco condiciones de exposición, para que ocurran movimientos en masa que puedan ocasionar daños o pérdidas.</w:t>
      </w:r>
    </w:p>
    <w:p w:rsidR="00DA18B1" w:rsidRPr="001F60EB" w:rsidRDefault="00DA18B1" w:rsidP="00DA18B1">
      <w:pPr>
        <w:pStyle w:val="Prrafodelista"/>
        <w:numPr>
          <w:ilvl w:val="0"/>
          <w:numId w:val="38"/>
        </w:numPr>
        <w:spacing w:after="120" w:line="276" w:lineRule="auto"/>
        <w:ind w:left="1417" w:hanging="284"/>
        <w:jc w:val="both"/>
        <w:rPr>
          <w:rFonts w:ascii="Palatino Linotype" w:hAnsi="Palatino Linotype"/>
          <w:i/>
          <w:sz w:val="22"/>
          <w:szCs w:val="22"/>
        </w:rPr>
      </w:pPr>
      <w:r w:rsidRPr="001F60EB">
        <w:rPr>
          <w:rFonts w:ascii="Palatino Linotype" w:hAnsi="Palatino Linotype"/>
          <w:b/>
          <w:i/>
          <w:sz w:val="22"/>
          <w:szCs w:val="22"/>
        </w:rPr>
        <w:t>Riesgo por eventos sísmicos:</w:t>
      </w:r>
      <w:r w:rsidRPr="001F60EB">
        <w:rPr>
          <w:rFonts w:ascii="Palatino Linotype" w:hAnsi="Palatino Linotype"/>
          <w:i/>
          <w:sz w:val="22"/>
          <w:szCs w:val="22"/>
        </w:rPr>
        <w:t xml:space="preserve"> de manera general, todo el </w:t>
      </w:r>
      <w:proofErr w:type="spellStart"/>
      <w:r w:rsidRPr="001F60EB">
        <w:rPr>
          <w:rFonts w:ascii="Palatino Linotype" w:hAnsi="Palatino Linotype"/>
          <w:i/>
          <w:sz w:val="22"/>
          <w:szCs w:val="22"/>
        </w:rPr>
        <w:t>AHHYC</w:t>
      </w:r>
      <w:proofErr w:type="spellEnd"/>
      <w:r w:rsidRPr="001F60EB">
        <w:rPr>
          <w:rFonts w:ascii="Palatino Linotype" w:hAnsi="Palatino Linotype"/>
          <w:i/>
          <w:sz w:val="22"/>
          <w:szCs w:val="22"/>
        </w:rPr>
        <w:t xml:space="preserve"> “Portal de San Juan” de la Parroquia Calderón presenta condiciones de </w:t>
      </w:r>
      <w:r w:rsidRPr="001F60EB">
        <w:rPr>
          <w:rFonts w:ascii="Palatino Linotype" w:hAnsi="Palatino Linotype"/>
          <w:i/>
          <w:sz w:val="22"/>
          <w:szCs w:val="22"/>
          <w:u w:val="single"/>
        </w:rPr>
        <w:t>Riesgo Alto Mitigable</w:t>
      </w:r>
      <w:r w:rsidRPr="001F60EB">
        <w:rPr>
          <w:rFonts w:ascii="Palatino Linotype" w:hAnsi="Palatino Linotype"/>
          <w:i/>
          <w:sz w:val="22"/>
          <w:szCs w:val="22"/>
        </w:rPr>
        <w:t>, debido a la vulnerabilidad de sus construcciones, el tipo de suelo y la cercanía a una fuente sísmica (falla geológica).</w:t>
      </w:r>
    </w:p>
    <w:p w:rsidR="00DA18B1" w:rsidRPr="001F60EB" w:rsidRDefault="00DA18B1" w:rsidP="00DA18B1">
      <w:pPr>
        <w:pStyle w:val="Prrafodelista"/>
        <w:numPr>
          <w:ilvl w:val="0"/>
          <w:numId w:val="38"/>
        </w:numPr>
        <w:spacing w:after="120" w:line="276" w:lineRule="auto"/>
        <w:ind w:left="1417" w:hanging="283"/>
        <w:jc w:val="both"/>
        <w:rPr>
          <w:rFonts w:ascii="Palatino Linotype" w:hAnsi="Palatino Linotype"/>
          <w:i/>
          <w:sz w:val="22"/>
          <w:szCs w:val="22"/>
        </w:rPr>
      </w:pPr>
      <w:r w:rsidRPr="001F60EB">
        <w:rPr>
          <w:rFonts w:ascii="Palatino Linotype" w:hAnsi="Palatino Linotype"/>
          <w:b/>
          <w:i/>
          <w:sz w:val="22"/>
          <w:szCs w:val="22"/>
        </w:rPr>
        <w:t>Riesgo por fenómenos volcánicos:</w:t>
      </w:r>
      <w:r w:rsidRPr="001F60EB">
        <w:rPr>
          <w:rFonts w:ascii="Palatino Linotype" w:hAnsi="Palatino Linotype"/>
          <w:i/>
          <w:sz w:val="22"/>
          <w:szCs w:val="22"/>
        </w:rPr>
        <w:t xml:space="preserve"> el principal fenómeno volcánico al que está expuesto el </w:t>
      </w:r>
      <w:proofErr w:type="spellStart"/>
      <w:r w:rsidRPr="001F60EB">
        <w:rPr>
          <w:rFonts w:ascii="Palatino Linotype" w:hAnsi="Palatino Linotype"/>
          <w:i/>
          <w:sz w:val="22"/>
          <w:szCs w:val="22"/>
        </w:rPr>
        <w:t>AHHYC</w:t>
      </w:r>
      <w:proofErr w:type="spellEnd"/>
      <w:r w:rsidRPr="001F60EB">
        <w:rPr>
          <w:rFonts w:ascii="Palatino Linotype" w:hAnsi="Palatino Linotype"/>
          <w:i/>
          <w:sz w:val="22"/>
          <w:szCs w:val="22"/>
        </w:rPr>
        <w:t xml:space="preserve"> “Portal de San Juan” de la Parroquia Calderón, así como la región norte del </w:t>
      </w:r>
      <w:proofErr w:type="spellStart"/>
      <w:r w:rsidRPr="001F60EB">
        <w:rPr>
          <w:rFonts w:ascii="Palatino Linotype" w:hAnsi="Palatino Linotype"/>
          <w:i/>
          <w:sz w:val="22"/>
          <w:szCs w:val="22"/>
        </w:rPr>
        <w:t>DMQ</w:t>
      </w:r>
      <w:proofErr w:type="spellEnd"/>
      <w:r w:rsidRPr="001F60EB">
        <w:rPr>
          <w:rFonts w:ascii="Palatino Linotype" w:hAnsi="Palatino Linotype"/>
          <w:i/>
          <w:sz w:val="22"/>
          <w:szCs w:val="22"/>
        </w:rPr>
        <w:t xml:space="preserve">, es la potencial caída </w:t>
      </w:r>
      <w:proofErr w:type="spellStart"/>
      <w:r w:rsidRPr="001F60EB">
        <w:rPr>
          <w:rFonts w:ascii="Palatino Linotype" w:hAnsi="Palatino Linotype"/>
          <w:i/>
          <w:sz w:val="22"/>
          <w:szCs w:val="22"/>
        </w:rPr>
        <w:t>piroclastos</w:t>
      </w:r>
      <w:proofErr w:type="spellEnd"/>
      <w:r w:rsidRPr="001F60EB">
        <w:rPr>
          <w:rFonts w:ascii="Palatino Linotype" w:hAnsi="Palatino Linotype"/>
          <w:i/>
          <w:sz w:val="22"/>
          <w:szCs w:val="22"/>
        </w:rPr>
        <w:t xml:space="preserve"> (material sólido de tamaño ceniza y/o lapilli) de los volcanes Guagua Pichincha, Cotopaxi, Reventador y </w:t>
      </w:r>
      <w:proofErr w:type="spellStart"/>
      <w:r w:rsidRPr="001F60EB">
        <w:rPr>
          <w:rFonts w:ascii="Palatino Linotype" w:hAnsi="Palatino Linotype"/>
          <w:i/>
          <w:sz w:val="22"/>
          <w:szCs w:val="22"/>
        </w:rPr>
        <w:t>Pululahua</w:t>
      </w:r>
      <w:proofErr w:type="spellEnd"/>
      <w:r w:rsidRPr="001F60EB">
        <w:rPr>
          <w:rFonts w:ascii="Palatino Linotype" w:hAnsi="Palatino Linotype"/>
          <w:i/>
          <w:sz w:val="22"/>
          <w:szCs w:val="22"/>
        </w:rPr>
        <w:t xml:space="preserve">; ante esta amenaza se presenta un </w:t>
      </w:r>
      <w:r w:rsidRPr="001F60EB">
        <w:rPr>
          <w:rFonts w:ascii="Palatino Linotype" w:hAnsi="Palatino Linotype"/>
          <w:i/>
          <w:sz w:val="22"/>
          <w:szCs w:val="22"/>
          <w:u w:val="single"/>
        </w:rPr>
        <w:t>Riesgo Moderado Mitigable</w:t>
      </w:r>
      <w:r w:rsidRPr="001F60EB">
        <w:rPr>
          <w:rFonts w:ascii="Palatino Linotype" w:hAnsi="Palatino Linotype"/>
          <w:i/>
          <w:sz w:val="22"/>
          <w:szCs w:val="22"/>
        </w:rPr>
        <w:t>.</w:t>
      </w:r>
    </w:p>
    <w:p w:rsidR="00DA18B1" w:rsidRPr="001F60EB" w:rsidRDefault="00DA18B1" w:rsidP="00DA18B1">
      <w:pPr>
        <w:spacing w:after="120" w:line="276" w:lineRule="auto"/>
        <w:ind w:left="1134"/>
        <w:jc w:val="both"/>
        <w:rPr>
          <w:rFonts w:ascii="Palatino Linotype" w:hAnsi="Palatino Linotype"/>
          <w:i/>
          <w:sz w:val="22"/>
          <w:szCs w:val="22"/>
        </w:rPr>
      </w:pPr>
      <w:r w:rsidRPr="001F60EB">
        <w:rPr>
          <w:rFonts w:ascii="Palatino Linotype" w:hAnsi="Palatino Linotype"/>
          <w:i/>
          <w:sz w:val="22"/>
          <w:szCs w:val="22"/>
        </w:rPr>
        <w:t xml:space="preserve">Por lo tanto, la </w:t>
      </w:r>
      <w:proofErr w:type="spellStart"/>
      <w:r w:rsidRPr="001F60EB">
        <w:rPr>
          <w:rFonts w:ascii="Palatino Linotype" w:hAnsi="Palatino Linotype"/>
          <w:i/>
          <w:sz w:val="22"/>
          <w:szCs w:val="22"/>
        </w:rPr>
        <w:t>DMGR</w:t>
      </w:r>
      <w:proofErr w:type="spellEnd"/>
      <w:r w:rsidRPr="001F60EB">
        <w:rPr>
          <w:rFonts w:ascii="Palatino Linotype" w:hAnsi="Palatino Linotype"/>
          <w:i/>
          <w:sz w:val="22"/>
          <w:szCs w:val="22"/>
        </w:rPr>
        <w:t xml:space="preserve"> sugiere que se puede continuar con el proceso de regularización del </w:t>
      </w:r>
      <w:proofErr w:type="spellStart"/>
      <w:r w:rsidRPr="001F60EB">
        <w:rPr>
          <w:rFonts w:ascii="Palatino Linotype" w:hAnsi="Palatino Linotype"/>
          <w:i/>
          <w:sz w:val="22"/>
          <w:szCs w:val="22"/>
        </w:rPr>
        <w:t>AHHYC</w:t>
      </w:r>
      <w:proofErr w:type="spellEnd"/>
      <w:r w:rsidRPr="001F60EB">
        <w:rPr>
          <w:rFonts w:ascii="Palatino Linotype" w:hAnsi="Palatino Linotype"/>
          <w:i/>
          <w:sz w:val="22"/>
          <w:szCs w:val="22"/>
        </w:rPr>
        <w:t xml:space="preserve"> “Portal de San Juan” de la Parroquia Calderón, para lo cual, una vez concluido dicho proceso, sus habitantes deberán cumplir las</w:t>
      </w:r>
      <w:r w:rsidRPr="001F60EB">
        <w:rPr>
          <w:rFonts w:ascii="Palatino Linotype" w:hAnsi="Palatino Linotype"/>
          <w:bCs/>
          <w:i/>
          <w:sz w:val="22"/>
          <w:szCs w:val="22"/>
        </w:rPr>
        <w:t xml:space="preserve"> recomendaciones que se describen en este informe, lo cual contribuirá a reducir el riesgo identificado en la zona en análisis.  </w:t>
      </w:r>
      <w:r w:rsidRPr="001F60EB">
        <w:rPr>
          <w:rFonts w:ascii="Palatino Linotype" w:hAnsi="Palatino Linotype"/>
          <w:i/>
          <w:sz w:val="22"/>
          <w:szCs w:val="22"/>
        </w:rPr>
        <w:softHyphen/>
      </w:r>
    </w:p>
    <w:p w:rsidR="00DA18B1" w:rsidRPr="001F60EB" w:rsidRDefault="00DA18B1" w:rsidP="00DA18B1">
      <w:pPr>
        <w:spacing w:after="120" w:line="276" w:lineRule="auto"/>
        <w:ind w:left="1139"/>
        <w:jc w:val="both"/>
        <w:rPr>
          <w:rFonts w:ascii="Palatino Linotype" w:hAnsi="Palatino Linotype"/>
          <w:b/>
          <w:i/>
          <w:sz w:val="22"/>
          <w:szCs w:val="22"/>
          <w:u w:val="single"/>
        </w:rPr>
      </w:pPr>
      <w:r w:rsidRPr="001F60EB">
        <w:rPr>
          <w:rFonts w:ascii="Palatino Linotype" w:hAnsi="Palatino Linotype"/>
          <w:i/>
          <w:sz w:val="22"/>
          <w:szCs w:val="22"/>
          <w:highlight w:val="yellow"/>
        </w:rPr>
        <w:softHyphen/>
      </w:r>
      <w:r w:rsidRPr="001F60EB">
        <w:rPr>
          <w:rFonts w:ascii="Palatino Linotype" w:hAnsi="Palatino Linotype"/>
          <w:b/>
          <w:i/>
          <w:sz w:val="22"/>
          <w:szCs w:val="22"/>
          <w:u w:val="single"/>
        </w:rPr>
        <w:t>NOTA ACLARATORIA</w:t>
      </w:r>
    </w:p>
    <w:p w:rsidR="00DA18B1" w:rsidRPr="001F60EB" w:rsidRDefault="00DA18B1" w:rsidP="00DA18B1">
      <w:pPr>
        <w:spacing w:after="120" w:line="276" w:lineRule="auto"/>
        <w:ind w:left="1134"/>
        <w:jc w:val="both"/>
        <w:rPr>
          <w:rFonts w:ascii="Palatino Linotype" w:hAnsi="Palatino Linotype"/>
          <w:bCs/>
          <w:i/>
          <w:sz w:val="22"/>
          <w:szCs w:val="22"/>
          <w:highlight w:val="yellow"/>
        </w:rPr>
      </w:pPr>
      <w:r w:rsidRPr="001F60EB">
        <w:rPr>
          <w:rFonts w:ascii="Palatino Linotype" w:hAnsi="Palatino Linotype"/>
          <w:bCs/>
          <w:i/>
          <w:sz w:val="22"/>
          <w:szCs w:val="22"/>
        </w:rPr>
        <w:t>El Riesgo identificado es considerado “Mitigable” cuando es factible técnica, económica, social y políticamente intervenir el territorio mediante la implementación de medidas estructurales y/o no estructurales que permitan reducir las condiciones de exposición, vulnerabilidad y el potencial impacto esperado en caso que dicho riesgo se materialice, dentro de márgenes razonables y aceptables de seguridad.</w:t>
      </w:r>
      <w:r w:rsidRPr="001F60EB">
        <w:rPr>
          <w:rFonts w:ascii="Palatino Linotype" w:hAnsi="Palatino Linotype"/>
          <w:bCs/>
          <w:i/>
          <w:sz w:val="22"/>
          <w:szCs w:val="22"/>
          <w:highlight w:val="yellow"/>
        </w:rPr>
        <w:t xml:space="preserve"> </w:t>
      </w:r>
    </w:p>
    <w:p w:rsidR="00DA18B1" w:rsidRPr="001F60EB" w:rsidRDefault="00DA18B1" w:rsidP="00DA18B1">
      <w:pPr>
        <w:spacing w:after="120" w:line="276" w:lineRule="auto"/>
        <w:ind w:left="1134"/>
        <w:jc w:val="both"/>
        <w:rPr>
          <w:rFonts w:ascii="Palatino Linotype" w:hAnsi="Palatino Linotype"/>
          <w:bCs/>
          <w:i/>
          <w:sz w:val="22"/>
          <w:szCs w:val="22"/>
        </w:rPr>
      </w:pPr>
      <w:r w:rsidRPr="001F60EB">
        <w:rPr>
          <w:rFonts w:ascii="Palatino Linotype" w:hAnsi="Palatino Linotype"/>
          <w:b/>
          <w:bCs/>
          <w:i/>
          <w:sz w:val="22"/>
          <w:szCs w:val="22"/>
        </w:rPr>
        <w:t>Medidas Estructurales:</w:t>
      </w:r>
      <w:r w:rsidRPr="001F60EB">
        <w:rPr>
          <w:rFonts w:ascii="Palatino Linotype" w:hAnsi="Palatino Linotype"/>
          <w:bCs/>
          <w:i/>
          <w:sz w:val="22"/>
          <w:szCs w:val="22"/>
        </w:rPr>
        <w:t xml:space="preserve"> Acciones de ingeniería para reducir impactos de las amenazas como:</w:t>
      </w:r>
    </w:p>
    <w:p w:rsidR="00DA18B1" w:rsidRPr="001F60EB" w:rsidRDefault="00DA18B1" w:rsidP="00DA18B1">
      <w:pPr>
        <w:pStyle w:val="Prrafodelista"/>
        <w:numPr>
          <w:ilvl w:val="0"/>
          <w:numId w:val="39"/>
        </w:numPr>
        <w:spacing w:after="120" w:line="276" w:lineRule="auto"/>
        <w:ind w:left="1995"/>
        <w:jc w:val="both"/>
        <w:rPr>
          <w:rFonts w:ascii="Palatino Linotype" w:hAnsi="Palatino Linotype"/>
          <w:bCs/>
          <w:i/>
          <w:sz w:val="22"/>
          <w:szCs w:val="22"/>
        </w:rPr>
      </w:pPr>
      <w:r w:rsidRPr="001F60EB">
        <w:rPr>
          <w:rFonts w:ascii="Palatino Linotype" w:hAnsi="Palatino Linotype"/>
          <w:bCs/>
          <w:i/>
          <w:sz w:val="22"/>
          <w:szCs w:val="22"/>
        </w:rPr>
        <w:t>Protección y control: Intervención directa de la amenaza (Diques, muros de contención, canalización de aguas.)</w:t>
      </w:r>
    </w:p>
    <w:p w:rsidR="00DA18B1" w:rsidRPr="001F60EB" w:rsidRDefault="00DA18B1" w:rsidP="00DA18B1">
      <w:pPr>
        <w:pStyle w:val="Prrafodelista"/>
        <w:numPr>
          <w:ilvl w:val="0"/>
          <w:numId w:val="39"/>
        </w:numPr>
        <w:spacing w:after="120" w:line="276" w:lineRule="auto"/>
        <w:ind w:left="1995"/>
        <w:jc w:val="both"/>
        <w:rPr>
          <w:rFonts w:ascii="Palatino Linotype" w:hAnsi="Palatino Linotype"/>
          <w:bCs/>
          <w:i/>
          <w:sz w:val="22"/>
          <w:szCs w:val="22"/>
        </w:rPr>
      </w:pPr>
      <w:r w:rsidRPr="001F60EB">
        <w:rPr>
          <w:rFonts w:ascii="Palatino Linotype" w:hAnsi="Palatino Linotype"/>
          <w:bCs/>
          <w:i/>
          <w:sz w:val="22"/>
          <w:szCs w:val="22"/>
        </w:rPr>
        <w:lastRenderedPageBreak/>
        <w:t>Modificar las condiciones de vulnerabilidad física de los elementos expuestos (refuerzo de infraestructura de líneas vitales, códigos de construcción, reubicación de viviendas.)</w:t>
      </w:r>
    </w:p>
    <w:p w:rsidR="00DA18B1" w:rsidRPr="001F60EB" w:rsidRDefault="00DA18B1" w:rsidP="00DA18B1">
      <w:pPr>
        <w:spacing w:after="120" w:line="276" w:lineRule="auto"/>
        <w:ind w:left="1134"/>
        <w:jc w:val="both"/>
        <w:rPr>
          <w:rFonts w:ascii="Palatino Linotype" w:hAnsi="Palatino Linotype"/>
          <w:bCs/>
          <w:i/>
          <w:sz w:val="22"/>
          <w:szCs w:val="22"/>
        </w:rPr>
      </w:pPr>
      <w:r w:rsidRPr="001F60EB">
        <w:rPr>
          <w:rFonts w:ascii="Palatino Linotype" w:hAnsi="Palatino Linotype"/>
          <w:b/>
          <w:bCs/>
          <w:i/>
          <w:sz w:val="22"/>
          <w:szCs w:val="22"/>
        </w:rPr>
        <w:t>Medidas No estructurales:</w:t>
      </w:r>
      <w:r w:rsidRPr="001F60EB">
        <w:rPr>
          <w:rFonts w:ascii="Palatino Linotype" w:hAnsi="Palatino Linotype"/>
          <w:bCs/>
          <w:i/>
          <w:sz w:val="22"/>
          <w:szCs w:val="22"/>
        </w:rPr>
        <w:t xml:space="preserve"> Desarrollo del conocimiento, políticas, leyes  y mecanismos participativos.</w:t>
      </w:r>
    </w:p>
    <w:p w:rsidR="00DA18B1" w:rsidRPr="001F60EB" w:rsidRDefault="00DA18B1" w:rsidP="00DA18B1">
      <w:pPr>
        <w:pStyle w:val="Prrafodelista"/>
        <w:numPr>
          <w:ilvl w:val="0"/>
          <w:numId w:val="39"/>
        </w:numPr>
        <w:spacing w:after="120" w:line="276" w:lineRule="auto"/>
        <w:ind w:left="1995"/>
        <w:jc w:val="both"/>
        <w:rPr>
          <w:rFonts w:ascii="Palatino Linotype" w:hAnsi="Palatino Linotype"/>
          <w:bCs/>
          <w:i/>
          <w:sz w:val="22"/>
          <w:szCs w:val="22"/>
        </w:rPr>
      </w:pPr>
      <w:r w:rsidRPr="001F60EB">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DA18B1" w:rsidRPr="001F60EB" w:rsidRDefault="00DA18B1" w:rsidP="00DA18B1">
      <w:pPr>
        <w:pStyle w:val="Prrafodelista"/>
        <w:numPr>
          <w:ilvl w:val="0"/>
          <w:numId w:val="39"/>
        </w:numPr>
        <w:spacing w:after="120" w:line="276" w:lineRule="auto"/>
        <w:ind w:left="1989" w:hanging="357"/>
        <w:jc w:val="both"/>
        <w:rPr>
          <w:rFonts w:ascii="Palatino Linotype" w:hAnsi="Palatino Linotype"/>
          <w:bCs/>
          <w:i/>
          <w:sz w:val="22"/>
          <w:szCs w:val="22"/>
        </w:rPr>
      </w:pPr>
      <w:r w:rsidRPr="001F60EB">
        <w:rPr>
          <w:rFonts w:ascii="Palatino Linotype" w:hAnsi="Palatino Linotype"/>
          <w:bCs/>
          <w:i/>
          <w:sz w:val="22"/>
          <w:szCs w:val="22"/>
        </w:rPr>
        <w:t>Acciones Pasivas: Relacionadas con legislación y planificación (normas de construcción, uso del suelo y ordenamiento territorial, etc.)</w:t>
      </w:r>
    </w:p>
    <w:p w:rsidR="00DA18B1" w:rsidRPr="001F60EB" w:rsidRDefault="00DA18B1" w:rsidP="00DA18B1">
      <w:pPr>
        <w:spacing w:after="120" w:line="276" w:lineRule="auto"/>
        <w:ind w:left="708"/>
        <w:contextualSpacing/>
        <w:jc w:val="both"/>
        <w:rPr>
          <w:rFonts w:ascii="Palatino Linotype" w:hAnsi="Palatino Linotype"/>
          <w:b/>
          <w:bCs/>
          <w:i/>
          <w:sz w:val="22"/>
          <w:szCs w:val="22"/>
        </w:rPr>
      </w:pPr>
      <w:r w:rsidRPr="001F60EB">
        <w:rPr>
          <w:rFonts w:ascii="Palatino Linotype" w:hAnsi="Palatino Linotype"/>
          <w:b/>
          <w:bCs/>
          <w:i/>
          <w:sz w:val="22"/>
          <w:szCs w:val="22"/>
        </w:rPr>
        <w:t>7 RECOMENDACIONES</w:t>
      </w:r>
    </w:p>
    <w:p w:rsidR="00DA18B1" w:rsidRPr="001F60EB" w:rsidRDefault="00DA18B1" w:rsidP="00DA18B1">
      <w:pPr>
        <w:spacing w:after="120" w:line="276" w:lineRule="auto"/>
        <w:ind w:left="708"/>
        <w:jc w:val="both"/>
        <w:rPr>
          <w:rFonts w:ascii="Palatino Linotype" w:hAnsi="Palatino Linotype"/>
          <w:b/>
          <w:bCs/>
          <w:i/>
          <w:sz w:val="22"/>
          <w:szCs w:val="22"/>
        </w:rPr>
      </w:pPr>
      <w:r w:rsidRPr="001F60EB">
        <w:rPr>
          <w:rFonts w:ascii="Palatino Linotype" w:hAnsi="Palatino Linotype"/>
          <w:b/>
          <w:bCs/>
          <w:i/>
          <w:sz w:val="22"/>
          <w:szCs w:val="22"/>
        </w:rPr>
        <w:t>Para el riesgo por movimientos en masa:</w:t>
      </w:r>
    </w:p>
    <w:p w:rsidR="00DA18B1" w:rsidRPr="001F60EB" w:rsidRDefault="00DA18B1" w:rsidP="00DA18B1">
      <w:pPr>
        <w:pStyle w:val="Prrafodelista"/>
        <w:numPr>
          <w:ilvl w:val="0"/>
          <w:numId w:val="40"/>
        </w:numPr>
        <w:spacing w:after="120" w:line="276" w:lineRule="auto"/>
        <w:ind w:left="1044" w:hanging="357"/>
        <w:jc w:val="both"/>
        <w:rPr>
          <w:rFonts w:ascii="Palatino Linotype" w:hAnsi="Palatino Linotype"/>
          <w:i/>
          <w:color w:val="000000"/>
          <w:sz w:val="22"/>
          <w:szCs w:val="22"/>
        </w:rPr>
      </w:pPr>
      <w:r w:rsidRPr="001F60EB">
        <w:rPr>
          <w:rFonts w:ascii="Palatino Linotype" w:hAnsi="Palatino Linotype"/>
          <w:bCs/>
          <w:i/>
          <w:sz w:val="22"/>
          <w:szCs w:val="22"/>
        </w:rPr>
        <w:t xml:space="preserve">Se recomienda al </w:t>
      </w:r>
      <w:proofErr w:type="spellStart"/>
      <w:r w:rsidRPr="001F60EB">
        <w:rPr>
          <w:rFonts w:ascii="Palatino Linotype" w:hAnsi="Palatino Linotype"/>
          <w:bCs/>
          <w:i/>
          <w:sz w:val="22"/>
          <w:szCs w:val="22"/>
        </w:rPr>
        <w:t>AHHYC</w:t>
      </w:r>
      <w:proofErr w:type="spellEnd"/>
      <w:r w:rsidRPr="001F60EB">
        <w:rPr>
          <w:rFonts w:ascii="Palatino Linotype" w:hAnsi="Palatino Linotype"/>
          <w:bCs/>
          <w:i/>
          <w:sz w:val="22"/>
          <w:szCs w:val="22"/>
        </w:rPr>
        <w:t xml:space="preserve"> </w:t>
      </w:r>
      <w:r w:rsidRPr="001F60EB">
        <w:rPr>
          <w:rFonts w:ascii="Palatino Linotype" w:hAnsi="Palatino Linotype"/>
          <w:i/>
          <w:sz w:val="22"/>
          <w:szCs w:val="22"/>
        </w:rPr>
        <w:t>“Portal de San Juan”</w:t>
      </w:r>
      <w:r w:rsidRPr="001F60EB">
        <w:rPr>
          <w:rFonts w:ascii="Palatino Linotype" w:hAnsi="Palatino Linotype"/>
          <w:bCs/>
          <w:i/>
          <w:sz w:val="22"/>
          <w:szCs w:val="22"/>
        </w:rPr>
        <w:t xml:space="preserve"> que para disminuir los efectos negativos de la escorrentía pluvial se implemente sistemas de conducción de agua lluvia (cunetas, zanjas) en las calles de tierra afirmada mediante mingas comunitarias con la respectiva autorización y coordinación de la Administración Zonal Calderón conjuntamente con barrios. Esta medida coadyuvará a prevenir la erosión del suelo y arrastre de material que pueda afectar a viviendas y asentamientos humanos ubicados en cotas inferiores. </w:t>
      </w:r>
    </w:p>
    <w:p w:rsidR="00DA18B1" w:rsidRPr="001F60EB" w:rsidRDefault="00DA18B1" w:rsidP="00DA18B1">
      <w:pPr>
        <w:spacing w:after="120" w:line="276" w:lineRule="auto"/>
        <w:ind w:left="708"/>
        <w:jc w:val="both"/>
        <w:rPr>
          <w:rFonts w:ascii="Palatino Linotype" w:hAnsi="Palatino Linotype"/>
          <w:b/>
          <w:bCs/>
          <w:i/>
          <w:sz w:val="22"/>
          <w:szCs w:val="22"/>
        </w:rPr>
      </w:pPr>
      <w:r w:rsidRPr="001F60EB">
        <w:rPr>
          <w:rFonts w:ascii="Palatino Linotype" w:hAnsi="Palatino Linotype"/>
          <w:b/>
          <w:bCs/>
          <w:i/>
          <w:sz w:val="22"/>
          <w:szCs w:val="22"/>
        </w:rPr>
        <w:t>Para el riesgo sísmico:</w:t>
      </w:r>
    </w:p>
    <w:p w:rsidR="00DA18B1" w:rsidRPr="001F60EB" w:rsidRDefault="00DA18B1" w:rsidP="00DA18B1">
      <w:pPr>
        <w:pStyle w:val="Prrafodelista"/>
        <w:numPr>
          <w:ilvl w:val="0"/>
          <w:numId w:val="40"/>
        </w:numPr>
        <w:spacing w:after="120" w:line="276" w:lineRule="auto"/>
        <w:ind w:left="1044" w:hanging="357"/>
        <w:jc w:val="both"/>
        <w:rPr>
          <w:rFonts w:ascii="Palatino Linotype" w:hAnsi="Palatino Linotype"/>
          <w:bCs/>
          <w:i/>
          <w:sz w:val="22"/>
          <w:szCs w:val="22"/>
        </w:rPr>
      </w:pPr>
      <w:r w:rsidRPr="001F60EB">
        <w:rPr>
          <w:rFonts w:ascii="Palatino Linotype" w:hAnsi="Palatino Linotype"/>
          <w:bCs/>
          <w:i/>
          <w:sz w:val="22"/>
          <w:szCs w:val="22"/>
        </w:rPr>
        <w:t xml:space="preserve">Se recomienda que los propietarios y/o posesionarios actuales no construyan más viviendas en el </w:t>
      </w:r>
      <w:proofErr w:type="spellStart"/>
      <w:r w:rsidRPr="001F60EB">
        <w:rPr>
          <w:rFonts w:ascii="Palatino Linotype" w:hAnsi="Palatino Linotype"/>
          <w:bCs/>
          <w:i/>
          <w:sz w:val="22"/>
          <w:szCs w:val="22"/>
        </w:rPr>
        <w:t>macrolote</w:t>
      </w:r>
      <w:proofErr w:type="spellEnd"/>
      <w:r w:rsidRPr="001F60EB">
        <w:rPr>
          <w:rFonts w:ascii="Palatino Linotype" w:hAnsi="Palatino Linotype"/>
          <w:bCs/>
          <w:i/>
          <w:sz w:val="22"/>
          <w:szCs w:val="22"/>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w:t>
      </w:r>
      <w:proofErr w:type="spellStart"/>
      <w:r w:rsidRPr="001F60EB">
        <w:rPr>
          <w:rFonts w:ascii="Palatino Linotype" w:hAnsi="Palatino Linotype"/>
          <w:bCs/>
          <w:i/>
          <w:sz w:val="22"/>
          <w:szCs w:val="22"/>
        </w:rPr>
        <w:t>AHHYC</w:t>
      </w:r>
      <w:proofErr w:type="spellEnd"/>
      <w:r w:rsidRPr="001F60EB">
        <w:rPr>
          <w:rFonts w:ascii="Palatino Linotype" w:hAnsi="Palatino Linotype"/>
          <w:bCs/>
          <w:i/>
          <w:sz w:val="22"/>
          <w:szCs w:val="22"/>
        </w:rPr>
        <w:t xml:space="preserve"> </w:t>
      </w:r>
      <w:r w:rsidRPr="001F60EB">
        <w:rPr>
          <w:rFonts w:ascii="Palatino Linotype" w:hAnsi="Palatino Linotype"/>
          <w:i/>
          <w:sz w:val="22"/>
          <w:szCs w:val="22"/>
        </w:rPr>
        <w:t>“Portal de San Juan”</w:t>
      </w:r>
      <w:r w:rsidRPr="001F60EB">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DA18B1" w:rsidRPr="001F60EB" w:rsidRDefault="00DA18B1" w:rsidP="00DA18B1">
      <w:pPr>
        <w:pStyle w:val="Prrafodelista"/>
        <w:numPr>
          <w:ilvl w:val="0"/>
          <w:numId w:val="40"/>
        </w:numPr>
        <w:spacing w:after="120" w:line="276" w:lineRule="auto"/>
        <w:ind w:left="1044" w:hanging="357"/>
        <w:jc w:val="both"/>
        <w:rPr>
          <w:rFonts w:ascii="Palatino Linotype" w:hAnsi="Palatino Linotype"/>
          <w:i/>
          <w:color w:val="000000"/>
          <w:sz w:val="22"/>
          <w:szCs w:val="22"/>
        </w:rPr>
      </w:pPr>
      <w:r w:rsidRPr="001F60EB">
        <w:rPr>
          <w:rFonts w:ascii="Palatino Linotype" w:hAnsi="Palatino Linotype"/>
          <w:bCs/>
          <w:i/>
          <w:sz w:val="22"/>
          <w:szCs w:val="22"/>
        </w:rPr>
        <w:t xml:space="preserve">Posterior a la regularización del </w:t>
      </w:r>
      <w:proofErr w:type="spellStart"/>
      <w:r w:rsidRPr="001F60EB">
        <w:rPr>
          <w:rFonts w:ascii="Palatino Linotype" w:hAnsi="Palatino Linotype"/>
          <w:bCs/>
          <w:i/>
          <w:sz w:val="22"/>
          <w:szCs w:val="22"/>
        </w:rPr>
        <w:t>AHHYC</w:t>
      </w:r>
      <w:proofErr w:type="spellEnd"/>
      <w:r w:rsidRPr="001F60EB">
        <w:rPr>
          <w:rFonts w:ascii="Palatino Linotype" w:hAnsi="Palatino Linotype"/>
          <w:bCs/>
          <w:i/>
          <w:sz w:val="22"/>
          <w:szCs w:val="22"/>
        </w:rPr>
        <w:t xml:space="preserve"> </w:t>
      </w:r>
      <w:r w:rsidRPr="001F60EB">
        <w:rPr>
          <w:rFonts w:ascii="Palatino Linotype" w:hAnsi="Palatino Linotype"/>
          <w:i/>
          <w:sz w:val="22"/>
          <w:szCs w:val="22"/>
        </w:rPr>
        <w:t>“Portal de San Juan”</w:t>
      </w:r>
      <w:r w:rsidRPr="001F60EB">
        <w:rPr>
          <w:rFonts w:ascii="Palatino Linotype" w:hAnsi="Palatino Linotype"/>
          <w:bCs/>
          <w:i/>
          <w:sz w:val="22"/>
          <w:szCs w:val="22"/>
        </w:rPr>
        <w:t xml:space="preserve">, las </w:t>
      </w:r>
      <w:r w:rsidRPr="001F60EB">
        <w:rPr>
          <w:rFonts w:ascii="Palatino Linotype" w:hAnsi="Palatino Linotype"/>
          <w:i/>
          <w:sz w:val="22"/>
          <w:szCs w:val="22"/>
        </w:rPr>
        <w:t xml:space="preserve">edificaciones en proceso de construcción, aumento en planta o elevación y demás edificaciones dentro del área en análisis, que no </w:t>
      </w:r>
      <w:r w:rsidRPr="001F60EB">
        <w:rPr>
          <w:rFonts w:ascii="Palatino Linotype" w:hAnsi="Palatino Linotype"/>
          <w:bCs/>
          <w:i/>
          <w:sz w:val="22"/>
          <w:szCs w:val="22"/>
        </w:rPr>
        <w:t>dispongan</w:t>
      </w:r>
      <w:r w:rsidRPr="001F60EB">
        <w:rPr>
          <w:rFonts w:ascii="Palatino Linotype" w:hAnsi="Palatino Linotype"/>
          <w:i/>
          <w:sz w:val="22"/>
          <w:szCs w:val="22"/>
        </w:rPr>
        <w:t xml:space="preserve"> de un diseño estructural o algún tipo de asesoría técnica, los propietarios deberán </w:t>
      </w:r>
      <w:r w:rsidRPr="001F60EB">
        <w:rPr>
          <w:rFonts w:ascii="Palatino Linotype" w:hAnsi="Palatino Linotype"/>
          <w:bCs/>
          <w:i/>
          <w:sz w:val="22"/>
          <w:szCs w:val="22"/>
        </w:rPr>
        <w:t>contratar a un especialista (</w:t>
      </w:r>
      <w:r w:rsidRPr="001F60EB">
        <w:rPr>
          <w:rFonts w:ascii="Palatino Linotype" w:hAnsi="Palatino Linotype"/>
          <w:i/>
          <w:sz w:val="22"/>
          <w:szCs w:val="22"/>
        </w:rPr>
        <w:t xml:space="preserve">Ingeniero/a Civil), para que realice </w:t>
      </w:r>
      <w:r w:rsidRPr="001F60EB">
        <w:rPr>
          <w:rFonts w:ascii="Palatino Linotype" w:hAnsi="Palatino Linotype"/>
          <w:i/>
          <w:sz w:val="22"/>
          <w:szCs w:val="22"/>
        </w:rPr>
        <w:lastRenderedPageBreak/>
        <w:t xml:space="preserve">evaluaciones estructurales de las viviendas y </w:t>
      </w:r>
      <w:r w:rsidRPr="001F60EB">
        <w:rPr>
          <w:rFonts w:ascii="Palatino Linotype" w:hAnsi="Palatino Linotype"/>
          <w:bCs/>
          <w:i/>
          <w:sz w:val="22"/>
          <w:szCs w:val="22"/>
        </w:rPr>
        <w:t xml:space="preserve">proponga alternativas de reparación y/o reforzamiento estructural en caso de ameritarlo. </w:t>
      </w:r>
    </w:p>
    <w:p w:rsidR="00DA18B1" w:rsidRPr="001F60EB" w:rsidRDefault="00DA18B1" w:rsidP="00DA18B1">
      <w:pPr>
        <w:pStyle w:val="Prrafodelista"/>
        <w:numPr>
          <w:ilvl w:val="0"/>
          <w:numId w:val="40"/>
        </w:numPr>
        <w:spacing w:after="120" w:line="276" w:lineRule="auto"/>
        <w:ind w:left="1044" w:hanging="357"/>
        <w:jc w:val="both"/>
        <w:rPr>
          <w:rFonts w:ascii="Palatino Linotype" w:hAnsi="Palatino Linotype"/>
          <w:i/>
          <w:color w:val="000000"/>
          <w:sz w:val="22"/>
          <w:szCs w:val="22"/>
        </w:rPr>
      </w:pPr>
      <w:r w:rsidRPr="001F60EB">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DA18B1" w:rsidRPr="001F60EB" w:rsidRDefault="00DA18B1" w:rsidP="00DA18B1">
      <w:pPr>
        <w:spacing w:after="120" w:line="276" w:lineRule="auto"/>
        <w:ind w:left="708"/>
        <w:jc w:val="both"/>
        <w:rPr>
          <w:rFonts w:ascii="Palatino Linotype" w:hAnsi="Palatino Linotype"/>
          <w:b/>
          <w:bCs/>
          <w:i/>
          <w:sz w:val="22"/>
          <w:szCs w:val="22"/>
        </w:rPr>
      </w:pPr>
      <w:r w:rsidRPr="001F60EB">
        <w:rPr>
          <w:rFonts w:ascii="Palatino Linotype" w:hAnsi="Palatino Linotype"/>
          <w:b/>
          <w:bCs/>
          <w:i/>
          <w:sz w:val="22"/>
          <w:szCs w:val="22"/>
        </w:rPr>
        <w:t>Para el riesgo Volcánico (caída de ceniza):</w:t>
      </w:r>
    </w:p>
    <w:p w:rsidR="00DA18B1" w:rsidRPr="001F60EB" w:rsidRDefault="00DA18B1" w:rsidP="00DA18B1">
      <w:pPr>
        <w:pStyle w:val="Prrafodelista"/>
        <w:numPr>
          <w:ilvl w:val="0"/>
          <w:numId w:val="40"/>
        </w:numPr>
        <w:spacing w:after="120" w:line="276" w:lineRule="auto"/>
        <w:ind w:left="1044" w:hanging="357"/>
        <w:jc w:val="both"/>
        <w:rPr>
          <w:rFonts w:ascii="Palatino Linotype" w:hAnsi="Palatino Linotype"/>
          <w:b/>
          <w:bCs/>
          <w:i/>
          <w:sz w:val="22"/>
          <w:szCs w:val="22"/>
        </w:rPr>
      </w:pPr>
      <w:r w:rsidRPr="001F60EB">
        <w:rPr>
          <w:rFonts w:ascii="Palatino Linotype" w:hAnsi="Palatino Linotype"/>
          <w:bCs/>
          <w:i/>
          <w:sz w:val="22"/>
          <w:szCs w:val="22"/>
        </w:rPr>
        <w:t xml:space="preserve">Las afectaciones que podría ocasionar la caída de </w:t>
      </w:r>
      <w:proofErr w:type="spellStart"/>
      <w:r w:rsidRPr="001F60EB">
        <w:rPr>
          <w:rFonts w:ascii="Palatino Linotype" w:hAnsi="Palatino Linotype"/>
          <w:bCs/>
          <w:i/>
          <w:sz w:val="22"/>
          <w:szCs w:val="22"/>
        </w:rPr>
        <w:t>piroclastos</w:t>
      </w:r>
      <w:proofErr w:type="spellEnd"/>
      <w:r w:rsidRPr="001F60EB">
        <w:rPr>
          <w:rFonts w:ascii="Palatino Linotype" w:hAnsi="Palatino Linotype"/>
          <w:bCs/>
          <w:i/>
          <w:sz w:val="22"/>
          <w:szCs w:val="22"/>
        </w:rPr>
        <w:t xml:space="preserve"> (ceniza y lapilli) se </w:t>
      </w:r>
      <w:r w:rsidRPr="001F60EB">
        <w:rPr>
          <w:rFonts w:ascii="Palatino Linotype" w:hAnsi="Palatino Linotype"/>
          <w:i/>
          <w:color w:val="000000"/>
          <w:sz w:val="22"/>
          <w:szCs w:val="22"/>
        </w:rPr>
        <w:t>mitiga</w:t>
      </w:r>
      <w:r w:rsidRPr="001F60EB">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conocer técnicas de auto protección como quedarse en lugares cerrados para no exponerse a la ceniza, proteger vías respiratorias y vista, utilizando gorras, gafas o lentes, mascarillas o bufandas, entre otros. </w:t>
      </w:r>
    </w:p>
    <w:p w:rsidR="00DA18B1" w:rsidRPr="001F60EB" w:rsidRDefault="00DA18B1" w:rsidP="00DA18B1">
      <w:pPr>
        <w:pStyle w:val="Prrafodelista"/>
        <w:spacing w:after="120" w:line="276" w:lineRule="auto"/>
        <w:ind w:left="1044"/>
        <w:jc w:val="both"/>
        <w:rPr>
          <w:rFonts w:ascii="Palatino Linotype" w:hAnsi="Palatino Linotype"/>
          <w:b/>
          <w:bCs/>
          <w:i/>
          <w:sz w:val="22"/>
          <w:szCs w:val="22"/>
        </w:rPr>
      </w:pPr>
      <w:r w:rsidRPr="001F60EB">
        <w:rPr>
          <w:rFonts w:ascii="Palatino Linotype" w:hAnsi="Palatino Linotype"/>
          <w:b/>
          <w:bCs/>
          <w:i/>
          <w:sz w:val="22"/>
          <w:szCs w:val="22"/>
        </w:rPr>
        <w:t>Recomendaciones Generales</w:t>
      </w:r>
    </w:p>
    <w:p w:rsidR="00DA18B1" w:rsidRPr="001F60EB" w:rsidRDefault="00DA18B1" w:rsidP="00DA18B1">
      <w:pPr>
        <w:spacing w:after="120" w:line="276" w:lineRule="auto"/>
        <w:ind w:left="708"/>
        <w:jc w:val="both"/>
        <w:rPr>
          <w:rFonts w:ascii="Palatino Linotype" w:hAnsi="Palatino Linotype"/>
          <w:b/>
          <w:bCs/>
          <w:i/>
          <w:sz w:val="22"/>
          <w:szCs w:val="22"/>
        </w:rPr>
      </w:pPr>
      <w:r w:rsidRPr="001F60EB">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w:t>
      </w:r>
      <w:proofErr w:type="spellStart"/>
      <w:r w:rsidRPr="001F60EB">
        <w:rPr>
          <w:rFonts w:ascii="Palatino Linotype" w:hAnsi="Palatino Linotype"/>
          <w:i/>
          <w:sz w:val="22"/>
          <w:szCs w:val="22"/>
        </w:rPr>
        <w:t>AHHYC</w:t>
      </w:r>
      <w:proofErr w:type="spellEnd"/>
      <w:r w:rsidRPr="001F60EB">
        <w:rPr>
          <w:rFonts w:ascii="Palatino Linotype" w:hAnsi="Palatino Linotype"/>
          <w:i/>
          <w:sz w:val="22"/>
          <w:szCs w:val="22"/>
        </w:rPr>
        <w:t xml:space="preserve"> “Portal de San Juan” puede solicitar a la Unidad de Seguridad Ciudadana y Gestión de Riesgos de la </w:t>
      </w:r>
      <w:proofErr w:type="spellStart"/>
      <w:r w:rsidRPr="001F60EB">
        <w:rPr>
          <w:rFonts w:ascii="Palatino Linotype" w:hAnsi="Palatino Linotype"/>
          <w:i/>
          <w:sz w:val="22"/>
          <w:szCs w:val="22"/>
        </w:rPr>
        <w:t>A.Z</w:t>
      </w:r>
      <w:proofErr w:type="spellEnd"/>
      <w:r w:rsidRPr="001F60EB">
        <w:rPr>
          <w:rFonts w:ascii="Palatino Linotype" w:hAnsi="Palatino Linotype"/>
          <w:i/>
          <w:sz w:val="22"/>
          <w:szCs w:val="22"/>
        </w:rPr>
        <w:t>. Calderón, que brinde las capacitaciones en gestión de riesgos y programe simulacros de evacuación por emergencias que se realizan dentro del Programa “Quito Listo” que coordina la Secretaría General de Seguridad y Gobernabilidad.</w:t>
      </w:r>
    </w:p>
    <w:p w:rsidR="00DA18B1" w:rsidRPr="001F60EB" w:rsidRDefault="00DA18B1" w:rsidP="00DA18B1">
      <w:pPr>
        <w:spacing w:after="120" w:line="276" w:lineRule="auto"/>
        <w:ind w:left="708"/>
        <w:jc w:val="both"/>
        <w:rPr>
          <w:rFonts w:ascii="Palatino Linotype" w:hAnsi="Palatino Linotype"/>
          <w:b/>
          <w:bCs/>
          <w:i/>
          <w:sz w:val="22"/>
          <w:szCs w:val="22"/>
        </w:rPr>
      </w:pPr>
      <w:r w:rsidRPr="001F60EB">
        <w:rPr>
          <w:rFonts w:ascii="Palatino Linotype" w:hAnsi="Palatino Linotype"/>
          <w:b/>
          <w:bCs/>
          <w:i/>
          <w:sz w:val="22"/>
          <w:szCs w:val="22"/>
        </w:rPr>
        <w:t>Cumplimiento de la normativa vigente:</w:t>
      </w:r>
    </w:p>
    <w:p w:rsidR="00DA18B1" w:rsidRPr="001F60EB" w:rsidRDefault="00DA18B1" w:rsidP="00DA18B1">
      <w:pPr>
        <w:pStyle w:val="Prrafodelista"/>
        <w:numPr>
          <w:ilvl w:val="0"/>
          <w:numId w:val="40"/>
        </w:numPr>
        <w:spacing w:after="120" w:line="276" w:lineRule="auto"/>
        <w:ind w:left="991" w:hanging="357"/>
        <w:jc w:val="both"/>
        <w:rPr>
          <w:rFonts w:ascii="Palatino Linotype" w:hAnsi="Palatino Linotype"/>
          <w:bCs/>
          <w:i/>
          <w:sz w:val="22"/>
          <w:szCs w:val="22"/>
        </w:rPr>
      </w:pPr>
      <w:r w:rsidRPr="001F60EB">
        <w:rPr>
          <w:rFonts w:ascii="Palatino Linotype" w:hAnsi="Palatino Linotype"/>
          <w:bCs/>
          <w:i/>
          <w:sz w:val="22"/>
          <w:szCs w:val="22"/>
        </w:rPr>
        <w:t xml:space="preserve">De acuerdo a la Constitución de la República del Ecuador donde establecen las </w:t>
      </w:r>
      <w:r w:rsidRPr="001F60EB">
        <w:rPr>
          <w:rFonts w:ascii="Palatino Linotype" w:hAnsi="Palatino Linotype"/>
          <w:i/>
          <w:sz w:val="22"/>
          <w:szCs w:val="22"/>
        </w:rPr>
        <w:t xml:space="preserve">competencias exclusivas a </w:t>
      </w:r>
      <w:r w:rsidRPr="001F60EB">
        <w:rPr>
          <w:rFonts w:ascii="Palatino Linotype" w:hAnsi="Palatino Linotype"/>
          <w:bCs/>
          <w:i/>
          <w:sz w:val="22"/>
          <w:szCs w:val="22"/>
        </w:rPr>
        <w:t>los</w:t>
      </w:r>
      <w:r w:rsidRPr="001F60EB">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1F60EB">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DA18B1" w:rsidRPr="001F60EB" w:rsidRDefault="00DA18B1" w:rsidP="00DA18B1">
      <w:pPr>
        <w:pStyle w:val="Prrafodelista"/>
        <w:numPr>
          <w:ilvl w:val="0"/>
          <w:numId w:val="40"/>
        </w:numPr>
        <w:spacing w:after="120" w:line="276" w:lineRule="auto"/>
        <w:ind w:left="991" w:hanging="357"/>
        <w:jc w:val="both"/>
        <w:rPr>
          <w:rFonts w:ascii="Palatino Linotype" w:hAnsi="Palatino Linotype"/>
          <w:bCs/>
          <w:i/>
          <w:sz w:val="22"/>
          <w:szCs w:val="22"/>
        </w:rPr>
      </w:pPr>
      <w:r w:rsidRPr="001F60EB">
        <w:rPr>
          <w:rFonts w:ascii="Palatino Linotype" w:hAnsi="Palatino Linotype"/>
          <w:bCs/>
          <w:i/>
          <w:sz w:val="22"/>
          <w:szCs w:val="22"/>
        </w:rPr>
        <w:t>En el proyecto de regularización se debe respetar la normativa vigente de las Ordenanzas Metropolitanas de: aprobación de los Planes Metropolitanos de Desarrollo y Ordenamiento Territorial, (</w:t>
      </w:r>
      <w:proofErr w:type="spellStart"/>
      <w:r w:rsidRPr="001F60EB">
        <w:rPr>
          <w:rFonts w:ascii="Palatino Linotype" w:hAnsi="Palatino Linotype"/>
          <w:bCs/>
          <w:i/>
          <w:sz w:val="22"/>
          <w:szCs w:val="22"/>
        </w:rPr>
        <w:t>PMDOT</w:t>
      </w:r>
      <w:proofErr w:type="spellEnd"/>
      <w:r w:rsidRPr="001F60EB">
        <w:rPr>
          <w:rFonts w:ascii="Palatino Linotype" w:hAnsi="Palatino Linotype"/>
          <w:bCs/>
          <w:i/>
          <w:sz w:val="22"/>
          <w:szCs w:val="22"/>
        </w:rPr>
        <w:t>),  Uso y Ocupación del Suelo, (</w:t>
      </w:r>
      <w:proofErr w:type="spellStart"/>
      <w:r w:rsidRPr="001F60EB">
        <w:rPr>
          <w:rFonts w:ascii="Palatino Linotype" w:hAnsi="Palatino Linotype"/>
          <w:bCs/>
          <w:i/>
          <w:sz w:val="22"/>
          <w:szCs w:val="22"/>
        </w:rPr>
        <w:t>PUOS</w:t>
      </w:r>
      <w:proofErr w:type="spellEnd"/>
      <w:r w:rsidRPr="001F60EB">
        <w:rPr>
          <w:rFonts w:ascii="Palatino Linotype" w:hAnsi="Palatino Linotype"/>
          <w:bCs/>
          <w:i/>
          <w:sz w:val="22"/>
          <w:szCs w:val="22"/>
        </w:rPr>
        <w:t xml:space="preserve">) y Régimen Administrativo del Suelo en el </w:t>
      </w:r>
      <w:proofErr w:type="spellStart"/>
      <w:r w:rsidRPr="001F60EB">
        <w:rPr>
          <w:rFonts w:ascii="Palatino Linotype" w:hAnsi="Palatino Linotype"/>
          <w:bCs/>
          <w:i/>
          <w:sz w:val="22"/>
          <w:szCs w:val="22"/>
        </w:rPr>
        <w:t>D.M.Q</w:t>
      </w:r>
      <w:proofErr w:type="spellEnd"/>
      <w:r w:rsidRPr="001F60EB">
        <w:rPr>
          <w:rFonts w:ascii="Palatino Linotype" w:hAnsi="Palatino Linotype"/>
          <w:bCs/>
          <w:i/>
          <w:sz w:val="22"/>
          <w:szCs w:val="22"/>
        </w:rPr>
        <w:t xml:space="preserve">. </w:t>
      </w:r>
    </w:p>
    <w:p w:rsidR="00DA18B1" w:rsidRPr="001F60EB" w:rsidRDefault="00DA18B1" w:rsidP="00DA18B1">
      <w:pPr>
        <w:pStyle w:val="Prrafodelista"/>
        <w:numPr>
          <w:ilvl w:val="0"/>
          <w:numId w:val="42"/>
        </w:numPr>
        <w:spacing w:after="120" w:line="276" w:lineRule="auto"/>
        <w:ind w:left="992"/>
        <w:jc w:val="both"/>
        <w:rPr>
          <w:rFonts w:ascii="Palatino Linotype" w:hAnsi="Palatino Linotype"/>
          <w:bCs/>
          <w:i/>
          <w:sz w:val="22"/>
          <w:szCs w:val="22"/>
        </w:rPr>
      </w:pPr>
      <w:r w:rsidRPr="001F60EB">
        <w:rPr>
          <w:rFonts w:ascii="Palatino Linotype" w:hAnsi="Palatino Linotype"/>
          <w:bCs/>
          <w:i/>
          <w:sz w:val="22"/>
          <w:szCs w:val="22"/>
        </w:rPr>
        <w:lastRenderedPageBreak/>
        <w:t xml:space="preserve">Incluir en el Informe de Regulación Metropolitana, </w:t>
      </w:r>
      <w:proofErr w:type="spellStart"/>
      <w:r w:rsidRPr="001F60EB">
        <w:rPr>
          <w:rFonts w:ascii="Palatino Linotype" w:hAnsi="Palatino Linotype"/>
          <w:bCs/>
          <w:i/>
          <w:sz w:val="22"/>
          <w:szCs w:val="22"/>
        </w:rPr>
        <w:t>IRM</w:t>
      </w:r>
      <w:proofErr w:type="spellEnd"/>
      <w:r w:rsidRPr="001F60EB">
        <w:rPr>
          <w:rFonts w:ascii="Palatino Linotype" w:hAnsi="Palatino Linotype"/>
          <w:bCs/>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DA18B1" w:rsidRPr="001F60EB" w:rsidRDefault="00DA18B1" w:rsidP="00DA18B1">
      <w:pPr>
        <w:pStyle w:val="Prrafodelista"/>
        <w:numPr>
          <w:ilvl w:val="0"/>
          <w:numId w:val="42"/>
        </w:numPr>
        <w:spacing w:after="120" w:line="276" w:lineRule="auto"/>
        <w:ind w:left="992"/>
        <w:jc w:val="both"/>
        <w:rPr>
          <w:rFonts w:ascii="Palatino Linotype" w:hAnsi="Palatino Linotype"/>
          <w:bCs/>
          <w:i/>
          <w:sz w:val="22"/>
          <w:szCs w:val="22"/>
        </w:rPr>
      </w:pPr>
      <w:r w:rsidRPr="001F60EB">
        <w:rPr>
          <w:rFonts w:ascii="Palatino Linotype" w:hAnsi="Palatino Linotype"/>
          <w:bCs/>
          <w:i/>
          <w:sz w:val="22"/>
          <w:szCs w:val="22"/>
        </w:rPr>
        <w:t xml:space="preserve">La Unidad Especial Regula Tu Barrio deberá comunicar a la comunidad del </w:t>
      </w:r>
      <w:proofErr w:type="spellStart"/>
      <w:r w:rsidRPr="001F60EB">
        <w:rPr>
          <w:rFonts w:ascii="Palatino Linotype" w:hAnsi="Palatino Linotype"/>
          <w:bCs/>
          <w:i/>
          <w:sz w:val="22"/>
          <w:szCs w:val="22"/>
        </w:rPr>
        <w:t>AHHYC</w:t>
      </w:r>
      <w:proofErr w:type="spellEnd"/>
      <w:r w:rsidRPr="001F60EB">
        <w:rPr>
          <w:rFonts w:ascii="Palatino Linotype" w:hAnsi="Palatino Linotype"/>
          <w:bCs/>
          <w:i/>
          <w:sz w:val="22"/>
          <w:szCs w:val="22"/>
        </w:rPr>
        <w:t xml:space="preserve"> “</w:t>
      </w:r>
      <w:r w:rsidR="003A68DF">
        <w:rPr>
          <w:rFonts w:ascii="Palatino Linotype" w:hAnsi="Palatino Linotype"/>
          <w:bCs/>
          <w:i/>
          <w:sz w:val="22"/>
          <w:szCs w:val="22"/>
        </w:rPr>
        <w:t>Portal de San Juan</w:t>
      </w:r>
      <w:r w:rsidRPr="001F60EB">
        <w:rPr>
          <w:rFonts w:ascii="Palatino Linotype" w:hAnsi="Palatino Linotype"/>
          <w:bCs/>
          <w:i/>
          <w:sz w:val="22"/>
          <w:szCs w:val="22"/>
        </w:rPr>
        <w:t>” lo descrito en el presente informe, especialmente la calificación del riesgo ante las diferentes amenazas analizadas y las respectivas recomendaciones técnicas.</w:t>
      </w:r>
      <w:r w:rsidRPr="001F60EB">
        <w:rPr>
          <w:rFonts w:ascii="Palatino Linotype" w:hAnsi="Palatino Linotype"/>
          <w:b/>
          <w:i/>
          <w:sz w:val="22"/>
          <w:szCs w:val="22"/>
        </w:rPr>
        <w:t xml:space="preserve">” </w:t>
      </w:r>
    </w:p>
    <w:p w:rsidR="0013600D" w:rsidRDefault="00DA18B1" w:rsidP="00DA18B1">
      <w:pPr>
        <w:spacing w:after="120" w:line="276" w:lineRule="auto"/>
        <w:ind w:left="708"/>
        <w:jc w:val="both"/>
        <w:rPr>
          <w:rFonts w:ascii="Palatino Linotype" w:hAnsi="Palatino Linotype" w:cs="Arial"/>
          <w:b/>
          <w:sz w:val="22"/>
          <w:szCs w:val="22"/>
        </w:rPr>
      </w:pPr>
      <w:r w:rsidRPr="001F60EB">
        <w:rPr>
          <w:rFonts w:ascii="Palatino Linotype" w:hAnsi="Palatino Linotype"/>
          <w:b/>
          <w:i/>
          <w:sz w:val="22"/>
          <w:szCs w:val="22"/>
          <w:lang w:val="es-ES_tradnl"/>
        </w:rPr>
        <w:t xml:space="preserve"> “Artículo 17.- </w:t>
      </w:r>
      <w:r w:rsidRPr="001F60EB">
        <w:rPr>
          <w:rFonts w:ascii="Palatino Linotype" w:hAnsi="Palatino Linotype"/>
          <w:b/>
          <w:bCs/>
          <w:i/>
          <w:sz w:val="22"/>
          <w:szCs w:val="22"/>
          <w:lang w:val="es-ES_tradnl"/>
        </w:rPr>
        <w:t xml:space="preserve">Solicitudes de ampliación de plazo.- </w:t>
      </w:r>
      <w:r w:rsidRPr="001F60EB">
        <w:rPr>
          <w:rFonts w:ascii="Palatino Linotype" w:hAnsi="Palatino Linotype"/>
          <w:bCs/>
          <w:i/>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bookmarkStart w:id="0" w:name="_GoBack"/>
      <w:bookmarkEnd w:id="0"/>
    </w:p>
    <w:p w:rsidR="00A654C3" w:rsidRPr="0076281E" w:rsidRDefault="00A654C3" w:rsidP="00DA18B1">
      <w:pPr>
        <w:spacing w:after="120" w:line="276" w:lineRule="auto"/>
        <w:jc w:val="both"/>
        <w:rPr>
          <w:rFonts w:ascii="Palatino Linotype" w:hAnsi="Palatino Linotype" w:cs="Arial"/>
          <w:sz w:val="22"/>
          <w:szCs w:val="22"/>
        </w:rPr>
      </w:pPr>
      <w:r w:rsidRPr="0076281E">
        <w:rPr>
          <w:rFonts w:ascii="Palatino Linotype" w:hAnsi="Palatino Linotype" w:cs="Arial"/>
          <w:b/>
          <w:sz w:val="22"/>
          <w:szCs w:val="22"/>
        </w:rPr>
        <w:t>Disposición final.-</w:t>
      </w:r>
      <w:r w:rsidRPr="0076281E">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76281E"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76281E">
        <w:rPr>
          <w:rFonts w:ascii="Palatino Linotype" w:hAnsi="Palatino Linotype"/>
          <w:sz w:val="22"/>
          <w:szCs w:val="22"/>
        </w:rPr>
        <w:t xml:space="preserve">Dada, en la Sala de Sesiones del Concejo Metropolitano de Quito, el </w:t>
      </w:r>
      <w:r w:rsidR="0013600D">
        <w:rPr>
          <w:rFonts w:ascii="Palatino Linotype" w:hAnsi="Palatino Linotype"/>
          <w:sz w:val="22"/>
          <w:szCs w:val="22"/>
        </w:rPr>
        <w:t>26</w:t>
      </w:r>
      <w:r w:rsidR="00F853F8" w:rsidRPr="0076281E">
        <w:rPr>
          <w:rFonts w:ascii="Palatino Linotype" w:hAnsi="Palatino Linotype"/>
          <w:sz w:val="22"/>
          <w:szCs w:val="22"/>
        </w:rPr>
        <w:t xml:space="preserve"> de </w:t>
      </w:r>
      <w:r w:rsidR="00C649D7" w:rsidRPr="0076281E">
        <w:rPr>
          <w:rFonts w:ascii="Palatino Linotype" w:hAnsi="Palatino Linotype"/>
          <w:sz w:val="22"/>
          <w:szCs w:val="22"/>
        </w:rPr>
        <w:t xml:space="preserve">julio </w:t>
      </w:r>
      <w:r w:rsidR="000D0BB5" w:rsidRPr="0076281E">
        <w:rPr>
          <w:rFonts w:ascii="Palatino Linotype" w:hAnsi="Palatino Linotype"/>
          <w:sz w:val="22"/>
          <w:szCs w:val="22"/>
        </w:rPr>
        <w:t>de 2018</w:t>
      </w:r>
      <w:r w:rsidRPr="0076281E">
        <w:rPr>
          <w:rFonts w:ascii="Palatino Linotype" w:hAnsi="Palatino Linotype"/>
          <w:sz w:val="22"/>
          <w:szCs w:val="22"/>
        </w:rPr>
        <w:t>.</w:t>
      </w:r>
    </w:p>
    <w:p w:rsidR="00F853F8" w:rsidRPr="0076281E"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76281E"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949" w:type="dxa"/>
        <w:jc w:val="center"/>
        <w:tblInd w:w="-885" w:type="dxa"/>
        <w:tblLook w:val="04A0" w:firstRow="1" w:lastRow="0" w:firstColumn="1" w:lastColumn="0" w:noHBand="0" w:noVBand="1"/>
      </w:tblPr>
      <w:tblGrid>
        <w:gridCol w:w="5601"/>
        <w:gridCol w:w="5348"/>
      </w:tblGrid>
      <w:tr w:rsidR="00496B51" w:rsidRPr="003C15E1" w:rsidTr="00182091">
        <w:trPr>
          <w:trHeight w:val="706"/>
          <w:jc w:val="center"/>
        </w:trPr>
        <w:tc>
          <w:tcPr>
            <w:tcW w:w="5601"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496B51" w:rsidRPr="003C15E1" w:rsidRDefault="00496B51" w:rsidP="007A1F48">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48"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496B51" w:rsidRDefault="00496B51" w:rsidP="00304149">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13600D" w:rsidRPr="003C15E1" w:rsidRDefault="0013600D" w:rsidP="00DA18B1">
            <w:pPr>
              <w:pStyle w:val="Textopredeterminado"/>
              <w:rPr>
                <w:rFonts w:ascii="Palatino Linotype" w:hAnsi="Palatino Linotype" w:cs="Arial"/>
                <w:b/>
                <w:sz w:val="19"/>
                <w:szCs w:val="19"/>
              </w:rPr>
            </w:pPr>
          </w:p>
        </w:tc>
      </w:tr>
    </w:tbl>
    <w:p w:rsidR="00A654C3" w:rsidRPr="0076281E"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CERTIFICADO DE DISCUSIÓN</w:t>
      </w:r>
    </w:p>
    <w:p w:rsidR="00A654C3" w:rsidRPr="0076281E" w:rsidRDefault="00A654C3" w:rsidP="00F61B37">
      <w:pPr>
        <w:pStyle w:val="Textosinformato"/>
        <w:jc w:val="both"/>
        <w:rPr>
          <w:rFonts w:ascii="Palatino Linotype" w:eastAsia="MS Mincho" w:hAnsi="Palatino Linotype" w:cs="Arial"/>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DA18B1">
        <w:rPr>
          <w:rFonts w:ascii="Palatino Linotype" w:eastAsia="MS Mincho" w:hAnsi="Palatino Linotype" w:cs="Arial"/>
          <w:sz w:val="22"/>
          <w:szCs w:val="22"/>
        </w:rPr>
        <w:t>24</w:t>
      </w:r>
      <w:r w:rsidRPr="0076281E">
        <w:rPr>
          <w:rFonts w:ascii="Palatino Linotype" w:eastAsia="MS Mincho" w:hAnsi="Palatino Linotype" w:cs="Arial"/>
          <w:sz w:val="22"/>
          <w:szCs w:val="22"/>
        </w:rPr>
        <w:t xml:space="preserve"> </w:t>
      </w:r>
      <w:r w:rsidR="00660847" w:rsidRPr="0076281E">
        <w:rPr>
          <w:rFonts w:ascii="Palatino Linotype" w:eastAsia="MS Mincho" w:hAnsi="Palatino Linotype" w:cs="Arial"/>
          <w:sz w:val="22"/>
          <w:szCs w:val="22"/>
        </w:rPr>
        <w:t>de</w:t>
      </w:r>
      <w:r w:rsidRPr="0076281E">
        <w:rPr>
          <w:rFonts w:ascii="Palatino Linotype" w:eastAsia="MS Mincho" w:hAnsi="Palatino Linotype" w:cs="Arial"/>
          <w:sz w:val="22"/>
          <w:szCs w:val="22"/>
        </w:rPr>
        <w:t xml:space="preserve"> </w:t>
      </w:r>
      <w:r w:rsidR="00DA18B1">
        <w:rPr>
          <w:rFonts w:ascii="Palatino Linotype" w:eastAsia="MS Mincho" w:hAnsi="Palatino Linotype" w:cs="Arial"/>
          <w:sz w:val="22"/>
          <w:szCs w:val="22"/>
        </w:rPr>
        <w:t xml:space="preserve">agosto de 2017 </w:t>
      </w:r>
      <w:r w:rsidRPr="0076281E">
        <w:rPr>
          <w:rFonts w:ascii="Palatino Linotype" w:eastAsia="MS Mincho" w:hAnsi="Palatino Linotype" w:cs="Arial"/>
          <w:sz w:val="22"/>
          <w:szCs w:val="22"/>
        </w:rPr>
        <w:t xml:space="preserve">y </w:t>
      </w:r>
      <w:r w:rsidR="0013600D">
        <w:rPr>
          <w:rFonts w:ascii="Palatino Linotype" w:eastAsia="MS Mincho" w:hAnsi="Palatino Linotype" w:cs="Arial"/>
          <w:sz w:val="22"/>
          <w:szCs w:val="22"/>
        </w:rPr>
        <w:t>26</w:t>
      </w:r>
      <w:r w:rsidRPr="0076281E">
        <w:rPr>
          <w:rFonts w:ascii="Palatino Linotype" w:eastAsia="MS Mincho" w:hAnsi="Palatino Linotype" w:cs="Arial"/>
          <w:sz w:val="22"/>
          <w:szCs w:val="22"/>
        </w:rPr>
        <w:t xml:space="preserve"> de </w:t>
      </w:r>
      <w:r w:rsidR="00C649D7" w:rsidRPr="0076281E">
        <w:rPr>
          <w:rFonts w:ascii="Palatino Linotype" w:eastAsia="MS Mincho" w:hAnsi="Palatino Linotype" w:cs="Arial"/>
          <w:sz w:val="22"/>
          <w:szCs w:val="22"/>
        </w:rPr>
        <w:t xml:space="preserve">julio </w:t>
      </w:r>
      <w:r w:rsidRPr="0076281E">
        <w:rPr>
          <w:rFonts w:ascii="Palatino Linotype" w:eastAsia="MS Mincho" w:hAnsi="Palatino Linotype" w:cs="Arial"/>
          <w:sz w:val="22"/>
          <w:szCs w:val="22"/>
        </w:rPr>
        <w:t>de 201</w:t>
      </w:r>
      <w:r w:rsidR="000D0BB5" w:rsidRPr="0076281E">
        <w:rPr>
          <w:rFonts w:ascii="Palatino Linotype" w:eastAsia="MS Mincho" w:hAnsi="Palatino Linotype" w:cs="Arial"/>
          <w:sz w:val="22"/>
          <w:szCs w:val="22"/>
        </w:rPr>
        <w:t>8</w:t>
      </w:r>
      <w:r w:rsidRPr="0076281E">
        <w:rPr>
          <w:rFonts w:ascii="Palatino Linotype" w:eastAsia="MS Mincho" w:hAnsi="Palatino Linotype" w:cs="Arial"/>
          <w:sz w:val="22"/>
          <w:szCs w:val="22"/>
        </w:rPr>
        <w:t>.- Quito,</w:t>
      </w:r>
    </w:p>
    <w:p w:rsidR="00DE01FF" w:rsidRPr="0076281E" w:rsidRDefault="00DE01FF" w:rsidP="00F61B37">
      <w:pPr>
        <w:pStyle w:val="Textosinformato"/>
        <w:jc w:val="center"/>
        <w:rPr>
          <w:rFonts w:ascii="Palatino Linotype" w:eastAsia="MS Mincho" w:hAnsi="Palatino Linotype" w:cs="Arial"/>
          <w:sz w:val="22"/>
          <w:szCs w:val="22"/>
        </w:rPr>
      </w:pPr>
    </w:p>
    <w:p w:rsidR="00304149" w:rsidRPr="0076281E" w:rsidRDefault="00304149"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0D0BB5" w:rsidRDefault="000D0BB5" w:rsidP="00F61B37">
      <w:pPr>
        <w:pStyle w:val="Textosinformato"/>
        <w:jc w:val="center"/>
        <w:rPr>
          <w:rFonts w:ascii="Palatino Linotype" w:eastAsia="MS Mincho" w:hAnsi="Palatino Linotype" w:cs="Arial"/>
          <w:b/>
          <w:bCs/>
          <w:sz w:val="22"/>
          <w:szCs w:val="22"/>
        </w:rPr>
      </w:pPr>
    </w:p>
    <w:p w:rsidR="00DA18B1" w:rsidRDefault="00DA18B1" w:rsidP="00F61B37">
      <w:pPr>
        <w:pStyle w:val="Textosinformato"/>
        <w:jc w:val="center"/>
        <w:rPr>
          <w:rFonts w:ascii="Palatino Linotype" w:eastAsia="MS Mincho" w:hAnsi="Palatino Linotype" w:cs="Arial"/>
          <w:b/>
          <w:bCs/>
          <w:sz w:val="22"/>
          <w:szCs w:val="22"/>
        </w:rPr>
      </w:pPr>
    </w:p>
    <w:p w:rsidR="00DA18B1" w:rsidRDefault="00DA18B1" w:rsidP="00F61B37">
      <w:pPr>
        <w:pStyle w:val="Textosinformato"/>
        <w:jc w:val="center"/>
        <w:rPr>
          <w:rFonts w:ascii="Palatino Linotype" w:eastAsia="MS Mincho" w:hAnsi="Palatino Linotype" w:cs="Arial"/>
          <w:b/>
          <w:bCs/>
          <w:sz w:val="22"/>
          <w:szCs w:val="22"/>
        </w:rPr>
      </w:pPr>
    </w:p>
    <w:p w:rsidR="00DA18B1" w:rsidRDefault="00DA18B1" w:rsidP="00F61B37">
      <w:pPr>
        <w:pStyle w:val="Textosinformato"/>
        <w:jc w:val="center"/>
        <w:rPr>
          <w:rFonts w:ascii="Palatino Linotype" w:eastAsia="MS Mincho" w:hAnsi="Palatino Linotype" w:cs="Arial"/>
          <w:b/>
          <w:bCs/>
          <w:sz w:val="22"/>
          <w:szCs w:val="22"/>
        </w:rPr>
      </w:pPr>
    </w:p>
    <w:p w:rsidR="00DA18B1" w:rsidRDefault="00DA18B1" w:rsidP="00F61B37">
      <w:pPr>
        <w:pStyle w:val="Textosinformato"/>
        <w:jc w:val="center"/>
        <w:rPr>
          <w:rFonts w:ascii="Palatino Linotype" w:eastAsia="MS Mincho" w:hAnsi="Palatino Linotype" w:cs="Arial"/>
          <w:b/>
          <w:bCs/>
          <w:sz w:val="22"/>
          <w:szCs w:val="22"/>
        </w:rPr>
      </w:pPr>
    </w:p>
    <w:p w:rsidR="00DA18B1" w:rsidRDefault="00DA18B1" w:rsidP="00F61B37">
      <w:pPr>
        <w:pStyle w:val="Textosinformato"/>
        <w:jc w:val="center"/>
        <w:rPr>
          <w:rFonts w:ascii="Palatino Linotype" w:eastAsia="MS Mincho" w:hAnsi="Palatino Linotype" w:cs="Arial"/>
          <w:b/>
          <w:bCs/>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b/>
          <w:bCs/>
          <w:sz w:val="22"/>
          <w:szCs w:val="22"/>
        </w:rPr>
        <w:lastRenderedPageBreak/>
        <w:t>ALCALDÍA DEL DISTRITO METROPOLITANO.-</w:t>
      </w:r>
      <w:r w:rsidRPr="0076281E">
        <w:rPr>
          <w:rFonts w:ascii="Palatino Linotype" w:eastAsia="MS Mincho" w:hAnsi="Palatino Linotype" w:cs="Arial"/>
          <w:sz w:val="22"/>
          <w:szCs w:val="22"/>
        </w:rPr>
        <w:t xml:space="preserve">  Distrito Metropolitano de Quito,</w:t>
      </w:r>
    </w:p>
    <w:p w:rsidR="00A654C3" w:rsidRPr="0076281E" w:rsidRDefault="00A654C3" w:rsidP="00F61B37">
      <w:pPr>
        <w:pStyle w:val="Textosinformato"/>
        <w:jc w:val="center"/>
        <w:rPr>
          <w:rFonts w:ascii="Palatino Linotype" w:eastAsia="MS Mincho" w:hAnsi="Palatino Linotype" w:cs="Arial"/>
          <w:b/>
          <w:sz w:val="22"/>
          <w:szCs w:val="22"/>
        </w:rPr>
      </w:pPr>
    </w:p>
    <w:p w:rsidR="00A654C3" w:rsidRPr="0076281E" w:rsidRDefault="00A654C3" w:rsidP="00F61B37">
      <w:pPr>
        <w:pStyle w:val="Textosinformato"/>
        <w:jc w:val="center"/>
        <w:rPr>
          <w:rFonts w:ascii="Palatino Linotype" w:eastAsia="MS Mincho" w:hAnsi="Palatino Linotype" w:cs="Arial"/>
          <w:b/>
          <w:sz w:val="22"/>
          <w:szCs w:val="22"/>
        </w:rPr>
      </w:pPr>
      <w:r w:rsidRPr="0076281E">
        <w:rPr>
          <w:rFonts w:ascii="Palatino Linotype" w:eastAsia="MS Mincho" w:hAnsi="Palatino Linotype" w:cs="Arial"/>
          <w:b/>
          <w:sz w:val="22"/>
          <w:szCs w:val="22"/>
        </w:rPr>
        <w:t>EJECÚTESE:</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Dr. Mauricio Rodas Espinel</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ALCALDE DEL DISTRITO METROPOLITANO DE QUITO</w:t>
      </w:r>
    </w:p>
    <w:p w:rsidR="00C649D7" w:rsidRPr="0076281E" w:rsidRDefault="00C649D7" w:rsidP="00F61B37">
      <w:pPr>
        <w:pStyle w:val="Textosinformato"/>
        <w:spacing w:line="276" w:lineRule="auto"/>
        <w:jc w:val="both"/>
        <w:rPr>
          <w:rFonts w:ascii="Palatino Linotype" w:eastAsia="MS Mincho" w:hAnsi="Palatino Linotype" w:cs="Arial"/>
          <w:b/>
          <w:bCs/>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b/>
          <w:bCs/>
          <w:sz w:val="22"/>
          <w:szCs w:val="22"/>
        </w:rPr>
        <w:t>CERTIFICO,</w:t>
      </w:r>
      <w:r w:rsidRPr="0076281E">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76281E"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Distrito Metropolitano de Quito,</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201283" w:rsidRPr="0076281E"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76281E">
        <w:rPr>
          <w:rFonts w:ascii="Palatino Linotype" w:eastAsia="MS Mincho" w:hAnsi="Palatino Linotype" w:cs="Arial"/>
          <w:b w:val="0"/>
          <w:bCs w:val="0"/>
          <w:sz w:val="16"/>
          <w:szCs w:val="16"/>
          <w:lang w:val="es-ES"/>
        </w:rPr>
        <w:t>DSCS</w:t>
      </w:r>
      <w:proofErr w:type="spellEnd"/>
    </w:p>
    <w:sectPr w:rsidR="00201283" w:rsidRPr="0076281E"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F6" w:rsidRDefault="006760F6">
      <w:r>
        <w:separator/>
      </w:r>
    </w:p>
  </w:endnote>
  <w:endnote w:type="continuationSeparator" w:id="0">
    <w:p w:rsidR="006760F6" w:rsidRDefault="0067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B0DB0">
      <w:rPr>
        <w:b/>
        <w:noProof/>
      </w:rPr>
      <w:t>13</w:t>
    </w:r>
    <w:r>
      <w:rPr>
        <w:b/>
        <w:sz w:val="24"/>
        <w:szCs w:val="24"/>
      </w:rPr>
      <w:fldChar w:fldCharType="end"/>
    </w:r>
  </w:p>
  <w:p w:rsidR="007A1F48" w:rsidRDefault="007A1F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D35034" w:rsidRDefault="007A1F48">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3B0DB0">
      <w:rPr>
        <w:rFonts w:ascii="Palatino Linotype" w:hAnsi="Palatino Linotype"/>
        <w:b/>
        <w:noProof/>
        <w:sz w:val="22"/>
        <w:szCs w:val="22"/>
      </w:rPr>
      <w:t>11</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304149">
      <w:rPr>
        <w:rFonts w:ascii="Palatino Linotype" w:hAnsi="Palatino Linotype"/>
        <w:b/>
        <w:sz w:val="22"/>
        <w:szCs w:val="22"/>
      </w:rPr>
      <w:t>1</w:t>
    </w:r>
    <w:r w:rsidR="00DA18B1">
      <w:rPr>
        <w:rFonts w:ascii="Palatino Linotype" w:hAnsi="Palatino Linotype"/>
        <w:b/>
        <w:sz w:val="22"/>
        <w:szCs w:val="22"/>
      </w:rPr>
      <w:t>2</w:t>
    </w:r>
  </w:p>
  <w:p w:rsidR="007A1F48" w:rsidRPr="00A654C3" w:rsidRDefault="007A1F48">
    <w:pPr>
      <w:pStyle w:val="Piedepgina"/>
      <w:jc w:val="right"/>
      <w:rPr>
        <w:rFonts w:ascii="Palatino Linotype" w:hAnsi="Palatino Linotype"/>
        <w:b/>
        <w:sz w:val="22"/>
        <w:szCs w:val="22"/>
      </w:rPr>
    </w:pPr>
  </w:p>
  <w:p w:rsidR="007A1F48" w:rsidRPr="00A654C3" w:rsidRDefault="007A1F48">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02561F" w:rsidRDefault="007A1F48">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3B0DB0">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DA18B1">
      <w:rPr>
        <w:rFonts w:ascii="Palatino Linotype" w:hAnsi="Palatino Linotype"/>
        <w:b/>
        <w:sz w:val="22"/>
        <w:szCs w:val="22"/>
      </w:rPr>
      <w:t>2</w:t>
    </w:r>
  </w:p>
  <w:p w:rsidR="007A1F48" w:rsidRDefault="007A1F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F6" w:rsidRDefault="006760F6">
      <w:r>
        <w:separator/>
      </w:r>
    </w:p>
  </w:footnote>
  <w:footnote w:type="continuationSeparator" w:id="0">
    <w:p w:rsidR="006760F6" w:rsidRDefault="0067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Pr="00150606" w:rsidRDefault="007A1F48">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Default="007A1F4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Pr="0002561F" w:rsidRDefault="007A1F48"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6">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1">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nsid w:val="68C64F26"/>
    <w:multiLevelType w:val="hybridMultilevel"/>
    <w:tmpl w:val="68920384"/>
    <w:lvl w:ilvl="0" w:tplc="A43AD880">
      <w:start w:val="17"/>
      <w:numFmt w:val="bullet"/>
      <w:lvlText w:val="-"/>
      <w:lvlJc w:val="left"/>
      <w:pPr>
        <w:ind w:left="1068" w:hanging="360"/>
      </w:pPr>
      <w:rPr>
        <w:rFonts w:ascii="Palatino Linotype" w:eastAsia="Times New Roman" w:hAnsi="Palatino Linotype" w:cs="Times New Roman" w:hint="default"/>
        <w:i w:val="0"/>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6">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1"/>
  </w:num>
  <w:num w:numId="5">
    <w:abstractNumId w:val="9"/>
  </w:num>
  <w:num w:numId="6">
    <w:abstractNumId w:val="37"/>
  </w:num>
  <w:num w:numId="7">
    <w:abstractNumId w:val="17"/>
  </w:num>
  <w:num w:numId="8">
    <w:abstractNumId w:val="22"/>
  </w:num>
  <w:num w:numId="9">
    <w:abstractNumId w:val="20"/>
  </w:num>
  <w:num w:numId="10">
    <w:abstractNumId w:val="2"/>
  </w:num>
  <w:num w:numId="11">
    <w:abstractNumId w:val="36"/>
  </w:num>
  <w:num w:numId="12">
    <w:abstractNumId w:val="28"/>
  </w:num>
  <w:num w:numId="13">
    <w:abstractNumId w:val="12"/>
  </w:num>
  <w:num w:numId="14">
    <w:abstractNumId w:val="32"/>
  </w:num>
  <w:num w:numId="15">
    <w:abstractNumId w:val="5"/>
  </w:num>
  <w:num w:numId="16">
    <w:abstractNumId w:val="39"/>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15"/>
  </w:num>
  <w:num w:numId="22">
    <w:abstractNumId w:val="18"/>
  </w:num>
  <w:num w:numId="23">
    <w:abstractNumId w:val="0"/>
  </w:num>
  <w:num w:numId="24">
    <w:abstractNumId w:val="8"/>
  </w:num>
  <w:num w:numId="25">
    <w:abstractNumId w:val="38"/>
  </w:num>
  <w:num w:numId="26">
    <w:abstractNumId w:val="27"/>
  </w:num>
  <w:num w:numId="27">
    <w:abstractNumId w:val="26"/>
  </w:num>
  <w:num w:numId="28">
    <w:abstractNumId w:val="16"/>
  </w:num>
  <w:num w:numId="29">
    <w:abstractNumId w:val="7"/>
  </w:num>
  <w:num w:numId="30">
    <w:abstractNumId w:val="4"/>
  </w:num>
  <w:num w:numId="31">
    <w:abstractNumId w:val="40"/>
  </w:num>
  <w:num w:numId="32">
    <w:abstractNumId w:val="1"/>
  </w:num>
  <w:num w:numId="33">
    <w:abstractNumId w:val="21"/>
  </w:num>
  <w:num w:numId="34">
    <w:abstractNumId w:val="31"/>
  </w:num>
  <w:num w:numId="35">
    <w:abstractNumId w:val="24"/>
  </w:num>
  <w:num w:numId="36">
    <w:abstractNumId w:val="19"/>
  </w:num>
  <w:num w:numId="37">
    <w:abstractNumId w:val="29"/>
  </w:num>
  <w:num w:numId="38">
    <w:abstractNumId w:val="13"/>
  </w:num>
  <w:num w:numId="39">
    <w:abstractNumId w:val="14"/>
  </w:num>
  <w:num w:numId="40">
    <w:abstractNumId w:val="25"/>
  </w:num>
  <w:num w:numId="41">
    <w:abstractNumId w:val="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7272A"/>
    <w:rsid w:val="0008276F"/>
    <w:rsid w:val="000A42BC"/>
    <w:rsid w:val="000B3A35"/>
    <w:rsid w:val="000B5790"/>
    <w:rsid w:val="000C5A07"/>
    <w:rsid w:val="000D0BB5"/>
    <w:rsid w:val="000E65FF"/>
    <w:rsid w:val="00107B8D"/>
    <w:rsid w:val="001228EA"/>
    <w:rsid w:val="0013600D"/>
    <w:rsid w:val="00140220"/>
    <w:rsid w:val="00153CFF"/>
    <w:rsid w:val="00163CDA"/>
    <w:rsid w:val="00182091"/>
    <w:rsid w:val="0018659D"/>
    <w:rsid w:val="001928C9"/>
    <w:rsid w:val="001B4C55"/>
    <w:rsid w:val="001C2217"/>
    <w:rsid w:val="001C525E"/>
    <w:rsid w:val="001C55D3"/>
    <w:rsid w:val="001C75F4"/>
    <w:rsid w:val="001E6BF8"/>
    <w:rsid w:val="00201283"/>
    <w:rsid w:val="002132FE"/>
    <w:rsid w:val="0021780A"/>
    <w:rsid w:val="002305D7"/>
    <w:rsid w:val="0024418E"/>
    <w:rsid w:val="00255362"/>
    <w:rsid w:val="00255F86"/>
    <w:rsid w:val="002776A8"/>
    <w:rsid w:val="00280287"/>
    <w:rsid w:val="0029274C"/>
    <w:rsid w:val="002C365A"/>
    <w:rsid w:val="002C61E0"/>
    <w:rsid w:val="002E561C"/>
    <w:rsid w:val="002E637E"/>
    <w:rsid w:val="002E6B27"/>
    <w:rsid w:val="00304149"/>
    <w:rsid w:val="0032621D"/>
    <w:rsid w:val="003402D5"/>
    <w:rsid w:val="00342AED"/>
    <w:rsid w:val="00361728"/>
    <w:rsid w:val="00370CC4"/>
    <w:rsid w:val="003806C8"/>
    <w:rsid w:val="003863BC"/>
    <w:rsid w:val="003A3C04"/>
    <w:rsid w:val="003A68DF"/>
    <w:rsid w:val="003B0A1F"/>
    <w:rsid w:val="003B0DB0"/>
    <w:rsid w:val="003C6C67"/>
    <w:rsid w:val="003C78C8"/>
    <w:rsid w:val="003E0A88"/>
    <w:rsid w:val="003E1E12"/>
    <w:rsid w:val="003E2585"/>
    <w:rsid w:val="003E53E0"/>
    <w:rsid w:val="003E70CC"/>
    <w:rsid w:val="003F21D6"/>
    <w:rsid w:val="003F69A7"/>
    <w:rsid w:val="00406D6A"/>
    <w:rsid w:val="00414095"/>
    <w:rsid w:val="004141F6"/>
    <w:rsid w:val="004230DF"/>
    <w:rsid w:val="00426B25"/>
    <w:rsid w:val="0044248C"/>
    <w:rsid w:val="00447C04"/>
    <w:rsid w:val="00475FDB"/>
    <w:rsid w:val="00496B51"/>
    <w:rsid w:val="004D35A7"/>
    <w:rsid w:val="004F6F68"/>
    <w:rsid w:val="00506B01"/>
    <w:rsid w:val="00511A9B"/>
    <w:rsid w:val="00520E1B"/>
    <w:rsid w:val="00526191"/>
    <w:rsid w:val="00546F26"/>
    <w:rsid w:val="005475EE"/>
    <w:rsid w:val="00555C0E"/>
    <w:rsid w:val="00557A57"/>
    <w:rsid w:val="00591ED3"/>
    <w:rsid w:val="005D2B94"/>
    <w:rsid w:val="005D708A"/>
    <w:rsid w:val="005E2686"/>
    <w:rsid w:val="00606113"/>
    <w:rsid w:val="0061407B"/>
    <w:rsid w:val="006274AF"/>
    <w:rsid w:val="00644DB8"/>
    <w:rsid w:val="00660847"/>
    <w:rsid w:val="006760F6"/>
    <w:rsid w:val="006955DC"/>
    <w:rsid w:val="00696358"/>
    <w:rsid w:val="006C5892"/>
    <w:rsid w:val="006D0D23"/>
    <w:rsid w:val="006E0C12"/>
    <w:rsid w:val="006E42E3"/>
    <w:rsid w:val="00703D5E"/>
    <w:rsid w:val="00704CC1"/>
    <w:rsid w:val="00711B91"/>
    <w:rsid w:val="00720DC8"/>
    <w:rsid w:val="00733D94"/>
    <w:rsid w:val="0074215C"/>
    <w:rsid w:val="0074692C"/>
    <w:rsid w:val="0076281E"/>
    <w:rsid w:val="00771383"/>
    <w:rsid w:val="00780693"/>
    <w:rsid w:val="00783C8A"/>
    <w:rsid w:val="00783EBE"/>
    <w:rsid w:val="007A1F48"/>
    <w:rsid w:val="007A5105"/>
    <w:rsid w:val="007B5434"/>
    <w:rsid w:val="007D4670"/>
    <w:rsid w:val="007E4F53"/>
    <w:rsid w:val="007F311B"/>
    <w:rsid w:val="007F7F6E"/>
    <w:rsid w:val="00815646"/>
    <w:rsid w:val="00840112"/>
    <w:rsid w:val="00840E40"/>
    <w:rsid w:val="00850124"/>
    <w:rsid w:val="00875356"/>
    <w:rsid w:val="008870D4"/>
    <w:rsid w:val="008D4A2E"/>
    <w:rsid w:val="008D5942"/>
    <w:rsid w:val="008F5FD6"/>
    <w:rsid w:val="00914E9C"/>
    <w:rsid w:val="00924901"/>
    <w:rsid w:val="00927B50"/>
    <w:rsid w:val="00930448"/>
    <w:rsid w:val="00936A45"/>
    <w:rsid w:val="009750C0"/>
    <w:rsid w:val="009D2B5B"/>
    <w:rsid w:val="009D4744"/>
    <w:rsid w:val="009F50F8"/>
    <w:rsid w:val="009F70A7"/>
    <w:rsid w:val="00A25BE6"/>
    <w:rsid w:val="00A437A7"/>
    <w:rsid w:val="00A45897"/>
    <w:rsid w:val="00A4709D"/>
    <w:rsid w:val="00A63EFB"/>
    <w:rsid w:val="00A6520D"/>
    <w:rsid w:val="00A654C3"/>
    <w:rsid w:val="00A77D40"/>
    <w:rsid w:val="00AF2F72"/>
    <w:rsid w:val="00B2554B"/>
    <w:rsid w:val="00B55856"/>
    <w:rsid w:val="00B97F78"/>
    <w:rsid w:val="00BA599D"/>
    <w:rsid w:val="00BC5FD3"/>
    <w:rsid w:val="00BD0E3C"/>
    <w:rsid w:val="00BE31B4"/>
    <w:rsid w:val="00BF342B"/>
    <w:rsid w:val="00C15F19"/>
    <w:rsid w:val="00C4546C"/>
    <w:rsid w:val="00C472C7"/>
    <w:rsid w:val="00C649D7"/>
    <w:rsid w:val="00C76887"/>
    <w:rsid w:val="00C8272A"/>
    <w:rsid w:val="00CB2F61"/>
    <w:rsid w:val="00CC1416"/>
    <w:rsid w:val="00CD710B"/>
    <w:rsid w:val="00CE3557"/>
    <w:rsid w:val="00D25F6E"/>
    <w:rsid w:val="00D30211"/>
    <w:rsid w:val="00D35034"/>
    <w:rsid w:val="00DA18B1"/>
    <w:rsid w:val="00DA4B8C"/>
    <w:rsid w:val="00DB3496"/>
    <w:rsid w:val="00DB4B83"/>
    <w:rsid w:val="00DD744F"/>
    <w:rsid w:val="00DE01FF"/>
    <w:rsid w:val="00DE3C84"/>
    <w:rsid w:val="00DE447D"/>
    <w:rsid w:val="00DF66B4"/>
    <w:rsid w:val="00E12100"/>
    <w:rsid w:val="00E13A19"/>
    <w:rsid w:val="00E62A50"/>
    <w:rsid w:val="00E62FDF"/>
    <w:rsid w:val="00EB6E42"/>
    <w:rsid w:val="00EC0DB0"/>
    <w:rsid w:val="00ED53D1"/>
    <w:rsid w:val="00F043D7"/>
    <w:rsid w:val="00F05B9F"/>
    <w:rsid w:val="00F173EA"/>
    <w:rsid w:val="00F27DAE"/>
    <w:rsid w:val="00F43388"/>
    <w:rsid w:val="00F61B37"/>
    <w:rsid w:val="00F70841"/>
    <w:rsid w:val="00F8381C"/>
    <w:rsid w:val="00F83A4E"/>
    <w:rsid w:val="00F8528F"/>
    <w:rsid w:val="00F853F8"/>
    <w:rsid w:val="00F9008F"/>
    <w:rsid w:val="00FD10C8"/>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9214-477E-4EE4-B5CD-6F20BB97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4391</Words>
  <Characters>24156</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2018-07-30T14:15:00Z</cp:lastPrinted>
  <dcterms:created xsi:type="dcterms:W3CDTF">2018-07-26T13:16:00Z</dcterms:created>
  <dcterms:modified xsi:type="dcterms:W3CDTF">2018-07-30T14:15:00Z</dcterms:modified>
</cp:coreProperties>
</file>