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w:t>
      </w:r>
      <w:bookmarkStart w:id="0" w:name="_GoBack"/>
      <w:bookmarkEnd w:id="0"/>
      <w:r w:rsidRPr="0076281E">
        <w:rPr>
          <w:rFonts w:ascii="Palatino Linotype" w:hAnsi="Palatino Linotype" w:cs="Times New Roman"/>
          <w:b w:val="0"/>
          <w:sz w:val="22"/>
          <w:szCs w:val="22"/>
        </w:rPr>
        <w:t xml:space="preserve">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Default="00930448" w:rsidP="00DA18B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720E8" w:rsidRPr="00230CC0" w:rsidRDefault="00E720E8" w:rsidP="00E720E8">
      <w:pPr>
        <w:pStyle w:val="Ttulo"/>
        <w:spacing w:after="120" w:line="276" w:lineRule="auto"/>
        <w:ind w:firstLine="708"/>
        <w:jc w:val="both"/>
        <w:rPr>
          <w:rFonts w:ascii="Palatino Linotype" w:eastAsiaTheme="minorHAnsi" w:hAnsi="Palatino Linotype" w:cs="Times New Roman"/>
          <w:bCs/>
          <w:spacing w:val="0"/>
          <w:kern w:val="0"/>
          <w:sz w:val="22"/>
          <w:szCs w:val="22"/>
        </w:rPr>
      </w:pPr>
      <w:r w:rsidRPr="00230CC0">
        <w:rPr>
          <w:rFonts w:ascii="Palatino Linotype" w:eastAsiaTheme="minorHAnsi" w:hAnsi="Palatino Linotype" w:cs="Times New Roman"/>
          <w:bCs/>
          <w:spacing w:val="0"/>
          <w:kern w:val="0"/>
          <w:sz w:val="22"/>
          <w:szCs w:val="22"/>
        </w:rPr>
        <w:t xml:space="preserve">El Asentamiento Humano de Hecho y Consolidado de Interés Social denominado Comité Pro Mejoras del Barrio “Nazaret de Calderón”, tiene una consolidación de 39.39%   al inicio del proceso de regularización contaba con 8 años de existencia; sin embargo, al momento de la sanción de la presente ordenanza el asentamiento cuenta con 10 años de asentamiento y 132 beneficiarios. </w:t>
      </w:r>
    </w:p>
    <w:p w:rsidR="00E720E8" w:rsidRDefault="00E720E8" w:rsidP="00E720E8">
      <w:pPr>
        <w:spacing w:after="120" w:line="276" w:lineRule="auto"/>
        <w:ind w:firstLine="708"/>
        <w:jc w:val="both"/>
        <w:rPr>
          <w:rFonts w:ascii="Palatino Linotype" w:eastAsiaTheme="minorHAnsi" w:hAnsi="Palatino Linotype"/>
          <w:bCs/>
          <w:sz w:val="22"/>
          <w:szCs w:val="22"/>
        </w:rPr>
      </w:pPr>
      <w:r w:rsidRPr="00230CC0">
        <w:rPr>
          <w:rFonts w:ascii="Palatino Linotype" w:eastAsiaTheme="minorHAnsi" w:hAnsi="Palatino Linotype"/>
          <w:bCs/>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2305D7" w:rsidRPr="00E720E8" w:rsidRDefault="00E720E8" w:rsidP="00E720E8">
      <w:pPr>
        <w:spacing w:after="120" w:line="276" w:lineRule="auto"/>
        <w:ind w:firstLine="708"/>
        <w:jc w:val="both"/>
        <w:rPr>
          <w:rFonts w:ascii="Palatino Linotype" w:eastAsiaTheme="minorHAnsi" w:hAnsi="Palatino Linotype"/>
          <w:bCs/>
          <w:sz w:val="22"/>
          <w:szCs w:val="22"/>
        </w:rPr>
      </w:pPr>
      <w:r w:rsidRPr="00230CC0">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 Mejoras del Barrio “Nazaret de Calderón”, a fin de garantizar a los beneficiarios el ejercicio de su derecho a la vivienda y el acceso a servicios básicos de calidad</w:t>
      </w:r>
      <w:r w:rsidR="00DA18B1" w:rsidRPr="001F60EB">
        <w:rPr>
          <w:rFonts w:ascii="Palatino Linotype" w:hAnsi="Palatino Linotype"/>
          <w:sz w:val="22"/>
          <w:szCs w:val="22"/>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E720E8">
        <w:rPr>
          <w:rFonts w:ascii="Palatino Linotype" w:hAnsi="Palatino Linotype"/>
          <w:sz w:val="22"/>
          <w:szCs w:val="22"/>
        </w:rPr>
        <w:t>9</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Default="006274AF" w:rsidP="00DA18B1">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Default="003863BC"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F049FB" w:rsidRDefault="00F8528F"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r>
      <w:r w:rsidR="00E720E8" w:rsidRPr="00230CC0">
        <w:rPr>
          <w:rFonts w:ascii="Palatino Linotype" w:hAnsi="Palatino Linotype"/>
        </w:rPr>
        <w:t xml:space="preserve">la Mesa Institucional de Trabajo, reunida el 28 de septiembre de 2016 en la Administración Zonal Calderón, integrada por: el Ab. Fernando Morales, Administrador Zonal Calderón; Dr. René Prado, Director Jurídico de la Administración Zonal Calderón; Ing. Galo Erazo, Director de Gestión de Territorio de la Administración Zonal Calderón; Arq. Marcia </w:t>
      </w:r>
      <w:proofErr w:type="spellStart"/>
      <w:r w:rsidR="00E720E8" w:rsidRPr="00230CC0">
        <w:rPr>
          <w:rFonts w:ascii="Palatino Linotype" w:hAnsi="Palatino Linotype"/>
        </w:rPr>
        <w:t>Laines</w:t>
      </w:r>
      <w:proofErr w:type="spellEnd"/>
      <w:r w:rsidR="00E720E8" w:rsidRPr="00230CC0">
        <w:rPr>
          <w:rFonts w:ascii="Palatino Linotype" w:hAnsi="Palatino Linotype"/>
        </w:rPr>
        <w:t xml:space="preserve">, Delegada de la Dirección Metropolitana de Catastro; Ing. Marco </w:t>
      </w:r>
      <w:proofErr w:type="spellStart"/>
      <w:r w:rsidR="00E720E8" w:rsidRPr="00230CC0">
        <w:rPr>
          <w:rFonts w:ascii="Palatino Linotype" w:hAnsi="Palatino Linotype"/>
        </w:rPr>
        <w:t>Manobanda</w:t>
      </w:r>
      <w:proofErr w:type="spellEnd"/>
      <w:r w:rsidR="00E720E8" w:rsidRPr="00230CC0">
        <w:rPr>
          <w:rFonts w:ascii="Palatino Linotype" w:hAnsi="Palatino Linotype"/>
        </w:rPr>
        <w:t xml:space="preserve">, Delegado de la Dirección Metropolitana de Gestión de Riesgo; Arq. Elizabeth Ortiz, Delegada de la Secretaría de Territorio, Hábitat y Vivienda; Econ. Johanna </w:t>
      </w:r>
      <w:proofErr w:type="spellStart"/>
      <w:r w:rsidR="00E720E8" w:rsidRPr="00230CC0">
        <w:rPr>
          <w:rFonts w:ascii="Palatino Linotype" w:hAnsi="Palatino Linotype"/>
        </w:rPr>
        <w:t>Falconí</w:t>
      </w:r>
      <w:proofErr w:type="spellEnd"/>
      <w:r w:rsidR="00E720E8" w:rsidRPr="00230CC0">
        <w:rPr>
          <w:rFonts w:ascii="Palatino Linotype" w:hAnsi="Palatino Linotype"/>
        </w:rPr>
        <w:t xml:space="preserve">,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w:t>
      </w:r>
      <w:r w:rsidR="00E720E8" w:rsidRPr="00E720E8">
        <w:rPr>
          <w:rFonts w:ascii="Palatino Linotype" w:hAnsi="Palatino Linotype"/>
        </w:rPr>
        <w:t>No. 014-</w:t>
      </w:r>
      <w:proofErr w:type="spellStart"/>
      <w:r w:rsidR="00E720E8" w:rsidRPr="00E720E8">
        <w:rPr>
          <w:rFonts w:ascii="Palatino Linotype" w:hAnsi="Palatino Linotype"/>
        </w:rPr>
        <w:t>UERB</w:t>
      </w:r>
      <w:proofErr w:type="spellEnd"/>
      <w:r w:rsidR="00E720E8" w:rsidRPr="00E720E8">
        <w:rPr>
          <w:rFonts w:ascii="Palatino Linotype" w:hAnsi="Palatino Linotype"/>
        </w:rPr>
        <w:t>-</w:t>
      </w:r>
      <w:proofErr w:type="spellStart"/>
      <w:r w:rsidR="00E720E8" w:rsidRPr="00E720E8">
        <w:rPr>
          <w:rFonts w:ascii="Palatino Linotype" w:hAnsi="Palatino Linotype"/>
        </w:rPr>
        <w:t>AZCA</w:t>
      </w:r>
      <w:proofErr w:type="spellEnd"/>
      <w:r w:rsidR="00E720E8" w:rsidRPr="00E720E8">
        <w:rPr>
          <w:rFonts w:ascii="Palatino Linotype" w:hAnsi="Palatino Linotype"/>
        </w:rPr>
        <w:t>-</w:t>
      </w:r>
      <w:proofErr w:type="spellStart"/>
      <w:r w:rsidR="00E720E8" w:rsidRPr="00E720E8">
        <w:rPr>
          <w:rFonts w:ascii="Palatino Linotype" w:hAnsi="Palatino Linotype"/>
        </w:rPr>
        <w:t>SOLT</w:t>
      </w:r>
      <w:proofErr w:type="spellEnd"/>
      <w:r w:rsidR="00E720E8" w:rsidRPr="00E720E8">
        <w:rPr>
          <w:rFonts w:ascii="Palatino Linotype" w:hAnsi="Palatino Linotype"/>
        </w:rPr>
        <w:t>-2016</w:t>
      </w:r>
      <w:r w:rsidR="00E720E8" w:rsidRPr="00230CC0">
        <w:rPr>
          <w:rFonts w:ascii="Palatino Linotype" w:hAnsi="Palatino Linotype"/>
        </w:rPr>
        <w:t>, de fecha 28 de septiembre de 2016, habilitante de la Ordenanza de reconocimiento del</w:t>
      </w:r>
      <w:r w:rsidR="00E720E8" w:rsidRPr="00230CC0">
        <w:rPr>
          <w:rFonts w:ascii="Palatino Linotype" w:hAnsi="Palatino Linotype"/>
          <w:bCs/>
        </w:rPr>
        <w:t xml:space="preserve"> Asentamiento Humano de Hecho y Consolidado de Interés Social, denominado Comité Pro Mejoras del Barrio </w:t>
      </w:r>
      <w:r w:rsidR="00E720E8" w:rsidRPr="00230CC0">
        <w:rPr>
          <w:rFonts w:ascii="Palatino Linotype" w:hAnsi="Palatino Linotype"/>
        </w:rPr>
        <w:t>“Nazaret de Calderón”</w:t>
      </w:r>
      <w:r w:rsidR="00E720E8" w:rsidRPr="00230CC0">
        <w:rPr>
          <w:rFonts w:ascii="Palatino Linotype" w:hAnsi="Palatino Linotype"/>
          <w:bCs/>
        </w:rPr>
        <w:t xml:space="preserve"> a favor de sus copropietarios</w:t>
      </w:r>
      <w:r w:rsidR="00BC5FD3" w:rsidRPr="0076281E">
        <w:rPr>
          <w:rFonts w:ascii="Palatino Linotype" w:hAnsi="Palatino Linotype"/>
          <w:bCs/>
        </w:rPr>
        <w:t>.</w:t>
      </w:r>
    </w:p>
    <w:p w:rsidR="006274AF"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DA18B1" w:rsidRDefault="00DA18B1" w:rsidP="0013600D">
      <w:pPr>
        <w:pStyle w:val="Ttulo7"/>
        <w:spacing w:before="0" w:after="120" w:line="276" w:lineRule="auto"/>
        <w:jc w:val="center"/>
        <w:rPr>
          <w:rFonts w:ascii="Palatino Linotype" w:hAnsi="Palatino Linotype"/>
          <w:b/>
          <w:bCs/>
          <w:sz w:val="22"/>
          <w:szCs w:val="22"/>
        </w:rPr>
      </w:pPr>
      <w:r w:rsidRPr="001F60EB">
        <w:rPr>
          <w:rFonts w:ascii="Palatino Linotype" w:hAnsi="Palatino Linotype"/>
          <w:b/>
          <w:bCs/>
          <w:kern w:val="32"/>
          <w:sz w:val="22"/>
          <w:szCs w:val="22"/>
        </w:rPr>
        <w:lastRenderedPageBreak/>
        <w:t xml:space="preserve">ORDENANZA </w:t>
      </w:r>
      <w:r w:rsidR="00A43501" w:rsidRPr="00230CC0">
        <w:rPr>
          <w:rFonts w:ascii="Palatino Linotype" w:hAnsi="Palatino Linotype"/>
          <w:b/>
          <w:bCs/>
          <w:sz w:val="22"/>
          <w:szCs w:val="22"/>
        </w:rPr>
        <w:t>QUE RECONOCE Y APRUEBA EL FRACCIONAMIENTO DEL PREDIO No. 5011421  SOBRE EL QUE SE ENCUENTRA EL ASENTAMIENTO HUMANO DE HECHO Y CONSOLIDADO DE INTERÉS SOCIAL DENOMINADO COMITÉ PRO MEJORAS DEL BARRIO “NAZARET DE CALDERÓN”</w:t>
      </w:r>
      <w:r w:rsidR="00A43501">
        <w:rPr>
          <w:rFonts w:ascii="Palatino Linotype" w:hAnsi="Palatino Linotype"/>
          <w:b/>
          <w:bCs/>
          <w:sz w:val="22"/>
          <w:szCs w:val="22"/>
        </w:rPr>
        <w:t>,</w:t>
      </w:r>
      <w:r w:rsidR="00A43501" w:rsidRPr="00230CC0">
        <w:rPr>
          <w:rFonts w:ascii="Palatino Linotype" w:hAnsi="Palatino Linotype"/>
          <w:b/>
          <w:bCs/>
          <w:sz w:val="22"/>
          <w:szCs w:val="22"/>
        </w:rPr>
        <w:t xml:space="preserve"> A FAVOR DE SUS COPROPIETARIOS</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b/>
          <w:bCs/>
          <w:sz w:val="22"/>
          <w:szCs w:val="22"/>
        </w:rPr>
        <w:t xml:space="preserve">Artículo 1.- De los planos y documentos presentados.- </w:t>
      </w:r>
      <w:r w:rsidRPr="00230CC0">
        <w:rPr>
          <w:rFonts w:ascii="Palatino Linotype" w:hAnsi="Palatino Linotype"/>
          <w:sz w:val="22"/>
          <w:szCs w:val="22"/>
        </w:rPr>
        <w:t>Los planos y documentos presentados son de exclusiva responsabilidad del proyectista y de los copropietarios del 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 xml:space="preserve">“Nazaret de Calderón”, ubicado en la parroquia Calderón, </w:t>
      </w:r>
      <w:r w:rsidRPr="00230CC0">
        <w:rPr>
          <w:rFonts w:ascii="Palatino Linotype" w:hAnsi="Palatino Linotype"/>
          <w:bCs/>
          <w:sz w:val="22"/>
          <w:szCs w:val="22"/>
        </w:rPr>
        <w:t xml:space="preserve">sin </w:t>
      </w:r>
      <w:r w:rsidRPr="00230CC0">
        <w:rPr>
          <w:rFonts w:ascii="Palatino Linotype" w:hAnsi="Palatino Linotype"/>
          <w:sz w:val="22"/>
          <w:szCs w:val="22"/>
        </w:rPr>
        <w:t>perjuicio de la responsabilidad de quienes revisaron los planos y los documentos legales, excepto que hayan sido inducidos a engaño.</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Por las condiciones de asentamiento humano de hecho y consolidado, se lo aprueba considerándolo de interés social.</w:t>
      </w:r>
    </w:p>
    <w:p w:rsidR="00A43501" w:rsidRDefault="00A43501" w:rsidP="00A43501">
      <w:pPr>
        <w:spacing w:after="120" w:line="276" w:lineRule="auto"/>
        <w:jc w:val="both"/>
        <w:rPr>
          <w:rFonts w:ascii="Palatino Linotype" w:hAnsi="Palatino Linotype"/>
          <w:b/>
          <w:bCs/>
          <w:sz w:val="22"/>
          <w:szCs w:val="22"/>
        </w:rPr>
      </w:pPr>
      <w:r w:rsidRPr="00230CC0">
        <w:rPr>
          <w:rFonts w:ascii="Palatino Linotype" w:hAnsi="Palatino Linotype"/>
          <w:b/>
          <w:bCs/>
          <w:sz w:val="22"/>
          <w:szCs w:val="22"/>
        </w:rPr>
        <w:t>Artículo 2.- Especificaciones técnicas.-</w:t>
      </w:r>
    </w:p>
    <w:p w:rsidR="00A43501" w:rsidRPr="00A43501" w:rsidRDefault="00A43501" w:rsidP="00A43501">
      <w:pPr>
        <w:spacing w:after="120" w:line="276" w:lineRule="auto"/>
        <w:jc w:val="both"/>
        <w:rPr>
          <w:rFonts w:ascii="Palatino Linotype" w:hAnsi="Palatino Linotype"/>
          <w:b/>
          <w:bCs/>
          <w:sz w:val="22"/>
          <w:szCs w:val="22"/>
        </w:rPr>
      </w:pPr>
      <w:r w:rsidRPr="00230CC0">
        <w:rPr>
          <w:rFonts w:ascii="Palatino Linotype" w:hAnsi="Palatino Linotype"/>
          <w:b/>
          <w:sz w:val="22"/>
          <w:szCs w:val="22"/>
        </w:rPr>
        <w:t>Zonificación actual:</w:t>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b/>
          <w:sz w:val="22"/>
          <w:szCs w:val="22"/>
        </w:rPr>
        <w:tab/>
      </w:r>
      <w:proofErr w:type="spellStart"/>
      <w:proofErr w:type="gramStart"/>
      <w:r w:rsidRPr="00230CC0">
        <w:rPr>
          <w:rFonts w:ascii="Palatino Linotype" w:hAnsi="Palatino Linotype"/>
          <w:sz w:val="22"/>
          <w:szCs w:val="22"/>
        </w:rPr>
        <w:t>A9</w:t>
      </w:r>
      <w:proofErr w:type="spellEnd"/>
      <w:r w:rsidRPr="00230CC0">
        <w:rPr>
          <w:rFonts w:ascii="Palatino Linotype" w:hAnsi="Palatino Linotype"/>
          <w:sz w:val="22"/>
          <w:szCs w:val="22"/>
        </w:rPr>
        <w:t>(</w:t>
      </w:r>
      <w:proofErr w:type="spellStart"/>
      <w:proofErr w:type="gramEnd"/>
      <w:r w:rsidRPr="00230CC0">
        <w:rPr>
          <w:rFonts w:ascii="Palatino Linotype" w:hAnsi="Palatino Linotype"/>
          <w:sz w:val="22"/>
          <w:szCs w:val="22"/>
        </w:rPr>
        <w:t>A1003</w:t>
      </w:r>
      <w:proofErr w:type="spellEnd"/>
      <w:r w:rsidRPr="00230CC0">
        <w:rPr>
          <w:rFonts w:ascii="Palatino Linotype" w:hAnsi="Palatino Linotype"/>
          <w:sz w:val="22"/>
          <w:szCs w:val="22"/>
        </w:rPr>
        <w:t>-35)</w:t>
      </w:r>
    </w:p>
    <w:p w:rsidR="00A43501" w:rsidRPr="00230CC0" w:rsidRDefault="00A43501" w:rsidP="00A43501">
      <w:pPr>
        <w:spacing w:after="120" w:line="276" w:lineRule="auto"/>
        <w:contextualSpacing/>
        <w:jc w:val="both"/>
        <w:rPr>
          <w:rFonts w:ascii="Palatino Linotype" w:hAnsi="Palatino Linotype"/>
          <w:sz w:val="22"/>
          <w:szCs w:val="22"/>
          <w:vertAlign w:val="superscript"/>
        </w:rPr>
      </w:pPr>
      <w:r w:rsidRPr="00230CC0">
        <w:rPr>
          <w:rFonts w:ascii="Palatino Linotype" w:hAnsi="Palatino Linotype"/>
          <w:b/>
          <w:sz w:val="22"/>
          <w:szCs w:val="22"/>
        </w:rPr>
        <w:t>Lote mínimo:</w:t>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sz w:val="22"/>
          <w:szCs w:val="22"/>
        </w:rPr>
        <w:t>1</w:t>
      </w:r>
      <w:r>
        <w:rPr>
          <w:rFonts w:ascii="Palatino Linotype" w:hAnsi="Palatino Linotype"/>
          <w:sz w:val="22"/>
          <w:szCs w:val="22"/>
        </w:rPr>
        <w:t>.</w:t>
      </w:r>
      <w:r w:rsidRPr="00230CC0">
        <w:rPr>
          <w:rFonts w:ascii="Palatino Linotype" w:hAnsi="Palatino Linotype"/>
          <w:sz w:val="22"/>
          <w:szCs w:val="22"/>
        </w:rPr>
        <w:t xml:space="preserve">000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p>
    <w:p w:rsidR="00A43501" w:rsidRPr="00230CC0" w:rsidRDefault="00A43501" w:rsidP="00A43501">
      <w:pPr>
        <w:pStyle w:val="Ttulo3"/>
        <w:spacing w:before="0" w:after="120" w:line="276" w:lineRule="auto"/>
        <w:jc w:val="both"/>
        <w:rPr>
          <w:rFonts w:ascii="Palatino Linotype" w:hAnsi="Palatino Linotype" w:cs="Times New Roman"/>
          <w:b w:val="0"/>
          <w:sz w:val="22"/>
          <w:szCs w:val="22"/>
        </w:rPr>
      </w:pPr>
      <w:r w:rsidRPr="00230CC0">
        <w:rPr>
          <w:rFonts w:ascii="Palatino Linotype" w:hAnsi="Palatino Linotype" w:cs="Times New Roman"/>
          <w:sz w:val="22"/>
          <w:szCs w:val="22"/>
        </w:rPr>
        <w:t>Forma ocupación del suelo:</w:t>
      </w:r>
      <w:r w:rsidRPr="00230CC0">
        <w:rPr>
          <w:rFonts w:ascii="Palatino Linotype" w:hAnsi="Palatino Linotype" w:cs="Times New Roman"/>
          <w:sz w:val="22"/>
          <w:szCs w:val="22"/>
        </w:rPr>
        <w:tab/>
        <w:t xml:space="preserve">            </w:t>
      </w:r>
      <w:r w:rsidRPr="00230CC0">
        <w:rPr>
          <w:rFonts w:ascii="Palatino Linotype" w:hAnsi="Palatino Linotype" w:cs="Times New Roman"/>
          <w:sz w:val="22"/>
          <w:szCs w:val="22"/>
        </w:rPr>
        <w:tab/>
      </w:r>
      <w:r w:rsidRPr="00230CC0">
        <w:rPr>
          <w:rFonts w:ascii="Palatino Linotype" w:hAnsi="Palatino Linotype" w:cs="Times New Roman"/>
          <w:sz w:val="22"/>
          <w:szCs w:val="22"/>
        </w:rPr>
        <w:tab/>
      </w:r>
      <w:r w:rsidRPr="00230CC0">
        <w:rPr>
          <w:rFonts w:ascii="Palatino Linotype" w:hAnsi="Palatino Linotype" w:cs="Times New Roman"/>
          <w:b w:val="0"/>
          <w:sz w:val="22"/>
          <w:szCs w:val="22"/>
        </w:rPr>
        <w:t>(A) Aislada</w:t>
      </w:r>
    </w:p>
    <w:p w:rsidR="00A43501" w:rsidRPr="00230CC0" w:rsidRDefault="00A43501" w:rsidP="00A43501">
      <w:pPr>
        <w:spacing w:after="120" w:line="276" w:lineRule="auto"/>
        <w:ind w:left="4245" w:hanging="4245"/>
        <w:jc w:val="both"/>
        <w:rPr>
          <w:rFonts w:ascii="Palatino Linotype" w:hAnsi="Palatino Linotype"/>
          <w:color w:val="000000"/>
          <w:sz w:val="22"/>
          <w:szCs w:val="22"/>
        </w:rPr>
      </w:pPr>
      <w:r w:rsidRPr="00230CC0">
        <w:rPr>
          <w:rFonts w:ascii="Palatino Linotype" w:hAnsi="Palatino Linotype"/>
          <w:b/>
          <w:sz w:val="22"/>
          <w:szCs w:val="22"/>
        </w:rPr>
        <w:t>Uso principal:</w:t>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sz w:val="22"/>
          <w:szCs w:val="22"/>
        </w:rPr>
        <w:t>(</w:t>
      </w:r>
      <w:proofErr w:type="spellStart"/>
      <w:r w:rsidRPr="00230CC0">
        <w:rPr>
          <w:rFonts w:ascii="Palatino Linotype" w:hAnsi="Palatino Linotype"/>
          <w:sz w:val="22"/>
          <w:szCs w:val="22"/>
        </w:rPr>
        <w:t>RU2</w:t>
      </w:r>
      <w:proofErr w:type="spellEnd"/>
      <w:r w:rsidRPr="00230CC0">
        <w:rPr>
          <w:rFonts w:ascii="Palatino Linotype" w:hAnsi="Palatino Linotype"/>
          <w:sz w:val="22"/>
          <w:szCs w:val="22"/>
        </w:rPr>
        <w:t>) Residencial Urbano 2</w:t>
      </w:r>
    </w:p>
    <w:p w:rsidR="00A43501" w:rsidRPr="00230CC0" w:rsidRDefault="00A43501" w:rsidP="00A43501">
      <w:pPr>
        <w:pStyle w:val="Ttulo3"/>
        <w:spacing w:before="0" w:after="120" w:line="276" w:lineRule="auto"/>
        <w:jc w:val="both"/>
        <w:rPr>
          <w:rFonts w:ascii="Palatino Linotype" w:hAnsi="Palatino Linotype" w:cs="Times New Roman"/>
          <w:b w:val="0"/>
          <w:sz w:val="22"/>
          <w:szCs w:val="22"/>
        </w:rPr>
      </w:pPr>
      <w:r w:rsidRPr="00230CC0">
        <w:rPr>
          <w:rFonts w:ascii="Palatino Linotype" w:hAnsi="Palatino Linotype" w:cs="Times New Roman"/>
          <w:sz w:val="22"/>
          <w:szCs w:val="22"/>
        </w:rPr>
        <w:t xml:space="preserve">Clasificación del </w:t>
      </w:r>
      <w:r>
        <w:rPr>
          <w:rFonts w:ascii="Palatino Linotype" w:hAnsi="Palatino Linotype" w:cs="Times New Roman"/>
          <w:sz w:val="22"/>
          <w:szCs w:val="22"/>
        </w:rPr>
        <w:t>s</w:t>
      </w:r>
      <w:r w:rsidRPr="00230CC0">
        <w:rPr>
          <w:rFonts w:ascii="Palatino Linotype" w:hAnsi="Palatino Linotype" w:cs="Times New Roman"/>
          <w:sz w:val="22"/>
          <w:szCs w:val="22"/>
        </w:rPr>
        <w:t>uelo</w:t>
      </w:r>
      <w:r w:rsidRPr="00230CC0">
        <w:rPr>
          <w:rFonts w:ascii="Palatino Linotype" w:hAnsi="Palatino Linotype" w:cs="Times New Roman"/>
          <w:b w:val="0"/>
          <w:sz w:val="22"/>
          <w:szCs w:val="22"/>
        </w:rPr>
        <w:t xml:space="preserve">:                              </w:t>
      </w:r>
      <w:r w:rsidRPr="00230CC0">
        <w:rPr>
          <w:rFonts w:ascii="Palatino Linotype" w:hAnsi="Palatino Linotype" w:cs="Times New Roman"/>
          <w:b w:val="0"/>
          <w:sz w:val="22"/>
          <w:szCs w:val="22"/>
        </w:rPr>
        <w:tab/>
        <w:t>(SU) Suelo Urbano</w:t>
      </w:r>
    </w:p>
    <w:p w:rsidR="00A43501" w:rsidRPr="00230CC0" w:rsidRDefault="00A43501" w:rsidP="00A43501">
      <w:pPr>
        <w:pStyle w:val="Ttulo3"/>
        <w:spacing w:before="0" w:after="120" w:line="276" w:lineRule="auto"/>
        <w:jc w:val="both"/>
        <w:rPr>
          <w:rFonts w:ascii="Palatino Linotype" w:hAnsi="Palatino Linotype" w:cs="Times New Roman"/>
          <w:b w:val="0"/>
          <w:sz w:val="22"/>
          <w:szCs w:val="22"/>
        </w:rPr>
      </w:pPr>
      <w:r w:rsidRPr="00230CC0">
        <w:rPr>
          <w:rFonts w:ascii="Palatino Linotype" w:hAnsi="Palatino Linotype" w:cs="Times New Roman"/>
          <w:sz w:val="22"/>
          <w:szCs w:val="22"/>
        </w:rPr>
        <w:t>Número de lotes:</w:t>
      </w:r>
      <w:r w:rsidRPr="00230CC0">
        <w:rPr>
          <w:rFonts w:ascii="Palatino Linotype" w:hAnsi="Palatino Linotype" w:cs="Times New Roman"/>
          <w:sz w:val="22"/>
          <w:szCs w:val="22"/>
        </w:rPr>
        <w:tab/>
      </w:r>
      <w:r w:rsidRPr="00230CC0">
        <w:rPr>
          <w:rFonts w:ascii="Palatino Linotype" w:hAnsi="Palatino Linotype" w:cs="Times New Roman"/>
          <w:sz w:val="22"/>
          <w:szCs w:val="22"/>
        </w:rPr>
        <w:tab/>
      </w:r>
      <w:r w:rsidRPr="00230CC0">
        <w:rPr>
          <w:rFonts w:ascii="Palatino Linotype" w:hAnsi="Palatino Linotype" w:cs="Times New Roman"/>
          <w:sz w:val="22"/>
          <w:szCs w:val="22"/>
        </w:rPr>
        <w:tab/>
        <w:t xml:space="preserve">           </w:t>
      </w:r>
      <w:r w:rsidRPr="00230CC0">
        <w:rPr>
          <w:rFonts w:ascii="Palatino Linotype" w:hAnsi="Palatino Linotype" w:cs="Times New Roman"/>
          <w:sz w:val="22"/>
          <w:szCs w:val="22"/>
        </w:rPr>
        <w:tab/>
      </w:r>
      <w:r w:rsidRPr="00230CC0">
        <w:rPr>
          <w:rFonts w:ascii="Palatino Linotype" w:hAnsi="Palatino Linotype" w:cs="Times New Roman"/>
          <w:b w:val="0"/>
          <w:sz w:val="22"/>
          <w:szCs w:val="22"/>
        </w:rPr>
        <w:t>33</w:t>
      </w:r>
    </w:p>
    <w:p w:rsidR="00A43501" w:rsidRPr="00230CC0" w:rsidRDefault="00A43501" w:rsidP="00A43501">
      <w:pPr>
        <w:pStyle w:val="Ttulo3"/>
        <w:spacing w:before="0" w:after="120" w:line="276" w:lineRule="auto"/>
        <w:jc w:val="both"/>
        <w:rPr>
          <w:rFonts w:ascii="Palatino Linotype" w:hAnsi="Palatino Linotype" w:cs="Times New Roman"/>
          <w:b w:val="0"/>
          <w:sz w:val="22"/>
          <w:szCs w:val="22"/>
          <w:vertAlign w:val="superscript"/>
        </w:rPr>
      </w:pPr>
      <w:r w:rsidRPr="00230CC0">
        <w:rPr>
          <w:rFonts w:ascii="Palatino Linotype" w:hAnsi="Palatino Linotype" w:cs="Times New Roman"/>
          <w:sz w:val="22"/>
          <w:szCs w:val="22"/>
        </w:rPr>
        <w:t>Área útil de lotes:</w:t>
      </w:r>
      <w:r w:rsidRPr="00230CC0">
        <w:rPr>
          <w:rFonts w:ascii="Palatino Linotype" w:hAnsi="Palatino Linotype" w:cs="Times New Roman"/>
          <w:sz w:val="22"/>
          <w:szCs w:val="22"/>
        </w:rPr>
        <w:tab/>
      </w:r>
      <w:r w:rsidRPr="00230CC0">
        <w:rPr>
          <w:rFonts w:ascii="Palatino Linotype" w:hAnsi="Palatino Linotype" w:cs="Times New Roman"/>
          <w:sz w:val="22"/>
          <w:szCs w:val="22"/>
        </w:rPr>
        <w:tab/>
        <w:t xml:space="preserve">        </w:t>
      </w:r>
      <w:r w:rsidRPr="00230CC0">
        <w:rPr>
          <w:rFonts w:ascii="Palatino Linotype" w:hAnsi="Palatino Linotype" w:cs="Times New Roman"/>
          <w:sz w:val="22"/>
          <w:szCs w:val="22"/>
        </w:rPr>
        <w:tab/>
      </w:r>
      <w:r w:rsidRPr="00230CC0">
        <w:rPr>
          <w:rFonts w:ascii="Palatino Linotype" w:hAnsi="Palatino Linotype" w:cs="Times New Roman"/>
          <w:b w:val="0"/>
          <w:sz w:val="22"/>
          <w:szCs w:val="22"/>
        </w:rPr>
        <w:t xml:space="preserve">           </w:t>
      </w:r>
      <w:r w:rsidRPr="00230CC0">
        <w:rPr>
          <w:rFonts w:ascii="Palatino Linotype" w:hAnsi="Palatino Linotype" w:cs="Times New Roman"/>
          <w:b w:val="0"/>
          <w:sz w:val="22"/>
          <w:szCs w:val="22"/>
        </w:rPr>
        <w:tab/>
        <w:t>6.711,37</w:t>
      </w:r>
      <w:r>
        <w:rPr>
          <w:rFonts w:ascii="Palatino Linotype" w:hAnsi="Palatino Linotype" w:cs="Times New Roman"/>
          <w:b w:val="0"/>
          <w:sz w:val="22"/>
          <w:szCs w:val="22"/>
        </w:rPr>
        <w:t xml:space="preserve"> </w:t>
      </w:r>
      <w:proofErr w:type="spellStart"/>
      <w:r w:rsidRPr="00A43501">
        <w:rPr>
          <w:rFonts w:ascii="Palatino Linotype" w:hAnsi="Palatino Linotype"/>
          <w:b w:val="0"/>
          <w:sz w:val="22"/>
          <w:szCs w:val="22"/>
        </w:rPr>
        <w:t>m</w:t>
      </w:r>
      <w:r w:rsidRPr="00230CC0">
        <w:rPr>
          <w:rFonts w:ascii="Palatino Linotype" w:hAnsi="Palatino Linotype"/>
          <w:sz w:val="22"/>
          <w:szCs w:val="22"/>
          <w:vertAlign w:val="superscript"/>
        </w:rPr>
        <w:t>2</w:t>
      </w:r>
      <w:proofErr w:type="spellEnd"/>
    </w:p>
    <w:p w:rsidR="00A43501" w:rsidRPr="00230CC0" w:rsidRDefault="00A43501" w:rsidP="00A43501">
      <w:pPr>
        <w:pStyle w:val="Ttulo3"/>
        <w:spacing w:before="0" w:after="120" w:line="276" w:lineRule="auto"/>
        <w:jc w:val="both"/>
        <w:rPr>
          <w:rFonts w:ascii="Palatino Linotype" w:eastAsia="Calibri" w:hAnsi="Palatino Linotype" w:cs="Times New Roman"/>
          <w:b w:val="0"/>
          <w:kern w:val="24"/>
          <w:sz w:val="22"/>
          <w:szCs w:val="22"/>
        </w:rPr>
      </w:pPr>
      <w:r w:rsidRPr="00230CC0">
        <w:rPr>
          <w:rFonts w:ascii="Palatino Linotype" w:hAnsi="Palatino Linotype" w:cs="Times New Roman"/>
          <w:sz w:val="22"/>
          <w:szCs w:val="22"/>
        </w:rPr>
        <w:t>Área de vías y pasajes:</w:t>
      </w:r>
      <w:r w:rsidRPr="00230CC0">
        <w:rPr>
          <w:rFonts w:ascii="Palatino Linotype" w:hAnsi="Palatino Linotype" w:cs="Times New Roman"/>
          <w:sz w:val="22"/>
          <w:szCs w:val="22"/>
        </w:rPr>
        <w:tab/>
      </w:r>
      <w:r w:rsidRPr="00230CC0">
        <w:rPr>
          <w:rFonts w:ascii="Palatino Linotype" w:hAnsi="Palatino Linotype" w:cs="Times New Roman"/>
          <w:sz w:val="22"/>
          <w:szCs w:val="22"/>
        </w:rPr>
        <w:tab/>
        <w:t xml:space="preserve">           </w:t>
      </w:r>
      <w:r w:rsidRPr="00230CC0">
        <w:rPr>
          <w:rFonts w:ascii="Palatino Linotype" w:hAnsi="Palatino Linotype" w:cs="Times New Roman"/>
          <w:sz w:val="22"/>
          <w:szCs w:val="22"/>
        </w:rPr>
        <w:tab/>
      </w:r>
      <w:r w:rsidRPr="00230CC0">
        <w:rPr>
          <w:rFonts w:ascii="Palatino Linotype" w:eastAsia="Calibri" w:hAnsi="Palatino Linotype" w:cs="Times New Roman"/>
          <w:b w:val="0"/>
          <w:kern w:val="24"/>
          <w:sz w:val="22"/>
          <w:szCs w:val="22"/>
        </w:rPr>
        <w:t>1.707,83</w:t>
      </w:r>
      <w:r>
        <w:rPr>
          <w:rFonts w:ascii="Palatino Linotype" w:eastAsia="Calibri" w:hAnsi="Palatino Linotype" w:cs="Times New Roman"/>
          <w:b w:val="0"/>
          <w:kern w:val="24"/>
          <w:sz w:val="22"/>
          <w:szCs w:val="22"/>
        </w:rPr>
        <w:t xml:space="preserve"> </w:t>
      </w:r>
      <w:proofErr w:type="spellStart"/>
      <w:r w:rsidRPr="00A43501">
        <w:rPr>
          <w:rFonts w:ascii="Palatino Linotype" w:hAnsi="Palatino Linotype"/>
          <w:b w:val="0"/>
          <w:sz w:val="22"/>
          <w:szCs w:val="22"/>
        </w:rPr>
        <w:t>m</w:t>
      </w:r>
      <w:r w:rsidRPr="00A43501">
        <w:rPr>
          <w:rFonts w:ascii="Palatino Linotype" w:hAnsi="Palatino Linotype"/>
          <w:b w:val="0"/>
          <w:sz w:val="22"/>
          <w:szCs w:val="22"/>
          <w:vertAlign w:val="superscript"/>
        </w:rPr>
        <w:t>2</w:t>
      </w:r>
      <w:proofErr w:type="spellEnd"/>
    </w:p>
    <w:p w:rsidR="00A43501" w:rsidRPr="00230CC0" w:rsidRDefault="00A43501" w:rsidP="00A43501">
      <w:pPr>
        <w:spacing w:after="120" w:line="276" w:lineRule="auto"/>
        <w:jc w:val="both"/>
        <w:rPr>
          <w:rFonts w:ascii="Palatino Linotype" w:eastAsia="Calibri" w:hAnsi="Palatino Linotype"/>
          <w:bCs/>
          <w:kern w:val="24"/>
          <w:sz w:val="22"/>
          <w:szCs w:val="22"/>
        </w:rPr>
      </w:pPr>
      <w:r w:rsidRPr="00230CC0">
        <w:rPr>
          <w:rFonts w:ascii="Palatino Linotype" w:hAnsi="Palatino Linotype"/>
          <w:b/>
          <w:sz w:val="22"/>
          <w:szCs w:val="22"/>
        </w:rPr>
        <w:t>Área verde y de equipamiento:</w:t>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hAnsi="Palatino Linotype"/>
          <w:sz w:val="22"/>
          <w:szCs w:val="22"/>
        </w:rPr>
        <w:t>1.080,50</w:t>
      </w:r>
      <w:r>
        <w:rPr>
          <w:rFonts w:ascii="Palatino Linotype" w:eastAsia="Calibri" w:hAnsi="Palatino Linotype"/>
          <w:bCs/>
          <w:kern w:val="24"/>
          <w:sz w:val="22"/>
          <w:szCs w:val="22"/>
        </w:rPr>
        <w:t xml:space="preserve">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p>
    <w:p w:rsidR="00A43501" w:rsidRPr="00230CC0" w:rsidRDefault="00A43501" w:rsidP="00A43501">
      <w:pPr>
        <w:spacing w:after="120" w:line="276" w:lineRule="auto"/>
        <w:jc w:val="both"/>
        <w:rPr>
          <w:rFonts w:ascii="Palatino Linotype" w:eastAsia="Calibri" w:hAnsi="Palatino Linotype"/>
          <w:bCs/>
          <w:kern w:val="24"/>
          <w:sz w:val="22"/>
          <w:szCs w:val="22"/>
        </w:rPr>
      </w:pPr>
      <w:r w:rsidRPr="00230CC0">
        <w:rPr>
          <w:rFonts w:ascii="Palatino Linotype" w:hAnsi="Palatino Linotype"/>
          <w:b/>
          <w:sz w:val="22"/>
          <w:szCs w:val="22"/>
        </w:rPr>
        <w:t>Área de afectación vial en lotes:</w:t>
      </w:r>
      <w:r w:rsidRPr="00230CC0">
        <w:rPr>
          <w:rFonts w:ascii="Palatino Linotype" w:hAnsi="Palatino Linotype"/>
          <w:b/>
          <w:sz w:val="22"/>
          <w:szCs w:val="22"/>
        </w:rPr>
        <w:tab/>
      </w:r>
      <w:r w:rsidRPr="00230CC0">
        <w:rPr>
          <w:rFonts w:ascii="Palatino Linotype" w:hAnsi="Palatino Linotype"/>
          <w:b/>
          <w:sz w:val="22"/>
          <w:szCs w:val="22"/>
        </w:rPr>
        <w:tab/>
      </w:r>
      <w:r w:rsidRPr="00230CC0">
        <w:rPr>
          <w:rFonts w:ascii="Palatino Linotype" w:eastAsia="Calibri" w:hAnsi="Palatino Linotype"/>
          <w:bCs/>
          <w:kern w:val="24"/>
          <w:sz w:val="22"/>
          <w:szCs w:val="22"/>
        </w:rPr>
        <w:t>487,18</w:t>
      </w:r>
      <w:r>
        <w:rPr>
          <w:rFonts w:ascii="Palatino Linotype" w:eastAsia="Calibri" w:hAnsi="Palatino Linotype"/>
          <w:bCs/>
          <w:kern w:val="24"/>
          <w:sz w:val="22"/>
          <w:szCs w:val="22"/>
        </w:rPr>
        <w:t xml:space="preserve">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p>
    <w:p w:rsidR="00A43501" w:rsidRPr="00230CC0" w:rsidRDefault="00A43501" w:rsidP="00A43501">
      <w:pPr>
        <w:tabs>
          <w:tab w:val="left" w:pos="4253"/>
          <w:tab w:val="center" w:pos="4394"/>
        </w:tabs>
        <w:spacing w:after="120" w:line="276" w:lineRule="auto"/>
        <w:jc w:val="both"/>
        <w:rPr>
          <w:rFonts w:ascii="Palatino Linotype" w:hAnsi="Palatino Linotype"/>
          <w:sz w:val="22"/>
          <w:szCs w:val="22"/>
          <w:highlight w:val="yellow"/>
        </w:rPr>
      </w:pPr>
      <w:r w:rsidRPr="00230CC0">
        <w:rPr>
          <w:rFonts w:ascii="Palatino Linotype" w:hAnsi="Palatino Linotype"/>
          <w:b/>
          <w:sz w:val="22"/>
          <w:szCs w:val="22"/>
        </w:rPr>
        <w:t>Área total de lote:</w:t>
      </w:r>
      <w:r w:rsidRPr="00230CC0">
        <w:rPr>
          <w:rFonts w:ascii="Palatino Linotype" w:hAnsi="Palatino Linotype"/>
          <w:sz w:val="22"/>
          <w:szCs w:val="22"/>
        </w:rPr>
        <w:tab/>
      </w:r>
      <w:r w:rsidRPr="00230CC0">
        <w:rPr>
          <w:rFonts w:ascii="Palatino Linotype" w:eastAsia="Calibri" w:hAnsi="Palatino Linotype"/>
          <w:bCs/>
          <w:kern w:val="24"/>
          <w:sz w:val="22"/>
          <w:szCs w:val="22"/>
        </w:rPr>
        <w:t>9.986,88</w:t>
      </w:r>
      <w:r>
        <w:rPr>
          <w:rFonts w:ascii="Palatino Linotype" w:eastAsia="Calibri" w:hAnsi="Palatino Linotype"/>
          <w:bCs/>
          <w:kern w:val="24"/>
          <w:sz w:val="22"/>
          <w:szCs w:val="22"/>
        </w:rPr>
        <w:t xml:space="preserve">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p>
    <w:p w:rsidR="00A43501"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lastRenderedPageBreak/>
        <w:t>El número total de lotes es de 33, signados del uno (1) al treinta y tres (33), cuyo detalle es el que consta en los planos aprobatorios que forman parte de la presente Ordenanza.</w:t>
      </w:r>
    </w:p>
    <w:p w:rsidR="00A43501" w:rsidRDefault="00A43501" w:rsidP="00A43501">
      <w:pPr>
        <w:spacing w:after="120" w:line="276" w:lineRule="auto"/>
        <w:jc w:val="both"/>
        <w:rPr>
          <w:rFonts w:ascii="Palatino Linotype" w:hAnsi="Palatino Linotype"/>
          <w:sz w:val="22"/>
          <w:szCs w:val="22"/>
        </w:rPr>
      </w:pPr>
      <w:r w:rsidRPr="00230CC0">
        <w:rPr>
          <w:rFonts w:ascii="Palatino Linotype" w:hAnsi="Palatino Linotype"/>
          <w:b/>
          <w:bCs/>
          <w:sz w:val="22"/>
          <w:szCs w:val="22"/>
        </w:rPr>
        <w:t xml:space="preserve">Artículo 3.- Zonificación de los lotes.- </w:t>
      </w:r>
      <w:r w:rsidRPr="00230CC0">
        <w:rPr>
          <w:rFonts w:ascii="Palatino Linotype" w:hAnsi="Palatino Linotype"/>
          <w:bCs/>
          <w:sz w:val="22"/>
          <w:szCs w:val="22"/>
        </w:rPr>
        <w:t>Se modificará la zonificación</w:t>
      </w:r>
      <w:r w:rsidRPr="00230CC0">
        <w:rPr>
          <w:rFonts w:ascii="Palatino Linotype" w:hAnsi="Palatino Linotype"/>
          <w:sz w:val="22"/>
          <w:szCs w:val="22"/>
          <w:lang w:val="es-EC"/>
        </w:rPr>
        <w:t xml:space="preserve"> par</w:t>
      </w:r>
      <w:r w:rsidRPr="00230CC0">
        <w:rPr>
          <w:rFonts w:ascii="Palatino Linotype" w:hAnsi="Palatino Linotype"/>
          <w:bCs/>
          <w:sz w:val="22"/>
          <w:szCs w:val="22"/>
        </w:rPr>
        <w:t xml:space="preserve">a los 33 lotes, conforme se detalla a continuación: </w:t>
      </w:r>
      <w:proofErr w:type="spellStart"/>
      <w:r w:rsidRPr="00230CC0">
        <w:rPr>
          <w:rFonts w:ascii="Palatino Linotype" w:hAnsi="Palatino Linotype"/>
          <w:sz w:val="22"/>
          <w:szCs w:val="22"/>
        </w:rPr>
        <w:t>D3</w:t>
      </w:r>
      <w:proofErr w:type="spellEnd"/>
      <w:r w:rsidRPr="00230CC0">
        <w:rPr>
          <w:rFonts w:ascii="Palatino Linotype" w:hAnsi="Palatino Linotype"/>
          <w:sz w:val="22"/>
          <w:szCs w:val="22"/>
        </w:rPr>
        <w:t xml:space="preserve"> (</w:t>
      </w:r>
      <w:proofErr w:type="spellStart"/>
      <w:r w:rsidRPr="00230CC0">
        <w:rPr>
          <w:rFonts w:ascii="Palatino Linotype" w:hAnsi="Palatino Linotype"/>
          <w:sz w:val="22"/>
          <w:szCs w:val="22"/>
        </w:rPr>
        <w:t>D203</w:t>
      </w:r>
      <w:proofErr w:type="spellEnd"/>
      <w:r w:rsidRPr="00230CC0">
        <w:rPr>
          <w:rFonts w:ascii="Palatino Linotype" w:hAnsi="Palatino Linotype"/>
          <w:sz w:val="22"/>
          <w:szCs w:val="22"/>
        </w:rPr>
        <w:t xml:space="preserve">-80); forma de ocupación: (D) sobre línea de fábrica; lote mínimo 200,00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r w:rsidRPr="00230CC0">
        <w:rPr>
          <w:rFonts w:ascii="Palatino Linotype" w:hAnsi="Palatino Linotype"/>
          <w:sz w:val="22"/>
          <w:szCs w:val="22"/>
        </w:rPr>
        <w:t xml:space="preserve">; número de pisos: 3 pisos; </w:t>
      </w:r>
      <w:proofErr w:type="spellStart"/>
      <w:r w:rsidRPr="00230CC0">
        <w:rPr>
          <w:rFonts w:ascii="Palatino Linotype" w:hAnsi="Palatino Linotype"/>
          <w:sz w:val="22"/>
          <w:szCs w:val="22"/>
        </w:rPr>
        <w:t>COS</w:t>
      </w:r>
      <w:proofErr w:type="spellEnd"/>
      <w:r w:rsidRPr="00230CC0">
        <w:rPr>
          <w:rFonts w:ascii="Palatino Linotype" w:hAnsi="Palatino Linotype"/>
          <w:sz w:val="22"/>
          <w:szCs w:val="22"/>
        </w:rPr>
        <w:t xml:space="preserve"> planta baja 80%, </w:t>
      </w:r>
      <w:proofErr w:type="spellStart"/>
      <w:r w:rsidRPr="00230CC0">
        <w:rPr>
          <w:rFonts w:ascii="Palatino Linotype" w:hAnsi="Palatino Linotype"/>
          <w:sz w:val="22"/>
          <w:szCs w:val="22"/>
        </w:rPr>
        <w:t>COS</w:t>
      </w:r>
      <w:proofErr w:type="spellEnd"/>
      <w:r w:rsidRPr="00230CC0">
        <w:rPr>
          <w:rFonts w:ascii="Palatino Linotype" w:hAnsi="Palatino Linotype"/>
          <w:sz w:val="22"/>
          <w:szCs w:val="22"/>
        </w:rPr>
        <w:t xml:space="preserve"> total 240%; Uso principal: (</w:t>
      </w:r>
      <w:proofErr w:type="spellStart"/>
      <w:r w:rsidRPr="00230CC0">
        <w:rPr>
          <w:rFonts w:ascii="Palatino Linotype" w:hAnsi="Palatino Linotype"/>
          <w:sz w:val="22"/>
          <w:szCs w:val="22"/>
        </w:rPr>
        <w:t>RU2</w:t>
      </w:r>
      <w:proofErr w:type="spellEnd"/>
      <w:r w:rsidRPr="00230CC0">
        <w:rPr>
          <w:rFonts w:ascii="Palatino Linotype" w:hAnsi="Palatino Linotype"/>
          <w:sz w:val="22"/>
          <w:szCs w:val="22"/>
        </w:rPr>
        <w:t>) Residencial urbano 2.</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b/>
          <w:sz w:val="22"/>
          <w:szCs w:val="22"/>
        </w:rPr>
        <w:t xml:space="preserve">Artículo 4.- Clasificación del </w:t>
      </w:r>
      <w:r>
        <w:rPr>
          <w:rFonts w:ascii="Palatino Linotype" w:hAnsi="Palatino Linotype"/>
          <w:b/>
          <w:sz w:val="22"/>
          <w:szCs w:val="22"/>
        </w:rPr>
        <w:t>s</w:t>
      </w:r>
      <w:r w:rsidRPr="00230CC0">
        <w:rPr>
          <w:rFonts w:ascii="Palatino Linotype" w:hAnsi="Palatino Linotype"/>
          <w:b/>
          <w:sz w:val="22"/>
          <w:szCs w:val="22"/>
        </w:rPr>
        <w:t xml:space="preserve">uelo.- </w:t>
      </w:r>
      <w:r w:rsidRPr="00230CC0">
        <w:rPr>
          <w:rFonts w:ascii="Palatino Linotype" w:hAnsi="Palatino Linotype"/>
          <w:sz w:val="22"/>
          <w:szCs w:val="22"/>
        </w:rPr>
        <w:t>Los lotes fraccionados mantendrán la clasificación vigente esto es (SU) Suelo Urbano.</w:t>
      </w:r>
    </w:p>
    <w:p w:rsidR="00A43501" w:rsidRPr="00230CC0" w:rsidRDefault="00A43501" w:rsidP="00A43501">
      <w:pPr>
        <w:spacing w:after="120" w:line="276" w:lineRule="auto"/>
        <w:contextualSpacing/>
        <w:jc w:val="both"/>
        <w:rPr>
          <w:rFonts w:ascii="Palatino Linotype" w:hAnsi="Palatino Linotype"/>
          <w:b/>
          <w:sz w:val="22"/>
          <w:szCs w:val="22"/>
        </w:rPr>
      </w:pPr>
      <w:r w:rsidRPr="00230CC0">
        <w:rPr>
          <w:rFonts w:ascii="Palatino Linotype" w:hAnsi="Palatino Linotype"/>
          <w:b/>
          <w:sz w:val="22"/>
          <w:szCs w:val="22"/>
        </w:rPr>
        <w:t xml:space="preserve">Artículo 5.- </w:t>
      </w:r>
      <w:r w:rsidRPr="00230CC0">
        <w:rPr>
          <w:rFonts w:ascii="Palatino Linotype" w:hAnsi="Palatino Linotype"/>
          <w:b/>
          <w:bCs/>
          <w:sz w:val="22"/>
          <w:szCs w:val="22"/>
        </w:rPr>
        <w:t>Del área verde y área de equipamiento comunal</w:t>
      </w:r>
      <w:r w:rsidRPr="00230CC0">
        <w:rPr>
          <w:rFonts w:ascii="Palatino Linotype" w:hAnsi="Palatino Linotype"/>
          <w:bCs/>
          <w:sz w:val="22"/>
          <w:szCs w:val="22"/>
        </w:rPr>
        <w:t xml:space="preserve">.- Los copropietarios del </w:t>
      </w:r>
      <w:r w:rsidRPr="00230CC0">
        <w:rPr>
          <w:rFonts w:ascii="Palatino Linotype" w:hAnsi="Palatino Linotype"/>
          <w:sz w:val="22"/>
          <w:szCs w:val="22"/>
        </w:rPr>
        <w:t>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 xml:space="preserve">“Nazaret de Calderón”, transfieren al Municipio del Distrito Metropolitano de Quito como contribución de áreas verdes y áreas de equipamiento comunal, un área total de 1.080,50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r w:rsidRPr="00230CC0">
        <w:rPr>
          <w:rFonts w:ascii="Palatino Linotype" w:hAnsi="Palatino Linotype"/>
          <w:sz w:val="22"/>
          <w:szCs w:val="22"/>
          <w:vertAlign w:val="superscript"/>
        </w:rPr>
        <w:t xml:space="preserve">  </w:t>
      </w:r>
      <w:r w:rsidRPr="00230CC0">
        <w:rPr>
          <w:rFonts w:ascii="Palatino Linotype" w:hAnsi="Palatino Linotype"/>
          <w:sz w:val="22"/>
          <w:szCs w:val="22"/>
        </w:rPr>
        <w:t>del área útil de los lotes, de conformidad al siguiente detalle</w:t>
      </w:r>
      <w:r w:rsidRPr="00230CC0">
        <w:rPr>
          <w:rFonts w:ascii="Palatino Linotype" w:hAnsi="Palatino Linotype"/>
          <w:b/>
          <w:sz w:val="22"/>
          <w:szCs w:val="22"/>
        </w:rPr>
        <w:t>:</w:t>
      </w:r>
    </w:p>
    <w:p w:rsidR="00A43501" w:rsidRPr="00230CC0" w:rsidRDefault="00A43501" w:rsidP="00A43501">
      <w:pPr>
        <w:spacing w:after="120" w:line="276" w:lineRule="auto"/>
        <w:contextualSpacing/>
        <w:rPr>
          <w:rFonts w:ascii="Palatino Linotype" w:hAnsi="Palatino Linotype"/>
          <w:sz w:val="22"/>
          <w:szCs w:val="22"/>
          <w:highlight w:val="yellow"/>
        </w:rPr>
      </w:pPr>
    </w:p>
    <w:tbl>
      <w:tblPr>
        <w:tblW w:w="54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9"/>
        <w:gridCol w:w="974"/>
        <w:gridCol w:w="2283"/>
        <w:gridCol w:w="2219"/>
        <w:gridCol w:w="1634"/>
        <w:gridCol w:w="1636"/>
      </w:tblGrid>
      <w:tr w:rsidR="00A43501" w:rsidRPr="00230CC0" w:rsidTr="00A43501">
        <w:trPr>
          <w:trHeight w:val="295"/>
          <w:jc w:val="center"/>
        </w:trPr>
        <w:tc>
          <w:tcPr>
            <w:tcW w:w="5000" w:type="pct"/>
            <w:gridSpan w:val="6"/>
            <w:shd w:val="clear" w:color="auto" w:fill="auto"/>
            <w:vAlign w:val="center"/>
          </w:tcPr>
          <w:p w:rsidR="00A43501" w:rsidRPr="00230CC0" w:rsidRDefault="00A43501" w:rsidP="00242D53">
            <w:pPr>
              <w:spacing w:after="120" w:line="276" w:lineRule="auto"/>
              <w:jc w:val="center"/>
              <w:rPr>
                <w:rFonts w:ascii="Palatino Linotype" w:hAnsi="Palatino Linotype"/>
                <w:b/>
                <w:sz w:val="22"/>
                <w:szCs w:val="22"/>
              </w:rPr>
            </w:pPr>
            <w:r w:rsidRPr="00230CC0">
              <w:rPr>
                <w:rFonts w:ascii="Palatino Linotype" w:hAnsi="Palatino Linotype"/>
                <w:b/>
                <w:sz w:val="22"/>
                <w:szCs w:val="22"/>
              </w:rPr>
              <w:t>Área verde</w:t>
            </w:r>
          </w:p>
        </w:tc>
      </w:tr>
      <w:tr w:rsidR="00A43501" w:rsidRPr="00230CC0" w:rsidTr="00A43501">
        <w:trPr>
          <w:trHeight w:val="423"/>
          <w:jc w:val="center"/>
        </w:trPr>
        <w:tc>
          <w:tcPr>
            <w:tcW w:w="744" w:type="pct"/>
            <w:vMerge w:val="restart"/>
            <w:tcBorders>
              <w:top w:val="single" w:sz="4" w:space="0" w:color="auto"/>
            </w:tcBorders>
            <w:shd w:val="clear" w:color="auto" w:fill="auto"/>
            <w:vAlign w:val="center"/>
          </w:tcPr>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b/>
                <w:sz w:val="22"/>
                <w:szCs w:val="22"/>
              </w:rPr>
              <w:t xml:space="preserve">Área </w:t>
            </w:r>
            <w:r>
              <w:rPr>
                <w:rFonts w:ascii="Palatino Linotype" w:hAnsi="Palatino Linotype"/>
                <w:b/>
                <w:sz w:val="22"/>
                <w:szCs w:val="22"/>
              </w:rPr>
              <w:t>v</w:t>
            </w:r>
            <w:r w:rsidRPr="00230CC0">
              <w:rPr>
                <w:rFonts w:ascii="Palatino Linotype" w:hAnsi="Palatino Linotype"/>
                <w:b/>
                <w:sz w:val="22"/>
                <w:szCs w:val="22"/>
              </w:rPr>
              <w:t>erde 1</w:t>
            </w:r>
          </w:p>
        </w:tc>
        <w:tc>
          <w:tcPr>
            <w:tcW w:w="474" w:type="pct"/>
            <w:tcBorders>
              <w:right w:val="single" w:sz="4" w:space="0" w:color="auto"/>
            </w:tcBorders>
            <w:shd w:val="clear" w:color="auto" w:fill="auto"/>
          </w:tcPr>
          <w:p w:rsidR="00A43501" w:rsidRPr="00230CC0" w:rsidRDefault="00A43501" w:rsidP="00242D53">
            <w:pPr>
              <w:spacing w:after="120" w:line="276" w:lineRule="auto"/>
              <w:rPr>
                <w:rFonts w:ascii="Palatino Linotype" w:hAnsi="Palatino Linotype"/>
                <w:b/>
                <w:sz w:val="22"/>
                <w:szCs w:val="22"/>
              </w:rPr>
            </w:pPr>
          </w:p>
        </w:tc>
        <w:tc>
          <w:tcPr>
            <w:tcW w:w="1111" w:type="pct"/>
            <w:tcBorders>
              <w:left w:val="single" w:sz="4" w:space="0" w:color="auto"/>
            </w:tcBorders>
            <w:shd w:val="clear" w:color="auto" w:fill="auto"/>
            <w:vAlign w:val="center"/>
          </w:tcPr>
          <w:p w:rsidR="00A43501" w:rsidRPr="00230CC0" w:rsidRDefault="00A43501" w:rsidP="00242D53">
            <w:pPr>
              <w:spacing w:after="120" w:line="276" w:lineRule="auto"/>
              <w:jc w:val="center"/>
              <w:rPr>
                <w:rFonts w:ascii="Palatino Linotype" w:hAnsi="Palatino Linotype"/>
                <w:b/>
                <w:sz w:val="22"/>
                <w:szCs w:val="22"/>
              </w:rPr>
            </w:pPr>
            <w:r w:rsidRPr="00230CC0">
              <w:rPr>
                <w:rFonts w:ascii="Palatino Linotype" w:hAnsi="Palatino Linotype"/>
                <w:b/>
                <w:sz w:val="22"/>
                <w:szCs w:val="22"/>
              </w:rPr>
              <w:t>Lindero</w:t>
            </w:r>
          </w:p>
        </w:tc>
        <w:tc>
          <w:tcPr>
            <w:tcW w:w="1080" w:type="pct"/>
            <w:tcBorders>
              <w:left w:val="single" w:sz="4" w:space="0" w:color="auto"/>
              <w:right w:val="single" w:sz="4" w:space="0" w:color="auto"/>
            </w:tcBorders>
            <w:shd w:val="clear" w:color="auto" w:fill="auto"/>
            <w:vAlign w:val="center"/>
          </w:tcPr>
          <w:p w:rsidR="00A43501" w:rsidRPr="00230CC0" w:rsidRDefault="00A43501" w:rsidP="00242D53">
            <w:pPr>
              <w:spacing w:after="120" w:line="276" w:lineRule="auto"/>
              <w:jc w:val="center"/>
              <w:rPr>
                <w:rFonts w:ascii="Palatino Linotype" w:hAnsi="Palatino Linotype"/>
                <w:b/>
                <w:sz w:val="22"/>
                <w:szCs w:val="22"/>
              </w:rPr>
            </w:pPr>
            <w:r w:rsidRPr="00230CC0">
              <w:rPr>
                <w:rFonts w:ascii="Palatino Linotype" w:hAnsi="Palatino Linotype"/>
                <w:b/>
                <w:sz w:val="22"/>
                <w:szCs w:val="22"/>
              </w:rPr>
              <w:t>En parte</w:t>
            </w:r>
          </w:p>
        </w:tc>
        <w:tc>
          <w:tcPr>
            <w:tcW w:w="795" w:type="pct"/>
            <w:tcBorders>
              <w:left w:val="single" w:sz="4" w:space="0" w:color="auto"/>
              <w:bottom w:val="single" w:sz="4" w:space="0" w:color="auto"/>
            </w:tcBorders>
            <w:shd w:val="clear" w:color="auto" w:fill="auto"/>
            <w:vAlign w:val="center"/>
          </w:tcPr>
          <w:p w:rsidR="00A43501" w:rsidRPr="00230CC0" w:rsidRDefault="00A43501" w:rsidP="00242D53">
            <w:pPr>
              <w:spacing w:after="120" w:line="276" w:lineRule="auto"/>
              <w:jc w:val="center"/>
              <w:rPr>
                <w:rFonts w:ascii="Palatino Linotype" w:hAnsi="Palatino Linotype"/>
                <w:b/>
                <w:sz w:val="22"/>
                <w:szCs w:val="22"/>
              </w:rPr>
            </w:pPr>
            <w:r w:rsidRPr="00230CC0">
              <w:rPr>
                <w:rFonts w:ascii="Palatino Linotype" w:hAnsi="Palatino Linotype"/>
                <w:b/>
                <w:sz w:val="22"/>
                <w:szCs w:val="22"/>
              </w:rPr>
              <w:t>Total</w:t>
            </w:r>
          </w:p>
        </w:tc>
        <w:tc>
          <w:tcPr>
            <w:tcW w:w="797" w:type="pct"/>
            <w:tcBorders>
              <w:top w:val="single" w:sz="4" w:space="0" w:color="auto"/>
              <w:bottom w:val="single" w:sz="4" w:space="0" w:color="auto"/>
            </w:tcBorders>
            <w:shd w:val="clear" w:color="auto" w:fill="auto"/>
            <w:vAlign w:val="center"/>
          </w:tcPr>
          <w:p w:rsidR="00A43501" w:rsidRPr="00230CC0" w:rsidRDefault="00A43501" w:rsidP="00242D53">
            <w:pPr>
              <w:spacing w:after="120" w:line="276" w:lineRule="auto"/>
              <w:jc w:val="center"/>
              <w:rPr>
                <w:rFonts w:ascii="Palatino Linotype" w:hAnsi="Palatino Linotype"/>
                <w:sz w:val="22"/>
                <w:szCs w:val="22"/>
              </w:rPr>
            </w:pPr>
            <w:r w:rsidRPr="00230CC0">
              <w:rPr>
                <w:rFonts w:ascii="Palatino Linotype" w:hAnsi="Palatino Linotype"/>
                <w:b/>
                <w:sz w:val="22"/>
                <w:szCs w:val="22"/>
              </w:rPr>
              <w:t>Superficie</w:t>
            </w:r>
          </w:p>
        </w:tc>
      </w:tr>
      <w:tr w:rsidR="00A43501" w:rsidRPr="00230CC0" w:rsidTr="00A43501">
        <w:trPr>
          <w:trHeight w:val="222"/>
          <w:jc w:val="center"/>
        </w:trPr>
        <w:tc>
          <w:tcPr>
            <w:tcW w:w="744" w:type="pct"/>
            <w:vMerge/>
            <w:shd w:val="clear" w:color="auto" w:fill="auto"/>
          </w:tcPr>
          <w:p w:rsidR="00A43501" w:rsidRPr="00230CC0" w:rsidRDefault="00A43501" w:rsidP="00242D53">
            <w:pPr>
              <w:spacing w:after="120" w:line="276" w:lineRule="auto"/>
              <w:rPr>
                <w:rFonts w:ascii="Palatino Linotype" w:hAnsi="Palatino Linotype"/>
                <w:sz w:val="22"/>
                <w:szCs w:val="22"/>
              </w:rPr>
            </w:pPr>
          </w:p>
        </w:tc>
        <w:tc>
          <w:tcPr>
            <w:tcW w:w="474" w:type="pct"/>
            <w:shd w:val="clear" w:color="auto" w:fill="auto"/>
          </w:tcPr>
          <w:p w:rsidR="00A43501" w:rsidRPr="00230CC0" w:rsidRDefault="00A43501" w:rsidP="00242D53">
            <w:pPr>
              <w:spacing w:after="120" w:line="276" w:lineRule="auto"/>
              <w:rPr>
                <w:rFonts w:ascii="Palatino Linotype" w:hAnsi="Palatino Linotype"/>
                <w:b/>
                <w:sz w:val="22"/>
                <w:szCs w:val="22"/>
              </w:rPr>
            </w:pPr>
            <w:r w:rsidRPr="00230CC0">
              <w:rPr>
                <w:rFonts w:ascii="Palatino Linotype" w:hAnsi="Palatino Linotype"/>
                <w:b/>
                <w:sz w:val="22"/>
                <w:szCs w:val="22"/>
              </w:rPr>
              <w:t>Norte:</w:t>
            </w:r>
          </w:p>
        </w:tc>
        <w:tc>
          <w:tcPr>
            <w:tcW w:w="1111" w:type="pct"/>
            <w:shd w:val="clear" w:color="auto" w:fill="auto"/>
          </w:tcPr>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Propiedad Particular</w:t>
            </w:r>
          </w:p>
        </w:tc>
        <w:tc>
          <w:tcPr>
            <w:tcW w:w="1080" w:type="pct"/>
            <w:tcBorders>
              <w:right w:val="single" w:sz="4" w:space="0" w:color="auto"/>
            </w:tcBorders>
            <w:shd w:val="clear" w:color="auto" w:fill="auto"/>
            <w:vAlign w:val="center"/>
          </w:tcPr>
          <w:p w:rsidR="00A43501" w:rsidRPr="00230CC0" w:rsidRDefault="00A43501" w:rsidP="00A43501">
            <w:pPr>
              <w:spacing w:after="120" w:line="276" w:lineRule="auto"/>
              <w:jc w:val="both"/>
              <w:rPr>
                <w:rFonts w:ascii="Palatino Linotype" w:hAnsi="Palatino Linotype"/>
                <w:sz w:val="22"/>
                <w:szCs w:val="22"/>
              </w:rPr>
            </w:pPr>
          </w:p>
        </w:tc>
        <w:tc>
          <w:tcPr>
            <w:tcW w:w="795" w:type="pct"/>
            <w:tcBorders>
              <w:left w:val="single" w:sz="4" w:space="0" w:color="auto"/>
            </w:tcBorders>
            <w:shd w:val="clear" w:color="auto" w:fill="auto"/>
            <w:vAlign w:val="center"/>
          </w:tcPr>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73,19 m.</w:t>
            </w:r>
          </w:p>
        </w:tc>
        <w:tc>
          <w:tcPr>
            <w:tcW w:w="797" w:type="pct"/>
            <w:vMerge w:val="restart"/>
            <w:tcBorders>
              <w:top w:val="single" w:sz="4" w:space="0" w:color="auto"/>
            </w:tcBorders>
            <w:shd w:val="clear" w:color="auto" w:fill="auto"/>
            <w:vAlign w:val="center"/>
          </w:tcPr>
          <w:p w:rsidR="00A43501" w:rsidRPr="00230CC0" w:rsidRDefault="00A43501" w:rsidP="00242D53">
            <w:pPr>
              <w:spacing w:after="120" w:line="276" w:lineRule="auto"/>
              <w:jc w:val="right"/>
              <w:rPr>
                <w:rFonts w:ascii="Palatino Linotype" w:hAnsi="Palatino Linotype"/>
                <w:sz w:val="22"/>
                <w:szCs w:val="22"/>
              </w:rPr>
            </w:pPr>
            <w:r w:rsidRPr="00230CC0">
              <w:rPr>
                <w:rFonts w:ascii="Palatino Linotype" w:hAnsi="Palatino Linotype"/>
                <w:sz w:val="22"/>
                <w:szCs w:val="22"/>
              </w:rPr>
              <w:t>1.080,50</w:t>
            </w:r>
            <w:r>
              <w:rPr>
                <w:rFonts w:ascii="Palatino Linotype" w:hAnsi="Palatino Linotype"/>
                <w:sz w:val="22"/>
                <w:szCs w:val="22"/>
              </w:rPr>
              <w:t xml:space="preserve"> </w:t>
            </w:r>
            <w:proofErr w:type="spellStart"/>
            <w:r w:rsidRPr="00230CC0">
              <w:rPr>
                <w:rFonts w:ascii="Palatino Linotype" w:hAnsi="Palatino Linotype"/>
                <w:sz w:val="22"/>
                <w:szCs w:val="22"/>
              </w:rPr>
              <w:t>m</w:t>
            </w:r>
            <w:r w:rsidRPr="00230CC0">
              <w:rPr>
                <w:rFonts w:ascii="Palatino Linotype" w:hAnsi="Palatino Linotype"/>
                <w:sz w:val="22"/>
                <w:szCs w:val="22"/>
                <w:vertAlign w:val="superscript"/>
              </w:rPr>
              <w:t>2</w:t>
            </w:r>
            <w:proofErr w:type="spellEnd"/>
          </w:p>
        </w:tc>
      </w:tr>
      <w:tr w:rsidR="00A43501" w:rsidRPr="00230CC0" w:rsidTr="00A43501">
        <w:trPr>
          <w:trHeight w:val="73"/>
          <w:jc w:val="center"/>
        </w:trPr>
        <w:tc>
          <w:tcPr>
            <w:tcW w:w="744" w:type="pct"/>
            <w:vMerge/>
            <w:shd w:val="clear" w:color="auto" w:fill="auto"/>
          </w:tcPr>
          <w:p w:rsidR="00A43501" w:rsidRPr="00230CC0" w:rsidRDefault="00A43501" w:rsidP="00242D53">
            <w:pPr>
              <w:spacing w:after="120" w:line="276" w:lineRule="auto"/>
              <w:rPr>
                <w:rFonts w:ascii="Palatino Linotype" w:hAnsi="Palatino Linotype"/>
                <w:sz w:val="22"/>
                <w:szCs w:val="22"/>
              </w:rPr>
            </w:pPr>
          </w:p>
        </w:tc>
        <w:tc>
          <w:tcPr>
            <w:tcW w:w="474" w:type="pct"/>
            <w:shd w:val="clear" w:color="auto" w:fill="auto"/>
          </w:tcPr>
          <w:p w:rsidR="00A43501" w:rsidRPr="00230CC0" w:rsidRDefault="00A43501" w:rsidP="00242D53">
            <w:pPr>
              <w:spacing w:after="120" w:line="276" w:lineRule="auto"/>
              <w:rPr>
                <w:rFonts w:ascii="Palatino Linotype" w:hAnsi="Palatino Linotype"/>
                <w:b/>
                <w:sz w:val="22"/>
                <w:szCs w:val="22"/>
              </w:rPr>
            </w:pPr>
            <w:r w:rsidRPr="00230CC0">
              <w:rPr>
                <w:rFonts w:ascii="Palatino Linotype" w:hAnsi="Palatino Linotype"/>
                <w:b/>
                <w:sz w:val="22"/>
                <w:szCs w:val="22"/>
              </w:rPr>
              <w:t>Sur:</w:t>
            </w:r>
          </w:p>
        </w:tc>
        <w:tc>
          <w:tcPr>
            <w:tcW w:w="1111" w:type="pct"/>
            <w:shd w:val="clear" w:color="auto" w:fill="auto"/>
          </w:tcPr>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Lote 24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 Lote 9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Calle </w:t>
            </w:r>
            <w:proofErr w:type="spellStart"/>
            <w:r w:rsidRPr="00230CC0">
              <w:rPr>
                <w:rFonts w:ascii="Palatino Linotype" w:hAnsi="Palatino Linotype"/>
                <w:sz w:val="22"/>
                <w:szCs w:val="22"/>
              </w:rPr>
              <w:t>N12C</w:t>
            </w:r>
            <w:proofErr w:type="spellEnd"/>
          </w:p>
          <w:p w:rsidR="00A43501" w:rsidRPr="00230CC0" w:rsidRDefault="00A43501" w:rsidP="00A43501">
            <w:pPr>
              <w:spacing w:after="120" w:line="276" w:lineRule="auto"/>
              <w:jc w:val="both"/>
              <w:rPr>
                <w:rFonts w:ascii="Palatino Linotype" w:hAnsi="Palatino Linotype"/>
                <w:sz w:val="22"/>
                <w:szCs w:val="22"/>
              </w:rPr>
            </w:pPr>
          </w:p>
          <w:p w:rsidR="00A43501" w:rsidRPr="00230CC0" w:rsidRDefault="00A43501" w:rsidP="00A43501">
            <w:pPr>
              <w:spacing w:after="120" w:line="276" w:lineRule="auto"/>
              <w:jc w:val="both"/>
              <w:rPr>
                <w:rFonts w:ascii="Palatino Linotype" w:hAnsi="Palatino Linotype"/>
                <w:sz w:val="22"/>
                <w:szCs w:val="22"/>
              </w:rPr>
            </w:pP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Lote 8</w:t>
            </w:r>
          </w:p>
        </w:tc>
        <w:tc>
          <w:tcPr>
            <w:tcW w:w="1080" w:type="pct"/>
            <w:tcBorders>
              <w:right w:val="single" w:sz="4" w:space="0" w:color="auto"/>
            </w:tcBorders>
            <w:shd w:val="clear" w:color="auto" w:fill="auto"/>
            <w:vAlign w:val="center"/>
          </w:tcPr>
          <w:p w:rsidR="00A43501" w:rsidRPr="00230CC0" w:rsidRDefault="00A43501" w:rsidP="00A43501">
            <w:pPr>
              <w:spacing w:after="120" w:line="276" w:lineRule="auto"/>
              <w:jc w:val="both"/>
              <w:rPr>
                <w:rFonts w:ascii="Palatino Linotype" w:hAnsi="Palatino Linotype"/>
                <w:sz w:val="22"/>
                <w:szCs w:val="22"/>
              </w:rPr>
            </w:pPr>
          </w:p>
          <w:p w:rsidR="00A43501" w:rsidRPr="00230CC0" w:rsidRDefault="00A43501" w:rsidP="00A43501">
            <w:pPr>
              <w:spacing w:after="120" w:line="276" w:lineRule="auto"/>
              <w:jc w:val="both"/>
              <w:rPr>
                <w:rFonts w:ascii="Palatino Linotype" w:hAnsi="Palatino Linotype"/>
                <w:sz w:val="22"/>
                <w:szCs w:val="22"/>
              </w:rPr>
            </w:pP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32,15 m. en longitud desarrollada</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7,51 m.</w:t>
            </w:r>
          </w:p>
          <w:p w:rsidR="00A43501" w:rsidRPr="00230CC0" w:rsidRDefault="00A43501" w:rsidP="00A43501">
            <w:pPr>
              <w:spacing w:after="120" w:line="276" w:lineRule="auto"/>
              <w:jc w:val="both"/>
              <w:rPr>
                <w:rFonts w:ascii="Palatino Linotype" w:hAnsi="Palatino Linotype"/>
                <w:sz w:val="22"/>
                <w:szCs w:val="22"/>
              </w:rPr>
            </w:pPr>
          </w:p>
          <w:p w:rsidR="00A43501" w:rsidRPr="00230CC0" w:rsidRDefault="00A43501" w:rsidP="00A43501">
            <w:pPr>
              <w:spacing w:after="120" w:line="276" w:lineRule="auto"/>
              <w:jc w:val="both"/>
              <w:rPr>
                <w:rFonts w:ascii="Palatino Linotype" w:hAnsi="Palatino Linotype"/>
                <w:sz w:val="22"/>
                <w:szCs w:val="22"/>
              </w:rPr>
            </w:pPr>
          </w:p>
        </w:tc>
        <w:tc>
          <w:tcPr>
            <w:tcW w:w="795" w:type="pct"/>
            <w:tcBorders>
              <w:left w:val="single" w:sz="4" w:space="0" w:color="auto"/>
            </w:tcBorders>
            <w:shd w:val="clear" w:color="auto" w:fill="auto"/>
            <w:vAlign w:val="center"/>
          </w:tcPr>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20,00 m.</w:t>
            </w:r>
          </w:p>
          <w:p w:rsidR="00A43501" w:rsidRPr="00230CC0" w:rsidRDefault="00A43501" w:rsidP="00A43501">
            <w:pPr>
              <w:spacing w:after="120" w:line="276" w:lineRule="auto"/>
              <w:jc w:val="center"/>
              <w:rPr>
                <w:rFonts w:ascii="Palatino Linotype" w:hAnsi="Palatino Linotype"/>
                <w:sz w:val="22"/>
                <w:szCs w:val="22"/>
              </w:rPr>
            </w:pPr>
          </w:p>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20,00 m.</w:t>
            </w:r>
          </w:p>
          <w:p w:rsidR="00A43501" w:rsidRDefault="00A43501" w:rsidP="00A43501">
            <w:pPr>
              <w:spacing w:after="120" w:line="276" w:lineRule="auto"/>
              <w:jc w:val="center"/>
              <w:rPr>
                <w:rFonts w:ascii="Palatino Linotype" w:hAnsi="Palatino Linotype"/>
                <w:sz w:val="22"/>
                <w:szCs w:val="22"/>
              </w:rPr>
            </w:pPr>
          </w:p>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39,66 m. en longitud desarrollada</w:t>
            </w:r>
          </w:p>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22,40 m.</w:t>
            </w:r>
          </w:p>
        </w:tc>
        <w:tc>
          <w:tcPr>
            <w:tcW w:w="797" w:type="pct"/>
            <w:vMerge/>
            <w:shd w:val="clear" w:color="auto" w:fill="auto"/>
          </w:tcPr>
          <w:p w:rsidR="00A43501" w:rsidRPr="00230CC0" w:rsidRDefault="00A43501" w:rsidP="00242D53">
            <w:pPr>
              <w:spacing w:after="120" w:line="276" w:lineRule="auto"/>
              <w:jc w:val="right"/>
              <w:rPr>
                <w:rFonts w:ascii="Palatino Linotype" w:hAnsi="Palatino Linotype"/>
                <w:sz w:val="22"/>
                <w:szCs w:val="22"/>
              </w:rPr>
            </w:pPr>
          </w:p>
        </w:tc>
      </w:tr>
      <w:tr w:rsidR="00A43501" w:rsidRPr="00230CC0" w:rsidTr="00A43501">
        <w:trPr>
          <w:trHeight w:val="178"/>
          <w:jc w:val="center"/>
        </w:trPr>
        <w:tc>
          <w:tcPr>
            <w:tcW w:w="744" w:type="pct"/>
            <w:vMerge/>
            <w:shd w:val="clear" w:color="auto" w:fill="auto"/>
          </w:tcPr>
          <w:p w:rsidR="00A43501" w:rsidRPr="00230CC0" w:rsidRDefault="00A43501" w:rsidP="00242D53">
            <w:pPr>
              <w:spacing w:after="120" w:line="276" w:lineRule="auto"/>
              <w:rPr>
                <w:rFonts w:ascii="Palatino Linotype" w:hAnsi="Palatino Linotype"/>
                <w:sz w:val="22"/>
                <w:szCs w:val="22"/>
              </w:rPr>
            </w:pPr>
          </w:p>
        </w:tc>
        <w:tc>
          <w:tcPr>
            <w:tcW w:w="474" w:type="pct"/>
            <w:shd w:val="clear" w:color="auto" w:fill="auto"/>
            <w:vAlign w:val="center"/>
          </w:tcPr>
          <w:p w:rsidR="00A43501" w:rsidRPr="00230CC0" w:rsidRDefault="00A43501" w:rsidP="00242D53">
            <w:pPr>
              <w:spacing w:after="120" w:line="276" w:lineRule="auto"/>
              <w:rPr>
                <w:rFonts w:ascii="Palatino Linotype" w:hAnsi="Palatino Linotype"/>
                <w:b/>
                <w:sz w:val="22"/>
                <w:szCs w:val="22"/>
              </w:rPr>
            </w:pPr>
            <w:r w:rsidRPr="00230CC0">
              <w:rPr>
                <w:rFonts w:ascii="Palatino Linotype" w:hAnsi="Palatino Linotype"/>
                <w:b/>
                <w:sz w:val="22"/>
                <w:szCs w:val="22"/>
              </w:rPr>
              <w:t>Este:</w:t>
            </w:r>
          </w:p>
        </w:tc>
        <w:tc>
          <w:tcPr>
            <w:tcW w:w="1111" w:type="pct"/>
            <w:shd w:val="clear" w:color="auto" w:fill="auto"/>
          </w:tcPr>
          <w:p w:rsidR="00A43501" w:rsidRPr="00230CC0" w:rsidRDefault="00A43501" w:rsidP="00A43501">
            <w:pPr>
              <w:spacing w:after="120" w:line="276" w:lineRule="auto"/>
              <w:jc w:val="both"/>
              <w:rPr>
                <w:rFonts w:ascii="Palatino Linotype" w:hAnsi="Palatino Linotype"/>
                <w:color w:val="000000"/>
                <w:sz w:val="22"/>
                <w:szCs w:val="22"/>
                <w:highlight w:val="yellow"/>
              </w:rPr>
            </w:pPr>
            <w:r w:rsidRPr="00230CC0">
              <w:rPr>
                <w:rFonts w:ascii="Palatino Linotype" w:hAnsi="Palatino Linotype"/>
                <w:sz w:val="22"/>
                <w:szCs w:val="22"/>
              </w:rPr>
              <w:t>Propiedad Particular</w:t>
            </w:r>
          </w:p>
        </w:tc>
        <w:tc>
          <w:tcPr>
            <w:tcW w:w="1080" w:type="pct"/>
            <w:tcBorders>
              <w:right w:val="single" w:sz="4" w:space="0" w:color="auto"/>
            </w:tcBorders>
            <w:shd w:val="clear" w:color="auto" w:fill="auto"/>
            <w:vAlign w:val="center"/>
          </w:tcPr>
          <w:p w:rsidR="00A43501" w:rsidRPr="00230CC0" w:rsidRDefault="00A43501" w:rsidP="00A43501">
            <w:pPr>
              <w:spacing w:after="120" w:line="276" w:lineRule="auto"/>
              <w:jc w:val="both"/>
              <w:rPr>
                <w:rFonts w:ascii="Palatino Linotype" w:hAnsi="Palatino Linotype"/>
                <w:sz w:val="22"/>
                <w:szCs w:val="22"/>
                <w:highlight w:val="yellow"/>
              </w:rPr>
            </w:pPr>
          </w:p>
        </w:tc>
        <w:tc>
          <w:tcPr>
            <w:tcW w:w="795" w:type="pct"/>
            <w:tcBorders>
              <w:left w:val="single" w:sz="4" w:space="0" w:color="auto"/>
            </w:tcBorders>
            <w:shd w:val="clear" w:color="auto" w:fill="auto"/>
            <w:vAlign w:val="center"/>
          </w:tcPr>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19,55 m.</w:t>
            </w:r>
          </w:p>
        </w:tc>
        <w:tc>
          <w:tcPr>
            <w:tcW w:w="797" w:type="pct"/>
            <w:vMerge/>
            <w:shd w:val="clear" w:color="auto" w:fill="auto"/>
          </w:tcPr>
          <w:p w:rsidR="00A43501" w:rsidRPr="00230CC0" w:rsidRDefault="00A43501" w:rsidP="00242D53">
            <w:pPr>
              <w:spacing w:after="120" w:line="276" w:lineRule="auto"/>
              <w:jc w:val="right"/>
              <w:rPr>
                <w:rFonts w:ascii="Palatino Linotype" w:hAnsi="Palatino Linotype"/>
                <w:sz w:val="22"/>
                <w:szCs w:val="22"/>
              </w:rPr>
            </w:pPr>
          </w:p>
        </w:tc>
      </w:tr>
      <w:tr w:rsidR="00A43501" w:rsidRPr="00230CC0" w:rsidTr="00A43501">
        <w:trPr>
          <w:trHeight w:val="73"/>
          <w:jc w:val="center"/>
        </w:trPr>
        <w:tc>
          <w:tcPr>
            <w:tcW w:w="744" w:type="pct"/>
            <w:vMerge/>
            <w:tcBorders>
              <w:bottom w:val="single" w:sz="4" w:space="0" w:color="auto"/>
            </w:tcBorders>
            <w:shd w:val="clear" w:color="auto" w:fill="auto"/>
          </w:tcPr>
          <w:p w:rsidR="00A43501" w:rsidRPr="00230CC0" w:rsidRDefault="00A43501" w:rsidP="00242D53">
            <w:pPr>
              <w:spacing w:after="120" w:line="276" w:lineRule="auto"/>
              <w:rPr>
                <w:rFonts w:ascii="Palatino Linotype" w:hAnsi="Palatino Linotype"/>
                <w:sz w:val="22"/>
                <w:szCs w:val="22"/>
              </w:rPr>
            </w:pPr>
          </w:p>
        </w:tc>
        <w:tc>
          <w:tcPr>
            <w:tcW w:w="474" w:type="pct"/>
            <w:shd w:val="clear" w:color="auto" w:fill="auto"/>
          </w:tcPr>
          <w:p w:rsidR="00A43501" w:rsidRPr="00230CC0" w:rsidRDefault="00A43501" w:rsidP="00242D53">
            <w:pPr>
              <w:spacing w:after="120" w:line="276" w:lineRule="auto"/>
              <w:rPr>
                <w:rFonts w:ascii="Palatino Linotype" w:hAnsi="Palatino Linotype"/>
                <w:b/>
                <w:sz w:val="22"/>
                <w:szCs w:val="22"/>
              </w:rPr>
            </w:pPr>
            <w:r w:rsidRPr="00230CC0">
              <w:rPr>
                <w:rFonts w:ascii="Palatino Linotype" w:hAnsi="Palatino Linotype"/>
                <w:b/>
                <w:sz w:val="22"/>
                <w:szCs w:val="22"/>
              </w:rPr>
              <w:t>Oeste:</w:t>
            </w:r>
          </w:p>
        </w:tc>
        <w:tc>
          <w:tcPr>
            <w:tcW w:w="1111" w:type="pct"/>
            <w:shd w:val="clear" w:color="auto" w:fill="auto"/>
          </w:tcPr>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Lote 25</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Calle </w:t>
            </w:r>
            <w:proofErr w:type="spellStart"/>
            <w:r w:rsidRPr="00230CC0">
              <w:rPr>
                <w:rFonts w:ascii="Palatino Linotype" w:hAnsi="Palatino Linotype"/>
                <w:sz w:val="22"/>
                <w:szCs w:val="22"/>
              </w:rPr>
              <w:t>N12D</w:t>
            </w:r>
            <w:proofErr w:type="spellEnd"/>
          </w:p>
        </w:tc>
        <w:tc>
          <w:tcPr>
            <w:tcW w:w="1080" w:type="pct"/>
            <w:tcBorders>
              <w:right w:val="single" w:sz="4" w:space="0" w:color="auto"/>
            </w:tcBorders>
            <w:shd w:val="clear" w:color="auto" w:fill="auto"/>
            <w:vAlign w:val="center"/>
          </w:tcPr>
          <w:p w:rsidR="00A43501" w:rsidRPr="00230CC0" w:rsidRDefault="00A43501" w:rsidP="00A43501">
            <w:pPr>
              <w:spacing w:after="120" w:line="276" w:lineRule="auto"/>
              <w:jc w:val="both"/>
              <w:rPr>
                <w:rFonts w:ascii="Palatino Linotype" w:hAnsi="Palatino Linotype"/>
                <w:sz w:val="22"/>
                <w:szCs w:val="22"/>
              </w:rPr>
            </w:pPr>
          </w:p>
        </w:tc>
        <w:tc>
          <w:tcPr>
            <w:tcW w:w="795" w:type="pct"/>
            <w:tcBorders>
              <w:left w:val="single" w:sz="4" w:space="0" w:color="auto"/>
              <w:bottom w:val="single" w:sz="4" w:space="0" w:color="auto"/>
            </w:tcBorders>
            <w:shd w:val="clear" w:color="auto" w:fill="auto"/>
            <w:vAlign w:val="center"/>
          </w:tcPr>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1,08 m.</w:t>
            </w:r>
          </w:p>
          <w:p w:rsidR="00A43501" w:rsidRPr="00230CC0" w:rsidRDefault="00A43501" w:rsidP="00A43501">
            <w:pPr>
              <w:spacing w:after="120" w:line="276" w:lineRule="auto"/>
              <w:jc w:val="center"/>
              <w:rPr>
                <w:rFonts w:ascii="Palatino Linotype" w:hAnsi="Palatino Linotype"/>
                <w:sz w:val="22"/>
                <w:szCs w:val="22"/>
              </w:rPr>
            </w:pPr>
            <w:r w:rsidRPr="00230CC0">
              <w:rPr>
                <w:rFonts w:ascii="Palatino Linotype" w:hAnsi="Palatino Linotype"/>
                <w:sz w:val="22"/>
                <w:szCs w:val="22"/>
              </w:rPr>
              <w:t xml:space="preserve">21,59 m. en longitud </w:t>
            </w:r>
            <w:r w:rsidRPr="00230CC0">
              <w:rPr>
                <w:rFonts w:ascii="Palatino Linotype" w:hAnsi="Palatino Linotype"/>
                <w:sz w:val="22"/>
                <w:szCs w:val="22"/>
              </w:rPr>
              <w:lastRenderedPageBreak/>
              <w:t>desarrollada</w:t>
            </w:r>
          </w:p>
        </w:tc>
        <w:tc>
          <w:tcPr>
            <w:tcW w:w="797" w:type="pct"/>
            <w:vMerge/>
            <w:tcBorders>
              <w:bottom w:val="single" w:sz="4" w:space="0" w:color="auto"/>
            </w:tcBorders>
            <w:shd w:val="clear" w:color="auto" w:fill="auto"/>
          </w:tcPr>
          <w:p w:rsidR="00A43501" w:rsidRPr="00230CC0" w:rsidRDefault="00A43501" w:rsidP="00242D53">
            <w:pPr>
              <w:spacing w:after="120" w:line="276" w:lineRule="auto"/>
              <w:jc w:val="right"/>
              <w:rPr>
                <w:rFonts w:ascii="Palatino Linotype" w:hAnsi="Palatino Linotype"/>
                <w:sz w:val="22"/>
                <w:szCs w:val="22"/>
              </w:rPr>
            </w:pPr>
          </w:p>
        </w:tc>
      </w:tr>
    </w:tbl>
    <w:p w:rsidR="00A43501" w:rsidRPr="00230CC0" w:rsidRDefault="00A43501" w:rsidP="00A43501">
      <w:pPr>
        <w:spacing w:after="120" w:line="276" w:lineRule="auto"/>
        <w:jc w:val="both"/>
        <w:rPr>
          <w:rFonts w:ascii="Palatino Linotype" w:hAnsi="Palatino Linotype"/>
          <w:b/>
          <w:bCs/>
          <w:sz w:val="22"/>
          <w:szCs w:val="22"/>
        </w:rPr>
      </w:pP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b/>
          <w:bCs/>
          <w:sz w:val="22"/>
          <w:szCs w:val="22"/>
        </w:rPr>
        <w:t xml:space="preserve">Artículo 6.- Informe Técnico de Evaluación de Riesgos de la Secretaría General de Seguridad y Gobernabilidad.- </w:t>
      </w:r>
      <w:r w:rsidRPr="00230CC0">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230CC0">
        <w:rPr>
          <w:rFonts w:ascii="Palatino Linotype" w:hAnsi="Palatino Linotype"/>
          <w:color w:val="2A2A2A"/>
          <w:sz w:val="22"/>
          <w:szCs w:val="22"/>
        </w:rPr>
        <w:t xml:space="preserve">, </w:t>
      </w:r>
      <w:r w:rsidRPr="00230CC0">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A43501" w:rsidRPr="00230CC0" w:rsidRDefault="00A43501" w:rsidP="00A43501">
      <w:pPr>
        <w:spacing w:after="120" w:line="276" w:lineRule="auto"/>
        <w:jc w:val="both"/>
        <w:rPr>
          <w:rFonts w:ascii="Palatino Linotype" w:hAnsi="Palatino Linotype"/>
          <w:bCs/>
          <w:sz w:val="22"/>
          <w:szCs w:val="22"/>
        </w:rPr>
      </w:pPr>
      <w:r w:rsidRPr="00230CC0">
        <w:rPr>
          <w:rFonts w:ascii="Palatino Linotype" w:hAnsi="Palatino Linotype"/>
          <w:bCs/>
          <w:sz w:val="22"/>
          <w:szCs w:val="22"/>
        </w:rPr>
        <w:t xml:space="preserve">El </w:t>
      </w:r>
      <w:r w:rsidRPr="00230CC0">
        <w:rPr>
          <w:rFonts w:ascii="Palatino Linotype" w:hAnsi="Palatino Linotype"/>
          <w:sz w:val="22"/>
          <w:szCs w:val="22"/>
        </w:rPr>
        <w:t>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 xml:space="preserve">“Nazaret de Calderón”, </w:t>
      </w:r>
      <w:r w:rsidRPr="00230CC0">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230CC0">
        <w:rPr>
          <w:rFonts w:ascii="Palatino Linotype" w:hAnsi="Palatino Linotype"/>
          <w:color w:val="000000"/>
          <w:sz w:val="22"/>
          <w:szCs w:val="22"/>
          <w:shd w:val="clear" w:color="auto" w:fill="FFFFFF"/>
        </w:rPr>
        <w:t xml:space="preserve">en el informe de la Dirección Metropolitana de Gestión de Riesgos </w:t>
      </w:r>
      <w:r w:rsidRPr="00230CC0">
        <w:rPr>
          <w:rFonts w:ascii="Palatino Linotype" w:hAnsi="Palatino Linotype"/>
          <w:bCs/>
          <w:sz w:val="22"/>
          <w:szCs w:val="22"/>
        </w:rPr>
        <w:t>No. 020-AT-</w:t>
      </w:r>
      <w:proofErr w:type="spellStart"/>
      <w:r w:rsidRPr="00230CC0">
        <w:rPr>
          <w:rFonts w:ascii="Palatino Linotype" w:hAnsi="Palatino Linotype"/>
          <w:bCs/>
          <w:sz w:val="22"/>
          <w:szCs w:val="22"/>
        </w:rPr>
        <w:t>DMGR</w:t>
      </w:r>
      <w:proofErr w:type="spellEnd"/>
      <w:r w:rsidRPr="00230CC0">
        <w:rPr>
          <w:rFonts w:ascii="Palatino Linotype" w:hAnsi="Palatino Linotype"/>
          <w:bCs/>
          <w:sz w:val="22"/>
          <w:szCs w:val="22"/>
        </w:rPr>
        <w:t xml:space="preserve">-2018, de 22 de febrero del 2018 </w:t>
      </w:r>
      <w:r w:rsidRPr="00230CC0">
        <w:rPr>
          <w:rFonts w:ascii="Palatino Linotype" w:hAnsi="Palatino Linotype"/>
          <w:bCs/>
          <w:sz w:val="22"/>
          <w:szCs w:val="22"/>
          <w:lang w:val="es-EC"/>
        </w:rPr>
        <w:t>el mismo establece que</w:t>
      </w:r>
      <w:r w:rsidRPr="00230CC0">
        <w:rPr>
          <w:rFonts w:ascii="Palatino Linotype" w:hAnsi="Palatino Linotype"/>
          <w:bCs/>
          <w:sz w:val="22"/>
          <w:szCs w:val="22"/>
        </w:rPr>
        <w:t>:</w:t>
      </w:r>
    </w:p>
    <w:p w:rsidR="00A43501" w:rsidRPr="00230CC0" w:rsidRDefault="00A43501" w:rsidP="00A43501">
      <w:pPr>
        <w:pStyle w:val="Cuerpodeltexto20"/>
        <w:shd w:val="clear" w:color="auto" w:fill="auto"/>
        <w:spacing w:after="120" w:line="276" w:lineRule="auto"/>
        <w:ind w:firstLine="0"/>
        <w:rPr>
          <w:rStyle w:val="Cuerpodeltexto2Negrita"/>
          <w:rFonts w:ascii="Palatino Linotype" w:hAnsi="Palatino Linotype" w:cs="Times New Roman"/>
          <w:i/>
          <w:sz w:val="22"/>
          <w:szCs w:val="22"/>
        </w:rPr>
      </w:pPr>
      <w:r w:rsidRPr="00230CC0">
        <w:rPr>
          <w:rStyle w:val="Cuerpodeltexto2Negrita"/>
          <w:rFonts w:ascii="Palatino Linotype" w:hAnsi="Palatino Linotype" w:cs="Times New Roman"/>
          <w:i/>
          <w:sz w:val="22"/>
          <w:szCs w:val="22"/>
        </w:rPr>
        <w:t xml:space="preserve">“6 CALIFICACIÓN DEL RIESGO </w:t>
      </w:r>
    </w:p>
    <w:p w:rsidR="00A43501" w:rsidRPr="00230CC0" w:rsidRDefault="00A43501" w:rsidP="00A43501">
      <w:pPr>
        <w:spacing w:after="120" w:line="276" w:lineRule="auto"/>
        <w:jc w:val="both"/>
        <w:rPr>
          <w:rFonts w:ascii="Palatino Linotype" w:hAnsi="Palatino Linotype"/>
          <w:i/>
          <w:sz w:val="22"/>
          <w:szCs w:val="22"/>
        </w:rPr>
      </w:pPr>
      <w:r w:rsidRPr="00230CC0">
        <w:rPr>
          <w:rFonts w:ascii="Palatino Linotype" w:hAnsi="Palatino Linotype"/>
          <w:i/>
          <w:sz w:val="22"/>
          <w:szCs w:val="22"/>
        </w:rPr>
        <w:t xml:space="preserve">La zona en estudio, una vez realizada la inspección técnica al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de la Parroquia Calderón, considerando las amenazas, elementos expuestos y vulnerabilidades se determina que:</w:t>
      </w:r>
    </w:p>
    <w:p w:rsidR="00A43501" w:rsidRPr="00230CC0" w:rsidRDefault="00A43501" w:rsidP="00A43501">
      <w:pPr>
        <w:widowControl w:val="0"/>
        <w:numPr>
          <w:ilvl w:val="0"/>
          <w:numId w:val="44"/>
        </w:numPr>
        <w:tabs>
          <w:tab w:val="left" w:pos="766"/>
        </w:tabs>
        <w:spacing w:after="120" w:line="276" w:lineRule="auto"/>
        <w:jc w:val="both"/>
        <w:rPr>
          <w:rFonts w:ascii="Palatino Linotype" w:hAnsi="Palatino Linotype"/>
          <w:i/>
          <w:sz w:val="22"/>
          <w:szCs w:val="22"/>
        </w:rPr>
      </w:pPr>
      <w:r w:rsidRPr="00230CC0">
        <w:rPr>
          <w:rStyle w:val="Cuerpodeltexto2Negrita"/>
          <w:rFonts w:ascii="Palatino Linotype" w:hAnsi="Palatino Linotype"/>
          <w:i/>
          <w:sz w:val="22"/>
          <w:szCs w:val="22"/>
        </w:rPr>
        <w:t xml:space="preserve">Riesgo por movimientos en masa: </w:t>
      </w:r>
      <w:r w:rsidRPr="00230CC0">
        <w:rPr>
          <w:rFonts w:ascii="Palatino Linotype" w:hAnsi="Palatino Linotype"/>
          <w:i/>
          <w:sz w:val="22"/>
          <w:szCs w:val="22"/>
        </w:rPr>
        <w:t xml:space="preserve">el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de la Parroquia Calderón en general presenta </w:t>
      </w:r>
      <w:r w:rsidRPr="00230CC0">
        <w:rPr>
          <w:rStyle w:val="Cuerpodeltexto2Negrita"/>
          <w:rFonts w:ascii="Palatino Linotype" w:hAnsi="Palatino Linotype"/>
          <w:i/>
          <w:sz w:val="22"/>
          <w:szCs w:val="22"/>
          <w:u w:val="single"/>
        </w:rPr>
        <w:t>Riesgo Bajo Mitigable</w:t>
      </w:r>
    </w:p>
    <w:p w:rsidR="00A43501" w:rsidRPr="00230CC0" w:rsidRDefault="00A43501" w:rsidP="00A43501">
      <w:pPr>
        <w:widowControl w:val="0"/>
        <w:numPr>
          <w:ilvl w:val="0"/>
          <w:numId w:val="44"/>
        </w:numPr>
        <w:tabs>
          <w:tab w:val="left" w:pos="766"/>
        </w:tabs>
        <w:spacing w:after="120" w:line="276" w:lineRule="auto"/>
        <w:jc w:val="both"/>
        <w:rPr>
          <w:rFonts w:ascii="Palatino Linotype" w:hAnsi="Palatino Linotype"/>
          <w:i/>
          <w:sz w:val="22"/>
          <w:szCs w:val="22"/>
        </w:rPr>
      </w:pPr>
      <w:r w:rsidRPr="00230CC0">
        <w:rPr>
          <w:rStyle w:val="Cuerpodeltexto2Negrita"/>
          <w:rFonts w:ascii="Palatino Linotype" w:hAnsi="Palatino Linotype"/>
          <w:i/>
          <w:sz w:val="22"/>
          <w:szCs w:val="22"/>
        </w:rPr>
        <w:t xml:space="preserve">Riesgo por eventos sísmicos: </w:t>
      </w:r>
      <w:r w:rsidRPr="00230CC0">
        <w:rPr>
          <w:rFonts w:ascii="Palatino Linotype" w:hAnsi="Palatino Linotype"/>
          <w:i/>
          <w:sz w:val="22"/>
          <w:szCs w:val="22"/>
        </w:rPr>
        <w:t xml:space="preserve">de manera general, todo el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de la Parroquia Calderón presenta condiciones de </w:t>
      </w:r>
      <w:r w:rsidRPr="00230CC0">
        <w:rPr>
          <w:rStyle w:val="Cuerpodeltexto2Cursiva"/>
          <w:rFonts w:ascii="Palatino Linotype" w:hAnsi="Palatino Linotype"/>
          <w:sz w:val="22"/>
          <w:szCs w:val="22"/>
        </w:rPr>
        <w:t>Riesgo Alto Mitigable</w:t>
      </w:r>
      <w:r w:rsidRPr="00230CC0">
        <w:rPr>
          <w:rStyle w:val="Cuerpodeltexto4"/>
          <w:rFonts w:ascii="Palatino Linotype" w:hAnsi="Palatino Linotype"/>
          <w:i/>
          <w:sz w:val="22"/>
          <w:szCs w:val="22"/>
        </w:rPr>
        <w:t>,</w:t>
      </w:r>
      <w:r w:rsidRPr="00230CC0">
        <w:rPr>
          <w:rStyle w:val="Cuerpodeltexto410pto"/>
          <w:rFonts w:ascii="Palatino Linotype" w:hAnsi="Palatino Linotype" w:cs="Times New Roman"/>
          <w:i/>
          <w:sz w:val="22"/>
          <w:szCs w:val="22"/>
        </w:rPr>
        <w:t xml:space="preserve"> </w:t>
      </w:r>
      <w:r w:rsidRPr="00230CC0">
        <w:rPr>
          <w:rFonts w:ascii="Palatino Linotype" w:hAnsi="Palatino Linotype"/>
          <w:i/>
          <w:sz w:val="22"/>
          <w:szCs w:val="22"/>
        </w:rPr>
        <w:t>debido a la vulnerabilidad de sus construcciones, el tipo de suelo y la cercanía a una fuente sísmica (falla geológica).</w:t>
      </w:r>
    </w:p>
    <w:p w:rsidR="00A43501" w:rsidRPr="00230CC0" w:rsidRDefault="00A43501" w:rsidP="00A43501">
      <w:pPr>
        <w:widowControl w:val="0"/>
        <w:numPr>
          <w:ilvl w:val="0"/>
          <w:numId w:val="44"/>
        </w:numPr>
        <w:spacing w:after="120" w:line="276" w:lineRule="auto"/>
        <w:jc w:val="both"/>
        <w:rPr>
          <w:rFonts w:ascii="Palatino Linotype" w:hAnsi="Palatino Linotype"/>
          <w:i/>
          <w:sz w:val="22"/>
          <w:szCs w:val="22"/>
        </w:rPr>
      </w:pPr>
      <w:r w:rsidRPr="00230CC0">
        <w:rPr>
          <w:rStyle w:val="Cuerpodeltexto2Negrita"/>
          <w:rFonts w:ascii="Palatino Linotype" w:hAnsi="Palatino Linotype"/>
          <w:i/>
          <w:sz w:val="22"/>
          <w:szCs w:val="22"/>
        </w:rPr>
        <w:t xml:space="preserve">Riesgo por fenómenos volcánicos: </w:t>
      </w:r>
      <w:r w:rsidRPr="00230CC0">
        <w:rPr>
          <w:rFonts w:ascii="Palatino Linotype" w:hAnsi="Palatino Linotype"/>
          <w:i/>
          <w:sz w:val="22"/>
          <w:szCs w:val="22"/>
        </w:rPr>
        <w:t xml:space="preserve">el principal fenómeno volcánico al que está expuesto el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de la Parroquia Calderón, así como la región norte del </w:t>
      </w:r>
      <w:proofErr w:type="spellStart"/>
      <w:r w:rsidRPr="00230CC0">
        <w:rPr>
          <w:rFonts w:ascii="Palatino Linotype" w:hAnsi="Palatino Linotype"/>
          <w:i/>
          <w:sz w:val="22"/>
          <w:szCs w:val="22"/>
        </w:rPr>
        <w:t>DMQ</w:t>
      </w:r>
      <w:proofErr w:type="spellEnd"/>
      <w:r w:rsidRPr="00230CC0">
        <w:rPr>
          <w:rFonts w:ascii="Palatino Linotype" w:hAnsi="Palatino Linotype"/>
          <w:i/>
          <w:sz w:val="22"/>
          <w:szCs w:val="22"/>
        </w:rPr>
        <w:t xml:space="preserve">, es la potencial caída </w:t>
      </w:r>
      <w:proofErr w:type="spellStart"/>
      <w:r w:rsidRPr="00230CC0">
        <w:rPr>
          <w:rFonts w:ascii="Palatino Linotype" w:hAnsi="Palatino Linotype"/>
          <w:i/>
          <w:sz w:val="22"/>
          <w:szCs w:val="22"/>
        </w:rPr>
        <w:t>piroclastos</w:t>
      </w:r>
      <w:proofErr w:type="spellEnd"/>
      <w:r w:rsidRPr="00230CC0">
        <w:rPr>
          <w:rFonts w:ascii="Palatino Linotype" w:hAnsi="Palatino Linotype"/>
          <w:i/>
          <w:sz w:val="22"/>
          <w:szCs w:val="22"/>
        </w:rPr>
        <w:t xml:space="preserve"> (material sólido de tamaño ceniza y/o lapilli) de los volcanes Guagua Pichincha, Cotopaxi, Reventador y </w:t>
      </w:r>
      <w:proofErr w:type="spellStart"/>
      <w:r w:rsidRPr="00230CC0">
        <w:rPr>
          <w:rFonts w:ascii="Palatino Linotype" w:hAnsi="Palatino Linotype"/>
          <w:i/>
          <w:sz w:val="22"/>
          <w:szCs w:val="22"/>
        </w:rPr>
        <w:t>Pululahua</w:t>
      </w:r>
      <w:proofErr w:type="spellEnd"/>
      <w:r w:rsidRPr="00230CC0">
        <w:rPr>
          <w:rFonts w:ascii="Palatino Linotype" w:hAnsi="Palatino Linotype"/>
          <w:i/>
          <w:sz w:val="22"/>
          <w:szCs w:val="22"/>
        </w:rPr>
        <w:t xml:space="preserve">; ante esta amenaza se presenta un </w:t>
      </w:r>
      <w:r w:rsidRPr="00230CC0">
        <w:rPr>
          <w:rStyle w:val="Cuerpodeltexto2Cursiva"/>
          <w:rFonts w:ascii="Palatino Linotype" w:hAnsi="Palatino Linotype"/>
          <w:sz w:val="22"/>
          <w:szCs w:val="22"/>
        </w:rPr>
        <w:t>Riesgo Moderado Mitigable.</w:t>
      </w:r>
    </w:p>
    <w:p w:rsidR="00A43501" w:rsidRPr="00230CC0" w:rsidRDefault="00A43501" w:rsidP="00A43501">
      <w:pPr>
        <w:spacing w:after="120" w:line="276" w:lineRule="auto"/>
        <w:jc w:val="both"/>
        <w:rPr>
          <w:rFonts w:ascii="Palatino Linotype" w:hAnsi="Palatino Linotype"/>
          <w:i/>
          <w:sz w:val="22"/>
          <w:szCs w:val="22"/>
        </w:rPr>
      </w:pPr>
      <w:r w:rsidRPr="00230CC0">
        <w:rPr>
          <w:rFonts w:ascii="Palatino Linotype" w:hAnsi="Palatino Linotype"/>
          <w:i/>
          <w:sz w:val="22"/>
          <w:szCs w:val="22"/>
        </w:rPr>
        <w:lastRenderedPageBreak/>
        <w:t xml:space="preserve">Por lo tanto, la </w:t>
      </w:r>
      <w:proofErr w:type="spellStart"/>
      <w:r w:rsidRPr="00230CC0">
        <w:rPr>
          <w:rFonts w:ascii="Palatino Linotype" w:hAnsi="Palatino Linotype"/>
          <w:i/>
          <w:sz w:val="22"/>
          <w:szCs w:val="22"/>
        </w:rPr>
        <w:t>DMGR</w:t>
      </w:r>
      <w:proofErr w:type="spellEnd"/>
      <w:r w:rsidRPr="00230CC0">
        <w:rPr>
          <w:rFonts w:ascii="Palatino Linotype" w:hAnsi="Palatino Linotype"/>
          <w:i/>
          <w:sz w:val="22"/>
          <w:szCs w:val="22"/>
        </w:rPr>
        <w:t xml:space="preserve"> sugiere que se puede continuar con el proceso de regularización del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de la Parroquia Calderón, para lo cual, una vez concluido dicho proceso, sus habitantes deberán cumplir las recomendaciones que se describen en este informe, lo cual contribuirá a reducir el riesgo identificado en la zona en análisis.</w:t>
      </w:r>
    </w:p>
    <w:p w:rsidR="00A43501" w:rsidRPr="00230CC0" w:rsidRDefault="00A43501" w:rsidP="00A43501">
      <w:pPr>
        <w:spacing w:after="120" w:line="276" w:lineRule="auto"/>
        <w:jc w:val="both"/>
        <w:rPr>
          <w:rFonts w:ascii="Palatino Linotype" w:hAnsi="Palatino Linotype"/>
          <w:i/>
          <w:sz w:val="22"/>
          <w:szCs w:val="22"/>
        </w:rPr>
      </w:pPr>
      <w:r w:rsidRPr="00230CC0">
        <w:rPr>
          <w:rFonts w:ascii="Palatino Linotype" w:hAnsi="Palatino Linotype"/>
          <w:i/>
          <w:sz w:val="22"/>
          <w:szCs w:val="22"/>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p>
    <w:p w:rsidR="00A43501" w:rsidRPr="00230CC0" w:rsidRDefault="00A43501" w:rsidP="00A43501">
      <w:pPr>
        <w:spacing w:after="120" w:line="276" w:lineRule="auto"/>
        <w:rPr>
          <w:rFonts w:ascii="Palatino Linotype" w:hAnsi="Palatino Linotype"/>
          <w:i/>
          <w:sz w:val="22"/>
          <w:szCs w:val="22"/>
        </w:rPr>
      </w:pPr>
      <w:r w:rsidRPr="00230CC0">
        <w:rPr>
          <w:rStyle w:val="Cuerpodeltexto2Negrita"/>
          <w:rFonts w:ascii="Palatino Linotype" w:hAnsi="Palatino Linotype"/>
          <w:i/>
          <w:sz w:val="22"/>
          <w:szCs w:val="22"/>
        </w:rPr>
        <w:t xml:space="preserve">Medidas Estructurales: </w:t>
      </w:r>
      <w:r w:rsidRPr="00230CC0">
        <w:rPr>
          <w:rFonts w:ascii="Palatino Linotype" w:hAnsi="Palatino Linotype"/>
          <w:i/>
          <w:sz w:val="22"/>
          <w:szCs w:val="22"/>
        </w:rPr>
        <w:t>Acciones de ingeniería para reducir impactos de las amenazas como:</w:t>
      </w:r>
    </w:p>
    <w:p w:rsidR="00A43501" w:rsidRPr="00230CC0" w:rsidRDefault="00A43501" w:rsidP="00A43501">
      <w:pPr>
        <w:widowControl w:val="0"/>
        <w:numPr>
          <w:ilvl w:val="0"/>
          <w:numId w:val="45"/>
        </w:numPr>
        <w:tabs>
          <w:tab w:val="left" w:pos="1340"/>
        </w:tabs>
        <w:spacing w:after="120" w:line="276" w:lineRule="auto"/>
        <w:jc w:val="both"/>
        <w:rPr>
          <w:rFonts w:ascii="Palatino Linotype" w:hAnsi="Palatino Linotype"/>
          <w:i/>
          <w:sz w:val="22"/>
          <w:szCs w:val="22"/>
        </w:rPr>
      </w:pPr>
      <w:r w:rsidRPr="00230CC0">
        <w:rPr>
          <w:rFonts w:ascii="Palatino Linotype" w:hAnsi="Palatino Linotype"/>
          <w:i/>
          <w:sz w:val="22"/>
          <w:szCs w:val="22"/>
        </w:rPr>
        <w:t>Protección y control: Intervención directa de la amenaza (Diques, muros de contención, canalización de aguas.)</w:t>
      </w:r>
    </w:p>
    <w:p w:rsidR="00A43501" w:rsidRPr="00230CC0" w:rsidRDefault="00A43501" w:rsidP="00A43501">
      <w:pPr>
        <w:widowControl w:val="0"/>
        <w:numPr>
          <w:ilvl w:val="0"/>
          <w:numId w:val="45"/>
        </w:numPr>
        <w:tabs>
          <w:tab w:val="left" w:pos="1340"/>
        </w:tabs>
        <w:spacing w:after="120" w:line="276" w:lineRule="auto"/>
        <w:jc w:val="both"/>
        <w:rPr>
          <w:rFonts w:ascii="Palatino Linotype" w:hAnsi="Palatino Linotype"/>
          <w:i/>
          <w:sz w:val="22"/>
          <w:szCs w:val="22"/>
        </w:rPr>
      </w:pPr>
      <w:r w:rsidRPr="00230CC0">
        <w:rPr>
          <w:rFonts w:ascii="Palatino Linotype" w:hAnsi="Palatino Linotype"/>
          <w:i/>
          <w:sz w:val="22"/>
          <w:szCs w:val="22"/>
        </w:rPr>
        <w:t>Modificar las condiciones de vulnerabilidad física de los elementos expuestos (refuerzo de infraestructura de líneas vitales, códigos de construcción, reubicación de viviendas.)</w:t>
      </w:r>
    </w:p>
    <w:p w:rsidR="00A43501" w:rsidRPr="00230CC0" w:rsidRDefault="00A43501" w:rsidP="00A43501">
      <w:pPr>
        <w:spacing w:after="120" w:line="276" w:lineRule="auto"/>
        <w:rPr>
          <w:rFonts w:ascii="Palatino Linotype" w:hAnsi="Palatino Linotype"/>
          <w:i/>
          <w:sz w:val="22"/>
          <w:szCs w:val="22"/>
        </w:rPr>
      </w:pPr>
      <w:r w:rsidRPr="00230CC0">
        <w:rPr>
          <w:rStyle w:val="Cuerpodeltexto2Negrita"/>
          <w:rFonts w:ascii="Palatino Linotype" w:hAnsi="Palatino Linotype"/>
          <w:i/>
          <w:sz w:val="22"/>
          <w:szCs w:val="22"/>
        </w:rPr>
        <w:t xml:space="preserve">Medidas No estructurales: </w:t>
      </w:r>
      <w:r w:rsidRPr="00230CC0">
        <w:rPr>
          <w:rFonts w:ascii="Palatino Linotype" w:hAnsi="Palatino Linotype"/>
          <w:i/>
          <w:sz w:val="22"/>
          <w:szCs w:val="22"/>
        </w:rPr>
        <w:t>Desarrollo del conocimiento, políticas, leyes y mecanismos participativos.</w:t>
      </w:r>
    </w:p>
    <w:p w:rsidR="00A43501" w:rsidRPr="00230CC0" w:rsidRDefault="00A43501" w:rsidP="00A43501">
      <w:pPr>
        <w:widowControl w:val="0"/>
        <w:numPr>
          <w:ilvl w:val="0"/>
          <w:numId w:val="46"/>
        </w:numPr>
        <w:tabs>
          <w:tab w:val="left" w:pos="1340"/>
        </w:tabs>
        <w:spacing w:after="120" w:line="276" w:lineRule="auto"/>
        <w:jc w:val="both"/>
        <w:rPr>
          <w:rFonts w:ascii="Palatino Linotype" w:hAnsi="Palatino Linotype"/>
          <w:i/>
          <w:sz w:val="22"/>
          <w:szCs w:val="22"/>
        </w:rPr>
      </w:pPr>
      <w:r w:rsidRPr="00230CC0">
        <w:rPr>
          <w:rFonts w:ascii="Palatino Linotype" w:hAnsi="Palatino Linotype"/>
          <w:i/>
          <w:sz w:val="22"/>
          <w:szCs w:val="22"/>
        </w:rPr>
        <w:t>Acciones Activas: Promueve interacción activa de las personas (organización para la respuesta, educación y capacitación, información pública, participación comunitaria)</w:t>
      </w:r>
    </w:p>
    <w:p w:rsidR="00A43501" w:rsidRPr="00230CC0" w:rsidRDefault="00A43501" w:rsidP="00A43501">
      <w:pPr>
        <w:widowControl w:val="0"/>
        <w:numPr>
          <w:ilvl w:val="0"/>
          <w:numId w:val="46"/>
        </w:numPr>
        <w:tabs>
          <w:tab w:val="left" w:pos="1340"/>
        </w:tabs>
        <w:spacing w:after="120" w:line="276" w:lineRule="auto"/>
        <w:jc w:val="both"/>
        <w:rPr>
          <w:rFonts w:ascii="Palatino Linotype" w:hAnsi="Palatino Linotype"/>
          <w:i/>
          <w:sz w:val="22"/>
          <w:szCs w:val="22"/>
        </w:rPr>
      </w:pPr>
      <w:r w:rsidRPr="00230CC0">
        <w:rPr>
          <w:rFonts w:ascii="Palatino Linotype" w:hAnsi="Palatino Linotype"/>
          <w:i/>
          <w:sz w:val="22"/>
          <w:szCs w:val="22"/>
        </w:rPr>
        <w:t>Acciones Pasivas: Relacionadas con legislación y planificación (normas de construcción, uso del suelo y ordenamiento territorial, etc.)</w:t>
      </w:r>
    </w:p>
    <w:p w:rsidR="00A43501" w:rsidRPr="00230CC0" w:rsidRDefault="00A43501" w:rsidP="00A43501">
      <w:pPr>
        <w:spacing w:after="120" w:line="276" w:lineRule="auto"/>
        <w:rPr>
          <w:rFonts w:ascii="Palatino Linotype" w:hAnsi="Palatino Linotype"/>
          <w:b/>
          <w:i/>
          <w:sz w:val="22"/>
          <w:szCs w:val="22"/>
        </w:rPr>
      </w:pPr>
      <w:r w:rsidRPr="00230CC0">
        <w:rPr>
          <w:rFonts w:ascii="Palatino Linotype" w:hAnsi="Palatino Linotype"/>
          <w:b/>
          <w:i/>
          <w:sz w:val="22"/>
          <w:szCs w:val="22"/>
        </w:rPr>
        <w:t>7 RECOMENDACIONES</w:t>
      </w:r>
    </w:p>
    <w:p w:rsidR="00A43501" w:rsidRPr="00230CC0" w:rsidRDefault="00A43501" w:rsidP="00A43501">
      <w:pPr>
        <w:spacing w:after="120" w:line="276" w:lineRule="auto"/>
        <w:jc w:val="both"/>
        <w:rPr>
          <w:rFonts w:ascii="Palatino Linotype" w:hAnsi="Palatino Linotype"/>
          <w:i/>
          <w:sz w:val="22"/>
          <w:szCs w:val="22"/>
        </w:rPr>
      </w:pPr>
      <w:r w:rsidRPr="00230CC0">
        <w:rPr>
          <w:rFonts w:ascii="Palatino Linotype" w:hAnsi="Palatino Linotype"/>
          <w:i/>
          <w:sz w:val="22"/>
          <w:szCs w:val="22"/>
        </w:rPr>
        <w:t>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w:t>
      </w:r>
    </w:p>
    <w:p w:rsidR="00A43501" w:rsidRPr="00230CC0" w:rsidRDefault="00A43501" w:rsidP="00A43501">
      <w:pPr>
        <w:pStyle w:val="Cuerpodeltexto20"/>
        <w:shd w:val="clear" w:color="auto" w:fill="auto"/>
        <w:spacing w:after="120" w:line="276" w:lineRule="auto"/>
        <w:ind w:left="360" w:hanging="360"/>
        <w:rPr>
          <w:rFonts w:ascii="Palatino Linotype" w:hAnsi="Palatino Linotype" w:cs="Times New Roman"/>
          <w:i/>
          <w:sz w:val="22"/>
          <w:szCs w:val="22"/>
        </w:rPr>
      </w:pPr>
      <w:r w:rsidRPr="00230CC0">
        <w:rPr>
          <w:rStyle w:val="Cuerpodeltexto2Negrita"/>
          <w:rFonts w:ascii="Palatino Linotype" w:hAnsi="Palatino Linotype" w:cs="Times New Roman"/>
          <w:i/>
          <w:sz w:val="22"/>
          <w:szCs w:val="22"/>
        </w:rPr>
        <w:t>Para el riesgo por movimientos en masa:</w:t>
      </w:r>
    </w:p>
    <w:p w:rsidR="00A43501" w:rsidRPr="00230CC0" w:rsidRDefault="00A43501" w:rsidP="00A43501">
      <w:pPr>
        <w:widowControl w:val="0"/>
        <w:numPr>
          <w:ilvl w:val="0"/>
          <w:numId w:val="47"/>
        </w:numPr>
        <w:tabs>
          <w:tab w:val="left" w:pos="-6521"/>
        </w:tabs>
        <w:spacing w:after="120" w:line="276" w:lineRule="auto"/>
        <w:jc w:val="both"/>
        <w:rPr>
          <w:rFonts w:ascii="Palatino Linotype" w:hAnsi="Palatino Linotype"/>
          <w:i/>
          <w:sz w:val="22"/>
          <w:szCs w:val="22"/>
        </w:rPr>
      </w:pPr>
      <w:r w:rsidRPr="00230CC0">
        <w:rPr>
          <w:rFonts w:ascii="Palatino Linotype" w:hAnsi="Palatino Linotype"/>
          <w:i/>
          <w:sz w:val="22"/>
          <w:szCs w:val="22"/>
        </w:rPr>
        <w:t>Se recomienda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w:t>
      </w:r>
    </w:p>
    <w:p w:rsidR="00A43501" w:rsidRPr="00230CC0" w:rsidRDefault="00A43501" w:rsidP="00A43501">
      <w:pPr>
        <w:pStyle w:val="Cuerpodeltexto20"/>
        <w:shd w:val="clear" w:color="auto" w:fill="auto"/>
        <w:spacing w:after="120" w:line="276" w:lineRule="auto"/>
        <w:ind w:left="360" w:hanging="360"/>
        <w:rPr>
          <w:rFonts w:ascii="Palatino Linotype" w:hAnsi="Palatino Linotype" w:cs="Times New Roman"/>
          <w:i/>
          <w:sz w:val="22"/>
          <w:szCs w:val="22"/>
        </w:rPr>
      </w:pPr>
      <w:r w:rsidRPr="00230CC0">
        <w:rPr>
          <w:rStyle w:val="Cuerpodeltexto2Negrita"/>
          <w:rFonts w:ascii="Palatino Linotype" w:hAnsi="Palatino Linotype" w:cs="Times New Roman"/>
          <w:i/>
          <w:sz w:val="22"/>
          <w:szCs w:val="22"/>
        </w:rPr>
        <w:t>Para el riesgo sísmico:</w:t>
      </w:r>
    </w:p>
    <w:p w:rsidR="00A43501" w:rsidRPr="00230CC0" w:rsidRDefault="00A43501" w:rsidP="00A43501">
      <w:pPr>
        <w:widowControl w:val="0"/>
        <w:numPr>
          <w:ilvl w:val="0"/>
          <w:numId w:val="47"/>
        </w:numPr>
        <w:tabs>
          <w:tab w:val="left" w:pos="-6521"/>
        </w:tabs>
        <w:spacing w:after="120" w:line="276" w:lineRule="auto"/>
        <w:jc w:val="both"/>
        <w:rPr>
          <w:rFonts w:ascii="Palatino Linotype" w:hAnsi="Palatino Linotype"/>
          <w:i/>
          <w:sz w:val="22"/>
          <w:szCs w:val="22"/>
        </w:rPr>
      </w:pPr>
      <w:r w:rsidRPr="00230CC0">
        <w:rPr>
          <w:rFonts w:ascii="Palatino Linotype" w:hAnsi="Palatino Linotype"/>
          <w:i/>
          <w:sz w:val="22"/>
          <w:szCs w:val="22"/>
        </w:rPr>
        <w:t xml:space="preserve">Se recomienda que los propietarios y/o posesiónanos actuales suspendan todo proceso </w:t>
      </w:r>
      <w:r w:rsidRPr="00230CC0">
        <w:rPr>
          <w:rFonts w:ascii="Palatino Linotype" w:hAnsi="Palatino Linotype"/>
          <w:i/>
          <w:sz w:val="22"/>
          <w:szCs w:val="22"/>
        </w:rPr>
        <w:lastRenderedPageBreak/>
        <w:t xml:space="preserve">constructivo en el </w:t>
      </w:r>
      <w:proofErr w:type="spellStart"/>
      <w:r w:rsidRPr="00230CC0">
        <w:rPr>
          <w:rFonts w:ascii="Palatino Linotype" w:hAnsi="Palatino Linotype"/>
          <w:i/>
          <w:sz w:val="22"/>
          <w:szCs w:val="22"/>
        </w:rPr>
        <w:t>macrolote</w:t>
      </w:r>
      <w:proofErr w:type="spellEnd"/>
      <w:r w:rsidRPr="00230CC0">
        <w:rPr>
          <w:rFonts w:ascii="Palatino Linotype" w:hAnsi="Palatino Linotype"/>
          <w:i/>
          <w:sz w:val="22"/>
          <w:szCs w:val="22"/>
        </w:rPr>
        <w:t xml:space="preserve"> evaluado, incluidas ampliaciones en las edificaciones existentes, hasta que el proceso de regularización del asentamiento culmine y se determine su normativa específica de edificabilidad que deberá constar en los Informes de Regulación Metropolitana individuales. Posterior a este proceso, los propietarios de cada lote podrán solicitar la emisión de la licencia de construcción respectiva a la autoridad competente, para lo cual deberán cumplir la normativa constructiva y de urbanismo vigentes.</w:t>
      </w:r>
    </w:p>
    <w:p w:rsidR="00A43501" w:rsidRPr="00230CC0" w:rsidRDefault="00A43501" w:rsidP="00A43501">
      <w:pPr>
        <w:widowControl w:val="0"/>
        <w:numPr>
          <w:ilvl w:val="0"/>
          <w:numId w:val="47"/>
        </w:numPr>
        <w:spacing w:after="120" w:line="276" w:lineRule="auto"/>
        <w:jc w:val="both"/>
        <w:rPr>
          <w:rFonts w:ascii="Palatino Linotype" w:hAnsi="Palatino Linotype"/>
          <w:i/>
          <w:sz w:val="22"/>
          <w:szCs w:val="22"/>
        </w:rPr>
      </w:pPr>
      <w:r w:rsidRPr="00230CC0">
        <w:rPr>
          <w:rFonts w:ascii="Palatino Linotype" w:hAnsi="Palatino Linotype"/>
          <w:i/>
          <w:sz w:val="22"/>
          <w:szCs w:val="22"/>
        </w:rPr>
        <w:t>Para reducir el riesgo existente, posterior al proceso de regularización, se recomienda que los propietarios de lotes edificados que no hayan construido sus viviendas según la normativa técnica vigente (NEC-2015), contraten un especialista (Ing. Civil Estructural) para que evalúe estructuralmente las edificaciones y proponga alternativas de reparación y/o reforzamiento estructural en caso de ameritarlo.</w:t>
      </w:r>
    </w:p>
    <w:p w:rsidR="00A43501" w:rsidRPr="00230CC0" w:rsidRDefault="00A43501" w:rsidP="00A43501">
      <w:pPr>
        <w:widowControl w:val="0"/>
        <w:numPr>
          <w:ilvl w:val="0"/>
          <w:numId w:val="47"/>
        </w:numPr>
        <w:spacing w:after="120" w:line="276" w:lineRule="auto"/>
        <w:jc w:val="both"/>
        <w:rPr>
          <w:rFonts w:ascii="Palatino Linotype" w:hAnsi="Palatino Linotype"/>
          <w:i/>
          <w:sz w:val="22"/>
          <w:szCs w:val="22"/>
        </w:rPr>
      </w:pPr>
      <w:r w:rsidRPr="00230CC0">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A43501" w:rsidRPr="00230CC0" w:rsidRDefault="00A43501" w:rsidP="00A43501">
      <w:pPr>
        <w:pStyle w:val="Cuerpodeltexto20"/>
        <w:shd w:val="clear" w:color="auto" w:fill="auto"/>
        <w:spacing w:after="120" w:line="276" w:lineRule="auto"/>
        <w:ind w:left="360" w:hanging="360"/>
        <w:rPr>
          <w:rFonts w:ascii="Palatino Linotype" w:hAnsi="Palatino Linotype" w:cs="Times New Roman"/>
          <w:i/>
          <w:sz w:val="22"/>
          <w:szCs w:val="22"/>
        </w:rPr>
      </w:pPr>
      <w:r w:rsidRPr="00230CC0">
        <w:rPr>
          <w:rStyle w:val="Cuerpodeltexto2Negrita"/>
          <w:rFonts w:ascii="Palatino Linotype" w:hAnsi="Palatino Linotype" w:cs="Times New Roman"/>
          <w:i/>
          <w:sz w:val="22"/>
          <w:szCs w:val="22"/>
        </w:rPr>
        <w:t>Para el riesgo Volcánico (caída de ceniza):</w:t>
      </w:r>
    </w:p>
    <w:p w:rsidR="00A43501" w:rsidRPr="00230CC0" w:rsidRDefault="00A43501" w:rsidP="00A43501">
      <w:pPr>
        <w:widowControl w:val="0"/>
        <w:numPr>
          <w:ilvl w:val="0"/>
          <w:numId w:val="48"/>
        </w:numPr>
        <w:tabs>
          <w:tab w:val="left" w:pos="-6663"/>
        </w:tabs>
        <w:spacing w:after="120" w:line="276" w:lineRule="auto"/>
        <w:jc w:val="both"/>
        <w:rPr>
          <w:rFonts w:ascii="Palatino Linotype" w:hAnsi="Palatino Linotype"/>
          <w:i/>
          <w:sz w:val="22"/>
          <w:szCs w:val="22"/>
        </w:rPr>
      </w:pPr>
      <w:r w:rsidRPr="00230CC0">
        <w:rPr>
          <w:rFonts w:ascii="Palatino Linotype" w:hAnsi="Palatino Linotype"/>
          <w:i/>
          <w:sz w:val="22"/>
          <w:szCs w:val="22"/>
        </w:rPr>
        <w:t xml:space="preserve">Las afectaciones que podría ocasionar la caída de </w:t>
      </w:r>
      <w:proofErr w:type="spellStart"/>
      <w:r w:rsidRPr="00230CC0">
        <w:rPr>
          <w:rFonts w:ascii="Palatino Linotype" w:hAnsi="Palatino Linotype"/>
          <w:i/>
          <w:sz w:val="22"/>
          <w:szCs w:val="22"/>
        </w:rPr>
        <w:t>piroclastos</w:t>
      </w:r>
      <w:proofErr w:type="spellEnd"/>
      <w:r w:rsidRPr="00230CC0">
        <w:rPr>
          <w:rFonts w:ascii="Palatino Linotype" w:hAnsi="Palatino Linotype"/>
          <w:i/>
          <w:sz w:val="22"/>
          <w:szCs w:val="22"/>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A43501" w:rsidRPr="00230CC0" w:rsidRDefault="00A43501" w:rsidP="00A43501">
      <w:pPr>
        <w:widowControl w:val="0"/>
        <w:numPr>
          <w:ilvl w:val="0"/>
          <w:numId w:val="48"/>
        </w:numPr>
        <w:tabs>
          <w:tab w:val="left" w:pos="-6663"/>
        </w:tabs>
        <w:spacing w:after="120" w:line="276" w:lineRule="auto"/>
        <w:jc w:val="both"/>
        <w:rPr>
          <w:rFonts w:ascii="Palatino Linotype" w:hAnsi="Palatino Linotype"/>
          <w:i/>
          <w:sz w:val="22"/>
          <w:szCs w:val="22"/>
        </w:rPr>
      </w:pPr>
      <w:r w:rsidRPr="00230CC0">
        <w:rPr>
          <w:rFonts w:ascii="Palatino Linotype" w:hAnsi="Palatino Linotype"/>
          <w:i/>
          <w:sz w:val="22"/>
          <w:szCs w:val="22"/>
        </w:rPr>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refugio.</w:t>
      </w:r>
    </w:p>
    <w:p w:rsidR="00A43501" w:rsidRPr="00230CC0" w:rsidRDefault="00A43501" w:rsidP="00A43501">
      <w:pPr>
        <w:widowControl w:val="0"/>
        <w:tabs>
          <w:tab w:val="left" w:pos="-6663"/>
        </w:tabs>
        <w:spacing w:after="120" w:line="276" w:lineRule="auto"/>
        <w:jc w:val="both"/>
        <w:rPr>
          <w:rFonts w:ascii="Palatino Linotype" w:hAnsi="Palatino Linotype"/>
          <w:b/>
          <w:i/>
          <w:sz w:val="22"/>
          <w:szCs w:val="22"/>
        </w:rPr>
      </w:pPr>
      <w:r w:rsidRPr="00230CC0">
        <w:rPr>
          <w:rFonts w:ascii="Palatino Linotype" w:hAnsi="Palatino Linotype"/>
          <w:b/>
          <w:i/>
          <w:sz w:val="22"/>
          <w:szCs w:val="22"/>
        </w:rPr>
        <w:t>Cumplimiento de la normativa vigente:</w:t>
      </w:r>
    </w:p>
    <w:p w:rsidR="00A43501" w:rsidRPr="00230CC0" w:rsidRDefault="00A43501" w:rsidP="00A43501">
      <w:pPr>
        <w:pStyle w:val="Prrafodelista"/>
        <w:widowControl w:val="0"/>
        <w:numPr>
          <w:ilvl w:val="0"/>
          <w:numId w:val="49"/>
        </w:numPr>
        <w:tabs>
          <w:tab w:val="left" w:pos="-6663"/>
        </w:tabs>
        <w:spacing w:after="120" w:line="276" w:lineRule="auto"/>
        <w:jc w:val="both"/>
        <w:rPr>
          <w:rFonts w:ascii="Palatino Linotype" w:hAnsi="Palatino Linotype"/>
          <w:i/>
          <w:sz w:val="22"/>
          <w:szCs w:val="22"/>
        </w:rPr>
      </w:pPr>
      <w:r w:rsidRPr="00230CC0">
        <w:rPr>
          <w:rFonts w:ascii="Palatino Linotype" w:hAnsi="Palatino Linotype"/>
          <w:i/>
          <w:sz w:val="22"/>
          <w:szCs w:val="22"/>
        </w:rPr>
        <w:t>En el proyecto de regularización se debe respetar la normativa vigente de las Ordenanzas Metropolitanas de: aprobación de los Planes Metropolitanos de Desarrollo y Ordenamiento Territorial, (</w:t>
      </w:r>
      <w:proofErr w:type="spellStart"/>
      <w:r w:rsidRPr="00230CC0">
        <w:rPr>
          <w:rFonts w:ascii="Palatino Linotype" w:hAnsi="Palatino Linotype"/>
          <w:i/>
          <w:sz w:val="22"/>
          <w:szCs w:val="22"/>
        </w:rPr>
        <w:t>PMDyOT</w:t>
      </w:r>
      <w:proofErr w:type="spellEnd"/>
      <w:r w:rsidRPr="00230CC0">
        <w:rPr>
          <w:rFonts w:ascii="Palatino Linotype" w:hAnsi="Palatino Linotype"/>
          <w:i/>
          <w:sz w:val="22"/>
          <w:szCs w:val="22"/>
        </w:rPr>
        <w:t>), Uso y Ocupación del Suelo, (</w:t>
      </w:r>
      <w:proofErr w:type="spellStart"/>
      <w:r w:rsidRPr="00230CC0">
        <w:rPr>
          <w:rFonts w:ascii="Palatino Linotype" w:hAnsi="Palatino Linotype"/>
          <w:i/>
          <w:sz w:val="22"/>
          <w:szCs w:val="22"/>
        </w:rPr>
        <w:t>PUOS</w:t>
      </w:r>
      <w:proofErr w:type="spellEnd"/>
      <w:r w:rsidRPr="00230CC0">
        <w:rPr>
          <w:rFonts w:ascii="Palatino Linotype" w:hAnsi="Palatino Linotype"/>
          <w:i/>
          <w:sz w:val="22"/>
          <w:szCs w:val="22"/>
        </w:rPr>
        <w:t xml:space="preserve">) y Régimen Administrativo del Suelo en el </w:t>
      </w:r>
      <w:proofErr w:type="spellStart"/>
      <w:r w:rsidRPr="00230CC0">
        <w:rPr>
          <w:rFonts w:ascii="Palatino Linotype" w:hAnsi="Palatino Linotype"/>
          <w:i/>
          <w:sz w:val="22"/>
          <w:szCs w:val="22"/>
        </w:rPr>
        <w:t>D.M.Q</w:t>
      </w:r>
      <w:proofErr w:type="spellEnd"/>
      <w:r w:rsidRPr="00230CC0">
        <w:rPr>
          <w:rFonts w:ascii="Palatino Linotype" w:hAnsi="Palatino Linotype"/>
          <w:i/>
          <w:sz w:val="22"/>
          <w:szCs w:val="22"/>
        </w:rPr>
        <w:t>.</w:t>
      </w:r>
    </w:p>
    <w:p w:rsidR="00A43501" w:rsidRPr="00230CC0" w:rsidRDefault="00A43501" w:rsidP="00A43501">
      <w:pPr>
        <w:pStyle w:val="Prrafodelista"/>
        <w:widowControl w:val="0"/>
        <w:numPr>
          <w:ilvl w:val="0"/>
          <w:numId w:val="49"/>
        </w:numPr>
        <w:tabs>
          <w:tab w:val="left" w:pos="-6663"/>
        </w:tabs>
        <w:spacing w:after="120" w:line="276" w:lineRule="auto"/>
        <w:jc w:val="both"/>
        <w:rPr>
          <w:rFonts w:ascii="Palatino Linotype" w:hAnsi="Palatino Linotype"/>
          <w:i/>
          <w:sz w:val="22"/>
          <w:szCs w:val="22"/>
        </w:rPr>
      </w:pPr>
      <w:r w:rsidRPr="00230CC0">
        <w:rPr>
          <w:rFonts w:ascii="Palatino Linotype" w:hAnsi="Palatino Linotype"/>
          <w:i/>
          <w:sz w:val="22"/>
          <w:szCs w:val="22"/>
        </w:rPr>
        <w:t xml:space="preserve">Incluir en el Informe de Regulación Metropolitana, </w:t>
      </w:r>
      <w:proofErr w:type="spellStart"/>
      <w:r w:rsidRPr="00230CC0">
        <w:rPr>
          <w:rFonts w:ascii="Palatino Linotype" w:hAnsi="Palatino Linotype"/>
          <w:i/>
          <w:sz w:val="22"/>
          <w:szCs w:val="22"/>
        </w:rPr>
        <w:t>IRM</w:t>
      </w:r>
      <w:proofErr w:type="spellEnd"/>
      <w:r w:rsidRPr="00230CC0">
        <w:rPr>
          <w:rFonts w:ascii="Palatino Linotype" w:hAnsi="Palatino Linotype"/>
          <w:i/>
          <w:sz w:val="22"/>
          <w:szCs w:val="22"/>
        </w:rPr>
        <w:t xml:space="preserve">; las observaciones de calificación del riesgo y recomendaciones para emisión de permisos y control de usos futuros y </w:t>
      </w:r>
      <w:r w:rsidRPr="00230CC0">
        <w:rPr>
          <w:rFonts w:ascii="Palatino Linotype" w:hAnsi="Palatino Linotype"/>
          <w:i/>
          <w:sz w:val="22"/>
          <w:szCs w:val="22"/>
        </w:rPr>
        <w:lastRenderedPageBreak/>
        <w:t>ocupación del suelo, en cumplimiento estricto con el cuerpo normativo que garantice el adecuado cuidado ambiental, en prevención de riesgos naturales y antrópicos que se podrían presentar.</w:t>
      </w:r>
    </w:p>
    <w:p w:rsidR="00A43501" w:rsidRPr="00230CC0" w:rsidRDefault="00A43501" w:rsidP="00A43501">
      <w:pPr>
        <w:pStyle w:val="Prrafodelista"/>
        <w:widowControl w:val="0"/>
        <w:numPr>
          <w:ilvl w:val="0"/>
          <w:numId w:val="49"/>
        </w:numPr>
        <w:tabs>
          <w:tab w:val="left" w:pos="-6663"/>
        </w:tabs>
        <w:spacing w:after="120" w:line="276" w:lineRule="auto"/>
        <w:jc w:val="both"/>
        <w:rPr>
          <w:rFonts w:ascii="Palatino Linotype" w:hAnsi="Palatino Linotype"/>
          <w:i/>
          <w:sz w:val="22"/>
          <w:szCs w:val="22"/>
        </w:rPr>
      </w:pPr>
      <w:r w:rsidRPr="00230CC0">
        <w:rPr>
          <w:rFonts w:ascii="Palatino Linotype" w:hAnsi="Palatino Linotype"/>
          <w:i/>
          <w:sz w:val="22"/>
          <w:szCs w:val="22"/>
        </w:rPr>
        <w:t xml:space="preserve">La Unidad </w:t>
      </w:r>
      <w:proofErr w:type="spellStart"/>
      <w:r w:rsidRPr="00230CC0">
        <w:rPr>
          <w:rFonts w:ascii="Palatino Linotype" w:hAnsi="Palatino Linotype"/>
          <w:i/>
          <w:sz w:val="22"/>
          <w:szCs w:val="22"/>
        </w:rPr>
        <w:t>Especail</w:t>
      </w:r>
      <w:proofErr w:type="spellEnd"/>
      <w:r w:rsidRPr="00230CC0">
        <w:rPr>
          <w:rFonts w:ascii="Palatino Linotype" w:hAnsi="Palatino Linotype"/>
          <w:i/>
          <w:sz w:val="22"/>
          <w:szCs w:val="22"/>
        </w:rPr>
        <w:t xml:space="preserve"> Regula Tu Barrio deberá comunicar a la comunidad del </w:t>
      </w:r>
      <w:proofErr w:type="spellStart"/>
      <w:r w:rsidRPr="00230CC0">
        <w:rPr>
          <w:rFonts w:ascii="Palatino Linotype" w:hAnsi="Palatino Linotype"/>
          <w:i/>
          <w:sz w:val="22"/>
          <w:szCs w:val="22"/>
        </w:rPr>
        <w:t>AHHYC</w:t>
      </w:r>
      <w:proofErr w:type="spellEnd"/>
      <w:r w:rsidRPr="00230CC0">
        <w:rPr>
          <w:rFonts w:ascii="Palatino Linotype" w:hAnsi="Palatino Linotype"/>
          <w:i/>
          <w:sz w:val="22"/>
          <w:szCs w:val="22"/>
        </w:rPr>
        <w:t xml:space="preserve"> “Nazaret de Calderón” lo descrito en el presente informe, especialmente la calificación del riesgo ante las diferentes amenazas analizadas y las respectivas recomendaciones técnicas.</w:t>
      </w:r>
      <w:r w:rsidRPr="00230CC0">
        <w:rPr>
          <w:rFonts w:ascii="Palatino Linotype" w:hAnsi="Palatino Linotype"/>
          <w:b/>
          <w:i/>
          <w:sz w:val="22"/>
          <w:szCs w:val="22"/>
        </w:rPr>
        <w:t>”</w:t>
      </w:r>
    </w:p>
    <w:p w:rsidR="00A43501" w:rsidRDefault="00A43501" w:rsidP="00A43501">
      <w:pPr>
        <w:spacing w:after="120" w:line="276" w:lineRule="auto"/>
        <w:jc w:val="both"/>
        <w:rPr>
          <w:rFonts w:ascii="Palatino Linotype" w:hAnsi="Palatino Linotype"/>
          <w:sz w:val="22"/>
          <w:szCs w:val="22"/>
        </w:rPr>
      </w:pPr>
      <w:r w:rsidRPr="00230CC0">
        <w:rPr>
          <w:rFonts w:ascii="Palatino Linotype" w:hAnsi="Palatino Linotype"/>
          <w:b/>
          <w:sz w:val="22"/>
          <w:szCs w:val="22"/>
        </w:rPr>
        <w:t>Artículo 7.-</w:t>
      </w:r>
      <w:r w:rsidRPr="00230CC0">
        <w:rPr>
          <w:rFonts w:ascii="Palatino Linotype" w:hAnsi="Palatino Linotype"/>
          <w:sz w:val="22"/>
          <w:szCs w:val="22"/>
        </w:rPr>
        <w:t xml:space="preserve"> </w:t>
      </w:r>
      <w:r w:rsidRPr="00230CC0">
        <w:rPr>
          <w:rFonts w:ascii="Palatino Linotype" w:hAnsi="Palatino Linotype"/>
          <w:b/>
          <w:bCs/>
          <w:sz w:val="22"/>
          <w:szCs w:val="22"/>
        </w:rPr>
        <w:t xml:space="preserve">De las vías.- </w:t>
      </w:r>
      <w:r w:rsidRPr="00230CC0">
        <w:rPr>
          <w:rFonts w:ascii="Palatino Linotype" w:hAnsi="Palatino Linotype"/>
          <w:sz w:val="22"/>
          <w:szCs w:val="22"/>
        </w:rPr>
        <w:t>El 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“Nazaret de Calderón”</w:t>
      </w:r>
      <w:r w:rsidRPr="00230CC0">
        <w:rPr>
          <w:rFonts w:ascii="Palatino Linotype" w:hAnsi="Palatino Linotype"/>
          <w:bCs/>
          <w:iCs/>
          <w:sz w:val="22"/>
          <w:szCs w:val="22"/>
        </w:rPr>
        <w:t xml:space="preserve"> </w:t>
      </w:r>
      <w:r w:rsidRPr="00230CC0">
        <w:rPr>
          <w:rFonts w:ascii="Palatino Linotype" w:hAnsi="Palatino Linotype"/>
          <w:sz w:val="22"/>
          <w:szCs w:val="22"/>
        </w:rPr>
        <w:t xml:space="preserve">contempla un sistema vial de uso público, debido a que éste es un asentamiento humano de hecho y consolidado de interés social de 10 años de existencia, con 39,39% de consolidación de viviendas y se encuentra ejecutando obras de infraestructura, razón por la cual los anchos viales se sujetarán al plano adjunto a la presente ordenanza. </w:t>
      </w:r>
    </w:p>
    <w:p w:rsidR="00A43501"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Se aprueban  las vías con los siguientes anchos: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 xml:space="preserve">Calle </w:t>
      </w:r>
      <w:proofErr w:type="spellStart"/>
      <w:r w:rsidRPr="00230CC0">
        <w:rPr>
          <w:rFonts w:ascii="Palatino Linotype" w:hAnsi="Palatino Linotype"/>
          <w:sz w:val="22"/>
          <w:szCs w:val="22"/>
        </w:rPr>
        <w:t>N12C</w:t>
      </w:r>
      <w:proofErr w:type="spellEnd"/>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8,45 m.</w:t>
      </w:r>
    </w:p>
    <w:p w:rsidR="00A43501" w:rsidRPr="00230CC0" w:rsidRDefault="00A43501" w:rsidP="00A43501">
      <w:pPr>
        <w:spacing w:after="120" w:line="276" w:lineRule="auto"/>
        <w:jc w:val="both"/>
        <w:rPr>
          <w:rFonts w:ascii="Palatino Linotype" w:hAnsi="Palatino Linotype"/>
          <w:sz w:val="22"/>
          <w:szCs w:val="22"/>
          <w:highlight w:val="yellow"/>
        </w:rPr>
      </w:pPr>
      <w:r w:rsidRPr="00230CC0">
        <w:rPr>
          <w:rFonts w:ascii="Palatino Linotype" w:hAnsi="Palatino Linotype"/>
          <w:sz w:val="22"/>
          <w:szCs w:val="22"/>
        </w:rPr>
        <w:t xml:space="preserve">Calle </w:t>
      </w:r>
      <w:proofErr w:type="spellStart"/>
      <w:r w:rsidRPr="00230CC0">
        <w:rPr>
          <w:rFonts w:ascii="Palatino Linotype" w:hAnsi="Palatino Linotype"/>
          <w:sz w:val="22"/>
          <w:szCs w:val="22"/>
        </w:rPr>
        <w:t>N12D</w:t>
      </w:r>
      <w:proofErr w:type="spellEnd"/>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8,45 m.</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b/>
          <w:bCs/>
          <w:sz w:val="22"/>
          <w:szCs w:val="22"/>
        </w:rPr>
        <w:t xml:space="preserve">Artículo 8.- De las obras a ejecutarse.- </w:t>
      </w:r>
      <w:r w:rsidRPr="00230CC0">
        <w:rPr>
          <w:rFonts w:ascii="Palatino Linotype" w:hAnsi="Palatino Linotype"/>
          <w:sz w:val="22"/>
          <w:szCs w:val="22"/>
        </w:rPr>
        <w:t xml:space="preserve">Las obras a ejecutarse en el asentamiento humano de hecho y consolidado de interés social, son las siguientes: </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Calzadas</w:t>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230CC0">
        <w:rPr>
          <w:rFonts w:ascii="Palatino Linotype" w:hAnsi="Palatino Linotype"/>
          <w:sz w:val="22"/>
          <w:szCs w:val="22"/>
        </w:rPr>
        <w:t>Aceras</w:t>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100%</w:t>
      </w:r>
    </w:p>
    <w:p w:rsidR="00A43501" w:rsidRPr="00230CC0" w:rsidRDefault="00A43501" w:rsidP="00A43501">
      <w:pPr>
        <w:spacing w:after="120" w:line="276" w:lineRule="auto"/>
        <w:jc w:val="both"/>
        <w:rPr>
          <w:rFonts w:ascii="Palatino Linotype" w:hAnsi="Palatino Linotype"/>
          <w:iCs/>
          <w:sz w:val="22"/>
          <w:szCs w:val="22"/>
        </w:rPr>
      </w:pPr>
      <w:r w:rsidRPr="00230CC0">
        <w:rPr>
          <w:rFonts w:ascii="Palatino Linotype" w:hAnsi="Palatino Linotype"/>
          <w:sz w:val="22"/>
          <w:szCs w:val="22"/>
        </w:rPr>
        <w:t>Bordillos</w:t>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230CC0">
        <w:rPr>
          <w:rFonts w:ascii="Palatino Linotype" w:hAnsi="Palatino Linotype"/>
          <w:sz w:val="22"/>
          <w:szCs w:val="22"/>
        </w:rPr>
        <w:t>Agua Potable</w:t>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70%</w:t>
      </w:r>
    </w:p>
    <w:p w:rsidR="00A43501" w:rsidRPr="00230CC0" w:rsidRDefault="00A43501" w:rsidP="00A43501">
      <w:pPr>
        <w:spacing w:after="120" w:line="276" w:lineRule="auto"/>
        <w:jc w:val="both"/>
        <w:rPr>
          <w:rFonts w:ascii="Palatino Linotype" w:hAnsi="Palatino Linotype"/>
          <w:sz w:val="22"/>
          <w:szCs w:val="22"/>
        </w:rPr>
      </w:pPr>
      <w:r w:rsidRPr="00230CC0">
        <w:rPr>
          <w:rFonts w:ascii="Palatino Linotype" w:hAnsi="Palatino Linotype"/>
          <w:sz w:val="22"/>
          <w:szCs w:val="22"/>
        </w:rPr>
        <w:t>Alcantarillado</w:t>
      </w:r>
      <w:r w:rsidRPr="00230CC0">
        <w:rPr>
          <w:rFonts w:ascii="Palatino Linotype" w:hAnsi="Palatino Linotype"/>
          <w:sz w:val="22"/>
          <w:szCs w:val="22"/>
        </w:rPr>
        <w:tab/>
      </w:r>
      <w:r w:rsidRPr="00230CC0">
        <w:rPr>
          <w:rFonts w:ascii="Palatino Linotype" w:hAnsi="Palatino Linotype"/>
          <w:sz w:val="22"/>
          <w:szCs w:val="22"/>
        </w:rPr>
        <w:tab/>
      </w:r>
      <w:r w:rsidRPr="00230CC0">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230CC0">
        <w:rPr>
          <w:rFonts w:ascii="Palatino Linotype" w:hAnsi="Palatino Linotype"/>
          <w:sz w:val="22"/>
          <w:szCs w:val="22"/>
        </w:rPr>
        <w:t>Energía Eléctrica</w:t>
      </w:r>
      <w:r w:rsidRPr="00230CC0">
        <w:rPr>
          <w:rFonts w:ascii="Palatino Linotype" w:hAnsi="Palatino Linotype"/>
          <w:sz w:val="22"/>
          <w:szCs w:val="22"/>
        </w:rPr>
        <w:tab/>
      </w:r>
      <w:r w:rsidRPr="00230CC0">
        <w:rPr>
          <w:rFonts w:ascii="Palatino Linotype" w:hAnsi="Palatino Linotype"/>
          <w:sz w:val="22"/>
          <w:szCs w:val="22"/>
        </w:rPr>
        <w:tab/>
        <w:t>70%</w:t>
      </w:r>
    </w:p>
    <w:p w:rsidR="00A43501" w:rsidRPr="00230CC0" w:rsidRDefault="00A43501" w:rsidP="00A43501">
      <w:pPr>
        <w:spacing w:after="120" w:line="276" w:lineRule="auto"/>
        <w:jc w:val="both"/>
        <w:rPr>
          <w:rFonts w:ascii="Palatino Linotype" w:hAnsi="Palatino Linotype"/>
          <w:iCs/>
          <w:sz w:val="22"/>
          <w:szCs w:val="22"/>
        </w:rPr>
      </w:pPr>
      <w:r w:rsidRPr="00230CC0">
        <w:rPr>
          <w:rFonts w:ascii="Palatino Linotype" w:hAnsi="Palatino Linotype"/>
          <w:b/>
          <w:bCs/>
          <w:sz w:val="22"/>
          <w:szCs w:val="22"/>
        </w:rPr>
        <w:t>Artículo 9.- Del plazo de ejecución de las obras.-</w:t>
      </w:r>
      <w:r w:rsidRPr="00230CC0">
        <w:rPr>
          <w:rFonts w:ascii="Palatino Linotype" w:hAnsi="Palatino Linotype"/>
          <w:sz w:val="22"/>
          <w:szCs w:val="22"/>
        </w:rPr>
        <w:t xml:space="preserve"> </w:t>
      </w:r>
      <w:r w:rsidRPr="00230CC0">
        <w:rPr>
          <w:rFonts w:ascii="Palatino Linotype" w:hAnsi="Palatino Linotype"/>
          <w:sz w:val="22"/>
          <w:szCs w:val="22"/>
          <w:lang w:val="es-EC"/>
        </w:rPr>
        <w:t xml:space="preserve">El plazo de ejecución de la totalidad de las obras civiles y de infraestructura, será de ocho (8) años, </w:t>
      </w:r>
      <w:r w:rsidRPr="00230CC0">
        <w:rPr>
          <w:rFonts w:ascii="Palatino Linotype" w:hAnsi="Palatino Linotype"/>
          <w:iCs/>
          <w:sz w:val="22"/>
          <w:szCs w:val="22"/>
        </w:rPr>
        <w:t xml:space="preserve">de conformidad al cronograma de obras presentado por </w:t>
      </w:r>
      <w:r w:rsidRPr="00230CC0">
        <w:rPr>
          <w:rFonts w:ascii="Palatino Linotype" w:hAnsi="Palatino Linotype"/>
          <w:color w:val="0D0D0D"/>
          <w:sz w:val="22"/>
          <w:szCs w:val="22"/>
        </w:rPr>
        <w:t xml:space="preserve">los copropietarios  del inmueble donde se ubica </w:t>
      </w:r>
      <w:r w:rsidRPr="00230CC0">
        <w:rPr>
          <w:rFonts w:ascii="Palatino Linotype" w:hAnsi="Palatino Linotype"/>
          <w:sz w:val="22"/>
          <w:szCs w:val="22"/>
        </w:rPr>
        <w:t>el asentamiento humano de hecho y consolidado de interés social</w:t>
      </w:r>
      <w:r w:rsidRPr="00230CC0">
        <w:rPr>
          <w:rFonts w:ascii="Palatino Linotype" w:hAnsi="Palatino Linotype"/>
          <w:b/>
          <w:sz w:val="22"/>
          <w:szCs w:val="22"/>
        </w:rPr>
        <w:t xml:space="preserve">, </w:t>
      </w:r>
      <w:r w:rsidRPr="00230CC0">
        <w:rPr>
          <w:rFonts w:ascii="Palatino Linotype" w:hAnsi="Palatino Linotype"/>
          <w:iCs/>
          <w:sz w:val="22"/>
          <w:szCs w:val="22"/>
        </w:rPr>
        <w:t>plazo que se contará a partir de la fecha de inscripción de la presente Ordenanza en el Registro de la Propiedad del Distrito Metropolitano de Quito.</w:t>
      </w:r>
    </w:p>
    <w:p w:rsidR="00A43501" w:rsidRPr="00230CC0" w:rsidRDefault="00A43501" w:rsidP="00A43501">
      <w:pPr>
        <w:spacing w:after="120" w:line="276" w:lineRule="auto"/>
        <w:jc w:val="both"/>
        <w:rPr>
          <w:rFonts w:ascii="Palatino Linotype" w:hAnsi="Palatino Linotype"/>
          <w:iCs/>
          <w:sz w:val="22"/>
          <w:szCs w:val="22"/>
        </w:rPr>
      </w:pPr>
      <w:r w:rsidRPr="00230CC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A43501" w:rsidRPr="00230CC0" w:rsidRDefault="00A43501" w:rsidP="00A43501">
      <w:pPr>
        <w:spacing w:after="120" w:line="276" w:lineRule="auto"/>
        <w:jc w:val="both"/>
        <w:rPr>
          <w:rFonts w:ascii="Palatino Linotype" w:hAnsi="Palatino Linotype"/>
          <w:color w:val="2A2A2A"/>
          <w:sz w:val="22"/>
          <w:szCs w:val="22"/>
        </w:rPr>
      </w:pPr>
      <w:r w:rsidRPr="00230CC0">
        <w:rPr>
          <w:rFonts w:ascii="Palatino Linotype" w:hAnsi="Palatino Linotype"/>
          <w:b/>
          <w:bCs/>
          <w:sz w:val="22"/>
          <w:szCs w:val="22"/>
        </w:rPr>
        <w:t>Artículo 10</w:t>
      </w:r>
      <w:r w:rsidRPr="00230CC0">
        <w:rPr>
          <w:rFonts w:ascii="Palatino Linotype" w:hAnsi="Palatino Linotype"/>
          <w:b/>
          <w:bCs/>
          <w:sz w:val="22"/>
          <w:szCs w:val="22"/>
          <w:lang w:val="es-ES_tradnl"/>
        </w:rPr>
        <w:t xml:space="preserve">.- Del control de ejecución de las obras.- </w:t>
      </w:r>
      <w:r w:rsidRPr="00230CC0">
        <w:rPr>
          <w:rFonts w:ascii="Palatino Linotype" w:hAnsi="Palatino Linotype"/>
          <w:color w:val="2A2A2A"/>
          <w:sz w:val="22"/>
          <w:szCs w:val="22"/>
        </w:rPr>
        <w:t xml:space="preserve">La Administración Zonal Calderón </w:t>
      </w:r>
      <w:r w:rsidRPr="00230CC0">
        <w:rPr>
          <w:rFonts w:ascii="Palatino Linotype" w:hAnsi="Palatino Linotype"/>
          <w:iCs/>
          <w:sz w:val="22"/>
          <w:szCs w:val="22"/>
          <w:lang w:val="es-EC"/>
        </w:rPr>
        <w:t>r</w:t>
      </w:r>
      <w:r w:rsidRPr="00230CC0">
        <w:rPr>
          <w:rFonts w:ascii="Palatino Linotype" w:hAnsi="Palatino Linotype"/>
          <w:sz w:val="22"/>
          <w:szCs w:val="22"/>
          <w:lang w:val="es-EC"/>
        </w:rPr>
        <w:t xml:space="preserve">ealizará el seguimiento en la ejecución y avance de las obras civiles y de infraestructura hasta </w:t>
      </w:r>
      <w:r w:rsidRPr="00230CC0">
        <w:rPr>
          <w:rFonts w:ascii="Palatino Linotype" w:hAnsi="Palatino Linotype"/>
          <w:sz w:val="22"/>
          <w:szCs w:val="22"/>
          <w:lang w:val="es-EC"/>
        </w:rPr>
        <w:lastRenderedPageBreak/>
        <w:t xml:space="preserve">la terminación de las mismas, </w:t>
      </w:r>
      <w:r w:rsidRPr="00230CC0">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230CC0">
        <w:rPr>
          <w:rFonts w:ascii="Palatino Linotype" w:hAnsi="Palatino Linotype"/>
          <w:color w:val="2A2A2A"/>
          <w:sz w:val="22"/>
          <w:szCs w:val="22"/>
        </w:rPr>
        <w:t>.</w:t>
      </w:r>
    </w:p>
    <w:p w:rsidR="00A43501" w:rsidRPr="00230CC0" w:rsidRDefault="00A43501" w:rsidP="00A43501">
      <w:pPr>
        <w:shd w:val="clear" w:color="auto" w:fill="FFFFFF"/>
        <w:spacing w:after="120" w:line="276" w:lineRule="auto"/>
        <w:jc w:val="both"/>
        <w:rPr>
          <w:rFonts w:ascii="Palatino Linotype" w:hAnsi="Palatino Linotype"/>
          <w:sz w:val="22"/>
          <w:szCs w:val="22"/>
        </w:rPr>
      </w:pPr>
      <w:r w:rsidRPr="00230CC0">
        <w:rPr>
          <w:rFonts w:ascii="Palatino Linotype" w:hAnsi="Palatino Linotype"/>
          <w:b/>
          <w:bCs/>
          <w:sz w:val="22"/>
          <w:szCs w:val="22"/>
        </w:rPr>
        <w:t>Artículo</w:t>
      </w:r>
      <w:r w:rsidRPr="00230CC0">
        <w:rPr>
          <w:rFonts w:ascii="Palatino Linotype" w:hAnsi="Palatino Linotype"/>
          <w:b/>
          <w:bCs/>
          <w:sz w:val="22"/>
          <w:szCs w:val="22"/>
          <w:lang w:val="es-ES_tradnl"/>
        </w:rPr>
        <w:t xml:space="preserve"> 11.- De la multa por retraso en ejecución de obras.- </w:t>
      </w:r>
      <w:r w:rsidRPr="00230CC0">
        <w:rPr>
          <w:rFonts w:ascii="Palatino Linotype" w:hAnsi="Palatino Linotype"/>
          <w:sz w:val="22"/>
          <w:szCs w:val="22"/>
          <w:lang w:val="es-ES_tradnl"/>
        </w:rPr>
        <w:t xml:space="preserve">En caso de retraso en la ejecución de las obras </w:t>
      </w:r>
      <w:r w:rsidRPr="00230CC0">
        <w:rPr>
          <w:rFonts w:ascii="Palatino Linotype" w:hAnsi="Palatino Linotype"/>
          <w:sz w:val="22"/>
          <w:szCs w:val="22"/>
          <w:lang w:val="es-EC"/>
        </w:rPr>
        <w:t>obras civiles y de infraestructura</w:t>
      </w:r>
      <w:r w:rsidRPr="00230CC0">
        <w:rPr>
          <w:rFonts w:ascii="Palatino Linotype" w:hAnsi="Palatino Linotype"/>
          <w:sz w:val="22"/>
          <w:szCs w:val="22"/>
          <w:lang w:val="es-ES_tradnl"/>
        </w:rPr>
        <w:t>,</w:t>
      </w:r>
      <w:r w:rsidRPr="00230CC0">
        <w:rPr>
          <w:rFonts w:ascii="Palatino Linotype" w:hAnsi="Palatino Linotype"/>
          <w:color w:val="0D0D0D"/>
          <w:sz w:val="22"/>
          <w:szCs w:val="22"/>
        </w:rPr>
        <w:t xml:space="preserve"> los copropietarios del inmueble sobre el cual se ubica </w:t>
      </w:r>
      <w:r w:rsidRPr="00230CC0">
        <w:rPr>
          <w:rFonts w:ascii="Palatino Linotype" w:hAnsi="Palatino Linotype"/>
          <w:sz w:val="22"/>
          <w:szCs w:val="22"/>
        </w:rPr>
        <w:t>el 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“Nazaret de Calderón”</w:t>
      </w:r>
      <w:r w:rsidRPr="00230CC0">
        <w:rPr>
          <w:rFonts w:ascii="Palatino Linotype" w:hAnsi="Palatino Linotype"/>
          <w:bCs/>
          <w:iCs/>
          <w:sz w:val="22"/>
          <w:szCs w:val="22"/>
        </w:rPr>
        <w:t xml:space="preserve"> s</w:t>
      </w:r>
      <w:r w:rsidRPr="00230CC0">
        <w:rPr>
          <w:rFonts w:ascii="Palatino Linotype" w:hAnsi="Palatino Linotype"/>
          <w:bCs/>
          <w:color w:val="000000"/>
          <w:sz w:val="22"/>
          <w:szCs w:val="22"/>
        </w:rPr>
        <w:t>e sujetará a las sanciones contempladas en el ordenamiento jurídico nacional y metropolitano.</w:t>
      </w:r>
    </w:p>
    <w:p w:rsidR="00A43501" w:rsidRPr="00230CC0" w:rsidRDefault="00A43501" w:rsidP="00A43501">
      <w:pPr>
        <w:pStyle w:val="Textoindependiente"/>
        <w:tabs>
          <w:tab w:val="left" w:pos="1306"/>
        </w:tabs>
        <w:spacing w:line="276" w:lineRule="auto"/>
        <w:jc w:val="both"/>
        <w:rPr>
          <w:rFonts w:ascii="Palatino Linotype" w:hAnsi="Palatino Linotype"/>
          <w:b/>
          <w:bCs/>
          <w:sz w:val="22"/>
          <w:szCs w:val="22"/>
        </w:rPr>
      </w:pPr>
      <w:r w:rsidRPr="00230CC0">
        <w:rPr>
          <w:rFonts w:ascii="Palatino Linotype" w:hAnsi="Palatino Linotype"/>
          <w:b/>
          <w:bCs/>
          <w:iCs/>
          <w:sz w:val="22"/>
          <w:szCs w:val="22"/>
        </w:rPr>
        <w:t xml:space="preserve">Artículo 12.- De la garantía de ejecución de las obras.- </w:t>
      </w:r>
      <w:r w:rsidRPr="00230CC0">
        <w:rPr>
          <w:rFonts w:ascii="Palatino Linotype" w:hAnsi="Palatino Linotype"/>
          <w:sz w:val="22"/>
          <w:szCs w:val="22"/>
        </w:rPr>
        <w:t xml:space="preserve">Los lotes producto del presente fraccionamiento donde se encuentra ubicado el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230CC0">
        <w:rPr>
          <w:rFonts w:ascii="Palatino Linotype" w:hAnsi="Palatino Linotype"/>
          <w:sz w:val="22"/>
          <w:szCs w:val="22"/>
          <w:lang w:val="es-EC"/>
        </w:rPr>
        <w:t>obras civiles y de infraestructura</w:t>
      </w:r>
      <w:r w:rsidRPr="00230CC0">
        <w:rPr>
          <w:rFonts w:ascii="Palatino Linotype" w:hAnsi="Palatino Linotype"/>
          <w:b/>
          <w:bCs/>
          <w:sz w:val="22"/>
          <w:szCs w:val="22"/>
        </w:rPr>
        <w:t xml:space="preserve"> </w:t>
      </w:r>
    </w:p>
    <w:p w:rsidR="00A43501" w:rsidRPr="00230CC0" w:rsidRDefault="00A43501" w:rsidP="00A43501">
      <w:pPr>
        <w:pStyle w:val="Textoindependiente"/>
        <w:tabs>
          <w:tab w:val="left" w:pos="1306"/>
        </w:tabs>
        <w:spacing w:line="276" w:lineRule="auto"/>
        <w:jc w:val="both"/>
        <w:rPr>
          <w:rFonts w:ascii="Palatino Linotype" w:hAnsi="Palatino Linotype"/>
          <w:sz w:val="22"/>
          <w:szCs w:val="22"/>
          <w:lang w:val="es-ES_tradnl"/>
        </w:rPr>
      </w:pPr>
      <w:r w:rsidRPr="00230CC0">
        <w:rPr>
          <w:rFonts w:ascii="Palatino Linotype" w:hAnsi="Palatino Linotype"/>
          <w:b/>
          <w:bCs/>
          <w:sz w:val="22"/>
          <w:szCs w:val="22"/>
        </w:rPr>
        <w:t>Artículo</w:t>
      </w:r>
      <w:r w:rsidRPr="00230CC0">
        <w:rPr>
          <w:rFonts w:ascii="Palatino Linotype" w:hAnsi="Palatino Linotype"/>
          <w:b/>
          <w:bCs/>
          <w:sz w:val="22"/>
          <w:szCs w:val="22"/>
          <w:lang w:val="es-ES_tradnl"/>
        </w:rPr>
        <w:t xml:space="preserve"> 13</w:t>
      </w:r>
      <w:r>
        <w:rPr>
          <w:rFonts w:ascii="Palatino Linotype" w:hAnsi="Palatino Linotype"/>
          <w:b/>
          <w:bCs/>
          <w:sz w:val="22"/>
          <w:szCs w:val="22"/>
          <w:lang w:val="es-ES_tradnl"/>
        </w:rPr>
        <w:t>.- De la p</w:t>
      </w:r>
      <w:r w:rsidRPr="00230CC0">
        <w:rPr>
          <w:rFonts w:ascii="Palatino Linotype" w:hAnsi="Palatino Linotype"/>
          <w:b/>
          <w:bCs/>
          <w:sz w:val="22"/>
          <w:szCs w:val="22"/>
          <w:lang w:val="es-ES_tradnl"/>
        </w:rPr>
        <w:t xml:space="preserve">rotocolización e inscripción de la Ordenanza.-  </w:t>
      </w:r>
      <w:r w:rsidRPr="00230CC0">
        <w:rPr>
          <w:rFonts w:ascii="Palatino Linotype" w:hAnsi="Palatino Linotype"/>
          <w:sz w:val="22"/>
          <w:szCs w:val="22"/>
          <w:lang w:val="es-EC"/>
        </w:rPr>
        <w:t xml:space="preserve">Los copropietarios del predio del </w:t>
      </w:r>
      <w:r w:rsidRPr="00230CC0">
        <w:rPr>
          <w:rFonts w:ascii="Palatino Linotype" w:hAnsi="Palatino Linotype"/>
          <w:sz w:val="22"/>
          <w:szCs w:val="22"/>
        </w:rPr>
        <w:t>Asentamiento Humano de Hecho y Consolidado de Interés Social denominado</w:t>
      </w:r>
      <w:r w:rsidRPr="00230CC0">
        <w:rPr>
          <w:rFonts w:ascii="Palatino Linotype" w:hAnsi="Palatino Linotype"/>
          <w:bCs/>
          <w:sz w:val="22"/>
          <w:szCs w:val="22"/>
        </w:rPr>
        <w:t xml:space="preserve"> Comité Pro Mejoras del Barrio </w:t>
      </w:r>
      <w:r w:rsidRPr="00230CC0">
        <w:rPr>
          <w:rFonts w:ascii="Palatino Linotype" w:hAnsi="Palatino Linotype"/>
          <w:sz w:val="22"/>
          <w:szCs w:val="22"/>
        </w:rPr>
        <w:t>“Nazaret de Calderón”</w:t>
      </w:r>
      <w:r w:rsidRPr="00230CC0">
        <w:rPr>
          <w:rFonts w:ascii="Palatino Linotype" w:hAnsi="Palatino Linotype"/>
          <w:sz w:val="22"/>
          <w:szCs w:val="22"/>
          <w:lang w:val="es-ES_tradnl"/>
        </w:rPr>
        <w:t xml:space="preserve">, deberán </w:t>
      </w:r>
      <w:r w:rsidRPr="00230CC0">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230CC0">
        <w:rPr>
          <w:rFonts w:ascii="Palatino Linotype" w:hAnsi="Palatino Linotype"/>
          <w:sz w:val="22"/>
          <w:szCs w:val="22"/>
          <w:lang w:val="es-ES_tradnl"/>
        </w:rPr>
        <w:t>con todos sus documentos habilitantes</w:t>
      </w:r>
      <w:r w:rsidRPr="00230CC0">
        <w:rPr>
          <w:rFonts w:ascii="Palatino Linotype" w:hAnsi="Palatino Linotype"/>
          <w:sz w:val="22"/>
          <w:szCs w:val="22"/>
          <w:lang w:val="es-EC"/>
        </w:rPr>
        <w:t>.</w:t>
      </w:r>
    </w:p>
    <w:p w:rsidR="00A43501" w:rsidRPr="00230CC0" w:rsidRDefault="00A43501" w:rsidP="00A43501">
      <w:pPr>
        <w:spacing w:after="120" w:line="276" w:lineRule="auto"/>
        <w:ind w:left="1"/>
        <w:jc w:val="both"/>
        <w:rPr>
          <w:rFonts w:ascii="Palatino Linotype" w:hAnsi="Palatino Linotype"/>
          <w:bCs/>
          <w:sz w:val="22"/>
          <w:szCs w:val="22"/>
          <w:lang w:val="es-ES_tradnl"/>
        </w:rPr>
      </w:pPr>
      <w:r w:rsidRPr="00230CC0">
        <w:rPr>
          <w:rFonts w:ascii="Palatino Linotype" w:hAnsi="Palatino Linotype"/>
          <w:bCs/>
          <w:sz w:val="22"/>
          <w:szCs w:val="22"/>
          <w:lang w:val="es-ES_tradnl"/>
        </w:rPr>
        <w:t>En caso no legalizar la presente ordenanza, ésta caducará conforme lo determinado en la normativa nacional vigente.</w:t>
      </w:r>
    </w:p>
    <w:p w:rsidR="00A43501" w:rsidRPr="00230CC0" w:rsidRDefault="00A43501" w:rsidP="00A43501">
      <w:pPr>
        <w:spacing w:after="120" w:line="276" w:lineRule="auto"/>
        <w:ind w:left="1"/>
        <w:jc w:val="both"/>
        <w:rPr>
          <w:rFonts w:ascii="Palatino Linotype" w:hAnsi="Palatino Linotype"/>
          <w:sz w:val="22"/>
          <w:szCs w:val="22"/>
          <w:lang w:val="es-ES_tradnl"/>
        </w:rPr>
      </w:pPr>
      <w:r w:rsidRPr="00230CC0">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A43501" w:rsidRPr="00230CC0" w:rsidRDefault="00A43501" w:rsidP="00A43501">
      <w:pPr>
        <w:spacing w:after="120" w:line="276" w:lineRule="auto"/>
        <w:ind w:left="1"/>
        <w:jc w:val="both"/>
        <w:rPr>
          <w:rFonts w:ascii="Palatino Linotype" w:hAnsi="Palatino Linotype"/>
          <w:sz w:val="22"/>
          <w:szCs w:val="22"/>
          <w:lang w:val="es-ES_tradnl"/>
        </w:rPr>
      </w:pPr>
      <w:r w:rsidRPr="00230CC0">
        <w:rPr>
          <w:rFonts w:ascii="Palatino Linotype" w:hAnsi="Palatino Linotype"/>
          <w:b/>
          <w:sz w:val="22"/>
          <w:szCs w:val="22"/>
          <w:lang w:val="es-ES_tradnl"/>
        </w:rPr>
        <w:t>Artículo 14.- De la partición y adjudicación.-</w:t>
      </w:r>
      <w:r w:rsidRPr="00230CC0">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A43501" w:rsidRPr="00230CC0" w:rsidRDefault="00A43501" w:rsidP="00A43501">
      <w:pPr>
        <w:spacing w:after="120" w:line="276" w:lineRule="auto"/>
        <w:ind w:left="1"/>
        <w:jc w:val="both"/>
        <w:rPr>
          <w:rFonts w:ascii="Palatino Linotype" w:hAnsi="Palatino Linotype"/>
          <w:bCs/>
          <w:sz w:val="22"/>
          <w:szCs w:val="22"/>
          <w:lang w:val="es-ES_tradnl"/>
        </w:rPr>
      </w:pPr>
      <w:r w:rsidRPr="00230CC0">
        <w:rPr>
          <w:rFonts w:ascii="Palatino Linotype" w:hAnsi="Palatino Linotype"/>
          <w:b/>
          <w:bCs/>
          <w:sz w:val="22"/>
          <w:szCs w:val="22"/>
          <w:lang w:val="es-ES_tradnl"/>
        </w:rPr>
        <w:lastRenderedPageBreak/>
        <w:t xml:space="preserve">Artículo 15.- Solicitudes de ampliación de plazo.- </w:t>
      </w:r>
      <w:r w:rsidRPr="00230CC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A43501" w:rsidRPr="00230CC0" w:rsidRDefault="00A43501" w:rsidP="00A43501">
      <w:pPr>
        <w:spacing w:after="120" w:line="276" w:lineRule="auto"/>
        <w:ind w:left="1"/>
        <w:jc w:val="both"/>
        <w:rPr>
          <w:rFonts w:ascii="Palatino Linotype" w:hAnsi="Palatino Linotype"/>
          <w:bCs/>
          <w:sz w:val="22"/>
          <w:szCs w:val="22"/>
          <w:lang w:val="es-ES_tradnl"/>
        </w:rPr>
      </w:pPr>
      <w:r w:rsidRPr="00230CC0">
        <w:rPr>
          <w:rFonts w:ascii="Palatino Linotype" w:hAnsi="Palatino Linotype"/>
          <w:b/>
          <w:bCs/>
          <w:sz w:val="22"/>
          <w:szCs w:val="22"/>
          <w:lang w:val="es-ES_tradnl"/>
        </w:rPr>
        <w:t>Artículo 16.- Potestad de ejecución.-</w:t>
      </w:r>
      <w:r w:rsidRPr="00230CC0">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76281E" w:rsidRDefault="00A654C3" w:rsidP="00DA18B1">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Pr="003C15E1" w:rsidRDefault="0013600D" w:rsidP="00DA18B1">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E720E8">
        <w:rPr>
          <w:rFonts w:ascii="Palatino Linotype" w:eastAsia="MS Mincho" w:hAnsi="Palatino Linotype" w:cs="Arial"/>
          <w:sz w:val="22"/>
          <w:szCs w:val="22"/>
        </w:rPr>
        <w:t>24</w:t>
      </w:r>
      <w:r w:rsidR="00F049FB">
        <w:rPr>
          <w:rFonts w:ascii="Palatino Linotype" w:eastAsia="MS Mincho" w:hAnsi="Palatino Linotype" w:cs="Arial"/>
          <w:sz w:val="22"/>
          <w:szCs w:val="22"/>
        </w:rPr>
        <w:t xml:space="preserve"> de </w:t>
      </w:r>
      <w:r w:rsidR="00E720E8">
        <w:rPr>
          <w:rFonts w:ascii="Palatino Linotype" w:eastAsia="MS Mincho" w:hAnsi="Palatino Linotype" w:cs="Arial"/>
          <w:sz w:val="22"/>
          <w:szCs w:val="22"/>
        </w:rPr>
        <w:t xml:space="preserve">agosto </w:t>
      </w:r>
      <w:r w:rsidR="00DA18B1">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29" w:rsidRDefault="00980F29">
      <w:r>
        <w:separator/>
      </w:r>
    </w:p>
  </w:endnote>
  <w:endnote w:type="continuationSeparator" w:id="0">
    <w:p w:rsidR="00980F29" w:rsidRDefault="009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E64F6">
      <w:rPr>
        <w:b/>
        <w:noProof/>
      </w:rPr>
      <w:t>13</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2E64F6">
      <w:rPr>
        <w:rFonts w:ascii="Palatino Linotype" w:hAnsi="Palatino Linotype"/>
        <w:b/>
        <w:noProof/>
        <w:sz w:val="22"/>
        <w:szCs w:val="22"/>
      </w:rPr>
      <w:t>12</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A43501">
      <w:rPr>
        <w:rFonts w:ascii="Palatino Linotype" w:hAnsi="Palatino Linotype"/>
        <w:b/>
        <w:sz w:val="22"/>
        <w:szCs w:val="22"/>
      </w:rPr>
      <w:t>2</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2E64F6">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A43501">
      <w:rPr>
        <w:rFonts w:ascii="Palatino Linotype" w:hAnsi="Palatino Linotype"/>
        <w:b/>
        <w:sz w:val="22"/>
        <w:szCs w:val="22"/>
      </w:rPr>
      <w:t>2</w:t>
    </w:r>
  </w:p>
  <w:p w:rsidR="007A1F48" w:rsidRDefault="007A1F48" w:rsidP="0089652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29" w:rsidRDefault="00980F29">
      <w:r>
        <w:separator/>
      </w:r>
    </w:p>
  </w:footnote>
  <w:footnote w:type="continuationSeparator" w:id="0">
    <w:p w:rsidR="00980F29" w:rsidRDefault="0098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4CB2873"/>
    <w:multiLevelType w:val="hybridMultilevel"/>
    <w:tmpl w:val="D9924C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5">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6">
    <w:nsid w:val="2E1E72FC"/>
    <w:multiLevelType w:val="hybridMultilevel"/>
    <w:tmpl w:val="E0D273BC"/>
    <w:lvl w:ilvl="0" w:tplc="93E88FDE">
      <w:start w:val="1"/>
      <w:numFmt w:val="bullet"/>
      <w:lvlText w:val=""/>
      <w:lvlJc w:val="left"/>
      <w:pPr>
        <w:ind w:left="720" w:hanging="360"/>
      </w:pPr>
      <w:rPr>
        <w:rFonts w:ascii="Symbol" w:hAnsi="Symbo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8">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4F60F2B"/>
    <w:multiLevelType w:val="hybridMultilevel"/>
    <w:tmpl w:val="44028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9">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4">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5A681688"/>
    <w:multiLevelType w:val="hybridMultilevel"/>
    <w:tmpl w:val="8662D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E7C7303"/>
    <w:multiLevelType w:val="hybridMultilevel"/>
    <w:tmpl w:val="02D8860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40">
    <w:nsid w:val="68C64F26"/>
    <w:multiLevelType w:val="hybridMultilevel"/>
    <w:tmpl w:val="68920384"/>
    <w:lvl w:ilvl="0" w:tplc="A43AD880">
      <w:start w:val="17"/>
      <w:numFmt w:val="bullet"/>
      <w:lvlText w:val="-"/>
      <w:lvlJc w:val="left"/>
      <w:pPr>
        <w:ind w:left="1068" w:hanging="360"/>
      </w:pPr>
      <w:rPr>
        <w:rFonts w:ascii="Palatino Linotype" w:eastAsia="Times New Roman" w:hAnsi="Palatino Linotype" w:cs="Times New Roman" w:hint="default"/>
        <w:i w:val="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1">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61B3C82"/>
    <w:multiLevelType w:val="hybridMultilevel"/>
    <w:tmpl w:val="71789F0C"/>
    <w:lvl w:ilvl="0" w:tplc="0C0A0001">
      <w:start w:val="1"/>
      <w:numFmt w:val="bullet"/>
      <w:lvlText w:val=""/>
      <w:lvlJc w:val="left"/>
      <w:pPr>
        <w:ind w:left="720" w:hanging="360"/>
      </w:pPr>
      <w:rPr>
        <w:rFonts w:ascii="Symbol" w:hAnsi="Symbol" w:hint="default"/>
      </w:rPr>
    </w:lvl>
    <w:lvl w:ilvl="1" w:tplc="B122D13C">
      <w:numFmt w:val="bullet"/>
      <w:lvlText w:val="•"/>
      <w:lvlJc w:val="left"/>
      <w:pPr>
        <w:ind w:left="1440" w:hanging="360"/>
      </w:pPr>
      <w:rPr>
        <w:rFonts w:ascii="Calibri" w:eastAsia="Century Gothic" w:hAnsi="Calibri" w:cs="Century Gothic"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7"/>
  </w:num>
  <w:num w:numId="5">
    <w:abstractNumId w:val="9"/>
  </w:num>
  <w:num w:numId="6">
    <w:abstractNumId w:val="42"/>
  </w:num>
  <w:num w:numId="7">
    <w:abstractNumId w:val="19"/>
  </w:num>
  <w:num w:numId="8">
    <w:abstractNumId w:val="25"/>
  </w:num>
  <w:num w:numId="9">
    <w:abstractNumId w:val="23"/>
  </w:num>
  <w:num w:numId="10">
    <w:abstractNumId w:val="2"/>
  </w:num>
  <w:num w:numId="11">
    <w:abstractNumId w:val="41"/>
  </w:num>
  <w:num w:numId="12">
    <w:abstractNumId w:val="31"/>
  </w:num>
  <w:num w:numId="13">
    <w:abstractNumId w:val="12"/>
  </w:num>
  <w:num w:numId="14">
    <w:abstractNumId w:val="35"/>
  </w:num>
  <w:num w:numId="15">
    <w:abstractNumId w:val="5"/>
  </w:num>
  <w:num w:numId="16">
    <w:abstractNumId w:val="45"/>
  </w:num>
  <w:num w:numId="17">
    <w:abstractNumId w:val="38"/>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6"/>
  </w:num>
  <w:num w:numId="21">
    <w:abstractNumId w:val="17"/>
  </w:num>
  <w:num w:numId="22">
    <w:abstractNumId w:val="21"/>
  </w:num>
  <w:num w:numId="23">
    <w:abstractNumId w:val="0"/>
  </w:num>
  <w:num w:numId="24">
    <w:abstractNumId w:val="8"/>
  </w:num>
  <w:num w:numId="25">
    <w:abstractNumId w:val="43"/>
  </w:num>
  <w:num w:numId="26">
    <w:abstractNumId w:val="30"/>
  </w:num>
  <w:num w:numId="27">
    <w:abstractNumId w:val="29"/>
  </w:num>
  <w:num w:numId="28">
    <w:abstractNumId w:val="18"/>
  </w:num>
  <w:num w:numId="29">
    <w:abstractNumId w:val="7"/>
  </w:num>
  <w:num w:numId="30">
    <w:abstractNumId w:val="4"/>
  </w:num>
  <w:num w:numId="31">
    <w:abstractNumId w:val="46"/>
  </w:num>
  <w:num w:numId="32">
    <w:abstractNumId w:val="1"/>
  </w:num>
  <w:num w:numId="33">
    <w:abstractNumId w:val="24"/>
  </w:num>
  <w:num w:numId="34">
    <w:abstractNumId w:val="34"/>
  </w:num>
  <w:num w:numId="35">
    <w:abstractNumId w:val="27"/>
  </w:num>
  <w:num w:numId="36">
    <w:abstractNumId w:val="22"/>
  </w:num>
  <w:num w:numId="37">
    <w:abstractNumId w:val="32"/>
  </w:num>
  <w:num w:numId="38">
    <w:abstractNumId w:val="14"/>
  </w:num>
  <w:num w:numId="39">
    <w:abstractNumId w:val="15"/>
  </w:num>
  <w:num w:numId="40">
    <w:abstractNumId w:val="28"/>
  </w:num>
  <w:num w:numId="41">
    <w:abstractNumId w:val="6"/>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13"/>
  </w:num>
  <w:num w:numId="46">
    <w:abstractNumId w:val="20"/>
  </w:num>
  <w:num w:numId="47">
    <w:abstractNumId w:val="36"/>
  </w:num>
  <w:num w:numId="48">
    <w:abstractNumId w:val="1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91B7E"/>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93500"/>
    <w:rsid w:val="00195FD8"/>
    <w:rsid w:val="001B4C55"/>
    <w:rsid w:val="001C2217"/>
    <w:rsid w:val="001C525E"/>
    <w:rsid w:val="001C55D3"/>
    <w:rsid w:val="001C75F4"/>
    <w:rsid w:val="001E3A67"/>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4F6"/>
    <w:rsid w:val="002E6B27"/>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281E"/>
    <w:rsid w:val="003F69A7"/>
    <w:rsid w:val="00406D6A"/>
    <w:rsid w:val="00414095"/>
    <w:rsid w:val="004141F6"/>
    <w:rsid w:val="004230DF"/>
    <w:rsid w:val="00426B25"/>
    <w:rsid w:val="00433E62"/>
    <w:rsid w:val="0044248C"/>
    <w:rsid w:val="00447C04"/>
    <w:rsid w:val="00475FDB"/>
    <w:rsid w:val="00496B51"/>
    <w:rsid w:val="004C350F"/>
    <w:rsid w:val="004D35A7"/>
    <w:rsid w:val="004F6F68"/>
    <w:rsid w:val="00506B01"/>
    <w:rsid w:val="00511A9B"/>
    <w:rsid w:val="00520E1B"/>
    <w:rsid w:val="00526191"/>
    <w:rsid w:val="005359C2"/>
    <w:rsid w:val="00546F26"/>
    <w:rsid w:val="005475EE"/>
    <w:rsid w:val="00555C0E"/>
    <w:rsid w:val="00557A57"/>
    <w:rsid w:val="005903B7"/>
    <w:rsid w:val="00591ED3"/>
    <w:rsid w:val="005D2B94"/>
    <w:rsid w:val="005D708A"/>
    <w:rsid w:val="005E2686"/>
    <w:rsid w:val="005F4AAC"/>
    <w:rsid w:val="00606113"/>
    <w:rsid w:val="0061407B"/>
    <w:rsid w:val="006274AF"/>
    <w:rsid w:val="00644DB8"/>
    <w:rsid w:val="006517EF"/>
    <w:rsid w:val="00660847"/>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670D"/>
    <w:rsid w:val="008870D4"/>
    <w:rsid w:val="0089652A"/>
    <w:rsid w:val="008B5279"/>
    <w:rsid w:val="008D4A2E"/>
    <w:rsid w:val="008D5942"/>
    <w:rsid w:val="008F5FD6"/>
    <w:rsid w:val="00914E9C"/>
    <w:rsid w:val="00924901"/>
    <w:rsid w:val="00927B50"/>
    <w:rsid w:val="00930448"/>
    <w:rsid w:val="00936A45"/>
    <w:rsid w:val="00955960"/>
    <w:rsid w:val="009750C0"/>
    <w:rsid w:val="00980F29"/>
    <w:rsid w:val="009D2B5B"/>
    <w:rsid w:val="009D4744"/>
    <w:rsid w:val="009F50F8"/>
    <w:rsid w:val="009F70A7"/>
    <w:rsid w:val="00A25BE6"/>
    <w:rsid w:val="00A43501"/>
    <w:rsid w:val="00A437A7"/>
    <w:rsid w:val="00A45897"/>
    <w:rsid w:val="00A4709D"/>
    <w:rsid w:val="00A63EFB"/>
    <w:rsid w:val="00A6520D"/>
    <w:rsid w:val="00A654C3"/>
    <w:rsid w:val="00A77D40"/>
    <w:rsid w:val="00AF2F72"/>
    <w:rsid w:val="00B2554B"/>
    <w:rsid w:val="00B55856"/>
    <w:rsid w:val="00B65155"/>
    <w:rsid w:val="00B83A50"/>
    <w:rsid w:val="00B97F78"/>
    <w:rsid w:val="00BA599D"/>
    <w:rsid w:val="00BC5FD3"/>
    <w:rsid w:val="00BD0E3C"/>
    <w:rsid w:val="00BE31B4"/>
    <w:rsid w:val="00BF342B"/>
    <w:rsid w:val="00C15F19"/>
    <w:rsid w:val="00C4546C"/>
    <w:rsid w:val="00C472C7"/>
    <w:rsid w:val="00C649D7"/>
    <w:rsid w:val="00C76887"/>
    <w:rsid w:val="00C8272A"/>
    <w:rsid w:val="00CB2F61"/>
    <w:rsid w:val="00CC1416"/>
    <w:rsid w:val="00CD710B"/>
    <w:rsid w:val="00CE3557"/>
    <w:rsid w:val="00D25F6E"/>
    <w:rsid w:val="00D30211"/>
    <w:rsid w:val="00D35034"/>
    <w:rsid w:val="00DA18B1"/>
    <w:rsid w:val="00DA4B8C"/>
    <w:rsid w:val="00DB3496"/>
    <w:rsid w:val="00DD744F"/>
    <w:rsid w:val="00DE01FF"/>
    <w:rsid w:val="00DE3C84"/>
    <w:rsid w:val="00DE447D"/>
    <w:rsid w:val="00DF66B4"/>
    <w:rsid w:val="00E12100"/>
    <w:rsid w:val="00E13A19"/>
    <w:rsid w:val="00E62A50"/>
    <w:rsid w:val="00E62FDF"/>
    <w:rsid w:val="00E720E8"/>
    <w:rsid w:val="00EC0DB0"/>
    <w:rsid w:val="00F043D7"/>
    <w:rsid w:val="00F049FB"/>
    <w:rsid w:val="00F05B9F"/>
    <w:rsid w:val="00F173EA"/>
    <w:rsid w:val="00F27DAE"/>
    <w:rsid w:val="00F43388"/>
    <w:rsid w:val="00F61B37"/>
    <w:rsid w:val="00F70841"/>
    <w:rsid w:val="00F8381C"/>
    <w:rsid w:val="00F83A4E"/>
    <w:rsid w:val="00F8528F"/>
    <w:rsid w:val="00F853F8"/>
    <w:rsid w:val="00F9008F"/>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2721-FC97-45C6-AF31-2E382520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4176</Words>
  <Characters>22974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2018-07-26T21:14:00Z</cp:lastPrinted>
  <dcterms:created xsi:type="dcterms:W3CDTF">2018-07-26T15:31:00Z</dcterms:created>
  <dcterms:modified xsi:type="dcterms:W3CDTF">2018-07-26T21:16:00Z</dcterms:modified>
</cp:coreProperties>
</file>