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Default="00930448" w:rsidP="00DA18B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049FB" w:rsidRPr="00FF540B" w:rsidRDefault="00F049FB" w:rsidP="00F049FB">
      <w:pPr>
        <w:spacing w:after="120" w:line="276" w:lineRule="auto"/>
        <w:ind w:firstLine="708"/>
        <w:jc w:val="both"/>
        <w:rPr>
          <w:rFonts w:ascii="Palatino Linotype" w:hAnsi="Palatino Linotype"/>
          <w:sz w:val="22"/>
          <w:szCs w:val="22"/>
        </w:rPr>
      </w:pPr>
      <w:r w:rsidRPr="00FF540B">
        <w:rPr>
          <w:rFonts w:ascii="Palatino Linotype" w:hAnsi="Palatino Linotype"/>
          <w:sz w:val="22"/>
          <w:szCs w:val="22"/>
        </w:rPr>
        <w:t xml:space="preserve">El Asentamiento Humano de Hecho y Consolidado de Interés Social denominado Comité Pro Mejoras “Los Hemisferios”, tiene una consolidación de 63,64%, al inicio del proceso de regularización contaba con 8 años de existencia; sin embargo, al momento de la sanción de la presente ordenanza el asentamiento cuenta con </w:t>
      </w:r>
      <w:r>
        <w:rPr>
          <w:rFonts w:ascii="Palatino Linotype" w:hAnsi="Palatino Linotype"/>
          <w:sz w:val="22"/>
          <w:szCs w:val="22"/>
        </w:rPr>
        <w:t xml:space="preserve">10 </w:t>
      </w:r>
      <w:r w:rsidRPr="00FF540B">
        <w:rPr>
          <w:rFonts w:ascii="Palatino Linotype" w:hAnsi="Palatino Linotype"/>
          <w:sz w:val="22"/>
          <w:szCs w:val="22"/>
        </w:rPr>
        <w:t xml:space="preserve">años de asentamiento y 44 beneficiarios. </w:t>
      </w:r>
    </w:p>
    <w:p w:rsidR="00F049FB" w:rsidRPr="00FF540B" w:rsidRDefault="00F049FB" w:rsidP="00F049FB">
      <w:pPr>
        <w:spacing w:after="120" w:line="276" w:lineRule="auto"/>
        <w:ind w:firstLine="708"/>
        <w:jc w:val="both"/>
        <w:rPr>
          <w:rFonts w:ascii="Palatino Linotype" w:hAnsi="Palatino Linotype"/>
          <w:sz w:val="22"/>
          <w:szCs w:val="22"/>
        </w:rPr>
      </w:pPr>
      <w:r w:rsidRPr="00FF540B">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2305D7" w:rsidRPr="0076281E" w:rsidRDefault="00F049FB" w:rsidP="00F049FB">
      <w:pPr>
        <w:pStyle w:val="Sinespaciado"/>
        <w:spacing w:after="120" w:line="276" w:lineRule="auto"/>
        <w:ind w:firstLine="708"/>
        <w:jc w:val="both"/>
        <w:rPr>
          <w:rFonts w:ascii="Palatino Linotype" w:hAnsi="Palatino Linotype"/>
          <w:b/>
        </w:rPr>
      </w:pPr>
      <w:r w:rsidRPr="00FF540B">
        <w:rPr>
          <w:rFonts w:ascii="Palatino Linotype" w:hAnsi="Palatino Linotype"/>
        </w:rPr>
        <w:t>En este sentido, la presente ordenanza contiene la normativa tendiente a reconocer el fraccionamiento del predio donde se encuentra el Asentamiento Humano de Hecho y Consolidado de Interés Social denominado Comité Pro Mejoras “Los Hemisferios”, a fin de garantizar a los beneficiarios el ejercicio de su derecho a la vivienda y el acceso a servicios básicos de calidad</w:t>
      </w:r>
      <w:r w:rsidR="00DA18B1" w:rsidRPr="001F60EB">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F049FB">
        <w:rPr>
          <w:rFonts w:ascii="Palatino Linotype" w:hAnsi="Palatino Linotype"/>
          <w:sz w:val="22"/>
          <w:szCs w:val="22"/>
        </w:rPr>
        <w:t>6</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Default="006274AF" w:rsidP="00DA18B1">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Default="003863BC"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F049FB" w:rsidRDefault="00F8528F"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r>
      <w:r w:rsidR="00F049FB" w:rsidRPr="00FF540B">
        <w:rPr>
          <w:rFonts w:ascii="Palatino Linotype" w:hAnsi="Palatino Linotype"/>
          <w:bCs/>
        </w:rPr>
        <w:t xml:space="preserve">la Mesa Institucional de Trabajo, reunida el 28 de julio del 2016 en la Administración Zonal La Delicia, integrada por: Ing. Omar García, Coordinador (E) </w:t>
      </w:r>
      <w:proofErr w:type="spellStart"/>
      <w:r w:rsidR="00F049FB" w:rsidRPr="00FF540B">
        <w:rPr>
          <w:rFonts w:ascii="Palatino Linotype" w:hAnsi="Palatino Linotype"/>
          <w:bCs/>
        </w:rPr>
        <w:t>UERB-AZLD</w:t>
      </w:r>
      <w:proofErr w:type="spellEnd"/>
      <w:r w:rsidR="00F049FB" w:rsidRPr="00FF540B">
        <w:rPr>
          <w:rFonts w:ascii="Palatino Linotype" w:hAnsi="Palatino Linotype"/>
          <w:bCs/>
        </w:rPr>
        <w:t xml:space="preserve">; Arq. Juan Carlos Echeverría, Responsable Técnico </w:t>
      </w:r>
      <w:proofErr w:type="spellStart"/>
      <w:r w:rsidR="00F049FB" w:rsidRPr="00FF540B">
        <w:rPr>
          <w:rFonts w:ascii="Palatino Linotype" w:hAnsi="Palatino Linotype"/>
          <w:bCs/>
        </w:rPr>
        <w:t>UERB-AZLD</w:t>
      </w:r>
      <w:proofErr w:type="spellEnd"/>
      <w:r w:rsidR="00F049FB" w:rsidRPr="00FF540B">
        <w:rPr>
          <w:rFonts w:ascii="Palatino Linotype" w:hAnsi="Palatino Linotype"/>
          <w:bCs/>
        </w:rPr>
        <w:t xml:space="preserve">, Ab. Sebastián Mata, Responsable Legal </w:t>
      </w:r>
      <w:proofErr w:type="spellStart"/>
      <w:r w:rsidR="00F049FB" w:rsidRPr="00FF540B">
        <w:rPr>
          <w:rFonts w:ascii="Palatino Linotype" w:hAnsi="Palatino Linotype"/>
          <w:bCs/>
        </w:rPr>
        <w:t>UERB-AZLD</w:t>
      </w:r>
      <w:proofErr w:type="spellEnd"/>
      <w:r w:rsidR="00F049FB" w:rsidRPr="00FF540B">
        <w:rPr>
          <w:rFonts w:ascii="Palatino Linotype" w:hAnsi="Palatino Linotype"/>
          <w:bCs/>
        </w:rPr>
        <w:t xml:space="preserve">; Dr. Fausto Mantilla, Delegado de la Dirección Jurídica Zonal La Delicia; Sr. Humberto Almeida de Sucre, Administrador Zonal La Delicia; Arq. Edison </w:t>
      </w:r>
      <w:proofErr w:type="spellStart"/>
      <w:r w:rsidR="00F049FB" w:rsidRPr="00FF540B">
        <w:rPr>
          <w:rFonts w:ascii="Palatino Linotype" w:hAnsi="Palatino Linotype"/>
          <w:bCs/>
        </w:rPr>
        <w:t>Cuaical</w:t>
      </w:r>
      <w:proofErr w:type="spellEnd"/>
      <w:r w:rsidR="00F049FB" w:rsidRPr="00FF540B">
        <w:rPr>
          <w:rFonts w:ascii="Palatino Linotype" w:hAnsi="Palatino Linotype"/>
          <w:bCs/>
        </w:rPr>
        <w:t xml:space="preserve">, Jefe de la Unidad de Territorio y Vivienda de la Administración Zonal La Delicia; Arq. Elizabeth Ortiz Delegada de la Secretaría de Territorio Hábitat y Vivienda; Arq. Pablo Ortega, Delegado de la Secretaría de Territorio Hábitat y Vivienda; Ing. Doris </w:t>
      </w:r>
      <w:proofErr w:type="spellStart"/>
      <w:r w:rsidR="00F049FB" w:rsidRPr="00FF540B">
        <w:rPr>
          <w:rFonts w:ascii="Palatino Linotype" w:hAnsi="Palatino Linotype"/>
          <w:bCs/>
        </w:rPr>
        <w:t>Tatés</w:t>
      </w:r>
      <w:proofErr w:type="spellEnd"/>
      <w:r w:rsidR="00F049FB" w:rsidRPr="00FF540B">
        <w:rPr>
          <w:rFonts w:ascii="Palatino Linotype" w:hAnsi="Palatino Linotype"/>
          <w:bCs/>
        </w:rPr>
        <w:t xml:space="preserve">, Delegada de la Dirección Metropolitana de Catastro; Ing. Marco </w:t>
      </w:r>
      <w:proofErr w:type="spellStart"/>
      <w:r w:rsidR="00F049FB" w:rsidRPr="00FF540B">
        <w:rPr>
          <w:rFonts w:ascii="Palatino Linotype" w:hAnsi="Palatino Linotype"/>
          <w:bCs/>
        </w:rPr>
        <w:t>Manobanda</w:t>
      </w:r>
      <w:proofErr w:type="spellEnd"/>
      <w:r w:rsidR="00F049FB" w:rsidRPr="00FF540B">
        <w:rPr>
          <w:rFonts w:ascii="Palatino Linotype" w:hAnsi="Palatino Linotype"/>
          <w:bCs/>
        </w:rPr>
        <w:t>, Delegado de la Dirección Metropolitana de Gestión de Riesgos; Abg. Fernanda Durán, Delegada del Administrador Municipal Zona La Delicia, aprobaron  el Informe Socio Organizativo Legal y Técnico N</w:t>
      </w:r>
      <w:r w:rsidR="00F049FB">
        <w:rPr>
          <w:rFonts w:ascii="Palatino Linotype" w:hAnsi="Palatino Linotype"/>
          <w:bCs/>
        </w:rPr>
        <w:t>o.</w:t>
      </w:r>
      <w:r w:rsidR="00F049FB" w:rsidRPr="00FF540B">
        <w:rPr>
          <w:rFonts w:ascii="Palatino Linotype" w:hAnsi="Palatino Linotype"/>
          <w:bCs/>
        </w:rPr>
        <w:t xml:space="preserve"> 003-</w:t>
      </w:r>
      <w:proofErr w:type="spellStart"/>
      <w:r w:rsidR="00F049FB" w:rsidRPr="00FF540B">
        <w:rPr>
          <w:rFonts w:ascii="Palatino Linotype" w:hAnsi="Palatino Linotype"/>
          <w:bCs/>
        </w:rPr>
        <w:t>UERB</w:t>
      </w:r>
      <w:proofErr w:type="spellEnd"/>
      <w:r w:rsidR="00F049FB" w:rsidRPr="00FF540B">
        <w:rPr>
          <w:rFonts w:ascii="Palatino Linotype" w:hAnsi="Palatino Linotype"/>
          <w:bCs/>
        </w:rPr>
        <w:t>-</w:t>
      </w:r>
      <w:proofErr w:type="spellStart"/>
      <w:r w:rsidR="00F049FB" w:rsidRPr="00FF540B">
        <w:rPr>
          <w:rFonts w:ascii="Palatino Linotype" w:hAnsi="Palatino Linotype"/>
          <w:bCs/>
        </w:rPr>
        <w:t>AZLD</w:t>
      </w:r>
      <w:proofErr w:type="spellEnd"/>
      <w:r w:rsidR="00F049FB" w:rsidRPr="00FF540B">
        <w:rPr>
          <w:rFonts w:ascii="Palatino Linotype" w:hAnsi="Palatino Linotype"/>
          <w:bCs/>
        </w:rPr>
        <w:t>-</w:t>
      </w:r>
      <w:proofErr w:type="spellStart"/>
      <w:r w:rsidR="00F049FB" w:rsidRPr="00FF540B">
        <w:rPr>
          <w:rFonts w:ascii="Palatino Linotype" w:hAnsi="Palatino Linotype"/>
          <w:bCs/>
        </w:rPr>
        <w:t>SOLT</w:t>
      </w:r>
      <w:proofErr w:type="spellEnd"/>
      <w:r w:rsidR="00F049FB" w:rsidRPr="00FF540B">
        <w:rPr>
          <w:rFonts w:ascii="Palatino Linotype" w:hAnsi="Palatino Linotype"/>
          <w:bCs/>
        </w:rPr>
        <w:t>-2016, de 26 de julio de 2016, habilitante de la Ordenanza de Reconocimiento del Asentamiento Humano de Hecho y Consolidado de Interés Social, denominado Comité Pro mejoras “Los Hemisferios”</w:t>
      </w:r>
      <w:r w:rsidR="00BC5FD3" w:rsidRPr="0076281E">
        <w:rPr>
          <w:rFonts w:ascii="Palatino Linotype" w:hAnsi="Palatino Linotype"/>
          <w:bCs/>
        </w:rPr>
        <w:t>.</w:t>
      </w:r>
    </w:p>
    <w:p w:rsidR="006274AF"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F049FB" w:rsidRDefault="00F049FB" w:rsidP="0013600D">
      <w:pPr>
        <w:pStyle w:val="Ttulo7"/>
        <w:spacing w:before="0" w:after="120" w:line="276" w:lineRule="auto"/>
        <w:jc w:val="center"/>
        <w:rPr>
          <w:rFonts w:ascii="Palatino Linotype" w:hAnsi="Palatino Linotype"/>
          <w:b/>
          <w:bCs/>
          <w:kern w:val="32"/>
          <w:sz w:val="22"/>
          <w:szCs w:val="22"/>
        </w:rPr>
      </w:pPr>
    </w:p>
    <w:p w:rsidR="00DA18B1" w:rsidRDefault="00DA18B1" w:rsidP="0013600D">
      <w:pPr>
        <w:pStyle w:val="Ttulo7"/>
        <w:spacing w:before="0" w:after="120" w:line="276" w:lineRule="auto"/>
        <w:jc w:val="center"/>
        <w:rPr>
          <w:rFonts w:ascii="Palatino Linotype" w:hAnsi="Palatino Linotype"/>
          <w:b/>
          <w:bCs/>
          <w:sz w:val="22"/>
          <w:szCs w:val="22"/>
        </w:rPr>
      </w:pPr>
      <w:r w:rsidRPr="001F60EB">
        <w:rPr>
          <w:rFonts w:ascii="Palatino Linotype" w:hAnsi="Palatino Linotype"/>
          <w:b/>
          <w:bCs/>
          <w:kern w:val="32"/>
          <w:sz w:val="22"/>
          <w:szCs w:val="22"/>
        </w:rPr>
        <w:lastRenderedPageBreak/>
        <w:t xml:space="preserve">ORDENANZA </w:t>
      </w:r>
      <w:r w:rsidR="00F049FB" w:rsidRPr="00FF540B">
        <w:rPr>
          <w:rFonts w:ascii="Palatino Linotype" w:hAnsi="Palatino Linotype"/>
          <w:b/>
          <w:color w:val="000000"/>
          <w:sz w:val="22"/>
          <w:szCs w:val="22"/>
          <w:shd w:val="clear" w:color="auto" w:fill="FFFFFF"/>
        </w:rPr>
        <w:t>QUE RECONOCE Y APRUEBA EL FRACCIONAMIENTO DEL PREDIO No. 363107 SOBRE EL QUE SE ENCUENTRA EL ASENTAMIENTO HUMANO DE HECHO Y CONSOLIDADO DE INTERÉS SOCIAL DENOMINADO COMITÉ PRO MEJORAS “LOS HEMISFERIOS”</w:t>
      </w:r>
      <w:r w:rsidR="00F049FB">
        <w:rPr>
          <w:rFonts w:ascii="Palatino Linotype" w:hAnsi="Palatino Linotype"/>
          <w:b/>
          <w:color w:val="000000"/>
          <w:sz w:val="22"/>
          <w:szCs w:val="22"/>
          <w:shd w:val="clear" w:color="auto" w:fill="FFFFFF"/>
        </w:rPr>
        <w:t>,</w:t>
      </w:r>
      <w:r w:rsidR="00F049FB" w:rsidRPr="00FF540B">
        <w:rPr>
          <w:rFonts w:ascii="Palatino Linotype" w:hAnsi="Palatino Linotype"/>
          <w:b/>
          <w:color w:val="000000"/>
          <w:sz w:val="22"/>
          <w:szCs w:val="22"/>
          <w:shd w:val="clear" w:color="auto" w:fill="FFFFFF"/>
        </w:rPr>
        <w:t xml:space="preserve"> A FAVOR</w:t>
      </w:r>
      <w:r w:rsidR="00F049FB" w:rsidRPr="00FF540B">
        <w:rPr>
          <w:rFonts w:ascii="Palatino Linotype" w:hAnsi="Palatino Linotype"/>
          <w:b/>
          <w:sz w:val="22"/>
          <w:szCs w:val="22"/>
        </w:rPr>
        <w:t xml:space="preserve"> DE SUS COPROPIETARIOS</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bCs/>
          <w:sz w:val="22"/>
          <w:szCs w:val="22"/>
        </w:rPr>
        <w:t>Artículo 1.- De los planos y documentos presentados</w:t>
      </w:r>
      <w:r w:rsidRPr="00FF540B">
        <w:rPr>
          <w:rFonts w:ascii="Palatino Linotype" w:hAnsi="Palatino Linotype"/>
          <w:sz w:val="22"/>
          <w:szCs w:val="22"/>
        </w:rPr>
        <w:t xml:space="preserve"> Los planos y documentos presentados son de exclusiva responsabilidad del proyectista y de los copropietarios del Asentamiento Humano de Hecho y Consolidado de Interés Social denominado Comité Pro Mejoras “Los Hemisferios”, ubicado en la parroquia San Antonio de Pichincha, sin</w:t>
      </w:r>
      <w:r w:rsidRPr="00FF540B">
        <w:rPr>
          <w:rFonts w:ascii="Palatino Linotype" w:hAnsi="Palatino Linotype"/>
          <w:bCs/>
          <w:sz w:val="22"/>
          <w:szCs w:val="22"/>
        </w:rPr>
        <w:t xml:space="preserve"> </w:t>
      </w:r>
      <w:r w:rsidRPr="00FF540B">
        <w:rPr>
          <w:rFonts w:ascii="Palatino Linotype" w:hAnsi="Palatino Linotype"/>
          <w:sz w:val="22"/>
          <w:szCs w:val="22"/>
        </w:rPr>
        <w:t>perjuicio de la responsabilidad de quienes revisaron los planos y los documentos legales, excepto que hayan sido inducidos a engaño.</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Por las condiciones del asentamiento humano de hecho y consolidado, se lo declara considerándolo de interés social.</w:t>
      </w:r>
    </w:p>
    <w:p w:rsidR="00B65155" w:rsidRDefault="00F049FB" w:rsidP="00F049FB">
      <w:pPr>
        <w:spacing w:after="120" w:line="276" w:lineRule="auto"/>
        <w:jc w:val="both"/>
        <w:rPr>
          <w:rFonts w:ascii="Palatino Linotype" w:hAnsi="Palatino Linotype"/>
          <w:b/>
          <w:bCs/>
          <w:sz w:val="22"/>
          <w:szCs w:val="22"/>
        </w:rPr>
      </w:pPr>
      <w:r w:rsidRPr="00FF540B">
        <w:rPr>
          <w:rFonts w:ascii="Palatino Linotype" w:hAnsi="Palatino Linotype"/>
          <w:b/>
          <w:bCs/>
          <w:sz w:val="22"/>
          <w:szCs w:val="22"/>
        </w:rPr>
        <w:t>Artículo 2.- Especificaciones técnicas.-</w:t>
      </w:r>
    </w:p>
    <w:p w:rsidR="00B65155" w:rsidRDefault="00F049FB" w:rsidP="00B65155">
      <w:pPr>
        <w:spacing w:after="120" w:line="276" w:lineRule="auto"/>
        <w:jc w:val="both"/>
        <w:rPr>
          <w:rFonts w:ascii="Palatino Linotype" w:hAnsi="Palatino Linotype"/>
          <w:b/>
          <w:bCs/>
          <w:sz w:val="22"/>
          <w:szCs w:val="22"/>
        </w:rPr>
      </w:pPr>
      <w:r w:rsidRPr="00FF540B">
        <w:rPr>
          <w:rFonts w:ascii="Palatino Linotype" w:hAnsi="Palatino Linotype"/>
          <w:b/>
          <w:sz w:val="22"/>
          <w:szCs w:val="22"/>
        </w:rPr>
        <w:t>Zonificación actual:</w:t>
      </w:r>
      <w:r w:rsidRPr="00FF540B">
        <w:rPr>
          <w:rFonts w:ascii="Palatino Linotype" w:hAnsi="Palatino Linotype"/>
          <w:b/>
          <w:sz w:val="22"/>
          <w:szCs w:val="22"/>
        </w:rPr>
        <w:tab/>
      </w:r>
      <w:r w:rsidRPr="00FF540B">
        <w:rPr>
          <w:rFonts w:ascii="Palatino Linotype" w:hAnsi="Palatino Linotype"/>
          <w:b/>
          <w:sz w:val="22"/>
          <w:szCs w:val="22"/>
        </w:rPr>
        <w:tab/>
      </w:r>
      <w:r w:rsidRPr="00FF540B">
        <w:rPr>
          <w:rFonts w:ascii="Palatino Linotype" w:hAnsi="Palatino Linotype"/>
          <w:b/>
          <w:sz w:val="22"/>
          <w:szCs w:val="22"/>
        </w:rPr>
        <w:tab/>
      </w:r>
      <w:r w:rsidR="00B65155">
        <w:rPr>
          <w:rFonts w:ascii="Palatino Linotype" w:hAnsi="Palatino Linotype"/>
          <w:b/>
          <w:sz w:val="22"/>
          <w:szCs w:val="22"/>
        </w:rPr>
        <w:tab/>
      </w:r>
      <w:r w:rsidR="00B65155">
        <w:rPr>
          <w:rFonts w:ascii="Palatino Linotype" w:hAnsi="Palatino Linotype"/>
          <w:b/>
          <w:sz w:val="22"/>
          <w:szCs w:val="22"/>
        </w:rPr>
        <w:tab/>
      </w:r>
      <w:proofErr w:type="spellStart"/>
      <w:r w:rsidRPr="00FF540B">
        <w:rPr>
          <w:rFonts w:ascii="Palatino Linotype" w:hAnsi="Palatino Linotype"/>
          <w:bCs/>
          <w:sz w:val="22"/>
          <w:szCs w:val="22"/>
        </w:rPr>
        <w:t>A2</w:t>
      </w:r>
      <w:proofErr w:type="spellEnd"/>
      <w:r w:rsidRPr="00FF540B">
        <w:rPr>
          <w:rFonts w:ascii="Palatino Linotype" w:hAnsi="Palatino Linotype"/>
          <w:bCs/>
          <w:sz w:val="22"/>
          <w:szCs w:val="22"/>
        </w:rPr>
        <w:t xml:space="preserve"> (</w:t>
      </w:r>
      <w:proofErr w:type="spellStart"/>
      <w:r w:rsidRPr="00FF540B">
        <w:rPr>
          <w:rFonts w:ascii="Palatino Linotype" w:hAnsi="Palatino Linotype"/>
          <w:bCs/>
          <w:sz w:val="22"/>
          <w:szCs w:val="22"/>
        </w:rPr>
        <w:t>A1002</w:t>
      </w:r>
      <w:proofErr w:type="spellEnd"/>
      <w:r w:rsidRPr="00FF540B">
        <w:rPr>
          <w:rFonts w:ascii="Palatino Linotype" w:hAnsi="Palatino Linotype"/>
          <w:bCs/>
          <w:sz w:val="22"/>
          <w:szCs w:val="22"/>
        </w:rPr>
        <w:t>-35)</w:t>
      </w:r>
    </w:p>
    <w:p w:rsidR="00B65155" w:rsidRDefault="00F049FB" w:rsidP="00B65155">
      <w:pPr>
        <w:spacing w:after="120" w:line="276" w:lineRule="auto"/>
        <w:jc w:val="both"/>
        <w:rPr>
          <w:rFonts w:ascii="Palatino Linotype" w:hAnsi="Palatino Linotype"/>
          <w:b/>
          <w:bCs/>
          <w:sz w:val="22"/>
          <w:szCs w:val="22"/>
        </w:rPr>
      </w:pPr>
      <w:r w:rsidRPr="00FF540B">
        <w:rPr>
          <w:rFonts w:ascii="Palatino Linotype" w:hAnsi="Palatino Linotype"/>
          <w:b/>
          <w:sz w:val="22"/>
          <w:szCs w:val="22"/>
        </w:rPr>
        <w:t>Lote mínimo:</w:t>
      </w:r>
      <w:r w:rsidRPr="00FF540B">
        <w:rPr>
          <w:rFonts w:ascii="Palatino Linotype" w:hAnsi="Palatino Linotype"/>
          <w:b/>
          <w:sz w:val="22"/>
          <w:szCs w:val="22"/>
        </w:rPr>
        <w:tab/>
      </w:r>
      <w:r w:rsidRPr="00FF540B">
        <w:rPr>
          <w:rFonts w:ascii="Palatino Linotype" w:hAnsi="Palatino Linotype"/>
          <w:b/>
          <w:sz w:val="22"/>
          <w:szCs w:val="22"/>
        </w:rPr>
        <w:tab/>
      </w:r>
      <w:r w:rsidRPr="00FF540B">
        <w:rPr>
          <w:rFonts w:ascii="Palatino Linotype" w:hAnsi="Palatino Linotype"/>
          <w:b/>
          <w:sz w:val="22"/>
          <w:szCs w:val="22"/>
        </w:rPr>
        <w:tab/>
      </w:r>
      <w:r w:rsidRPr="00FF540B">
        <w:rPr>
          <w:rFonts w:ascii="Palatino Linotype" w:hAnsi="Palatino Linotype"/>
          <w:b/>
          <w:sz w:val="22"/>
          <w:szCs w:val="22"/>
        </w:rPr>
        <w:tab/>
      </w:r>
      <w:r w:rsidR="00B65155">
        <w:rPr>
          <w:rFonts w:ascii="Palatino Linotype" w:hAnsi="Palatino Linotype"/>
          <w:b/>
          <w:sz w:val="22"/>
          <w:szCs w:val="22"/>
        </w:rPr>
        <w:tab/>
      </w:r>
      <w:r w:rsidR="00B65155">
        <w:rPr>
          <w:rFonts w:ascii="Palatino Linotype" w:hAnsi="Palatino Linotype"/>
          <w:b/>
          <w:sz w:val="22"/>
          <w:szCs w:val="22"/>
        </w:rPr>
        <w:tab/>
      </w:r>
      <w:r w:rsidRPr="00FF540B">
        <w:rPr>
          <w:rFonts w:ascii="Palatino Linotype" w:hAnsi="Palatino Linotype"/>
          <w:bCs/>
          <w:sz w:val="22"/>
          <w:szCs w:val="22"/>
        </w:rPr>
        <w:t xml:space="preserve">1.000 </w:t>
      </w:r>
      <w:proofErr w:type="spellStart"/>
      <w:r w:rsidRPr="00FF540B">
        <w:rPr>
          <w:rFonts w:ascii="Palatino Linotype" w:hAnsi="Palatino Linotype"/>
          <w:bCs/>
          <w:sz w:val="22"/>
          <w:szCs w:val="22"/>
        </w:rPr>
        <w:t>m</w:t>
      </w:r>
      <w:r w:rsidRPr="00B65155">
        <w:rPr>
          <w:rFonts w:ascii="Palatino Linotype" w:hAnsi="Palatino Linotype"/>
          <w:bCs/>
          <w:sz w:val="22"/>
          <w:szCs w:val="22"/>
          <w:vertAlign w:val="superscript"/>
        </w:rPr>
        <w:t>2</w:t>
      </w:r>
      <w:proofErr w:type="spellEnd"/>
    </w:p>
    <w:p w:rsidR="00F049FB" w:rsidRPr="00B65155" w:rsidRDefault="00F049FB" w:rsidP="00B65155">
      <w:pPr>
        <w:spacing w:after="120" w:line="276" w:lineRule="auto"/>
        <w:jc w:val="both"/>
        <w:rPr>
          <w:rFonts w:ascii="Palatino Linotype" w:hAnsi="Palatino Linotype"/>
          <w:b/>
          <w:bCs/>
          <w:sz w:val="22"/>
          <w:szCs w:val="22"/>
        </w:rPr>
      </w:pPr>
      <w:r w:rsidRPr="00FF540B">
        <w:rPr>
          <w:rFonts w:ascii="Palatino Linotype" w:hAnsi="Palatino Linotype"/>
          <w:b/>
          <w:sz w:val="22"/>
          <w:szCs w:val="22"/>
        </w:rPr>
        <w:t>Forma ocupación del suelo:</w:t>
      </w:r>
      <w:r w:rsidRPr="00FF540B">
        <w:rPr>
          <w:rFonts w:ascii="Palatino Linotype" w:hAnsi="Palatino Linotype"/>
          <w:b/>
          <w:sz w:val="22"/>
          <w:szCs w:val="22"/>
        </w:rPr>
        <w:tab/>
      </w:r>
      <w:r w:rsidRPr="00FF540B">
        <w:rPr>
          <w:rFonts w:ascii="Palatino Linotype" w:hAnsi="Palatino Linotype"/>
          <w:b/>
          <w:sz w:val="22"/>
          <w:szCs w:val="22"/>
        </w:rPr>
        <w:tab/>
      </w:r>
      <w:r w:rsidR="00B65155">
        <w:rPr>
          <w:rFonts w:ascii="Palatino Linotype" w:hAnsi="Palatino Linotype"/>
          <w:b/>
          <w:sz w:val="22"/>
          <w:szCs w:val="22"/>
        </w:rPr>
        <w:tab/>
      </w:r>
      <w:r w:rsidR="00B65155">
        <w:rPr>
          <w:rFonts w:ascii="Palatino Linotype" w:hAnsi="Palatino Linotype"/>
          <w:b/>
          <w:sz w:val="22"/>
          <w:szCs w:val="22"/>
        </w:rPr>
        <w:tab/>
      </w:r>
      <w:r w:rsidRPr="00FF540B">
        <w:rPr>
          <w:rFonts w:ascii="Palatino Linotype" w:hAnsi="Palatino Linotype"/>
          <w:sz w:val="22"/>
          <w:szCs w:val="22"/>
        </w:rPr>
        <w:t>(</w:t>
      </w:r>
      <w:r w:rsidRPr="00FF540B">
        <w:rPr>
          <w:rFonts w:ascii="Palatino Linotype" w:hAnsi="Palatino Linotype"/>
          <w:bCs/>
          <w:sz w:val="22"/>
          <w:szCs w:val="22"/>
        </w:rPr>
        <w:t>A) Aislada</w:t>
      </w:r>
    </w:p>
    <w:p w:rsidR="00B65155" w:rsidRDefault="00F049FB" w:rsidP="00B65155">
      <w:pPr>
        <w:spacing w:after="120" w:line="276" w:lineRule="auto"/>
        <w:rPr>
          <w:rFonts w:ascii="Palatino Linotype" w:hAnsi="Palatino Linotype"/>
          <w:sz w:val="22"/>
          <w:szCs w:val="22"/>
        </w:rPr>
      </w:pPr>
      <w:r w:rsidRPr="00FF540B">
        <w:rPr>
          <w:rFonts w:ascii="Palatino Linotype" w:hAnsi="Palatino Linotype"/>
          <w:b/>
          <w:sz w:val="22"/>
          <w:szCs w:val="22"/>
        </w:rPr>
        <w:t>Uso principal:</w:t>
      </w:r>
      <w:r w:rsidRPr="00FF540B">
        <w:rPr>
          <w:rFonts w:ascii="Palatino Linotype" w:hAnsi="Palatino Linotype"/>
          <w:b/>
          <w:sz w:val="22"/>
          <w:szCs w:val="22"/>
        </w:rPr>
        <w:tab/>
      </w:r>
      <w:r w:rsidRPr="00FF540B">
        <w:rPr>
          <w:rFonts w:ascii="Palatino Linotype" w:hAnsi="Palatino Linotype"/>
          <w:b/>
          <w:sz w:val="22"/>
          <w:szCs w:val="22"/>
        </w:rPr>
        <w:tab/>
      </w:r>
      <w:r w:rsidRPr="00FF540B">
        <w:rPr>
          <w:rFonts w:ascii="Palatino Linotype" w:hAnsi="Palatino Linotype"/>
          <w:b/>
          <w:sz w:val="22"/>
          <w:szCs w:val="22"/>
        </w:rPr>
        <w:tab/>
      </w:r>
      <w:r w:rsidR="00B65155">
        <w:rPr>
          <w:rFonts w:ascii="Palatino Linotype" w:hAnsi="Palatino Linotype"/>
          <w:b/>
          <w:sz w:val="22"/>
          <w:szCs w:val="22"/>
        </w:rPr>
        <w:tab/>
      </w:r>
      <w:r w:rsidR="00B65155">
        <w:rPr>
          <w:rFonts w:ascii="Palatino Linotype" w:hAnsi="Palatino Linotype"/>
          <w:b/>
          <w:sz w:val="22"/>
          <w:szCs w:val="22"/>
        </w:rPr>
        <w:tab/>
      </w:r>
      <w:r w:rsidRPr="00FF540B">
        <w:rPr>
          <w:rFonts w:ascii="Palatino Linotype" w:hAnsi="Palatino Linotype"/>
          <w:sz w:val="22"/>
          <w:szCs w:val="22"/>
        </w:rPr>
        <w:t>(</w:t>
      </w:r>
      <w:proofErr w:type="spellStart"/>
      <w:r w:rsidRPr="00FF540B">
        <w:rPr>
          <w:rFonts w:ascii="Palatino Linotype" w:hAnsi="Palatino Linotype"/>
          <w:sz w:val="22"/>
          <w:szCs w:val="22"/>
        </w:rPr>
        <w:t>RU1</w:t>
      </w:r>
      <w:proofErr w:type="spellEnd"/>
      <w:r w:rsidRPr="00FF540B">
        <w:rPr>
          <w:rFonts w:ascii="Palatino Linotype" w:hAnsi="Palatino Linotype"/>
          <w:sz w:val="22"/>
          <w:szCs w:val="22"/>
        </w:rPr>
        <w:t>) Residencial Urbano 1</w:t>
      </w:r>
    </w:p>
    <w:p w:rsidR="00B65155" w:rsidRDefault="00F049FB" w:rsidP="00B65155">
      <w:pPr>
        <w:spacing w:after="120" w:line="276" w:lineRule="auto"/>
        <w:rPr>
          <w:rFonts w:ascii="Palatino Linotype" w:hAnsi="Palatino Linotype"/>
          <w:sz w:val="22"/>
          <w:szCs w:val="22"/>
        </w:rPr>
      </w:pPr>
      <w:r w:rsidRPr="00B65155">
        <w:rPr>
          <w:rFonts w:ascii="Palatino Linotype" w:hAnsi="Palatino Linotype"/>
          <w:b/>
          <w:sz w:val="22"/>
          <w:szCs w:val="22"/>
        </w:rPr>
        <w:t xml:space="preserve">Clasificación del </w:t>
      </w:r>
      <w:r w:rsidR="00B65155">
        <w:rPr>
          <w:rFonts w:ascii="Palatino Linotype" w:hAnsi="Palatino Linotype"/>
          <w:b/>
          <w:sz w:val="22"/>
          <w:szCs w:val="22"/>
        </w:rPr>
        <w:t>s</w:t>
      </w:r>
      <w:r w:rsidRPr="00B65155">
        <w:rPr>
          <w:rFonts w:ascii="Palatino Linotype" w:hAnsi="Palatino Linotype"/>
          <w:b/>
          <w:sz w:val="22"/>
          <w:szCs w:val="22"/>
        </w:rPr>
        <w:t>uelo:</w:t>
      </w:r>
      <w:r w:rsidRPr="00FF540B">
        <w:rPr>
          <w:rFonts w:ascii="Palatino Linotype" w:hAnsi="Palatino Linotype"/>
          <w:sz w:val="22"/>
          <w:szCs w:val="22"/>
        </w:rPr>
        <w:tab/>
      </w:r>
      <w:r w:rsidRPr="00FF540B">
        <w:rPr>
          <w:rFonts w:ascii="Palatino Linotype" w:hAnsi="Palatino Linotype"/>
          <w:sz w:val="22"/>
          <w:szCs w:val="22"/>
        </w:rPr>
        <w:tab/>
      </w:r>
      <w:r w:rsidR="00B65155">
        <w:rPr>
          <w:rFonts w:ascii="Palatino Linotype" w:hAnsi="Palatino Linotype"/>
          <w:sz w:val="22"/>
          <w:szCs w:val="22"/>
        </w:rPr>
        <w:tab/>
      </w:r>
      <w:r w:rsidR="00B65155">
        <w:rPr>
          <w:rFonts w:ascii="Palatino Linotype" w:hAnsi="Palatino Linotype"/>
          <w:sz w:val="22"/>
          <w:szCs w:val="22"/>
        </w:rPr>
        <w:tab/>
      </w:r>
      <w:r w:rsidRPr="00FF540B">
        <w:rPr>
          <w:rFonts w:ascii="Palatino Linotype" w:hAnsi="Palatino Linotype"/>
          <w:sz w:val="22"/>
          <w:szCs w:val="22"/>
        </w:rPr>
        <w:t>(SU) Suelo Urbano</w:t>
      </w:r>
    </w:p>
    <w:p w:rsidR="00B65155" w:rsidRDefault="00F049FB" w:rsidP="00B65155">
      <w:pPr>
        <w:spacing w:after="120" w:line="276" w:lineRule="auto"/>
        <w:rPr>
          <w:rFonts w:ascii="Palatino Linotype" w:hAnsi="Palatino Linotype"/>
          <w:sz w:val="22"/>
          <w:szCs w:val="22"/>
        </w:rPr>
      </w:pPr>
      <w:r w:rsidRPr="00B65155">
        <w:rPr>
          <w:rFonts w:ascii="Palatino Linotype" w:hAnsi="Palatino Linotype"/>
          <w:b/>
          <w:sz w:val="22"/>
          <w:szCs w:val="22"/>
        </w:rPr>
        <w:t>Número de lotes:</w:t>
      </w:r>
      <w:r w:rsidRPr="00FF540B">
        <w:rPr>
          <w:rFonts w:ascii="Palatino Linotype" w:hAnsi="Palatino Linotype"/>
          <w:sz w:val="22"/>
          <w:szCs w:val="22"/>
        </w:rPr>
        <w:tab/>
      </w:r>
      <w:r w:rsidRPr="00FF540B">
        <w:rPr>
          <w:rFonts w:ascii="Palatino Linotype" w:hAnsi="Palatino Linotype"/>
          <w:sz w:val="22"/>
          <w:szCs w:val="22"/>
        </w:rPr>
        <w:tab/>
      </w:r>
      <w:r w:rsidR="00B65155">
        <w:rPr>
          <w:rFonts w:ascii="Palatino Linotype" w:hAnsi="Palatino Linotype"/>
          <w:sz w:val="22"/>
          <w:szCs w:val="22"/>
        </w:rPr>
        <w:tab/>
      </w:r>
      <w:r w:rsidR="00B65155">
        <w:rPr>
          <w:rFonts w:ascii="Palatino Linotype" w:hAnsi="Palatino Linotype"/>
          <w:sz w:val="22"/>
          <w:szCs w:val="22"/>
        </w:rPr>
        <w:tab/>
      </w:r>
      <w:r w:rsidR="00B65155">
        <w:rPr>
          <w:rFonts w:ascii="Palatino Linotype" w:hAnsi="Palatino Linotype"/>
          <w:sz w:val="22"/>
          <w:szCs w:val="22"/>
        </w:rPr>
        <w:tab/>
      </w:r>
      <w:r w:rsidRPr="00FF540B">
        <w:rPr>
          <w:rFonts w:ascii="Palatino Linotype" w:hAnsi="Palatino Linotype"/>
          <w:sz w:val="22"/>
          <w:szCs w:val="22"/>
        </w:rPr>
        <w:t>11</w:t>
      </w:r>
    </w:p>
    <w:p w:rsidR="00B65155" w:rsidRDefault="00F049FB" w:rsidP="00B65155">
      <w:pPr>
        <w:spacing w:after="120" w:line="276" w:lineRule="auto"/>
        <w:rPr>
          <w:rFonts w:ascii="Palatino Linotype" w:hAnsi="Palatino Linotype"/>
          <w:sz w:val="22"/>
          <w:szCs w:val="22"/>
        </w:rPr>
      </w:pPr>
      <w:r w:rsidRPr="00B65155">
        <w:rPr>
          <w:rFonts w:ascii="Palatino Linotype" w:hAnsi="Palatino Linotype"/>
          <w:b/>
          <w:sz w:val="22"/>
          <w:szCs w:val="22"/>
        </w:rPr>
        <w:t>Área útil de lotes:</w:t>
      </w:r>
      <w:r w:rsidRPr="00FF540B">
        <w:rPr>
          <w:rFonts w:ascii="Palatino Linotype" w:hAnsi="Palatino Linotype"/>
          <w:sz w:val="22"/>
          <w:szCs w:val="22"/>
        </w:rPr>
        <w:tab/>
      </w:r>
      <w:r w:rsidRPr="00FF540B">
        <w:rPr>
          <w:rFonts w:ascii="Palatino Linotype" w:hAnsi="Palatino Linotype"/>
          <w:sz w:val="22"/>
          <w:szCs w:val="22"/>
        </w:rPr>
        <w:tab/>
      </w:r>
      <w:r w:rsidRPr="00FF540B">
        <w:rPr>
          <w:rFonts w:ascii="Palatino Linotype" w:hAnsi="Palatino Linotype"/>
          <w:sz w:val="22"/>
          <w:szCs w:val="22"/>
        </w:rPr>
        <w:tab/>
      </w:r>
      <w:r w:rsidR="00B65155">
        <w:rPr>
          <w:rFonts w:ascii="Palatino Linotype" w:hAnsi="Palatino Linotype"/>
          <w:sz w:val="22"/>
          <w:szCs w:val="22"/>
        </w:rPr>
        <w:tab/>
      </w:r>
      <w:r w:rsidR="00B65155">
        <w:rPr>
          <w:rFonts w:ascii="Palatino Linotype" w:hAnsi="Palatino Linotype"/>
          <w:sz w:val="22"/>
          <w:szCs w:val="22"/>
        </w:rPr>
        <w:tab/>
      </w:r>
      <w:r w:rsidRPr="00FF540B">
        <w:rPr>
          <w:rFonts w:ascii="Palatino Linotype" w:hAnsi="Palatino Linotype"/>
          <w:sz w:val="22"/>
          <w:szCs w:val="22"/>
        </w:rPr>
        <w:t>2.234,22</w:t>
      </w:r>
      <w:r w:rsidR="00B65155">
        <w:rPr>
          <w:rFonts w:ascii="Palatino Linotype" w:hAnsi="Palatino Linotype"/>
          <w:sz w:val="22"/>
          <w:szCs w:val="22"/>
        </w:rPr>
        <w:t xml:space="preserve"> </w:t>
      </w:r>
      <w:proofErr w:type="spellStart"/>
      <w:r w:rsidRPr="00FF540B">
        <w:rPr>
          <w:rFonts w:ascii="Palatino Linotype" w:hAnsi="Palatino Linotype"/>
          <w:sz w:val="22"/>
          <w:szCs w:val="22"/>
        </w:rPr>
        <w:t>m</w:t>
      </w:r>
      <w:r w:rsidRPr="00B65155">
        <w:rPr>
          <w:rFonts w:ascii="Palatino Linotype" w:hAnsi="Palatino Linotype"/>
          <w:sz w:val="22"/>
          <w:szCs w:val="22"/>
          <w:vertAlign w:val="superscript"/>
        </w:rPr>
        <w:t>2</w:t>
      </w:r>
      <w:proofErr w:type="spellEnd"/>
    </w:p>
    <w:p w:rsidR="00B65155" w:rsidRDefault="00F049FB" w:rsidP="00B65155">
      <w:pPr>
        <w:spacing w:after="120" w:line="276" w:lineRule="auto"/>
        <w:rPr>
          <w:rFonts w:ascii="Palatino Linotype" w:hAnsi="Palatino Linotype"/>
          <w:sz w:val="22"/>
          <w:szCs w:val="22"/>
        </w:rPr>
      </w:pPr>
      <w:r w:rsidRPr="00B65155">
        <w:rPr>
          <w:rFonts w:ascii="Palatino Linotype" w:hAnsi="Palatino Linotype"/>
          <w:b/>
          <w:sz w:val="22"/>
          <w:szCs w:val="22"/>
        </w:rPr>
        <w:t>Área de vías y pasajes:</w:t>
      </w:r>
      <w:r w:rsidRPr="00FF540B">
        <w:rPr>
          <w:rFonts w:ascii="Palatino Linotype" w:hAnsi="Palatino Linotype"/>
          <w:sz w:val="22"/>
          <w:szCs w:val="22"/>
        </w:rPr>
        <w:tab/>
      </w:r>
      <w:r w:rsidRPr="00FF540B">
        <w:rPr>
          <w:rFonts w:ascii="Palatino Linotype" w:hAnsi="Palatino Linotype"/>
          <w:sz w:val="22"/>
          <w:szCs w:val="22"/>
        </w:rPr>
        <w:tab/>
      </w:r>
      <w:r w:rsidR="00B65155">
        <w:rPr>
          <w:rFonts w:ascii="Palatino Linotype" w:hAnsi="Palatino Linotype"/>
          <w:sz w:val="22"/>
          <w:szCs w:val="22"/>
        </w:rPr>
        <w:tab/>
      </w:r>
      <w:r w:rsidR="00B65155">
        <w:rPr>
          <w:rFonts w:ascii="Palatino Linotype" w:hAnsi="Palatino Linotype"/>
          <w:sz w:val="22"/>
          <w:szCs w:val="22"/>
        </w:rPr>
        <w:tab/>
      </w:r>
      <w:r w:rsidRPr="00FF540B">
        <w:rPr>
          <w:rFonts w:ascii="Palatino Linotype" w:hAnsi="Palatino Linotype"/>
          <w:sz w:val="22"/>
          <w:szCs w:val="22"/>
        </w:rPr>
        <w:t>383,86</w:t>
      </w:r>
      <w:r w:rsidR="00B65155">
        <w:rPr>
          <w:rFonts w:ascii="Palatino Linotype" w:hAnsi="Palatino Linotype"/>
          <w:sz w:val="22"/>
          <w:szCs w:val="22"/>
        </w:rPr>
        <w:t xml:space="preserve"> </w:t>
      </w:r>
      <w:proofErr w:type="spellStart"/>
      <w:r w:rsidRPr="00FF540B">
        <w:rPr>
          <w:rFonts w:ascii="Palatino Linotype" w:hAnsi="Palatino Linotype"/>
          <w:sz w:val="22"/>
          <w:szCs w:val="22"/>
        </w:rPr>
        <w:t>m</w:t>
      </w:r>
      <w:r w:rsidRPr="00B65155">
        <w:rPr>
          <w:rFonts w:ascii="Palatino Linotype" w:hAnsi="Palatino Linotype"/>
          <w:sz w:val="22"/>
          <w:szCs w:val="22"/>
          <w:vertAlign w:val="superscript"/>
        </w:rPr>
        <w:t>2</w:t>
      </w:r>
      <w:proofErr w:type="spellEnd"/>
    </w:p>
    <w:p w:rsidR="00F049FB" w:rsidRPr="00FF540B" w:rsidRDefault="00F049FB" w:rsidP="00F049FB">
      <w:pPr>
        <w:spacing w:after="120" w:line="276" w:lineRule="auto"/>
        <w:rPr>
          <w:rFonts w:ascii="Palatino Linotype" w:hAnsi="Palatino Linotype"/>
          <w:sz w:val="22"/>
          <w:szCs w:val="22"/>
        </w:rPr>
      </w:pPr>
      <w:r w:rsidRPr="00B65155">
        <w:rPr>
          <w:rFonts w:ascii="Palatino Linotype" w:hAnsi="Palatino Linotype"/>
          <w:b/>
          <w:sz w:val="22"/>
          <w:szCs w:val="22"/>
        </w:rPr>
        <w:t xml:space="preserve">Área verde en relación al </w:t>
      </w:r>
      <w:r w:rsidR="00B65155" w:rsidRPr="00B65155">
        <w:rPr>
          <w:rFonts w:ascii="Palatino Linotype" w:hAnsi="Palatino Linotype"/>
          <w:b/>
          <w:sz w:val="22"/>
          <w:szCs w:val="22"/>
        </w:rPr>
        <w:t>á</w:t>
      </w:r>
      <w:r w:rsidRPr="00B65155">
        <w:rPr>
          <w:rFonts w:ascii="Palatino Linotype" w:hAnsi="Palatino Linotype"/>
          <w:b/>
          <w:sz w:val="22"/>
          <w:szCs w:val="22"/>
        </w:rPr>
        <w:t>rea</w:t>
      </w:r>
      <w:r w:rsidR="00B65155" w:rsidRPr="00B65155">
        <w:rPr>
          <w:rFonts w:ascii="Palatino Linotype" w:hAnsi="Palatino Linotype"/>
          <w:b/>
          <w:sz w:val="22"/>
          <w:szCs w:val="22"/>
        </w:rPr>
        <w:t xml:space="preserve"> ú</w:t>
      </w:r>
      <w:r w:rsidRPr="00B65155">
        <w:rPr>
          <w:rFonts w:ascii="Palatino Linotype" w:hAnsi="Palatino Linotype"/>
          <w:b/>
          <w:sz w:val="22"/>
          <w:szCs w:val="22"/>
        </w:rPr>
        <w:t xml:space="preserve">til de </w:t>
      </w:r>
      <w:r w:rsidR="00B65155" w:rsidRPr="00B65155">
        <w:rPr>
          <w:rFonts w:ascii="Palatino Linotype" w:hAnsi="Palatino Linotype"/>
          <w:b/>
          <w:sz w:val="22"/>
          <w:szCs w:val="22"/>
        </w:rPr>
        <w:t>l</w:t>
      </w:r>
      <w:r w:rsidRPr="00B65155">
        <w:rPr>
          <w:rFonts w:ascii="Palatino Linotype" w:hAnsi="Palatino Linotype"/>
          <w:b/>
          <w:sz w:val="22"/>
          <w:szCs w:val="22"/>
        </w:rPr>
        <w:t>otes:</w:t>
      </w:r>
      <w:r w:rsidRPr="00B65155">
        <w:rPr>
          <w:rFonts w:ascii="Palatino Linotype" w:hAnsi="Palatino Linotype"/>
          <w:b/>
          <w:sz w:val="22"/>
          <w:szCs w:val="22"/>
        </w:rPr>
        <w:tab/>
      </w:r>
      <w:r w:rsidRPr="00FF540B">
        <w:rPr>
          <w:rFonts w:ascii="Palatino Linotype" w:hAnsi="Palatino Linotype"/>
          <w:sz w:val="22"/>
          <w:szCs w:val="22"/>
        </w:rPr>
        <w:t>164,89</w:t>
      </w:r>
      <w:r w:rsidR="00B65155">
        <w:rPr>
          <w:rFonts w:ascii="Palatino Linotype" w:hAnsi="Palatino Linotype"/>
          <w:sz w:val="22"/>
          <w:szCs w:val="22"/>
        </w:rPr>
        <w:t xml:space="preserve"> </w:t>
      </w:r>
      <w:proofErr w:type="spellStart"/>
      <w:r w:rsidRPr="00FF540B">
        <w:rPr>
          <w:rFonts w:ascii="Palatino Linotype" w:hAnsi="Palatino Linotype"/>
          <w:sz w:val="22"/>
          <w:szCs w:val="22"/>
        </w:rPr>
        <w:t>m</w:t>
      </w:r>
      <w:r w:rsidRPr="00B65155">
        <w:rPr>
          <w:rFonts w:ascii="Palatino Linotype" w:hAnsi="Palatino Linotype"/>
          <w:sz w:val="22"/>
          <w:szCs w:val="22"/>
          <w:vertAlign w:val="superscript"/>
        </w:rPr>
        <w:t>2</w:t>
      </w:r>
      <w:proofErr w:type="spellEnd"/>
    </w:p>
    <w:p w:rsidR="00F049FB" w:rsidRPr="00FF540B" w:rsidRDefault="00F049FB" w:rsidP="00F049FB">
      <w:pPr>
        <w:tabs>
          <w:tab w:val="center" w:pos="4394"/>
        </w:tabs>
        <w:spacing w:after="120" w:line="276" w:lineRule="auto"/>
        <w:rPr>
          <w:rFonts w:ascii="Palatino Linotype" w:hAnsi="Palatino Linotype"/>
          <w:bCs/>
          <w:sz w:val="22"/>
          <w:szCs w:val="22"/>
        </w:rPr>
      </w:pPr>
      <w:r w:rsidRPr="00FF540B">
        <w:rPr>
          <w:rFonts w:ascii="Palatino Linotype" w:hAnsi="Palatino Linotype"/>
          <w:b/>
          <w:sz w:val="22"/>
          <w:szCs w:val="22"/>
        </w:rPr>
        <w:t xml:space="preserve">Área total de lotes:                              </w:t>
      </w:r>
      <w:r w:rsidR="00B65155">
        <w:rPr>
          <w:rFonts w:ascii="Palatino Linotype" w:hAnsi="Palatino Linotype"/>
          <w:b/>
          <w:sz w:val="22"/>
          <w:szCs w:val="22"/>
        </w:rPr>
        <w:tab/>
      </w:r>
      <w:r w:rsidR="00B65155">
        <w:rPr>
          <w:rFonts w:ascii="Palatino Linotype" w:hAnsi="Palatino Linotype"/>
          <w:b/>
          <w:sz w:val="22"/>
          <w:szCs w:val="22"/>
        </w:rPr>
        <w:tab/>
      </w:r>
      <w:r w:rsidRPr="00FF540B">
        <w:rPr>
          <w:rFonts w:ascii="Palatino Linotype" w:hAnsi="Palatino Linotype"/>
          <w:bCs/>
          <w:sz w:val="22"/>
          <w:szCs w:val="22"/>
        </w:rPr>
        <w:t>2.782,97</w:t>
      </w:r>
      <w:r w:rsidR="00B65155">
        <w:rPr>
          <w:rFonts w:ascii="Palatino Linotype" w:hAnsi="Palatino Linotype"/>
          <w:bCs/>
          <w:sz w:val="22"/>
          <w:szCs w:val="22"/>
        </w:rPr>
        <w:t xml:space="preserve"> </w:t>
      </w:r>
      <w:proofErr w:type="spellStart"/>
      <w:r w:rsidRPr="00FF540B">
        <w:rPr>
          <w:rFonts w:ascii="Palatino Linotype" w:hAnsi="Palatino Linotype"/>
          <w:bCs/>
          <w:sz w:val="22"/>
          <w:szCs w:val="22"/>
        </w:rPr>
        <w:t>m</w:t>
      </w:r>
      <w:r w:rsidRPr="00B65155">
        <w:rPr>
          <w:rFonts w:ascii="Palatino Linotype" w:hAnsi="Palatino Linotype"/>
          <w:bCs/>
          <w:sz w:val="22"/>
          <w:szCs w:val="22"/>
          <w:vertAlign w:val="superscript"/>
        </w:rPr>
        <w:t>2</w:t>
      </w:r>
      <w:proofErr w:type="spellEnd"/>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El número total de lotes es de 11, signados del uno (1) al once (11), cuyo detalle es el que consta en los planos aprobatorios que forman parte de la presente Ordenanza.</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bCs/>
          <w:sz w:val="22"/>
          <w:szCs w:val="22"/>
        </w:rPr>
        <w:lastRenderedPageBreak/>
        <w:t xml:space="preserve">Artículo 3.- Zonificación de los lotes.- </w:t>
      </w:r>
      <w:r w:rsidRPr="00FF540B">
        <w:rPr>
          <w:rFonts w:ascii="Palatino Linotype" w:hAnsi="Palatino Linotype"/>
          <w:bCs/>
          <w:sz w:val="22"/>
          <w:szCs w:val="22"/>
        </w:rPr>
        <w:t>Los lotes fraccionados modificarán la zonificación para los</w:t>
      </w:r>
      <w:r w:rsidRPr="00FF540B">
        <w:rPr>
          <w:rFonts w:ascii="Palatino Linotype" w:hAnsi="Palatino Linotype"/>
          <w:sz w:val="22"/>
          <w:szCs w:val="22"/>
        </w:rPr>
        <w:t xml:space="preserve"> 11 lotes, conforme se detalla a continuación: </w:t>
      </w:r>
      <w:proofErr w:type="spellStart"/>
      <w:r w:rsidRPr="00FF540B">
        <w:rPr>
          <w:rFonts w:ascii="Palatino Linotype" w:hAnsi="Palatino Linotype"/>
          <w:sz w:val="22"/>
          <w:szCs w:val="22"/>
        </w:rPr>
        <w:t>D2</w:t>
      </w:r>
      <w:proofErr w:type="spellEnd"/>
      <w:r w:rsidRPr="00FF540B">
        <w:rPr>
          <w:rFonts w:ascii="Palatino Linotype" w:hAnsi="Palatino Linotype"/>
          <w:sz w:val="22"/>
          <w:szCs w:val="22"/>
        </w:rPr>
        <w:t xml:space="preserve"> (202-80), forma de ocupación: D Sobre Línea de Fabrica, Lote mínimo: 200 </w:t>
      </w:r>
      <w:proofErr w:type="spellStart"/>
      <w:r w:rsidRPr="00FF540B">
        <w:rPr>
          <w:rFonts w:ascii="Palatino Linotype" w:hAnsi="Palatino Linotype"/>
          <w:sz w:val="22"/>
          <w:szCs w:val="22"/>
        </w:rPr>
        <w:t>m</w:t>
      </w:r>
      <w:r w:rsidRPr="00B65155">
        <w:rPr>
          <w:rFonts w:ascii="Palatino Linotype" w:hAnsi="Palatino Linotype"/>
          <w:sz w:val="22"/>
          <w:szCs w:val="22"/>
          <w:vertAlign w:val="superscript"/>
        </w:rPr>
        <w:t>2</w:t>
      </w:r>
      <w:proofErr w:type="spellEnd"/>
      <w:r w:rsidRPr="00FF540B">
        <w:rPr>
          <w:rFonts w:ascii="Palatino Linotype" w:hAnsi="Palatino Linotype"/>
          <w:sz w:val="22"/>
          <w:szCs w:val="22"/>
        </w:rPr>
        <w:t xml:space="preserve">, Número de pisos 2, </w:t>
      </w:r>
      <w:proofErr w:type="spellStart"/>
      <w:r w:rsidRPr="00FF540B">
        <w:rPr>
          <w:rFonts w:ascii="Palatino Linotype" w:hAnsi="Palatino Linotype"/>
          <w:sz w:val="22"/>
          <w:szCs w:val="22"/>
        </w:rPr>
        <w:t>COS</w:t>
      </w:r>
      <w:proofErr w:type="spellEnd"/>
      <w:r w:rsidRPr="00FF540B">
        <w:rPr>
          <w:rFonts w:ascii="Palatino Linotype" w:hAnsi="Palatino Linotype"/>
          <w:sz w:val="22"/>
          <w:szCs w:val="22"/>
        </w:rPr>
        <w:t xml:space="preserve"> planta baja: 80%, </w:t>
      </w:r>
      <w:proofErr w:type="spellStart"/>
      <w:r w:rsidRPr="00FF540B">
        <w:rPr>
          <w:rFonts w:ascii="Palatino Linotype" w:hAnsi="Palatino Linotype"/>
          <w:sz w:val="22"/>
          <w:szCs w:val="22"/>
        </w:rPr>
        <w:t>COS</w:t>
      </w:r>
      <w:proofErr w:type="spellEnd"/>
      <w:r w:rsidRPr="00FF540B">
        <w:rPr>
          <w:rFonts w:ascii="Palatino Linotype" w:hAnsi="Palatino Linotype"/>
          <w:sz w:val="22"/>
          <w:szCs w:val="22"/>
        </w:rPr>
        <w:t xml:space="preserve"> total: 160%, Uso principal: (</w:t>
      </w:r>
      <w:proofErr w:type="spellStart"/>
      <w:r w:rsidRPr="00FF540B">
        <w:rPr>
          <w:rFonts w:ascii="Palatino Linotype" w:hAnsi="Palatino Linotype"/>
          <w:sz w:val="22"/>
          <w:szCs w:val="22"/>
        </w:rPr>
        <w:t>RU1</w:t>
      </w:r>
      <w:proofErr w:type="spellEnd"/>
      <w:r w:rsidRPr="00FF540B">
        <w:rPr>
          <w:rFonts w:ascii="Palatino Linotype" w:hAnsi="Palatino Linotype"/>
          <w:sz w:val="22"/>
          <w:szCs w:val="22"/>
        </w:rPr>
        <w:t>) Residencial Urbano 1.</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sz w:val="22"/>
          <w:szCs w:val="22"/>
        </w:rPr>
        <w:t xml:space="preserve">Artículo 4.- Clasificación del </w:t>
      </w:r>
      <w:r w:rsidR="00B65155">
        <w:rPr>
          <w:rFonts w:ascii="Palatino Linotype" w:hAnsi="Palatino Linotype"/>
          <w:b/>
          <w:sz w:val="22"/>
          <w:szCs w:val="22"/>
        </w:rPr>
        <w:t>s</w:t>
      </w:r>
      <w:r w:rsidRPr="00FF540B">
        <w:rPr>
          <w:rFonts w:ascii="Palatino Linotype" w:hAnsi="Palatino Linotype"/>
          <w:b/>
          <w:sz w:val="22"/>
          <w:szCs w:val="22"/>
        </w:rPr>
        <w:t>uelo.-</w:t>
      </w:r>
      <w:r w:rsidRPr="00FF540B">
        <w:rPr>
          <w:rFonts w:ascii="Palatino Linotype" w:hAnsi="Palatino Linotype"/>
          <w:sz w:val="22"/>
          <w:szCs w:val="22"/>
        </w:rPr>
        <w:t xml:space="preserve"> </w:t>
      </w:r>
      <w:r w:rsidRPr="00FF540B">
        <w:rPr>
          <w:rFonts w:ascii="Palatino Linotype" w:hAnsi="Palatino Linotype"/>
          <w:bCs/>
          <w:color w:val="000000"/>
          <w:sz w:val="22"/>
          <w:szCs w:val="22"/>
        </w:rPr>
        <w:t>Los lotes fraccionados mantendrán la clasificación vigente esto es (SU) Suelo Urbano.</w:t>
      </w:r>
    </w:p>
    <w:p w:rsidR="00F049FB" w:rsidRPr="00FF540B" w:rsidRDefault="00F049FB" w:rsidP="00F049FB">
      <w:pPr>
        <w:spacing w:after="120" w:line="276" w:lineRule="auto"/>
        <w:jc w:val="both"/>
        <w:rPr>
          <w:rFonts w:ascii="Palatino Linotype" w:hAnsi="Palatino Linotype"/>
          <w:b/>
          <w:sz w:val="22"/>
          <w:szCs w:val="22"/>
        </w:rPr>
      </w:pPr>
      <w:r w:rsidRPr="00FF540B">
        <w:rPr>
          <w:rFonts w:ascii="Palatino Linotype" w:hAnsi="Palatino Linotype"/>
          <w:b/>
          <w:sz w:val="22"/>
          <w:szCs w:val="22"/>
        </w:rPr>
        <w:t xml:space="preserve">Artículo 5.- Del </w:t>
      </w:r>
      <w:r w:rsidR="00B65155" w:rsidRPr="00FF540B">
        <w:rPr>
          <w:rFonts w:ascii="Palatino Linotype" w:hAnsi="Palatino Linotype"/>
          <w:b/>
          <w:sz w:val="22"/>
          <w:szCs w:val="22"/>
        </w:rPr>
        <w:t>área verde</w:t>
      </w:r>
      <w:r w:rsidRPr="00FF540B">
        <w:rPr>
          <w:rFonts w:ascii="Palatino Linotype" w:hAnsi="Palatino Linotype"/>
          <w:b/>
          <w:sz w:val="22"/>
          <w:szCs w:val="22"/>
        </w:rPr>
        <w:t>.-</w:t>
      </w:r>
      <w:r w:rsidRPr="00FF540B">
        <w:rPr>
          <w:rFonts w:ascii="Palatino Linotype" w:hAnsi="Palatino Linotype"/>
          <w:b/>
          <w:bCs/>
          <w:sz w:val="22"/>
          <w:szCs w:val="22"/>
        </w:rPr>
        <w:t xml:space="preserve"> </w:t>
      </w:r>
      <w:r w:rsidRPr="00FF540B">
        <w:rPr>
          <w:rFonts w:ascii="Palatino Linotype" w:hAnsi="Palatino Linotype"/>
          <w:bCs/>
          <w:color w:val="000000"/>
          <w:sz w:val="22"/>
          <w:szCs w:val="22"/>
        </w:rPr>
        <w:t xml:space="preserve">El Asentamiento Humano de Hecho y Consolidado de </w:t>
      </w:r>
      <w:r w:rsidRPr="00FF540B">
        <w:rPr>
          <w:rFonts w:ascii="Palatino Linotype" w:hAnsi="Palatino Linotype"/>
          <w:sz w:val="22"/>
          <w:szCs w:val="22"/>
        </w:rPr>
        <w:t>Interés Social</w:t>
      </w:r>
      <w:r w:rsidRPr="00FF540B">
        <w:rPr>
          <w:rFonts w:ascii="Palatino Linotype" w:hAnsi="Palatino Linotype"/>
          <w:bCs/>
          <w:color w:val="000000"/>
          <w:sz w:val="22"/>
          <w:szCs w:val="22"/>
        </w:rPr>
        <w:t xml:space="preserve"> denominado </w:t>
      </w:r>
      <w:r w:rsidRPr="00FF540B">
        <w:rPr>
          <w:rFonts w:ascii="Palatino Linotype" w:hAnsi="Palatino Linotype"/>
          <w:sz w:val="22"/>
          <w:szCs w:val="22"/>
        </w:rPr>
        <w:t xml:space="preserve">Comité Pro Mejoras </w:t>
      </w:r>
      <w:r w:rsidRPr="00FF540B">
        <w:rPr>
          <w:rFonts w:ascii="Palatino Linotype" w:hAnsi="Palatino Linotype"/>
          <w:bCs/>
          <w:color w:val="000000"/>
          <w:sz w:val="22"/>
          <w:szCs w:val="22"/>
        </w:rPr>
        <w:t xml:space="preserve">“Los Hemisferios” transfiere al Municipio del Distrito Metropolitano de Quito como contribución de áreas verdes y comunales 164,89 m², </w:t>
      </w:r>
      <w:r w:rsidRPr="00FF540B">
        <w:rPr>
          <w:rFonts w:ascii="Palatino Linotype" w:hAnsi="Palatino Linotype"/>
          <w:sz w:val="22"/>
          <w:szCs w:val="22"/>
        </w:rPr>
        <w:t>del área útil de los lotes, de conformidad al siguiente detalle</w:t>
      </w:r>
      <w:r w:rsidRPr="00FF540B">
        <w:rPr>
          <w:rFonts w:ascii="Palatino Linotype" w:hAnsi="Palatino Linotype"/>
          <w:b/>
          <w:sz w:val="22"/>
          <w:szCs w:val="22"/>
        </w:rPr>
        <w:t>:</w:t>
      </w:r>
    </w:p>
    <w:tbl>
      <w:tblPr>
        <w:tblW w:w="9338" w:type="dxa"/>
        <w:jc w:val="center"/>
        <w:tblInd w:w="-72" w:type="dxa"/>
        <w:tblLayout w:type="fixed"/>
        <w:tblCellMar>
          <w:left w:w="70" w:type="dxa"/>
          <w:right w:w="70" w:type="dxa"/>
        </w:tblCellMar>
        <w:tblLook w:val="04A0" w:firstRow="1" w:lastRow="0" w:firstColumn="1" w:lastColumn="0" w:noHBand="0" w:noVBand="1"/>
      </w:tblPr>
      <w:tblGrid>
        <w:gridCol w:w="1381"/>
        <w:gridCol w:w="916"/>
        <w:gridCol w:w="2505"/>
        <w:gridCol w:w="1417"/>
        <w:gridCol w:w="1134"/>
        <w:gridCol w:w="1985"/>
      </w:tblGrid>
      <w:tr w:rsidR="00F049FB" w:rsidRPr="00FF540B" w:rsidTr="00B65155">
        <w:trPr>
          <w:trHeight w:val="300"/>
          <w:jc w:val="center"/>
        </w:trPr>
        <w:tc>
          <w:tcPr>
            <w:tcW w:w="9338"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Á</w:t>
            </w:r>
            <w:r w:rsidR="00B65155" w:rsidRPr="00FF540B">
              <w:rPr>
                <w:rFonts w:ascii="Palatino Linotype" w:hAnsi="Palatino Linotype"/>
                <w:b/>
                <w:bCs/>
                <w:sz w:val="22"/>
                <w:szCs w:val="22"/>
                <w:lang w:val="es-EC" w:eastAsia="es-EC"/>
              </w:rPr>
              <w:t>rea verde  1</w:t>
            </w:r>
          </w:p>
        </w:tc>
      </w:tr>
      <w:tr w:rsidR="00F049FB" w:rsidRPr="00FF540B" w:rsidTr="00B65155">
        <w:trPr>
          <w:trHeight w:val="300"/>
          <w:jc w:val="center"/>
        </w:trPr>
        <w:tc>
          <w:tcPr>
            <w:tcW w:w="1381" w:type="dxa"/>
            <w:tcBorders>
              <w:top w:val="single" w:sz="4" w:space="0" w:color="auto"/>
              <w:left w:val="single" w:sz="4" w:space="0" w:color="auto"/>
              <w:bottom w:val="nil"/>
              <w:right w:val="single" w:sz="4" w:space="0" w:color="auto"/>
            </w:tcBorders>
            <w:shd w:val="clear" w:color="auto" w:fill="auto"/>
            <w:vAlign w:val="center"/>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 </w:t>
            </w:r>
          </w:p>
        </w:tc>
        <w:tc>
          <w:tcPr>
            <w:tcW w:w="916" w:type="dxa"/>
            <w:tcBorders>
              <w:top w:val="nil"/>
              <w:left w:val="nil"/>
              <w:bottom w:val="nil"/>
              <w:right w:val="single" w:sz="4" w:space="0" w:color="auto"/>
            </w:tcBorders>
            <w:shd w:val="clear" w:color="auto" w:fill="auto"/>
            <w:hideMark/>
          </w:tcPr>
          <w:p w:rsidR="00F049FB" w:rsidRPr="00FF540B" w:rsidRDefault="00F049FB"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 </w:t>
            </w:r>
          </w:p>
        </w:tc>
        <w:tc>
          <w:tcPr>
            <w:tcW w:w="2505" w:type="dxa"/>
            <w:tcBorders>
              <w:top w:val="nil"/>
              <w:left w:val="nil"/>
              <w:bottom w:val="single" w:sz="4" w:space="0" w:color="auto"/>
              <w:right w:val="single" w:sz="4" w:space="0" w:color="auto"/>
            </w:tcBorders>
            <w:shd w:val="clear" w:color="auto" w:fill="auto"/>
            <w:hideMark/>
          </w:tcPr>
          <w:p w:rsidR="00F049FB" w:rsidRPr="00FF540B" w:rsidRDefault="00B65155"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Lindero</w:t>
            </w:r>
          </w:p>
        </w:tc>
        <w:tc>
          <w:tcPr>
            <w:tcW w:w="1417" w:type="dxa"/>
            <w:tcBorders>
              <w:top w:val="nil"/>
              <w:left w:val="nil"/>
              <w:bottom w:val="single" w:sz="4" w:space="0" w:color="auto"/>
              <w:right w:val="single" w:sz="4" w:space="0" w:color="auto"/>
            </w:tcBorders>
            <w:shd w:val="clear" w:color="auto" w:fill="auto"/>
            <w:vAlign w:val="bottom"/>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En parte</w:t>
            </w:r>
          </w:p>
        </w:tc>
        <w:tc>
          <w:tcPr>
            <w:tcW w:w="1134" w:type="dxa"/>
            <w:tcBorders>
              <w:top w:val="nil"/>
              <w:left w:val="nil"/>
              <w:bottom w:val="nil"/>
              <w:right w:val="single" w:sz="4" w:space="0" w:color="auto"/>
            </w:tcBorders>
            <w:shd w:val="clear" w:color="auto" w:fill="auto"/>
            <w:vAlign w:val="bottom"/>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Total</w:t>
            </w:r>
          </w:p>
        </w:tc>
        <w:tc>
          <w:tcPr>
            <w:tcW w:w="1985" w:type="dxa"/>
            <w:tcBorders>
              <w:top w:val="nil"/>
              <w:left w:val="nil"/>
              <w:bottom w:val="nil"/>
              <w:right w:val="single" w:sz="4" w:space="0" w:color="auto"/>
            </w:tcBorders>
            <w:shd w:val="clear" w:color="auto" w:fill="auto"/>
            <w:vAlign w:val="bottom"/>
            <w:hideMark/>
          </w:tcPr>
          <w:p w:rsidR="00F049FB" w:rsidRPr="00FF540B" w:rsidRDefault="00B65155"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Superficie</w:t>
            </w:r>
          </w:p>
        </w:tc>
      </w:tr>
      <w:tr w:rsidR="00F049FB" w:rsidRPr="00FF540B" w:rsidTr="00B65155">
        <w:trPr>
          <w:trHeight w:val="300"/>
          <w:jc w:val="center"/>
        </w:trPr>
        <w:tc>
          <w:tcPr>
            <w:tcW w:w="1381" w:type="dxa"/>
            <w:tcBorders>
              <w:top w:val="nil"/>
              <w:left w:val="single" w:sz="4" w:space="0" w:color="auto"/>
              <w:bottom w:val="nil"/>
              <w:right w:val="single" w:sz="4" w:space="0" w:color="auto"/>
            </w:tcBorders>
            <w:shd w:val="clear" w:color="auto" w:fill="auto"/>
            <w:vAlign w:val="center"/>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 </w:t>
            </w:r>
          </w:p>
        </w:tc>
        <w:tc>
          <w:tcPr>
            <w:tcW w:w="916" w:type="dxa"/>
            <w:tcBorders>
              <w:top w:val="single" w:sz="4" w:space="0" w:color="auto"/>
              <w:left w:val="nil"/>
              <w:bottom w:val="nil"/>
              <w:right w:val="single" w:sz="4" w:space="0" w:color="auto"/>
            </w:tcBorders>
            <w:shd w:val="clear" w:color="auto" w:fill="auto"/>
            <w:vAlign w:val="center"/>
            <w:hideMark/>
          </w:tcPr>
          <w:p w:rsidR="00F049FB" w:rsidRPr="00FF540B" w:rsidRDefault="00F049FB"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Norte:</w:t>
            </w:r>
          </w:p>
        </w:tc>
        <w:tc>
          <w:tcPr>
            <w:tcW w:w="2505" w:type="dxa"/>
            <w:tcBorders>
              <w:top w:val="nil"/>
              <w:left w:val="nil"/>
              <w:bottom w:val="single" w:sz="4" w:space="0" w:color="auto"/>
              <w:right w:val="single" w:sz="4" w:space="0" w:color="auto"/>
            </w:tcBorders>
            <w:shd w:val="clear" w:color="auto" w:fill="auto"/>
            <w:hideMark/>
          </w:tcPr>
          <w:p w:rsidR="00F049FB" w:rsidRPr="00FF540B" w:rsidRDefault="00F049FB" w:rsidP="00B65155">
            <w:pPr>
              <w:spacing w:after="120" w:line="276" w:lineRule="auto"/>
              <w:jc w:val="both"/>
              <w:rPr>
                <w:rFonts w:ascii="Palatino Linotype" w:hAnsi="Palatino Linotype"/>
                <w:sz w:val="22"/>
                <w:szCs w:val="22"/>
                <w:lang w:val="es-EC" w:eastAsia="es-EC"/>
              </w:rPr>
            </w:pPr>
            <w:r w:rsidRPr="00FF540B">
              <w:rPr>
                <w:rFonts w:ascii="Palatino Linotype" w:hAnsi="Palatino Linotype"/>
                <w:sz w:val="22"/>
                <w:szCs w:val="22"/>
                <w:lang w:val="es-EC" w:eastAsia="es-EC"/>
              </w:rPr>
              <w:t>Propiedad Particular</w:t>
            </w:r>
          </w:p>
        </w:tc>
        <w:tc>
          <w:tcPr>
            <w:tcW w:w="1417" w:type="dxa"/>
            <w:tcBorders>
              <w:top w:val="nil"/>
              <w:left w:val="nil"/>
              <w:bottom w:val="single" w:sz="4" w:space="0" w:color="auto"/>
              <w:right w:val="single" w:sz="4" w:space="0" w:color="auto"/>
            </w:tcBorders>
            <w:shd w:val="clear" w:color="auto" w:fill="auto"/>
            <w:noWrap/>
            <w:vAlign w:val="bottom"/>
            <w:hideMark/>
          </w:tcPr>
          <w:p w:rsidR="00F049FB" w:rsidRPr="00FF540B" w:rsidRDefault="00F049FB"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w:t>
            </w:r>
          </w:p>
        </w:tc>
        <w:tc>
          <w:tcPr>
            <w:tcW w:w="1134" w:type="dxa"/>
            <w:tcBorders>
              <w:top w:val="single" w:sz="4" w:space="0" w:color="auto"/>
              <w:left w:val="nil"/>
              <w:bottom w:val="nil"/>
              <w:right w:val="nil"/>
            </w:tcBorders>
            <w:shd w:val="clear" w:color="auto" w:fill="auto"/>
            <w:noWrap/>
            <w:vAlign w:val="bottom"/>
            <w:hideMark/>
          </w:tcPr>
          <w:p w:rsidR="00F049FB" w:rsidRPr="00FF540B" w:rsidRDefault="00F049FB"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14,63</w:t>
            </w:r>
            <w:r w:rsidR="00B65155">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 xml:space="preserve">m </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rsidR="00F049FB" w:rsidRPr="00FF540B" w:rsidRDefault="00F049FB" w:rsidP="00242D53">
            <w:pPr>
              <w:spacing w:after="120" w:line="276" w:lineRule="auto"/>
              <w:jc w:val="center"/>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 </w:t>
            </w:r>
          </w:p>
        </w:tc>
      </w:tr>
      <w:tr w:rsidR="00B65155" w:rsidRPr="00FF540B" w:rsidTr="007B6F46">
        <w:trPr>
          <w:trHeight w:val="480"/>
          <w:jc w:val="center"/>
        </w:trPr>
        <w:tc>
          <w:tcPr>
            <w:tcW w:w="1381" w:type="dxa"/>
            <w:tcBorders>
              <w:top w:val="nil"/>
              <w:left w:val="single" w:sz="4" w:space="0" w:color="auto"/>
              <w:bottom w:val="nil"/>
              <w:right w:val="single" w:sz="4" w:space="0" w:color="auto"/>
            </w:tcBorders>
            <w:shd w:val="clear" w:color="auto" w:fill="auto"/>
            <w:vAlign w:val="center"/>
            <w:hideMark/>
          </w:tcPr>
          <w:p w:rsidR="00B65155" w:rsidRPr="00FF540B" w:rsidRDefault="00B65155" w:rsidP="00242D53">
            <w:pPr>
              <w:spacing w:after="120" w:line="276" w:lineRule="auto"/>
              <w:jc w:val="center"/>
              <w:rPr>
                <w:rFonts w:ascii="Palatino Linotype" w:hAnsi="Palatino Linotype"/>
                <w:b/>
                <w:bCs/>
                <w:sz w:val="22"/>
                <w:szCs w:val="22"/>
                <w:lang w:val="es-EC" w:eastAsia="es-EC"/>
              </w:rPr>
            </w:pPr>
            <w:r>
              <w:rPr>
                <w:rFonts w:ascii="Palatino Linotype" w:hAnsi="Palatino Linotype"/>
                <w:b/>
                <w:bCs/>
                <w:sz w:val="22"/>
                <w:szCs w:val="22"/>
                <w:lang w:val="es-EC" w:eastAsia="es-EC"/>
              </w:rPr>
              <w:t>Área v</w:t>
            </w:r>
            <w:r w:rsidRPr="00FF540B">
              <w:rPr>
                <w:rFonts w:ascii="Palatino Linotype" w:hAnsi="Palatino Linotype"/>
                <w:b/>
                <w:bCs/>
                <w:sz w:val="22"/>
                <w:szCs w:val="22"/>
                <w:lang w:val="es-EC" w:eastAsia="es-EC"/>
              </w:rPr>
              <w:t xml:space="preserve">erde </w:t>
            </w:r>
          </w:p>
        </w:tc>
        <w:tc>
          <w:tcPr>
            <w:tcW w:w="916" w:type="dxa"/>
            <w:tcBorders>
              <w:top w:val="single" w:sz="4" w:space="0" w:color="auto"/>
              <w:left w:val="nil"/>
              <w:bottom w:val="nil"/>
              <w:right w:val="single" w:sz="4" w:space="0" w:color="auto"/>
            </w:tcBorders>
            <w:shd w:val="clear" w:color="auto" w:fill="auto"/>
            <w:vAlign w:val="bottom"/>
            <w:hideMark/>
          </w:tcPr>
          <w:p w:rsidR="00B65155" w:rsidRPr="00FF540B" w:rsidRDefault="00B65155"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Sur:</w:t>
            </w:r>
          </w:p>
        </w:tc>
        <w:tc>
          <w:tcPr>
            <w:tcW w:w="2505" w:type="dxa"/>
            <w:tcBorders>
              <w:top w:val="nil"/>
              <w:left w:val="nil"/>
              <w:bottom w:val="single" w:sz="4" w:space="0" w:color="auto"/>
              <w:right w:val="single" w:sz="4" w:space="0" w:color="auto"/>
            </w:tcBorders>
            <w:shd w:val="clear" w:color="auto" w:fill="auto"/>
            <w:vAlign w:val="bottom"/>
            <w:hideMark/>
          </w:tcPr>
          <w:p w:rsidR="00B65155" w:rsidRPr="00FF540B" w:rsidRDefault="00B65155" w:rsidP="00B65155">
            <w:pPr>
              <w:spacing w:after="120" w:line="276" w:lineRule="auto"/>
              <w:jc w:val="both"/>
              <w:rPr>
                <w:rFonts w:ascii="Palatino Linotype" w:hAnsi="Palatino Linotype"/>
                <w:sz w:val="22"/>
                <w:szCs w:val="22"/>
                <w:lang w:val="es-EC" w:eastAsia="es-EC"/>
              </w:rPr>
            </w:pPr>
            <w:r w:rsidRPr="00FF540B">
              <w:rPr>
                <w:rFonts w:ascii="Palatino Linotype" w:hAnsi="Palatino Linotype"/>
                <w:sz w:val="22"/>
                <w:szCs w:val="22"/>
                <w:lang w:val="es-EC" w:eastAsia="es-EC"/>
              </w:rPr>
              <w:t>Lote 7</w:t>
            </w:r>
          </w:p>
        </w:tc>
        <w:tc>
          <w:tcPr>
            <w:tcW w:w="1417" w:type="dxa"/>
            <w:tcBorders>
              <w:top w:val="nil"/>
              <w:left w:val="nil"/>
              <w:bottom w:val="single" w:sz="4" w:space="0" w:color="auto"/>
              <w:right w:val="single" w:sz="4" w:space="0" w:color="auto"/>
            </w:tcBorders>
            <w:shd w:val="clear" w:color="auto" w:fill="auto"/>
            <w:noWrap/>
            <w:vAlign w:val="bottom"/>
            <w:hideMark/>
          </w:tcPr>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w:t>
            </w:r>
          </w:p>
        </w:tc>
        <w:tc>
          <w:tcPr>
            <w:tcW w:w="1134" w:type="dxa"/>
            <w:tcBorders>
              <w:top w:val="single" w:sz="4" w:space="0" w:color="auto"/>
              <w:left w:val="nil"/>
              <w:bottom w:val="nil"/>
              <w:right w:val="single" w:sz="4" w:space="0" w:color="auto"/>
            </w:tcBorders>
            <w:shd w:val="clear" w:color="auto" w:fill="auto"/>
            <w:noWrap/>
            <w:vAlign w:val="bottom"/>
            <w:hideMark/>
          </w:tcPr>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17,01</w:t>
            </w:r>
            <w:r>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m</w:t>
            </w:r>
          </w:p>
        </w:tc>
        <w:tc>
          <w:tcPr>
            <w:tcW w:w="1985" w:type="dxa"/>
            <w:vMerge w:val="restart"/>
            <w:tcBorders>
              <w:top w:val="nil"/>
              <w:left w:val="nil"/>
              <w:right w:val="single" w:sz="4" w:space="0" w:color="auto"/>
            </w:tcBorders>
            <w:shd w:val="clear" w:color="auto" w:fill="auto"/>
            <w:vAlign w:val="center"/>
            <w:hideMark/>
          </w:tcPr>
          <w:p w:rsidR="00B65155" w:rsidRDefault="00B65155" w:rsidP="00242D53">
            <w:pPr>
              <w:spacing w:after="120" w:line="276" w:lineRule="auto"/>
              <w:jc w:val="center"/>
              <w:rPr>
                <w:rFonts w:ascii="Palatino Linotype" w:hAnsi="Palatino Linotype"/>
                <w:bCs/>
                <w:sz w:val="22"/>
                <w:szCs w:val="22"/>
                <w:lang w:val="es-EC" w:eastAsia="es-EC"/>
              </w:rPr>
            </w:pPr>
          </w:p>
          <w:p w:rsidR="00B65155" w:rsidRPr="00B65155" w:rsidRDefault="00B65155" w:rsidP="00242D53">
            <w:pPr>
              <w:spacing w:after="120" w:line="276" w:lineRule="auto"/>
              <w:jc w:val="center"/>
              <w:rPr>
                <w:rFonts w:ascii="Palatino Linotype" w:hAnsi="Palatino Linotype"/>
                <w:bCs/>
                <w:sz w:val="22"/>
                <w:szCs w:val="22"/>
                <w:lang w:val="es-EC" w:eastAsia="es-EC"/>
              </w:rPr>
            </w:pPr>
            <w:r w:rsidRPr="00B65155">
              <w:rPr>
                <w:rFonts w:ascii="Palatino Linotype" w:hAnsi="Palatino Linotype"/>
                <w:bCs/>
                <w:sz w:val="22"/>
                <w:szCs w:val="22"/>
                <w:lang w:val="es-EC" w:eastAsia="es-EC"/>
              </w:rPr>
              <w:t xml:space="preserve">164,89 </w:t>
            </w:r>
            <w:proofErr w:type="spellStart"/>
            <w:r w:rsidRPr="00B65155">
              <w:rPr>
                <w:rFonts w:ascii="Palatino Linotype" w:hAnsi="Palatino Linotype"/>
                <w:bCs/>
                <w:sz w:val="22"/>
                <w:szCs w:val="22"/>
                <w:lang w:val="es-EC" w:eastAsia="es-EC"/>
              </w:rPr>
              <w:t>m</w:t>
            </w:r>
            <w:r w:rsidRPr="00B65155">
              <w:rPr>
                <w:rFonts w:ascii="Palatino Linotype" w:hAnsi="Palatino Linotype"/>
                <w:bCs/>
                <w:sz w:val="22"/>
                <w:szCs w:val="22"/>
                <w:vertAlign w:val="superscript"/>
                <w:lang w:val="es-EC" w:eastAsia="es-EC"/>
              </w:rPr>
              <w:t>2</w:t>
            </w:r>
            <w:proofErr w:type="spellEnd"/>
          </w:p>
          <w:p w:rsidR="00B65155" w:rsidRPr="00FF540B" w:rsidRDefault="00B65155" w:rsidP="00242D53">
            <w:pPr>
              <w:spacing w:after="120" w:line="276" w:lineRule="auto"/>
              <w:rPr>
                <w:rFonts w:ascii="Palatino Linotype" w:hAnsi="Palatino Linotype"/>
                <w:sz w:val="22"/>
                <w:szCs w:val="22"/>
                <w:lang w:val="es-EC" w:eastAsia="es-EC"/>
              </w:rPr>
            </w:pPr>
            <w:r w:rsidRPr="00FF540B">
              <w:rPr>
                <w:rFonts w:ascii="Palatino Linotype" w:hAnsi="Palatino Linotype"/>
                <w:sz w:val="22"/>
                <w:szCs w:val="22"/>
                <w:lang w:val="es-EC" w:eastAsia="es-EC"/>
              </w:rPr>
              <w:t> </w:t>
            </w:r>
          </w:p>
          <w:p w:rsidR="00B65155" w:rsidRPr="00FF540B" w:rsidRDefault="00B65155" w:rsidP="00242D53">
            <w:pPr>
              <w:spacing w:after="120" w:line="276" w:lineRule="auto"/>
              <w:rPr>
                <w:rFonts w:ascii="Palatino Linotype" w:hAnsi="Palatino Linotype"/>
                <w:sz w:val="22"/>
                <w:szCs w:val="22"/>
                <w:lang w:val="es-EC" w:eastAsia="es-EC"/>
              </w:rPr>
            </w:pPr>
            <w:r w:rsidRPr="00FF540B">
              <w:rPr>
                <w:rFonts w:ascii="Palatino Linotype" w:hAnsi="Palatino Linotype"/>
                <w:sz w:val="22"/>
                <w:szCs w:val="22"/>
                <w:lang w:val="es-EC" w:eastAsia="es-EC"/>
              </w:rPr>
              <w:t> </w:t>
            </w:r>
          </w:p>
          <w:p w:rsidR="00B65155" w:rsidRPr="00B65155" w:rsidRDefault="00B65155" w:rsidP="00242D53">
            <w:pPr>
              <w:spacing w:after="120" w:line="276" w:lineRule="auto"/>
              <w:rPr>
                <w:rFonts w:ascii="Palatino Linotype" w:hAnsi="Palatino Linotype"/>
                <w:bCs/>
                <w:sz w:val="22"/>
                <w:szCs w:val="22"/>
                <w:lang w:val="es-EC" w:eastAsia="es-EC"/>
              </w:rPr>
            </w:pPr>
            <w:r w:rsidRPr="00FF540B">
              <w:rPr>
                <w:rFonts w:ascii="Palatino Linotype" w:hAnsi="Palatino Linotype"/>
                <w:sz w:val="22"/>
                <w:szCs w:val="22"/>
                <w:lang w:val="es-EC" w:eastAsia="es-EC"/>
              </w:rPr>
              <w:t> </w:t>
            </w:r>
          </w:p>
        </w:tc>
      </w:tr>
      <w:tr w:rsidR="00B65155" w:rsidRPr="00FF540B" w:rsidTr="007B6F46">
        <w:trPr>
          <w:trHeight w:val="300"/>
          <w:jc w:val="center"/>
        </w:trPr>
        <w:tc>
          <w:tcPr>
            <w:tcW w:w="1381" w:type="dxa"/>
            <w:tcBorders>
              <w:top w:val="nil"/>
              <w:left w:val="single" w:sz="4" w:space="0" w:color="auto"/>
              <w:bottom w:val="nil"/>
              <w:right w:val="nil"/>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r w:rsidRPr="00FF540B">
              <w:rPr>
                <w:rFonts w:ascii="Palatino Linotype" w:hAnsi="Palatino Linotype"/>
                <w:sz w:val="22"/>
                <w:szCs w:val="22"/>
                <w:lang w:val="es-EC" w:eastAsia="es-EC"/>
              </w:rPr>
              <w:t> </w:t>
            </w:r>
          </w:p>
        </w:tc>
        <w:tc>
          <w:tcPr>
            <w:tcW w:w="916" w:type="dxa"/>
            <w:tcBorders>
              <w:top w:val="single" w:sz="4" w:space="0" w:color="auto"/>
              <w:left w:val="single" w:sz="4" w:space="0" w:color="auto"/>
              <w:bottom w:val="nil"/>
              <w:right w:val="single" w:sz="4" w:space="0" w:color="auto"/>
            </w:tcBorders>
            <w:shd w:val="clear" w:color="auto" w:fill="auto"/>
            <w:hideMark/>
          </w:tcPr>
          <w:p w:rsidR="00B65155" w:rsidRPr="00FF540B" w:rsidRDefault="00B65155"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 </w:t>
            </w:r>
          </w:p>
        </w:tc>
        <w:tc>
          <w:tcPr>
            <w:tcW w:w="2505" w:type="dxa"/>
            <w:vMerge w:val="restart"/>
            <w:tcBorders>
              <w:top w:val="nil"/>
              <w:left w:val="nil"/>
              <w:bottom w:val="single" w:sz="4" w:space="0" w:color="auto"/>
              <w:right w:val="single" w:sz="4" w:space="0" w:color="auto"/>
            </w:tcBorders>
            <w:shd w:val="clear" w:color="auto" w:fill="auto"/>
            <w:vAlign w:val="bottom"/>
            <w:hideMark/>
          </w:tcPr>
          <w:p w:rsidR="00B65155" w:rsidRPr="00FF540B" w:rsidRDefault="00B65155" w:rsidP="00B65155">
            <w:pPr>
              <w:spacing w:after="120" w:line="276" w:lineRule="auto"/>
              <w:jc w:val="both"/>
              <w:rPr>
                <w:rFonts w:ascii="Palatino Linotype" w:hAnsi="Palatino Linotype"/>
                <w:sz w:val="22"/>
                <w:szCs w:val="22"/>
                <w:lang w:val="es-EC" w:eastAsia="es-EC"/>
              </w:rPr>
            </w:pPr>
            <w:r w:rsidRPr="00FF540B">
              <w:rPr>
                <w:rFonts w:ascii="Palatino Linotype" w:hAnsi="Palatino Linotype"/>
                <w:sz w:val="22"/>
                <w:szCs w:val="22"/>
                <w:lang w:val="es-EC" w:eastAsia="es-EC"/>
              </w:rPr>
              <w:t>Propiedad Particular</w:t>
            </w:r>
          </w:p>
        </w:tc>
        <w:tc>
          <w:tcPr>
            <w:tcW w:w="1417" w:type="dxa"/>
            <w:vMerge w:val="restart"/>
            <w:tcBorders>
              <w:top w:val="nil"/>
              <w:left w:val="nil"/>
              <w:bottom w:val="single" w:sz="4" w:space="0" w:color="auto"/>
              <w:right w:val="nil"/>
            </w:tcBorders>
            <w:shd w:val="clear" w:color="auto" w:fill="auto"/>
            <w:noWrap/>
            <w:vAlign w:val="bottom"/>
            <w:hideMark/>
          </w:tcPr>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10,58</w:t>
            </w:r>
            <w:r>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m</w:t>
            </w:r>
          </w:p>
        </w:tc>
        <w:tc>
          <w:tcPr>
            <w:tcW w:w="1985" w:type="dxa"/>
            <w:vMerge/>
            <w:tcBorders>
              <w:left w:val="nil"/>
              <w:right w:val="single" w:sz="4" w:space="0" w:color="auto"/>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p>
        </w:tc>
      </w:tr>
      <w:tr w:rsidR="00B65155" w:rsidRPr="00FF540B" w:rsidTr="007B6F46">
        <w:trPr>
          <w:trHeight w:val="300"/>
          <w:jc w:val="center"/>
        </w:trPr>
        <w:tc>
          <w:tcPr>
            <w:tcW w:w="1381" w:type="dxa"/>
            <w:tcBorders>
              <w:top w:val="nil"/>
              <w:left w:val="single" w:sz="4" w:space="0" w:color="auto"/>
              <w:bottom w:val="nil"/>
              <w:right w:val="nil"/>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r w:rsidRPr="00FF540B">
              <w:rPr>
                <w:rFonts w:ascii="Palatino Linotype" w:hAnsi="Palatino Linotype"/>
                <w:sz w:val="22"/>
                <w:szCs w:val="22"/>
                <w:lang w:val="es-EC" w:eastAsia="es-EC"/>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B65155" w:rsidRPr="00FF540B" w:rsidRDefault="00B65155"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Este:</w:t>
            </w:r>
          </w:p>
        </w:tc>
        <w:tc>
          <w:tcPr>
            <w:tcW w:w="2505" w:type="dxa"/>
            <w:vMerge/>
            <w:tcBorders>
              <w:top w:val="nil"/>
              <w:left w:val="nil"/>
              <w:bottom w:val="single" w:sz="4" w:space="0" w:color="auto"/>
              <w:right w:val="single" w:sz="4" w:space="0" w:color="auto"/>
            </w:tcBorders>
            <w:shd w:val="clear" w:color="auto" w:fill="auto"/>
            <w:vAlign w:val="center"/>
            <w:hideMark/>
          </w:tcPr>
          <w:p w:rsidR="00B65155" w:rsidRPr="00FF540B" w:rsidRDefault="00B65155" w:rsidP="00B65155">
            <w:pPr>
              <w:spacing w:after="120" w:line="276" w:lineRule="auto"/>
              <w:jc w:val="both"/>
              <w:rPr>
                <w:rFonts w:ascii="Palatino Linotype" w:hAnsi="Palatino Linotype"/>
                <w:sz w:val="22"/>
                <w:szCs w:val="22"/>
                <w:lang w:val="es-EC" w:eastAsia="es-EC"/>
              </w:rPr>
            </w:pPr>
          </w:p>
        </w:tc>
        <w:tc>
          <w:tcPr>
            <w:tcW w:w="1417" w:type="dxa"/>
            <w:vMerge/>
            <w:tcBorders>
              <w:top w:val="nil"/>
              <w:left w:val="nil"/>
              <w:bottom w:val="single" w:sz="4" w:space="0" w:color="auto"/>
              <w:right w:val="nil"/>
            </w:tcBorders>
            <w:shd w:val="clear" w:color="auto" w:fill="auto"/>
            <w:vAlign w:val="center"/>
            <w:hideMark/>
          </w:tcPr>
          <w:p w:rsidR="00B65155" w:rsidRPr="00FF540B" w:rsidRDefault="00B65155" w:rsidP="00242D53">
            <w:pPr>
              <w:spacing w:after="120" w:line="276" w:lineRule="auto"/>
              <w:rPr>
                <w:rFonts w:ascii="Palatino Linotype" w:hAnsi="Palatino Linotype"/>
                <w:sz w:val="22"/>
                <w:szCs w:val="22"/>
                <w:lang w:val="es-EC" w:eastAsia="es-EC"/>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5155" w:rsidRPr="00FF540B" w:rsidRDefault="00B65155" w:rsidP="00242D53">
            <w:pPr>
              <w:spacing w:after="120" w:line="276" w:lineRule="auto"/>
              <w:rPr>
                <w:rFonts w:ascii="Palatino Linotype" w:hAnsi="Palatino Linotype"/>
                <w:sz w:val="22"/>
                <w:szCs w:val="22"/>
                <w:lang w:val="es-EC" w:eastAsia="es-EC"/>
              </w:rPr>
            </w:pPr>
          </w:p>
        </w:tc>
        <w:tc>
          <w:tcPr>
            <w:tcW w:w="1985" w:type="dxa"/>
            <w:vMerge/>
            <w:tcBorders>
              <w:left w:val="nil"/>
              <w:right w:val="single" w:sz="4" w:space="0" w:color="auto"/>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p>
        </w:tc>
      </w:tr>
      <w:tr w:rsidR="00B65155" w:rsidRPr="00FF540B" w:rsidTr="00B65155">
        <w:trPr>
          <w:trHeight w:val="77"/>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r w:rsidRPr="00FF540B">
              <w:rPr>
                <w:rFonts w:ascii="Palatino Linotype" w:hAnsi="Palatino Linotype"/>
                <w:sz w:val="22"/>
                <w:szCs w:val="22"/>
                <w:lang w:val="es-EC" w:eastAsia="es-EC"/>
              </w:rPr>
              <w:t> </w:t>
            </w:r>
          </w:p>
        </w:tc>
        <w:tc>
          <w:tcPr>
            <w:tcW w:w="916" w:type="dxa"/>
            <w:tcBorders>
              <w:top w:val="nil"/>
              <w:left w:val="nil"/>
              <w:bottom w:val="single" w:sz="4" w:space="0" w:color="auto"/>
              <w:right w:val="single" w:sz="4" w:space="0" w:color="auto"/>
            </w:tcBorders>
            <w:shd w:val="clear" w:color="auto" w:fill="auto"/>
            <w:vAlign w:val="bottom"/>
            <w:hideMark/>
          </w:tcPr>
          <w:p w:rsidR="00B65155" w:rsidRPr="00FF540B" w:rsidRDefault="00B65155" w:rsidP="00242D53">
            <w:pPr>
              <w:spacing w:after="120" w:line="276" w:lineRule="auto"/>
              <w:rPr>
                <w:rFonts w:ascii="Palatino Linotype" w:hAnsi="Palatino Linotype"/>
                <w:b/>
                <w:bCs/>
                <w:sz w:val="22"/>
                <w:szCs w:val="22"/>
                <w:lang w:val="es-EC" w:eastAsia="es-EC"/>
              </w:rPr>
            </w:pPr>
            <w:r w:rsidRPr="00FF540B">
              <w:rPr>
                <w:rFonts w:ascii="Palatino Linotype" w:hAnsi="Palatino Linotype"/>
                <w:b/>
                <w:bCs/>
                <w:sz w:val="22"/>
                <w:szCs w:val="22"/>
                <w:lang w:val="es-EC" w:eastAsia="es-EC"/>
              </w:rPr>
              <w:t>Oeste:</w:t>
            </w:r>
          </w:p>
        </w:tc>
        <w:tc>
          <w:tcPr>
            <w:tcW w:w="2505" w:type="dxa"/>
            <w:tcBorders>
              <w:top w:val="nil"/>
              <w:left w:val="nil"/>
              <w:bottom w:val="single" w:sz="4" w:space="0" w:color="auto"/>
              <w:right w:val="single" w:sz="4" w:space="0" w:color="auto"/>
            </w:tcBorders>
            <w:shd w:val="clear" w:color="auto" w:fill="auto"/>
            <w:vAlign w:val="bottom"/>
            <w:hideMark/>
          </w:tcPr>
          <w:p w:rsidR="00B65155" w:rsidRPr="00FF540B" w:rsidRDefault="00B65155" w:rsidP="00B65155">
            <w:pPr>
              <w:spacing w:after="120" w:line="276" w:lineRule="auto"/>
              <w:jc w:val="both"/>
              <w:rPr>
                <w:rFonts w:ascii="Palatino Linotype" w:hAnsi="Palatino Linotype"/>
                <w:sz w:val="22"/>
                <w:szCs w:val="22"/>
                <w:lang w:val="es-EC" w:eastAsia="es-EC"/>
              </w:rPr>
            </w:pPr>
            <w:r w:rsidRPr="00FF540B">
              <w:rPr>
                <w:rFonts w:ascii="Palatino Linotype" w:hAnsi="Palatino Linotype"/>
                <w:sz w:val="22"/>
                <w:szCs w:val="22"/>
                <w:lang w:val="es-EC" w:eastAsia="es-EC"/>
              </w:rPr>
              <w:t xml:space="preserve">Lote 6 </w:t>
            </w:r>
          </w:p>
          <w:p w:rsidR="00B65155" w:rsidRPr="00FF540B" w:rsidRDefault="00B65155" w:rsidP="00B65155">
            <w:pPr>
              <w:spacing w:after="120" w:line="276" w:lineRule="auto"/>
              <w:jc w:val="both"/>
              <w:rPr>
                <w:rFonts w:ascii="Palatino Linotype" w:hAnsi="Palatino Linotype"/>
                <w:sz w:val="22"/>
                <w:szCs w:val="22"/>
                <w:lang w:val="es-EC" w:eastAsia="es-EC"/>
              </w:rPr>
            </w:pPr>
            <w:r w:rsidRPr="00FF540B">
              <w:rPr>
                <w:rFonts w:ascii="Palatino Linotype" w:hAnsi="Palatino Linotype"/>
                <w:sz w:val="22"/>
                <w:szCs w:val="22"/>
                <w:lang w:val="es-EC" w:eastAsia="es-EC"/>
              </w:rPr>
              <w:t xml:space="preserve">Pasaje </w:t>
            </w:r>
            <w:proofErr w:type="spellStart"/>
            <w:r w:rsidRPr="00FF540B">
              <w:rPr>
                <w:rFonts w:ascii="Palatino Linotype" w:hAnsi="Palatino Linotype"/>
                <w:sz w:val="22"/>
                <w:szCs w:val="22"/>
                <w:lang w:val="es-EC" w:eastAsia="es-EC"/>
              </w:rPr>
              <w:t>Oe1B</w:t>
            </w:r>
            <w:proofErr w:type="spellEnd"/>
            <w:r w:rsidRPr="00FF540B">
              <w:rPr>
                <w:rFonts w:ascii="Palatino Linotype" w:hAnsi="Palatino Linotype"/>
                <w:sz w:val="22"/>
                <w:szCs w:val="22"/>
                <w:lang w:val="es-EC" w:eastAsia="es-EC"/>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8,23</w:t>
            </w:r>
            <w:r>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m</w:t>
            </w:r>
          </w:p>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4,64</w:t>
            </w:r>
            <w:r>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m</w:t>
            </w:r>
          </w:p>
        </w:tc>
        <w:tc>
          <w:tcPr>
            <w:tcW w:w="1134" w:type="dxa"/>
            <w:tcBorders>
              <w:top w:val="nil"/>
              <w:left w:val="nil"/>
              <w:bottom w:val="single" w:sz="4" w:space="0" w:color="auto"/>
              <w:right w:val="nil"/>
            </w:tcBorders>
            <w:shd w:val="clear" w:color="auto" w:fill="auto"/>
          </w:tcPr>
          <w:p w:rsidR="00B65155" w:rsidRPr="00FF540B" w:rsidRDefault="00B65155" w:rsidP="00242D53">
            <w:pPr>
              <w:spacing w:after="120" w:line="276" w:lineRule="auto"/>
              <w:jc w:val="center"/>
              <w:rPr>
                <w:rFonts w:ascii="Palatino Linotype" w:hAnsi="Palatino Linotype"/>
                <w:sz w:val="22"/>
                <w:szCs w:val="22"/>
                <w:lang w:val="es-EC" w:eastAsia="es-EC"/>
              </w:rPr>
            </w:pPr>
          </w:p>
          <w:p w:rsidR="00B65155" w:rsidRPr="00FF540B" w:rsidRDefault="00B65155" w:rsidP="00242D53">
            <w:pPr>
              <w:spacing w:after="120" w:line="276" w:lineRule="auto"/>
              <w:jc w:val="center"/>
              <w:rPr>
                <w:rFonts w:ascii="Palatino Linotype" w:hAnsi="Palatino Linotype"/>
                <w:sz w:val="22"/>
                <w:szCs w:val="22"/>
                <w:lang w:val="es-EC" w:eastAsia="es-EC"/>
              </w:rPr>
            </w:pPr>
            <w:r w:rsidRPr="00FF540B">
              <w:rPr>
                <w:rFonts w:ascii="Palatino Linotype" w:hAnsi="Palatino Linotype"/>
                <w:sz w:val="22"/>
                <w:szCs w:val="22"/>
                <w:lang w:val="es-EC" w:eastAsia="es-EC"/>
              </w:rPr>
              <w:t>12,87</w:t>
            </w:r>
            <w:r>
              <w:rPr>
                <w:rFonts w:ascii="Palatino Linotype" w:hAnsi="Palatino Linotype"/>
                <w:sz w:val="22"/>
                <w:szCs w:val="22"/>
                <w:lang w:val="es-EC" w:eastAsia="es-EC"/>
              </w:rPr>
              <w:t xml:space="preserve"> </w:t>
            </w:r>
            <w:r w:rsidRPr="00FF540B">
              <w:rPr>
                <w:rFonts w:ascii="Palatino Linotype" w:hAnsi="Palatino Linotype"/>
                <w:sz w:val="22"/>
                <w:szCs w:val="22"/>
                <w:lang w:val="es-EC" w:eastAsia="es-EC"/>
              </w:rPr>
              <w:t>m</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rsidR="00B65155" w:rsidRPr="00FF540B" w:rsidRDefault="00B65155" w:rsidP="00242D53">
            <w:pPr>
              <w:spacing w:after="120" w:line="276" w:lineRule="auto"/>
              <w:rPr>
                <w:rFonts w:ascii="Palatino Linotype" w:hAnsi="Palatino Linotype"/>
                <w:sz w:val="22"/>
                <w:szCs w:val="22"/>
                <w:lang w:val="es-EC" w:eastAsia="es-EC"/>
              </w:rPr>
            </w:pPr>
          </w:p>
        </w:tc>
      </w:tr>
    </w:tbl>
    <w:p w:rsidR="00F049FB" w:rsidRPr="00FF540B" w:rsidRDefault="00F049FB" w:rsidP="00F049FB">
      <w:pPr>
        <w:spacing w:after="120" w:line="276" w:lineRule="auto"/>
        <w:jc w:val="both"/>
        <w:rPr>
          <w:rFonts w:ascii="Palatino Linotype" w:hAnsi="Palatino Linotype"/>
          <w:b/>
          <w:bCs/>
          <w:sz w:val="22"/>
          <w:szCs w:val="22"/>
        </w:rPr>
      </w:pP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bCs/>
          <w:sz w:val="22"/>
          <w:szCs w:val="22"/>
        </w:rPr>
        <w:t xml:space="preserve">Artículo 6.- Informe Técnico de Evaluación de Riesgos de la Secretaría General de Seguridad y Gobernabilidad.- </w:t>
      </w:r>
      <w:r w:rsidRPr="00FF540B">
        <w:rPr>
          <w:rFonts w:ascii="Palatino Linotype" w:hAnsi="Palatino Linotype"/>
          <w:sz w:val="22"/>
          <w:szCs w:val="22"/>
        </w:rPr>
        <w:t xml:space="preserve">Los copropietarios del predio, </w:t>
      </w:r>
      <w:r w:rsidRPr="00FF540B">
        <w:rPr>
          <w:rFonts w:ascii="Palatino Linotype" w:hAnsi="Palatino Linotype"/>
          <w:bCs/>
          <w:sz w:val="22"/>
          <w:szCs w:val="22"/>
        </w:rPr>
        <w:t>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w:t>
      </w:r>
      <w:r w:rsidRPr="00FF540B">
        <w:rPr>
          <w:rFonts w:ascii="Palatino Linotype" w:hAnsi="Palatino Linotype"/>
          <w:sz w:val="22"/>
          <w:szCs w:val="22"/>
        </w:rPr>
        <w:t xml:space="preserve"> La Delicia, caso contrario el Concejo Metropolitano podrá revocar la presente ordenanza, notificándose del particular a la Agencia Metropolitana de Control, para que se inicie las acciones pertinentes.</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049FB" w:rsidRPr="00FF540B" w:rsidRDefault="00F049FB" w:rsidP="00F049FB">
      <w:pPr>
        <w:tabs>
          <w:tab w:val="left" w:pos="5103"/>
        </w:tabs>
        <w:spacing w:after="120" w:line="276" w:lineRule="auto"/>
        <w:jc w:val="both"/>
        <w:rPr>
          <w:rFonts w:ascii="Palatino Linotype" w:hAnsi="Palatino Linotype"/>
          <w:sz w:val="22"/>
          <w:szCs w:val="22"/>
        </w:rPr>
      </w:pPr>
      <w:r w:rsidRPr="00FF540B">
        <w:rPr>
          <w:rFonts w:ascii="Palatino Linotype" w:hAnsi="Palatino Linotype"/>
          <w:sz w:val="22"/>
          <w:szCs w:val="22"/>
        </w:rPr>
        <w:lastRenderedPageBreak/>
        <w:t xml:space="preserve">Los copropietarios del </w:t>
      </w:r>
      <w:r w:rsidRPr="00FF540B">
        <w:rPr>
          <w:rFonts w:ascii="Palatino Linotype" w:hAnsi="Palatino Linotype"/>
          <w:bCs/>
          <w:sz w:val="22"/>
          <w:szCs w:val="22"/>
        </w:rPr>
        <w:t>Asentamiento Humano de Hecho y Consolidado de Interés Social denominado</w:t>
      </w:r>
      <w:r w:rsidRPr="00FF540B">
        <w:rPr>
          <w:rFonts w:ascii="Palatino Linotype" w:hAnsi="Palatino Linotype"/>
          <w:sz w:val="22"/>
          <w:szCs w:val="22"/>
        </w:rPr>
        <w:t xml:space="preserve"> Comité Pro mejoras “Los Hemisferios” deberán cumplir con lo establecido  dentro de la calificación del riesgo y acatar las recomendaciones que se encuentran determinadas en el informe de la Dirección Metropolitana de Gestión de Riesgos No. 022-AT-</w:t>
      </w:r>
      <w:proofErr w:type="spellStart"/>
      <w:r w:rsidRPr="00FF540B">
        <w:rPr>
          <w:rFonts w:ascii="Palatino Linotype" w:hAnsi="Palatino Linotype"/>
          <w:sz w:val="22"/>
          <w:szCs w:val="22"/>
        </w:rPr>
        <w:t>DMGR</w:t>
      </w:r>
      <w:proofErr w:type="spellEnd"/>
      <w:r w:rsidRPr="00FF540B">
        <w:rPr>
          <w:rFonts w:ascii="Palatino Linotype" w:hAnsi="Palatino Linotype"/>
          <w:sz w:val="22"/>
          <w:szCs w:val="22"/>
        </w:rPr>
        <w:t>-2018, de 23 de febrero de 2018 el mismo establece que:</w:t>
      </w:r>
    </w:p>
    <w:p w:rsidR="00F049FB" w:rsidRPr="00FF540B" w:rsidRDefault="00F049FB" w:rsidP="00F049FB">
      <w:pPr>
        <w:tabs>
          <w:tab w:val="left" w:pos="5103"/>
        </w:tabs>
        <w:spacing w:after="120" w:line="276" w:lineRule="auto"/>
        <w:jc w:val="both"/>
        <w:rPr>
          <w:rFonts w:ascii="Palatino Linotype" w:eastAsia="Arial Unicode MS" w:hAnsi="Palatino Linotype"/>
          <w:b/>
          <w:bCs/>
          <w:i/>
          <w:caps/>
          <w:sz w:val="22"/>
          <w:szCs w:val="22"/>
          <w:lang w:val="es-EC" w:eastAsia="en-US"/>
        </w:rPr>
      </w:pPr>
      <w:r w:rsidRPr="00FF540B">
        <w:rPr>
          <w:rFonts w:ascii="Palatino Linotype" w:hAnsi="Palatino Linotype"/>
          <w:b/>
          <w:i/>
          <w:sz w:val="22"/>
          <w:szCs w:val="22"/>
        </w:rPr>
        <w:t>“6  CALIFICACIÓN DEL RIESGO</w:t>
      </w:r>
    </w:p>
    <w:p w:rsidR="00F049FB" w:rsidRPr="00FF540B" w:rsidRDefault="00F049FB" w:rsidP="00F049FB">
      <w:pPr>
        <w:spacing w:after="120" w:line="276" w:lineRule="auto"/>
        <w:ind w:left="431"/>
        <w:jc w:val="both"/>
        <w:rPr>
          <w:rFonts w:ascii="Palatino Linotype" w:eastAsia="Calibri" w:hAnsi="Palatino Linotype"/>
          <w:i/>
          <w:sz w:val="22"/>
          <w:szCs w:val="22"/>
          <w:lang w:val="es-EC" w:eastAsia="en-US"/>
        </w:rPr>
      </w:pPr>
      <w:r w:rsidRPr="00FF540B">
        <w:rPr>
          <w:rFonts w:ascii="Palatino Linotype" w:eastAsia="Calibri" w:hAnsi="Palatino Linotype"/>
          <w:i/>
          <w:sz w:val="22"/>
          <w:szCs w:val="22"/>
          <w:lang w:val="es-EC" w:eastAsia="en-US"/>
        </w:rPr>
        <w:t xml:space="preserve">La zona en estudio, una vez realizada la inspección técnica al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de la Parroquia San Antonio de Pichincha, considerando las amenazas, elementos expuestos y vulnerabilidades se determina que:</w:t>
      </w:r>
    </w:p>
    <w:p w:rsidR="00F049FB" w:rsidRPr="00FF540B" w:rsidRDefault="00F049FB" w:rsidP="00F049FB">
      <w:pPr>
        <w:numPr>
          <w:ilvl w:val="0"/>
          <w:numId w:val="38"/>
        </w:numPr>
        <w:spacing w:after="120" w:line="276" w:lineRule="auto"/>
        <w:ind w:left="709" w:hanging="284"/>
        <w:jc w:val="both"/>
        <w:rPr>
          <w:rFonts w:ascii="Palatino Linotype" w:eastAsia="Calibri" w:hAnsi="Palatino Linotype"/>
          <w:i/>
          <w:sz w:val="22"/>
          <w:szCs w:val="22"/>
          <w:lang w:val="es-EC" w:eastAsia="en-US"/>
        </w:rPr>
      </w:pPr>
      <w:r w:rsidRPr="00FF540B">
        <w:rPr>
          <w:rFonts w:ascii="Palatino Linotype" w:eastAsia="Calibri" w:hAnsi="Palatino Linotype"/>
          <w:b/>
          <w:i/>
          <w:sz w:val="22"/>
          <w:szCs w:val="22"/>
          <w:lang w:val="es-EC" w:eastAsia="en-US"/>
        </w:rPr>
        <w:t xml:space="preserve">Riesgo por movimientos en masa: </w:t>
      </w:r>
      <w:r w:rsidRPr="00FF540B">
        <w:rPr>
          <w:rFonts w:ascii="Palatino Linotype" w:eastAsia="Calibri" w:hAnsi="Palatino Linotype"/>
          <w:i/>
          <w:sz w:val="22"/>
          <w:szCs w:val="22"/>
          <w:lang w:val="es-EC" w:eastAsia="en-US"/>
        </w:rPr>
        <w:t xml:space="preserve">el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en general presenta un </w:t>
      </w:r>
      <w:r w:rsidRPr="00FF540B">
        <w:rPr>
          <w:rFonts w:ascii="Palatino Linotype" w:eastAsia="Calibri" w:hAnsi="Palatino Linotype"/>
          <w:b/>
          <w:i/>
          <w:sz w:val="22"/>
          <w:szCs w:val="22"/>
          <w:u w:val="single"/>
          <w:lang w:val="es-EC" w:eastAsia="en-US"/>
        </w:rPr>
        <w:t>Riesgo Bajo Mitigable</w:t>
      </w:r>
      <w:r w:rsidRPr="00FF540B">
        <w:rPr>
          <w:rFonts w:ascii="Palatino Linotype" w:eastAsia="Calibri" w:hAnsi="Palatino Linotype"/>
          <w:i/>
          <w:sz w:val="22"/>
          <w:szCs w:val="22"/>
          <w:lang w:val="es-EC" w:eastAsia="en-US"/>
        </w:rPr>
        <w:t xml:space="preserve"> frente a movimientos de remoción en masa. Esto debido a que se no se observaron condiciones físicas en el terreno que representen amenaza significativa, las condiciones de exposición son pocas, por lo que se espera poca o nula probabilidad que ocurran movimientos en masa que puedan ocasionar daños o pérdidas.</w:t>
      </w:r>
    </w:p>
    <w:p w:rsidR="00F049FB" w:rsidRPr="00FF540B" w:rsidRDefault="00F049FB" w:rsidP="00F049FB">
      <w:pPr>
        <w:numPr>
          <w:ilvl w:val="0"/>
          <w:numId w:val="38"/>
        </w:numPr>
        <w:spacing w:after="120" w:line="276" w:lineRule="auto"/>
        <w:ind w:left="709" w:hanging="284"/>
        <w:jc w:val="both"/>
        <w:rPr>
          <w:rFonts w:ascii="Palatino Linotype" w:eastAsia="Calibri" w:hAnsi="Palatino Linotype"/>
          <w:i/>
          <w:sz w:val="22"/>
          <w:szCs w:val="22"/>
          <w:lang w:val="es-EC" w:eastAsia="en-US"/>
        </w:rPr>
      </w:pPr>
      <w:r w:rsidRPr="00FF540B">
        <w:rPr>
          <w:rFonts w:ascii="Palatino Linotype" w:eastAsia="Calibri" w:hAnsi="Palatino Linotype"/>
          <w:b/>
          <w:i/>
          <w:sz w:val="22"/>
          <w:szCs w:val="22"/>
          <w:lang w:val="es-EC" w:eastAsia="en-US"/>
        </w:rPr>
        <w:t>Riesgo por eventos sísmicos:</w:t>
      </w:r>
      <w:r w:rsidRPr="00FF540B">
        <w:rPr>
          <w:rFonts w:ascii="Palatino Linotype" w:eastAsia="Calibri" w:hAnsi="Palatino Linotype"/>
          <w:i/>
          <w:sz w:val="22"/>
          <w:szCs w:val="22"/>
          <w:lang w:val="es-EC" w:eastAsia="en-US"/>
        </w:rPr>
        <w:t xml:space="preserve"> de manera general, todo el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de la Parroquia San Antonio presenta condiciones de </w:t>
      </w:r>
      <w:r w:rsidRPr="00FF540B">
        <w:rPr>
          <w:rFonts w:ascii="Palatino Linotype" w:eastAsia="Calibri" w:hAnsi="Palatino Linotype"/>
          <w:i/>
          <w:sz w:val="22"/>
          <w:szCs w:val="22"/>
          <w:u w:val="single"/>
          <w:lang w:val="es-EC" w:eastAsia="en-US"/>
        </w:rPr>
        <w:t>Riesgo Alto Mitigable</w:t>
      </w:r>
      <w:r w:rsidRPr="00FF540B">
        <w:rPr>
          <w:rFonts w:ascii="Palatino Linotype" w:eastAsia="Calibri" w:hAnsi="Palatino Linotype"/>
          <w:i/>
          <w:sz w:val="22"/>
          <w:szCs w:val="22"/>
          <w:lang w:val="es-EC" w:eastAsia="en-US"/>
        </w:rPr>
        <w:t>, debido a la vulnerabilidad de sus construcciones y el tipo de suelo</w:t>
      </w:r>
    </w:p>
    <w:p w:rsidR="00F049FB" w:rsidRPr="00FF540B" w:rsidRDefault="00F049FB" w:rsidP="00F049FB">
      <w:pPr>
        <w:numPr>
          <w:ilvl w:val="0"/>
          <w:numId w:val="38"/>
        </w:numPr>
        <w:spacing w:after="120" w:line="276" w:lineRule="auto"/>
        <w:ind w:left="709" w:hanging="283"/>
        <w:jc w:val="both"/>
        <w:rPr>
          <w:rFonts w:ascii="Palatino Linotype" w:eastAsia="Calibri" w:hAnsi="Palatino Linotype"/>
          <w:i/>
          <w:sz w:val="22"/>
          <w:szCs w:val="22"/>
          <w:lang w:val="es-EC" w:eastAsia="en-US"/>
        </w:rPr>
      </w:pPr>
      <w:r w:rsidRPr="00FF540B">
        <w:rPr>
          <w:rFonts w:ascii="Palatino Linotype" w:eastAsia="Calibri" w:hAnsi="Palatino Linotype"/>
          <w:b/>
          <w:i/>
          <w:sz w:val="22"/>
          <w:szCs w:val="22"/>
          <w:lang w:val="es-EC" w:eastAsia="en-US"/>
        </w:rPr>
        <w:t>Riesgo por fenómenos volcánicos:</w:t>
      </w:r>
      <w:r w:rsidRPr="00FF540B">
        <w:rPr>
          <w:rFonts w:ascii="Palatino Linotype" w:eastAsia="Calibri" w:hAnsi="Palatino Linotype"/>
          <w:i/>
          <w:sz w:val="22"/>
          <w:szCs w:val="22"/>
          <w:lang w:val="es-EC" w:eastAsia="en-US"/>
        </w:rPr>
        <w:t xml:space="preserve"> debido a la alta exposición a los potenciales flujos </w:t>
      </w:r>
      <w:proofErr w:type="spellStart"/>
      <w:r w:rsidRPr="00FF540B">
        <w:rPr>
          <w:rFonts w:ascii="Palatino Linotype" w:eastAsia="Calibri" w:hAnsi="Palatino Linotype"/>
          <w:i/>
          <w:sz w:val="22"/>
          <w:szCs w:val="22"/>
          <w:lang w:val="es-EC" w:eastAsia="en-US"/>
        </w:rPr>
        <w:t>piroclásticos</w:t>
      </w:r>
      <w:proofErr w:type="spellEnd"/>
      <w:r w:rsidRPr="00FF540B">
        <w:rPr>
          <w:rFonts w:ascii="Palatino Linotype" w:eastAsia="Calibri" w:hAnsi="Palatino Linotype"/>
          <w:i/>
          <w:sz w:val="22"/>
          <w:szCs w:val="22"/>
          <w:lang w:val="es-EC" w:eastAsia="en-US"/>
        </w:rPr>
        <w:t xml:space="preserve"> y fuertes caídas de ceniza en caso de una erupción del volcán </w:t>
      </w:r>
      <w:proofErr w:type="spellStart"/>
      <w:r w:rsidRPr="00FF540B">
        <w:rPr>
          <w:rFonts w:ascii="Palatino Linotype" w:eastAsia="Calibri" w:hAnsi="Palatino Linotype"/>
          <w:i/>
          <w:sz w:val="22"/>
          <w:szCs w:val="22"/>
          <w:lang w:val="es-EC" w:eastAsia="en-US"/>
        </w:rPr>
        <w:t>Pululahua</w:t>
      </w:r>
      <w:proofErr w:type="spellEnd"/>
      <w:r w:rsidRPr="00FF540B">
        <w:rPr>
          <w:rFonts w:ascii="Palatino Linotype" w:eastAsia="Calibri" w:hAnsi="Palatino Linotype"/>
          <w:i/>
          <w:sz w:val="22"/>
          <w:szCs w:val="22"/>
          <w:lang w:val="es-EC" w:eastAsia="en-US"/>
        </w:rPr>
        <w:t xml:space="preserve">, pero también a su baja recurrencia (período de retorno) de reactivación volcánica, el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y toda la Parroquia San Antonio de Pichincha, se determina un nivel de </w:t>
      </w:r>
      <w:r w:rsidRPr="00FF540B">
        <w:rPr>
          <w:rFonts w:ascii="Palatino Linotype" w:eastAsia="Calibri" w:hAnsi="Palatino Linotype"/>
          <w:i/>
          <w:sz w:val="22"/>
          <w:szCs w:val="22"/>
          <w:u w:val="single"/>
          <w:lang w:val="es-EC" w:eastAsia="en-US"/>
        </w:rPr>
        <w:t>Riesgo</w:t>
      </w:r>
      <w:r w:rsidRPr="00FF540B">
        <w:rPr>
          <w:rFonts w:ascii="Palatino Linotype" w:eastAsia="Calibri" w:hAnsi="Palatino Linotype"/>
          <w:i/>
          <w:sz w:val="22"/>
          <w:szCs w:val="22"/>
          <w:lang w:val="es-EC" w:eastAsia="en-US"/>
        </w:rPr>
        <w:t xml:space="preserve"> </w:t>
      </w:r>
      <w:r w:rsidRPr="00FF540B">
        <w:rPr>
          <w:rFonts w:ascii="Palatino Linotype" w:eastAsia="Calibri" w:hAnsi="Palatino Linotype"/>
          <w:i/>
          <w:sz w:val="22"/>
          <w:szCs w:val="22"/>
          <w:u w:val="single"/>
          <w:lang w:val="es-EC" w:eastAsia="en-US"/>
        </w:rPr>
        <w:t>Moderado Mitigable</w:t>
      </w:r>
      <w:r w:rsidRPr="00FF540B">
        <w:rPr>
          <w:rFonts w:ascii="Palatino Linotype" w:eastAsia="Calibri" w:hAnsi="Palatino Linotype"/>
          <w:i/>
          <w:sz w:val="22"/>
          <w:szCs w:val="22"/>
          <w:lang w:val="es-EC" w:eastAsia="en-US"/>
        </w:rPr>
        <w:t xml:space="preserve"> para el caso de una erupción del </w:t>
      </w:r>
      <w:proofErr w:type="spellStart"/>
      <w:r w:rsidRPr="00FF540B">
        <w:rPr>
          <w:rFonts w:ascii="Palatino Linotype" w:eastAsia="Calibri" w:hAnsi="Palatino Linotype"/>
          <w:i/>
          <w:sz w:val="22"/>
          <w:szCs w:val="22"/>
          <w:lang w:val="es-EC" w:eastAsia="en-US"/>
        </w:rPr>
        <w:t>Pululahua</w:t>
      </w:r>
      <w:proofErr w:type="spellEnd"/>
      <w:r w:rsidRPr="00FF540B">
        <w:rPr>
          <w:rFonts w:ascii="Palatino Linotype" w:eastAsia="Calibri" w:hAnsi="Palatino Linotype"/>
          <w:i/>
          <w:sz w:val="22"/>
          <w:szCs w:val="22"/>
          <w:lang w:val="es-EC" w:eastAsia="en-US"/>
        </w:rPr>
        <w:t xml:space="preserve">, pero en caso de registrar señales de reactivación en el futuro, el nivel de riesgo cambiaría a </w:t>
      </w:r>
      <w:r w:rsidRPr="00FF540B">
        <w:rPr>
          <w:rFonts w:ascii="Palatino Linotype" w:eastAsia="Calibri" w:hAnsi="Palatino Linotype"/>
          <w:i/>
          <w:sz w:val="22"/>
          <w:szCs w:val="22"/>
          <w:u w:val="single"/>
          <w:lang w:val="es-EC" w:eastAsia="en-US"/>
        </w:rPr>
        <w:t>muy alto no mitigable</w:t>
      </w:r>
      <w:r w:rsidRPr="00FF540B">
        <w:rPr>
          <w:rFonts w:ascii="Palatino Linotype" w:eastAsia="Calibri" w:hAnsi="Palatino Linotype"/>
          <w:i/>
          <w:sz w:val="22"/>
          <w:szCs w:val="22"/>
          <w:lang w:val="es-EC" w:eastAsia="en-US"/>
        </w:rPr>
        <w:t xml:space="preserve">. Para el caso de otros volcanes alejados de la Parroquia San Antonio de Pichincha (Guagua Pichincha, Cotopaxi, Reventador), el nivel de </w:t>
      </w:r>
      <w:r w:rsidRPr="00FF540B">
        <w:rPr>
          <w:rFonts w:ascii="Palatino Linotype" w:eastAsia="Calibri" w:hAnsi="Palatino Linotype"/>
          <w:i/>
          <w:sz w:val="22"/>
          <w:szCs w:val="22"/>
          <w:u w:val="single"/>
          <w:lang w:val="es-EC" w:eastAsia="en-US"/>
        </w:rPr>
        <w:t>Riesgo es Bajo Mitigable</w:t>
      </w:r>
      <w:r w:rsidRPr="00FF540B">
        <w:rPr>
          <w:rFonts w:ascii="Palatino Linotype" w:eastAsia="Calibri" w:hAnsi="Palatino Linotype"/>
          <w:i/>
          <w:sz w:val="22"/>
          <w:szCs w:val="22"/>
          <w:lang w:val="es-EC" w:eastAsia="en-US"/>
        </w:rPr>
        <w:t xml:space="preserve"> ante posibles fenómenos de caída de ceniza.</w:t>
      </w:r>
    </w:p>
    <w:p w:rsidR="00F049FB" w:rsidRPr="00FF540B" w:rsidRDefault="00F049FB" w:rsidP="00F049FB">
      <w:pPr>
        <w:spacing w:after="120" w:line="276" w:lineRule="auto"/>
        <w:ind w:left="431"/>
        <w:jc w:val="both"/>
        <w:rPr>
          <w:rFonts w:ascii="Palatino Linotype" w:eastAsia="Calibri" w:hAnsi="Palatino Linotype"/>
          <w:i/>
          <w:sz w:val="22"/>
          <w:szCs w:val="22"/>
          <w:lang w:val="es-EC" w:eastAsia="en-US"/>
        </w:rPr>
      </w:pPr>
      <w:r w:rsidRPr="00FF540B">
        <w:rPr>
          <w:rFonts w:ascii="Palatino Linotype" w:eastAsia="Calibri" w:hAnsi="Palatino Linotype"/>
          <w:i/>
          <w:sz w:val="22"/>
          <w:szCs w:val="22"/>
          <w:lang w:val="es-EC" w:eastAsia="en-US"/>
        </w:rPr>
        <w:t xml:space="preserve">Por lo tanto, la </w:t>
      </w:r>
      <w:proofErr w:type="spellStart"/>
      <w:r w:rsidRPr="00FF540B">
        <w:rPr>
          <w:rFonts w:ascii="Palatino Linotype" w:eastAsia="Calibri" w:hAnsi="Palatino Linotype"/>
          <w:i/>
          <w:sz w:val="22"/>
          <w:szCs w:val="22"/>
          <w:lang w:val="es-EC" w:eastAsia="en-US"/>
        </w:rPr>
        <w:t>DMGR</w:t>
      </w:r>
      <w:proofErr w:type="spellEnd"/>
      <w:r w:rsidRPr="00FF540B">
        <w:rPr>
          <w:rFonts w:ascii="Palatino Linotype" w:eastAsia="Calibri" w:hAnsi="Palatino Linotype"/>
          <w:i/>
          <w:sz w:val="22"/>
          <w:szCs w:val="22"/>
          <w:lang w:val="es-EC" w:eastAsia="en-US"/>
        </w:rPr>
        <w:t xml:space="preserve"> sugiere que se puede continuar con el proceso de regularización del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ya que siguiendo </w:t>
      </w:r>
      <w:r w:rsidRPr="00FF540B">
        <w:rPr>
          <w:rFonts w:ascii="Palatino Linotype" w:eastAsia="Calibri" w:hAnsi="Palatino Linotype"/>
          <w:bCs/>
          <w:i/>
          <w:sz w:val="22"/>
          <w:szCs w:val="22"/>
          <w:lang w:val="es-EC" w:eastAsia="en-US"/>
        </w:rPr>
        <w:t xml:space="preserve">las recomendaciones que se describen en este informe, contribuirá a garantizar la reducción del riesgo en la zona en análisis.  </w:t>
      </w:r>
      <w:r w:rsidRPr="00FF540B">
        <w:rPr>
          <w:rFonts w:ascii="Palatino Linotype" w:eastAsia="Calibri" w:hAnsi="Palatino Linotype"/>
          <w:i/>
          <w:sz w:val="22"/>
          <w:szCs w:val="22"/>
          <w:lang w:val="es-EC" w:eastAsia="en-US"/>
        </w:rPr>
        <w:softHyphen/>
      </w:r>
    </w:p>
    <w:p w:rsidR="00F049FB" w:rsidRPr="00FF540B" w:rsidRDefault="00F049FB" w:rsidP="00F049FB">
      <w:pPr>
        <w:spacing w:after="120" w:line="276" w:lineRule="auto"/>
        <w:ind w:left="426"/>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F049FB" w:rsidRPr="00FF540B" w:rsidRDefault="00F049FB" w:rsidP="00F049FB">
      <w:pPr>
        <w:spacing w:after="120" w:line="276" w:lineRule="auto"/>
        <w:ind w:left="426"/>
        <w:jc w:val="both"/>
        <w:rPr>
          <w:rFonts w:ascii="Palatino Linotype" w:eastAsia="Calibri" w:hAnsi="Palatino Linotype"/>
          <w:bCs/>
          <w:i/>
          <w:sz w:val="22"/>
          <w:szCs w:val="22"/>
          <w:lang w:val="es-EC" w:eastAsia="en-US"/>
        </w:rPr>
      </w:pPr>
      <w:r w:rsidRPr="00FF540B">
        <w:rPr>
          <w:rFonts w:ascii="Palatino Linotype" w:eastAsia="Calibri" w:hAnsi="Palatino Linotype"/>
          <w:b/>
          <w:bCs/>
          <w:i/>
          <w:sz w:val="22"/>
          <w:szCs w:val="22"/>
          <w:lang w:val="es-EC" w:eastAsia="en-US"/>
        </w:rPr>
        <w:t>Medidas Estructurales:</w:t>
      </w:r>
      <w:r w:rsidRPr="00FF540B">
        <w:rPr>
          <w:rFonts w:ascii="Palatino Linotype" w:eastAsia="Calibri" w:hAnsi="Palatino Linotype"/>
          <w:bCs/>
          <w:i/>
          <w:sz w:val="22"/>
          <w:szCs w:val="22"/>
          <w:lang w:val="es-EC" w:eastAsia="en-US"/>
        </w:rPr>
        <w:t xml:space="preserve"> Acciones de ingeniería para reducir impactos de las amenazas como:</w:t>
      </w:r>
    </w:p>
    <w:p w:rsidR="00F049FB" w:rsidRPr="00FF540B" w:rsidRDefault="00F049FB" w:rsidP="00F049FB">
      <w:pPr>
        <w:numPr>
          <w:ilvl w:val="0"/>
          <w:numId w:val="39"/>
        </w:numPr>
        <w:spacing w:after="120" w:line="276" w:lineRule="auto"/>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lastRenderedPageBreak/>
        <w:t>Protección y control: Intervención directa de la amenaza (Diques, muros de contención, canalización de aguas.)</w:t>
      </w:r>
    </w:p>
    <w:p w:rsidR="00F049FB" w:rsidRPr="00FF540B" w:rsidRDefault="00F049FB" w:rsidP="00F049FB">
      <w:pPr>
        <w:numPr>
          <w:ilvl w:val="0"/>
          <w:numId w:val="39"/>
        </w:numPr>
        <w:spacing w:after="120" w:line="276" w:lineRule="auto"/>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Modificar las condiciones de vulnerabilidad física de los elementos expuestos (refuerzo de infraestructura de líneas vitales, códigos de construcción, reubicación de viviendas.)</w:t>
      </w:r>
    </w:p>
    <w:p w:rsidR="00F049FB" w:rsidRPr="00FF540B" w:rsidRDefault="00F049FB" w:rsidP="00F049FB">
      <w:pPr>
        <w:spacing w:after="120" w:line="276" w:lineRule="auto"/>
        <w:ind w:left="426"/>
        <w:jc w:val="both"/>
        <w:rPr>
          <w:rFonts w:ascii="Palatino Linotype" w:eastAsia="Calibri" w:hAnsi="Palatino Linotype"/>
          <w:bCs/>
          <w:i/>
          <w:sz w:val="22"/>
          <w:szCs w:val="22"/>
          <w:lang w:val="es-EC" w:eastAsia="en-US"/>
        </w:rPr>
      </w:pPr>
      <w:r w:rsidRPr="00FF540B">
        <w:rPr>
          <w:rFonts w:ascii="Palatino Linotype" w:eastAsia="Calibri" w:hAnsi="Palatino Linotype"/>
          <w:b/>
          <w:bCs/>
          <w:i/>
          <w:sz w:val="22"/>
          <w:szCs w:val="22"/>
          <w:lang w:val="es-EC" w:eastAsia="en-US"/>
        </w:rPr>
        <w:t>Medidas No estructurales:</w:t>
      </w:r>
      <w:r w:rsidRPr="00FF540B">
        <w:rPr>
          <w:rFonts w:ascii="Palatino Linotype" w:eastAsia="Calibri" w:hAnsi="Palatino Linotype"/>
          <w:bCs/>
          <w:i/>
          <w:sz w:val="22"/>
          <w:szCs w:val="22"/>
          <w:lang w:val="es-EC" w:eastAsia="en-US"/>
        </w:rPr>
        <w:t xml:space="preserve"> Desarrollo del conocimiento, políticas, leyes  y mecanismos participativos.</w:t>
      </w:r>
    </w:p>
    <w:p w:rsidR="00F049FB" w:rsidRPr="00FF540B" w:rsidRDefault="00F049FB" w:rsidP="00F049FB">
      <w:pPr>
        <w:numPr>
          <w:ilvl w:val="0"/>
          <w:numId w:val="39"/>
        </w:numPr>
        <w:spacing w:after="120" w:line="276" w:lineRule="auto"/>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Acciones Activas: Promueve interacción activa de las personas (organización para la respuesta, educación y capacitación, información pública, participación comunitaria, </w:t>
      </w:r>
    </w:p>
    <w:p w:rsidR="00F049FB" w:rsidRPr="00FF540B" w:rsidRDefault="00F049FB" w:rsidP="00F049FB">
      <w:pPr>
        <w:numPr>
          <w:ilvl w:val="0"/>
          <w:numId w:val="39"/>
        </w:numPr>
        <w:spacing w:after="120" w:line="276" w:lineRule="auto"/>
        <w:ind w:left="1281"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Acciones Pasivas: Relacionadas con legislación y planificación (normas de construcción, uso del suelo y ordenamiento territorial, etc.)</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t xml:space="preserve">7 </w:t>
      </w:r>
      <w:r w:rsidR="00FD46DB" w:rsidRPr="00FF540B">
        <w:rPr>
          <w:rFonts w:ascii="Palatino Linotype" w:eastAsia="Calibri" w:hAnsi="Palatino Linotype"/>
          <w:b/>
          <w:bCs/>
          <w:i/>
          <w:sz w:val="22"/>
          <w:szCs w:val="22"/>
          <w:lang w:val="es-EC" w:eastAsia="en-US"/>
        </w:rPr>
        <w:t>RECOMENDACIONES</w:t>
      </w:r>
    </w:p>
    <w:p w:rsidR="00F049FB" w:rsidRPr="00FF540B" w:rsidRDefault="00F049FB" w:rsidP="00F049FB">
      <w:pPr>
        <w:spacing w:after="120" w:line="276" w:lineRule="auto"/>
        <w:jc w:val="both"/>
        <w:rPr>
          <w:rFonts w:ascii="Palatino Linotype" w:hAnsi="Palatino Linotype"/>
          <w:i/>
          <w:color w:val="000000"/>
          <w:sz w:val="22"/>
          <w:szCs w:val="22"/>
          <w:lang w:val="es-EC"/>
        </w:rPr>
      </w:pPr>
      <w:r w:rsidRPr="00FF540B">
        <w:rPr>
          <w:rFonts w:ascii="Palatino Linotype" w:hAnsi="Palatino Linotype"/>
          <w:i/>
          <w:color w:val="000000"/>
          <w:sz w:val="22"/>
          <w:szCs w:val="22"/>
          <w:lang w:val="es-EC"/>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t>Para el riesgo por movimientos en masa:</w:t>
      </w:r>
    </w:p>
    <w:p w:rsidR="00F049FB" w:rsidRPr="00FF540B" w:rsidRDefault="00F049FB" w:rsidP="00F049FB">
      <w:pPr>
        <w:numPr>
          <w:ilvl w:val="0"/>
          <w:numId w:val="40"/>
        </w:numPr>
        <w:spacing w:after="120" w:line="276" w:lineRule="auto"/>
        <w:ind w:left="334" w:hanging="357"/>
        <w:jc w:val="both"/>
        <w:rPr>
          <w:rFonts w:ascii="Palatino Linotype" w:hAnsi="Palatino Linotype"/>
          <w:i/>
          <w:color w:val="000000"/>
          <w:sz w:val="22"/>
          <w:szCs w:val="22"/>
        </w:rPr>
      </w:pPr>
      <w:r w:rsidRPr="00FF540B">
        <w:rPr>
          <w:rFonts w:ascii="Palatino Linotype" w:eastAsia="Calibri" w:hAnsi="Palatino Linotype"/>
          <w:bCs/>
          <w:i/>
          <w:sz w:val="22"/>
          <w:szCs w:val="22"/>
          <w:lang w:val="es-EC" w:eastAsia="en-US"/>
        </w:rPr>
        <w:t>Se recomienda que mediante mingas comunitarias se implemente sistemas de conducción de escorrentía (agua lluvia) en el pasaje de tierra afirmada para prevenir la erosión del suelo y arrastre de material que pueda afectar a viviendas y asentamientos humanos ubicados en cotas inferiores. El agua lluvia debe ser conducida en lo posible a sistemas de alcantarillado existentes en la zona.</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t>Para el riesgo sísmico:</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Se recomienda que los propietarios y/o posesionarios actuales no construyan más viviendas en el </w:t>
      </w:r>
      <w:proofErr w:type="spellStart"/>
      <w:r w:rsidRPr="00FF540B">
        <w:rPr>
          <w:rFonts w:ascii="Palatino Linotype" w:eastAsia="Calibri" w:hAnsi="Palatino Linotype"/>
          <w:bCs/>
          <w:i/>
          <w:sz w:val="22"/>
          <w:szCs w:val="22"/>
          <w:lang w:val="es-EC" w:eastAsia="en-US"/>
        </w:rPr>
        <w:t>macrolote</w:t>
      </w:r>
      <w:proofErr w:type="spellEnd"/>
      <w:r w:rsidRPr="00FF540B">
        <w:rPr>
          <w:rFonts w:ascii="Palatino Linotype" w:eastAsia="Calibri" w:hAnsi="Palatino Linotype"/>
          <w:bCs/>
          <w:i/>
          <w:sz w:val="22"/>
          <w:szCs w:val="22"/>
          <w:lang w:val="es-EC" w:eastAsia="en-US"/>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F049FB" w:rsidRPr="00FF540B" w:rsidRDefault="00F049FB" w:rsidP="00F049FB">
      <w:pPr>
        <w:numPr>
          <w:ilvl w:val="0"/>
          <w:numId w:val="40"/>
        </w:numPr>
        <w:spacing w:after="120" w:line="276" w:lineRule="auto"/>
        <w:ind w:left="283" w:hanging="357"/>
        <w:jc w:val="both"/>
        <w:rPr>
          <w:rFonts w:ascii="Palatino Linotype" w:hAnsi="Palatino Linotype"/>
          <w:i/>
          <w:color w:val="000000"/>
          <w:sz w:val="22"/>
          <w:szCs w:val="22"/>
        </w:rPr>
      </w:pPr>
      <w:r w:rsidRPr="00FF540B">
        <w:rPr>
          <w:rFonts w:ascii="Palatino Linotype" w:eastAsia="Calibri" w:hAnsi="Palatino Linotype"/>
          <w:bCs/>
          <w:i/>
          <w:sz w:val="22"/>
          <w:szCs w:val="22"/>
          <w:lang w:val="es-EC" w:eastAsia="en-US"/>
        </w:rPr>
        <w:t xml:space="preserve">Posterior a la regularización del </w:t>
      </w:r>
      <w:proofErr w:type="spellStart"/>
      <w:r w:rsidRPr="00FF540B">
        <w:rPr>
          <w:rFonts w:ascii="Palatino Linotype" w:eastAsia="Calibri" w:hAnsi="Palatino Linotype"/>
          <w:bCs/>
          <w:i/>
          <w:sz w:val="22"/>
          <w:szCs w:val="22"/>
          <w:lang w:val="es-EC" w:eastAsia="en-US"/>
        </w:rPr>
        <w:t>AHHYC</w:t>
      </w:r>
      <w:proofErr w:type="spellEnd"/>
      <w:r w:rsidRPr="00FF540B">
        <w:rPr>
          <w:rFonts w:ascii="Palatino Linotype" w:eastAsia="Calibri" w:hAnsi="Palatino Linotype"/>
          <w:bCs/>
          <w:i/>
          <w:sz w:val="22"/>
          <w:szCs w:val="22"/>
          <w:lang w:val="es-EC" w:eastAsia="en-US"/>
        </w:rPr>
        <w:t xml:space="preserve"> </w:t>
      </w:r>
      <w:r w:rsidRPr="00FF540B">
        <w:rPr>
          <w:rFonts w:ascii="Palatino Linotype" w:eastAsia="Calibri" w:hAnsi="Palatino Linotype"/>
          <w:i/>
          <w:sz w:val="22"/>
          <w:szCs w:val="22"/>
          <w:lang w:val="es-EC" w:eastAsia="en-US"/>
        </w:rPr>
        <w:t xml:space="preserve">“Comité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w:t>
      </w:r>
      <w:r w:rsidRPr="00FF540B">
        <w:rPr>
          <w:rFonts w:ascii="Palatino Linotype" w:eastAsia="Calibri" w:hAnsi="Palatino Linotype"/>
          <w:bCs/>
          <w:i/>
          <w:sz w:val="22"/>
          <w:szCs w:val="22"/>
          <w:lang w:val="es-EC" w:eastAsia="en-US"/>
        </w:rPr>
        <w:t xml:space="preserve">, las </w:t>
      </w:r>
      <w:r w:rsidRPr="00FF540B">
        <w:rPr>
          <w:rFonts w:ascii="Palatino Linotype" w:eastAsia="Calibri" w:hAnsi="Palatino Linotype"/>
          <w:i/>
          <w:sz w:val="22"/>
          <w:szCs w:val="22"/>
          <w:lang w:val="es-EC" w:eastAsia="en-US"/>
        </w:rPr>
        <w:t xml:space="preserve">edificaciones en proceso de construcción, aumento en planta o elevación y demás edificaciones dentro del área en análisis, que no </w:t>
      </w:r>
      <w:r w:rsidRPr="00FF540B">
        <w:rPr>
          <w:rFonts w:ascii="Palatino Linotype" w:eastAsia="Calibri" w:hAnsi="Palatino Linotype"/>
          <w:bCs/>
          <w:i/>
          <w:sz w:val="22"/>
          <w:szCs w:val="22"/>
          <w:lang w:val="es-EC" w:eastAsia="en-US"/>
        </w:rPr>
        <w:t>dispongan</w:t>
      </w:r>
      <w:r w:rsidRPr="00FF540B">
        <w:rPr>
          <w:rFonts w:ascii="Palatino Linotype" w:eastAsia="Calibri" w:hAnsi="Palatino Linotype"/>
          <w:i/>
          <w:sz w:val="22"/>
          <w:szCs w:val="22"/>
          <w:lang w:val="es-EC" w:eastAsia="en-US"/>
        </w:rPr>
        <w:t xml:space="preserve"> de un diseño estructural o algún tipo de asesoría técnica, los propietarios deberán </w:t>
      </w:r>
      <w:r w:rsidRPr="00FF540B">
        <w:rPr>
          <w:rFonts w:ascii="Palatino Linotype" w:eastAsia="Calibri" w:hAnsi="Palatino Linotype"/>
          <w:bCs/>
          <w:i/>
          <w:sz w:val="22"/>
          <w:szCs w:val="22"/>
          <w:lang w:val="es-EC" w:eastAsia="en-US"/>
        </w:rPr>
        <w:t xml:space="preserve">contratar a un </w:t>
      </w:r>
      <w:r w:rsidRPr="00FF540B">
        <w:rPr>
          <w:rFonts w:ascii="Palatino Linotype" w:hAnsi="Palatino Linotype"/>
          <w:i/>
          <w:color w:val="000000"/>
          <w:sz w:val="22"/>
          <w:szCs w:val="22"/>
        </w:rPr>
        <w:t>especialista</w:t>
      </w:r>
      <w:r w:rsidRPr="00FF540B">
        <w:rPr>
          <w:rFonts w:ascii="Palatino Linotype" w:eastAsia="Calibri" w:hAnsi="Palatino Linotype"/>
          <w:bCs/>
          <w:i/>
          <w:sz w:val="22"/>
          <w:szCs w:val="22"/>
          <w:lang w:val="es-EC" w:eastAsia="en-US"/>
        </w:rPr>
        <w:t xml:space="preserve"> (</w:t>
      </w:r>
      <w:r w:rsidRPr="00FF540B">
        <w:rPr>
          <w:rFonts w:ascii="Palatino Linotype" w:eastAsia="Calibri" w:hAnsi="Palatino Linotype"/>
          <w:i/>
          <w:sz w:val="22"/>
          <w:szCs w:val="22"/>
          <w:lang w:val="es-EC" w:eastAsia="en-US"/>
        </w:rPr>
        <w:t xml:space="preserve">Ingeniero/a Civil), para que realice evaluaciones estructurales de las viviendas y </w:t>
      </w:r>
      <w:r w:rsidRPr="00FF540B">
        <w:rPr>
          <w:rFonts w:ascii="Palatino Linotype" w:eastAsia="Calibri" w:hAnsi="Palatino Linotype"/>
          <w:bCs/>
          <w:i/>
          <w:sz w:val="22"/>
          <w:szCs w:val="22"/>
          <w:lang w:val="es-EC" w:eastAsia="en-US"/>
        </w:rPr>
        <w:t xml:space="preserve">proponga alternativas de reparación y/o reforzamiento estructural en caso de ameritarlo. </w:t>
      </w:r>
    </w:p>
    <w:p w:rsidR="00F049FB" w:rsidRPr="00FF540B" w:rsidRDefault="00F049FB" w:rsidP="00F049FB">
      <w:pPr>
        <w:numPr>
          <w:ilvl w:val="0"/>
          <w:numId w:val="40"/>
        </w:numPr>
        <w:spacing w:after="120" w:line="276" w:lineRule="auto"/>
        <w:ind w:left="283" w:hanging="357"/>
        <w:jc w:val="both"/>
        <w:rPr>
          <w:rFonts w:ascii="Palatino Linotype" w:hAnsi="Palatino Linotype"/>
          <w:i/>
          <w:color w:val="000000"/>
          <w:sz w:val="22"/>
          <w:szCs w:val="22"/>
        </w:rPr>
      </w:pPr>
      <w:r w:rsidRPr="00FF540B">
        <w:rPr>
          <w:rFonts w:ascii="Palatino Linotype" w:hAnsi="Palatino Linotype"/>
          <w:i/>
          <w:color w:val="000000"/>
          <w:sz w:val="22"/>
          <w:szCs w:val="22"/>
        </w:rPr>
        <w:lastRenderedPageBreak/>
        <w:t>La municipalidad, a través de sus organismos de control, deberá dar el seguimiento a los procesos de construcción tanto de la infraestructura de servicios como de las edificaciones nuevas o ampliaciones de las existentes.</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t>Para el riesgo Volcánico (caída de ceniza):</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Al encontrarse el </w:t>
      </w:r>
      <w:proofErr w:type="spellStart"/>
      <w:r w:rsidRPr="00FF540B">
        <w:rPr>
          <w:rFonts w:ascii="Palatino Linotype" w:eastAsia="Calibri" w:hAnsi="Palatino Linotype"/>
          <w:bCs/>
          <w:i/>
          <w:sz w:val="22"/>
          <w:szCs w:val="22"/>
          <w:lang w:val="es-EC" w:eastAsia="en-US"/>
        </w:rPr>
        <w:t>AHHYC</w:t>
      </w:r>
      <w:proofErr w:type="spellEnd"/>
      <w:r w:rsidRPr="00FF540B">
        <w:rPr>
          <w:rFonts w:ascii="Palatino Linotype" w:eastAsia="Calibri" w:hAnsi="Palatino Linotype"/>
          <w:bCs/>
          <w:i/>
          <w:sz w:val="22"/>
          <w:szCs w:val="22"/>
          <w:lang w:val="es-EC" w:eastAsia="en-US"/>
        </w:rPr>
        <w:t xml:space="preserve"> “Comité </w:t>
      </w:r>
      <w:proofErr w:type="spellStart"/>
      <w:r w:rsidRPr="00FF540B">
        <w:rPr>
          <w:rFonts w:ascii="Palatino Linotype" w:eastAsia="Calibri" w:hAnsi="Palatino Linotype"/>
          <w:bCs/>
          <w:i/>
          <w:sz w:val="22"/>
          <w:szCs w:val="22"/>
          <w:lang w:val="es-EC" w:eastAsia="en-US"/>
        </w:rPr>
        <w:t>Promejoras</w:t>
      </w:r>
      <w:proofErr w:type="spellEnd"/>
      <w:r w:rsidRPr="00FF540B">
        <w:rPr>
          <w:rFonts w:ascii="Palatino Linotype" w:eastAsia="Calibri" w:hAnsi="Palatino Linotype"/>
          <w:bCs/>
          <w:i/>
          <w:sz w:val="22"/>
          <w:szCs w:val="22"/>
          <w:lang w:val="es-EC" w:eastAsia="en-US"/>
        </w:rPr>
        <w:t xml:space="preserve"> Los Hemisferios” en una zona de alta amenaza ante una potencial reactivación del volcán </w:t>
      </w:r>
      <w:proofErr w:type="spellStart"/>
      <w:r w:rsidRPr="00FF540B">
        <w:rPr>
          <w:rFonts w:ascii="Palatino Linotype" w:eastAsia="Calibri" w:hAnsi="Palatino Linotype"/>
          <w:bCs/>
          <w:i/>
          <w:sz w:val="22"/>
          <w:szCs w:val="22"/>
          <w:lang w:val="es-EC" w:eastAsia="en-US"/>
        </w:rPr>
        <w:t>Pululahua</w:t>
      </w:r>
      <w:proofErr w:type="spellEnd"/>
      <w:r w:rsidRPr="00FF540B">
        <w:rPr>
          <w:rFonts w:ascii="Palatino Linotype" w:eastAsia="Calibri" w:hAnsi="Palatino Linotype"/>
          <w:bCs/>
          <w:i/>
          <w:sz w:val="22"/>
          <w:szCs w:val="22"/>
          <w:lang w:val="es-EC" w:eastAsia="en-US"/>
        </w:rPr>
        <w:t>,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San Antonio,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
          <w:bCs/>
          <w:i/>
          <w:sz w:val="22"/>
          <w:szCs w:val="22"/>
          <w:lang w:val="es-EC" w:eastAsia="en-US"/>
        </w:rPr>
      </w:pPr>
      <w:r w:rsidRPr="00FF540B">
        <w:rPr>
          <w:rFonts w:ascii="Palatino Linotype" w:eastAsia="Calibri" w:hAnsi="Palatino Linotype"/>
          <w:bCs/>
          <w:i/>
          <w:sz w:val="22"/>
          <w:szCs w:val="22"/>
          <w:lang w:val="es-EC" w:eastAsia="en-US"/>
        </w:rPr>
        <w:t xml:space="preserve">Para los escenarios eruptivos de otros volcanes que circundan el </w:t>
      </w:r>
      <w:proofErr w:type="spellStart"/>
      <w:r w:rsidRPr="00FF540B">
        <w:rPr>
          <w:rFonts w:ascii="Palatino Linotype" w:eastAsia="Calibri" w:hAnsi="Palatino Linotype"/>
          <w:bCs/>
          <w:i/>
          <w:sz w:val="22"/>
          <w:szCs w:val="22"/>
          <w:lang w:val="es-EC" w:eastAsia="en-US"/>
        </w:rPr>
        <w:t>DMQ</w:t>
      </w:r>
      <w:proofErr w:type="spellEnd"/>
      <w:r w:rsidRPr="00FF540B">
        <w:rPr>
          <w:rFonts w:ascii="Palatino Linotype" w:eastAsia="Calibri" w:hAnsi="Palatino Linotype"/>
          <w:bCs/>
          <w:i/>
          <w:sz w:val="22"/>
          <w:szCs w:val="22"/>
          <w:lang w:val="es-EC" w:eastAsia="en-US"/>
        </w:rPr>
        <w:t xml:space="preserve">, se puede tomar medidas preventivas y de mitigación ante las afectaciones que podría ocasionar la caída de </w:t>
      </w:r>
      <w:proofErr w:type="spellStart"/>
      <w:r w:rsidRPr="00FF540B">
        <w:rPr>
          <w:rFonts w:ascii="Palatino Linotype" w:eastAsia="Calibri" w:hAnsi="Palatino Linotype"/>
          <w:bCs/>
          <w:i/>
          <w:sz w:val="22"/>
          <w:szCs w:val="22"/>
          <w:lang w:val="es-EC" w:eastAsia="en-US"/>
        </w:rPr>
        <w:t>piroclastos</w:t>
      </w:r>
      <w:proofErr w:type="spellEnd"/>
      <w:r w:rsidRPr="00FF540B">
        <w:rPr>
          <w:rFonts w:ascii="Palatino Linotype" w:eastAsia="Calibri" w:hAnsi="Palatino Linotype"/>
          <w:bCs/>
          <w:i/>
          <w:sz w:val="22"/>
          <w:szCs w:val="22"/>
          <w:lang w:val="es-EC" w:eastAsia="en-US"/>
        </w:rPr>
        <w:t xml:space="preserve"> (ceniza y lapilli), efectuando </w:t>
      </w:r>
      <w:r w:rsidRPr="00FF540B">
        <w:rPr>
          <w:rFonts w:ascii="Palatino Linotype" w:eastAsia="Calibri" w:hAnsi="Palatino Linotype"/>
          <w:i/>
          <w:sz w:val="22"/>
          <w:szCs w:val="22"/>
          <w:lang w:val="es-EC" w:eastAsia="en-US"/>
        </w:rPr>
        <w:t>mantenimiento</w:t>
      </w:r>
      <w:r w:rsidRPr="00FF540B">
        <w:rPr>
          <w:rFonts w:ascii="Palatino Linotype" w:eastAsia="Calibri" w:hAnsi="Palatino Linotype"/>
          <w:bCs/>
          <w:i/>
          <w:sz w:val="22"/>
          <w:szCs w:val="22"/>
          <w:lang w:val="es-EC" w:eastAsia="en-US"/>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Mantenerse informado en caso de producirse un evento de erupción volcánica. Acatar las </w:t>
      </w:r>
      <w:r w:rsidRPr="00FF540B">
        <w:rPr>
          <w:rFonts w:ascii="Palatino Linotype" w:eastAsia="Calibri" w:hAnsi="Palatino Linotype"/>
          <w:i/>
          <w:sz w:val="22"/>
          <w:szCs w:val="22"/>
          <w:lang w:val="es-EC" w:eastAsia="en-US"/>
        </w:rPr>
        <w:t>recomendaciones</w:t>
      </w:r>
      <w:r w:rsidRPr="00FF540B">
        <w:rPr>
          <w:rFonts w:ascii="Palatino Linotype" w:eastAsia="Calibri" w:hAnsi="Palatino Linotype"/>
          <w:bCs/>
          <w:i/>
          <w:sz w:val="22"/>
          <w:szCs w:val="22"/>
          <w:lang w:val="es-EC" w:eastAsia="en-US"/>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t>Recomendaciones Generales</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i/>
          <w:sz w:val="22"/>
          <w:szCs w:val="22"/>
          <w:lang w:val="es-EC" w:eastAsia="en-US"/>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w:t>
      </w:r>
      <w:proofErr w:type="spellStart"/>
      <w:r w:rsidRPr="00FF540B">
        <w:rPr>
          <w:rFonts w:ascii="Palatino Linotype" w:eastAsia="Calibri" w:hAnsi="Palatino Linotype"/>
          <w:i/>
          <w:sz w:val="22"/>
          <w:szCs w:val="22"/>
          <w:lang w:val="es-EC" w:eastAsia="en-US"/>
        </w:rPr>
        <w:t>AHHYC</w:t>
      </w:r>
      <w:proofErr w:type="spellEnd"/>
      <w:r w:rsidRPr="00FF540B">
        <w:rPr>
          <w:rFonts w:ascii="Palatino Linotype" w:eastAsia="Calibri" w:hAnsi="Palatino Linotype"/>
          <w:i/>
          <w:sz w:val="22"/>
          <w:szCs w:val="22"/>
          <w:lang w:val="es-EC" w:eastAsia="en-US"/>
        </w:rPr>
        <w:t xml:space="preserve"> “Comité </w:t>
      </w:r>
      <w:proofErr w:type="spellStart"/>
      <w:r w:rsidRPr="00FF540B">
        <w:rPr>
          <w:rFonts w:ascii="Palatino Linotype" w:eastAsia="Calibri" w:hAnsi="Palatino Linotype"/>
          <w:i/>
          <w:sz w:val="22"/>
          <w:szCs w:val="22"/>
          <w:lang w:val="es-EC" w:eastAsia="en-US"/>
        </w:rPr>
        <w:t>Promejoras</w:t>
      </w:r>
      <w:proofErr w:type="spellEnd"/>
      <w:r w:rsidRPr="00FF540B">
        <w:rPr>
          <w:rFonts w:ascii="Palatino Linotype" w:eastAsia="Calibri" w:hAnsi="Palatino Linotype"/>
          <w:i/>
          <w:sz w:val="22"/>
          <w:szCs w:val="22"/>
          <w:lang w:val="es-EC" w:eastAsia="en-US"/>
        </w:rPr>
        <w:t xml:space="preserve"> Los Hemisferios” puede solicitar a la Unidad de Seguridad Ciudadana y Gestión de Riesgos de la </w:t>
      </w:r>
      <w:proofErr w:type="spellStart"/>
      <w:r w:rsidRPr="00FF540B">
        <w:rPr>
          <w:rFonts w:ascii="Palatino Linotype" w:eastAsia="Calibri" w:hAnsi="Palatino Linotype"/>
          <w:i/>
          <w:sz w:val="22"/>
          <w:szCs w:val="22"/>
          <w:lang w:val="es-EC" w:eastAsia="en-US"/>
        </w:rPr>
        <w:t>A.Z</w:t>
      </w:r>
      <w:proofErr w:type="spellEnd"/>
      <w:r w:rsidRPr="00FF540B">
        <w:rPr>
          <w:rFonts w:ascii="Palatino Linotype" w:eastAsia="Calibri" w:hAnsi="Palatino Linotype"/>
          <w:i/>
          <w:sz w:val="22"/>
          <w:szCs w:val="22"/>
          <w:lang w:val="es-EC" w:eastAsia="en-US"/>
        </w:rPr>
        <w:t xml:space="preserve">. Delicia, que brinde las capacitaciones en gestión de riesgos y programe simulacros de evacuación por emergencias que se realizan dentro del Programa “Quito Listo” que coordina la Secretaría General de Seguridad y Gobernabilidad. </w:t>
      </w:r>
      <w:r w:rsidRPr="00FF540B">
        <w:rPr>
          <w:rFonts w:ascii="Palatino Linotype" w:eastAsia="Calibri" w:hAnsi="Palatino Linotype"/>
          <w:bCs/>
          <w:i/>
          <w:sz w:val="22"/>
          <w:szCs w:val="22"/>
          <w:lang w:val="es-EC" w:eastAsia="en-US"/>
        </w:rPr>
        <w:t xml:space="preserve"> </w:t>
      </w:r>
    </w:p>
    <w:p w:rsidR="00F049FB" w:rsidRPr="00FF540B" w:rsidRDefault="00F049FB" w:rsidP="00F049FB">
      <w:pPr>
        <w:spacing w:after="120" w:line="276" w:lineRule="auto"/>
        <w:jc w:val="both"/>
        <w:rPr>
          <w:rFonts w:ascii="Palatino Linotype" w:eastAsia="Calibri" w:hAnsi="Palatino Linotype"/>
          <w:b/>
          <w:bCs/>
          <w:i/>
          <w:sz w:val="22"/>
          <w:szCs w:val="22"/>
          <w:lang w:val="es-EC" w:eastAsia="en-US"/>
        </w:rPr>
      </w:pPr>
      <w:r w:rsidRPr="00FF540B">
        <w:rPr>
          <w:rFonts w:ascii="Palatino Linotype" w:eastAsia="Calibri" w:hAnsi="Palatino Linotype"/>
          <w:b/>
          <w:bCs/>
          <w:i/>
          <w:sz w:val="22"/>
          <w:szCs w:val="22"/>
          <w:lang w:val="es-EC" w:eastAsia="en-US"/>
        </w:rPr>
        <w:lastRenderedPageBreak/>
        <w:t>Cumplimiento de la normativa vigente:</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De acuerdo a la Constitución de la República del Ecuador donde establecen las </w:t>
      </w:r>
      <w:r w:rsidRPr="00FF540B">
        <w:rPr>
          <w:rFonts w:ascii="Palatino Linotype" w:eastAsia="Calibri" w:hAnsi="Palatino Linotype"/>
          <w:i/>
          <w:sz w:val="22"/>
          <w:szCs w:val="22"/>
          <w:lang w:val="es-EC" w:eastAsia="en-US"/>
        </w:rPr>
        <w:t xml:space="preserve">competencias exclusivas a </w:t>
      </w:r>
      <w:r w:rsidRPr="00FF540B">
        <w:rPr>
          <w:rFonts w:ascii="Palatino Linotype" w:eastAsia="Calibri" w:hAnsi="Palatino Linotype"/>
          <w:bCs/>
          <w:i/>
          <w:sz w:val="22"/>
          <w:szCs w:val="22"/>
          <w:lang w:val="es-EC" w:eastAsia="en-US"/>
        </w:rPr>
        <w:t>los</w:t>
      </w:r>
      <w:r w:rsidRPr="00FF540B">
        <w:rPr>
          <w:rFonts w:ascii="Palatino Linotype" w:eastAsia="Calibri" w:hAnsi="Palatino Linotype"/>
          <w:i/>
          <w:sz w:val="22"/>
          <w:szCs w:val="22"/>
          <w:lang w:val="es-EC" w:eastAsia="en-US"/>
        </w:rPr>
        <w:t xml:space="preserve"> gobiernos municipales entre tantas está la de regular y ejercer control sobre el uso y la ocupación del suelo urbano y rural. Adicionalmente El COOTAD establece que los </w:t>
      </w:r>
      <w:r w:rsidRPr="00FF540B">
        <w:rPr>
          <w:rFonts w:ascii="Palatino Linotype" w:eastAsia="Calibri" w:hAnsi="Palatino Linotype"/>
          <w:bCs/>
          <w:i/>
          <w:sz w:val="22"/>
          <w:szCs w:val="22"/>
          <w:lang w:val="es-EC" w:eastAsia="en-US"/>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F049FB" w:rsidRPr="00FF540B" w:rsidRDefault="00F049FB" w:rsidP="00F049FB">
      <w:pPr>
        <w:numPr>
          <w:ilvl w:val="0"/>
          <w:numId w:val="40"/>
        </w:numPr>
        <w:spacing w:after="120" w:line="276" w:lineRule="auto"/>
        <w:ind w:left="283" w:hanging="357"/>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En el proyecto de regularización se debe respetar la normativa vigente de las Ordenanzas Metropolitanas de: aprobación del Plan Metropolitano de Desarrollo y  Ordenamiento Territorial, (</w:t>
      </w:r>
      <w:proofErr w:type="spellStart"/>
      <w:r w:rsidRPr="00FF540B">
        <w:rPr>
          <w:rFonts w:ascii="Palatino Linotype" w:eastAsia="Calibri" w:hAnsi="Palatino Linotype"/>
          <w:bCs/>
          <w:i/>
          <w:sz w:val="22"/>
          <w:szCs w:val="22"/>
          <w:lang w:val="es-EC" w:eastAsia="en-US"/>
        </w:rPr>
        <w:t>PMDOT</w:t>
      </w:r>
      <w:proofErr w:type="spellEnd"/>
      <w:r w:rsidRPr="00FF540B">
        <w:rPr>
          <w:rFonts w:ascii="Palatino Linotype" w:eastAsia="Calibri" w:hAnsi="Palatino Linotype"/>
          <w:bCs/>
          <w:i/>
          <w:sz w:val="22"/>
          <w:szCs w:val="22"/>
          <w:lang w:val="es-EC" w:eastAsia="en-US"/>
        </w:rPr>
        <w:t>),  Uso y Ocupación del Suelo, (</w:t>
      </w:r>
      <w:proofErr w:type="spellStart"/>
      <w:r w:rsidRPr="00FF540B">
        <w:rPr>
          <w:rFonts w:ascii="Palatino Linotype" w:eastAsia="Calibri" w:hAnsi="Palatino Linotype"/>
          <w:bCs/>
          <w:i/>
          <w:sz w:val="22"/>
          <w:szCs w:val="22"/>
          <w:lang w:val="es-EC" w:eastAsia="en-US"/>
        </w:rPr>
        <w:t>PUOS</w:t>
      </w:r>
      <w:proofErr w:type="spellEnd"/>
      <w:r w:rsidRPr="00FF540B">
        <w:rPr>
          <w:rFonts w:ascii="Palatino Linotype" w:eastAsia="Calibri" w:hAnsi="Palatino Linotype"/>
          <w:bCs/>
          <w:i/>
          <w:sz w:val="22"/>
          <w:szCs w:val="22"/>
          <w:lang w:val="es-EC" w:eastAsia="en-US"/>
        </w:rPr>
        <w:t xml:space="preserve">) y Régimen Administrativo del Suelo en el </w:t>
      </w:r>
      <w:proofErr w:type="spellStart"/>
      <w:r w:rsidRPr="00FF540B">
        <w:rPr>
          <w:rFonts w:ascii="Palatino Linotype" w:eastAsia="Calibri" w:hAnsi="Palatino Linotype"/>
          <w:bCs/>
          <w:i/>
          <w:sz w:val="22"/>
          <w:szCs w:val="22"/>
          <w:lang w:val="es-EC" w:eastAsia="en-US"/>
        </w:rPr>
        <w:t>D.M.Q</w:t>
      </w:r>
      <w:proofErr w:type="spellEnd"/>
      <w:r w:rsidRPr="00FF540B">
        <w:rPr>
          <w:rFonts w:ascii="Palatino Linotype" w:eastAsia="Calibri" w:hAnsi="Palatino Linotype"/>
          <w:bCs/>
          <w:i/>
          <w:sz w:val="22"/>
          <w:szCs w:val="22"/>
          <w:lang w:val="es-EC" w:eastAsia="en-US"/>
        </w:rPr>
        <w:t xml:space="preserve">. </w:t>
      </w:r>
    </w:p>
    <w:p w:rsidR="00F049FB" w:rsidRPr="00FF540B" w:rsidRDefault="00F049FB" w:rsidP="00F049FB">
      <w:pPr>
        <w:numPr>
          <w:ilvl w:val="0"/>
          <w:numId w:val="42"/>
        </w:numPr>
        <w:spacing w:after="120" w:line="276" w:lineRule="auto"/>
        <w:ind w:left="284"/>
        <w:jc w:val="both"/>
        <w:rPr>
          <w:rFonts w:ascii="Palatino Linotype" w:eastAsia="Calibri" w:hAnsi="Palatino Linotype"/>
          <w:bCs/>
          <w:i/>
          <w:sz w:val="22"/>
          <w:szCs w:val="22"/>
          <w:lang w:val="es-EC" w:eastAsia="en-US"/>
        </w:rPr>
      </w:pPr>
      <w:r w:rsidRPr="00FF540B">
        <w:rPr>
          <w:rFonts w:ascii="Palatino Linotype" w:eastAsia="Calibri" w:hAnsi="Palatino Linotype"/>
          <w:bCs/>
          <w:i/>
          <w:sz w:val="22"/>
          <w:szCs w:val="22"/>
          <w:lang w:val="es-EC" w:eastAsia="en-US"/>
        </w:rPr>
        <w:t xml:space="preserve">Incluir en el Informe de Regulación Metropolitana, </w:t>
      </w:r>
      <w:proofErr w:type="spellStart"/>
      <w:r w:rsidRPr="00FF540B">
        <w:rPr>
          <w:rFonts w:ascii="Palatino Linotype" w:eastAsia="Calibri" w:hAnsi="Palatino Linotype"/>
          <w:bCs/>
          <w:i/>
          <w:sz w:val="22"/>
          <w:szCs w:val="22"/>
          <w:lang w:val="es-EC" w:eastAsia="en-US"/>
        </w:rPr>
        <w:t>IRM</w:t>
      </w:r>
      <w:proofErr w:type="spellEnd"/>
      <w:r w:rsidRPr="00FF540B">
        <w:rPr>
          <w:rFonts w:ascii="Palatino Linotype" w:eastAsia="Calibri" w:hAnsi="Palatino Linotype"/>
          <w:bCs/>
          <w:i/>
          <w:sz w:val="22"/>
          <w:szCs w:val="22"/>
          <w:lang w:val="es-EC" w:eastAsia="en-US"/>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049FB" w:rsidRPr="00FF540B" w:rsidRDefault="00F049FB" w:rsidP="00F049FB">
      <w:pPr>
        <w:numPr>
          <w:ilvl w:val="0"/>
          <w:numId w:val="42"/>
        </w:numPr>
        <w:spacing w:after="120" w:line="276" w:lineRule="auto"/>
        <w:ind w:left="284"/>
        <w:jc w:val="both"/>
        <w:rPr>
          <w:rFonts w:ascii="Palatino Linotype" w:eastAsia="Calibri" w:hAnsi="Palatino Linotype"/>
          <w:bCs/>
          <w:i/>
          <w:sz w:val="22"/>
          <w:szCs w:val="22"/>
          <w:lang w:val="es-EC" w:eastAsia="en-US"/>
        </w:rPr>
      </w:pPr>
      <w:r w:rsidRPr="00FF540B">
        <w:rPr>
          <w:rFonts w:ascii="Palatino Linotype" w:hAnsi="Palatino Linotype"/>
          <w:bCs/>
          <w:i/>
          <w:sz w:val="22"/>
          <w:szCs w:val="22"/>
          <w:lang w:val="es-EC"/>
        </w:rPr>
        <w:t xml:space="preserve">La Unidad Especial Regula Tu Barrio deberá comunicar a la comunidad del </w:t>
      </w:r>
      <w:proofErr w:type="spellStart"/>
      <w:r w:rsidRPr="00FF540B">
        <w:rPr>
          <w:rFonts w:ascii="Palatino Linotype" w:hAnsi="Palatino Linotype"/>
          <w:bCs/>
          <w:i/>
          <w:sz w:val="22"/>
          <w:szCs w:val="22"/>
          <w:lang w:val="es-EC"/>
        </w:rPr>
        <w:t>AHHYC</w:t>
      </w:r>
      <w:proofErr w:type="spellEnd"/>
      <w:r w:rsidRPr="00FF540B">
        <w:rPr>
          <w:rFonts w:ascii="Palatino Linotype" w:hAnsi="Palatino Linotype"/>
          <w:bCs/>
          <w:i/>
          <w:sz w:val="22"/>
          <w:szCs w:val="22"/>
          <w:lang w:val="es-EC"/>
        </w:rPr>
        <w:t xml:space="preserve"> “</w:t>
      </w:r>
      <w:r w:rsidRPr="00FF540B">
        <w:rPr>
          <w:rFonts w:ascii="Palatino Linotype" w:hAnsi="Palatino Linotype"/>
          <w:i/>
          <w:sz w:val="22"/>
          <w:szCs w:val="22"/>
          <w:lang w:val="es-EC"/>
        </w:rPr>
        <w:t xml:space="preserve">Comité </w:t>
      </w:r>
      <w:proofErr w:type="spellStart"/>
      <w:r w:rsidRPr="00FF540B">
        <w:rPr>
          <w:rFonts w:ascii="Palatino Linotype" w:hAnsi="Palatino Linotype"/>
          <w:i/>
          <w:sz w:val="22"/>
          <w:szCs w:val="22"/>
          <w:lang w:val="es-EC"/>
        </w:rPr>
        <w:t>Promejoras</w:t>
      </w:r>
      <w:proofErr w:type="spellEnd"/>
      <w:r w:rsidRPr="00FF540B">
        <w:rPr>
          <w:rFonts w:ascii="Palatino Linotype" w:hAnsi="Palatino Linotype"/>
          <w:i/>
          <w:sz w:val="22"/>
          <w:szCs w:val="22"/>
          <w:lang w:val="es-EC"/>
        </w:rPr>
        <w:t xml:space="preserve"> Los Hemisferios</w:t>
      </w:r>
      <w:r w:rsidRPr="00FF540B">
        <w:rPr>
          <w:rFonts w:ascii="Palatino Linotype" w:hAnsi="Palatino Linotype"/>
          <w:bCs/>
          <w:i/>
          <w:sz w:val="22"/>
          <w:szCs w:val="22"/>
          <w:lang w:val="es-EC"/>
        </w:rPr>
        <w:t>” lo descrito en el presente informe, especialmente la calificación del riesgo ante las diferentes amenazas analizadas y las respectivas recomendaciones técnicas.”</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bCs/>
          <w:sz w:val="22"/>
          <w:szCs w:val="22"/>
        </w:rPr>
        <w:t xml:space="preserve">Artículo 7.- De las vías.- </w:t>
      </w:r>
      <w:r w:rsidRPr="00FF540B">
        <w:rPr>
          <w:rFonts w:ascii="Palatino Linotype" w:hAnsi="Palatino Linotype"/>
          <w:sz w:val="22"/>
          <w:szCs w:val="22"/>
        </w:rPr>
        <w:t xml:space="preserve">El Asentamiento Humano de Hecho y Consolidado de Interés Social denominado Comité Pro mejoras “Los Hemisferios” contempla un sistema vial de uso público, debido a que éste es un Asentamiento Humano de Hecho y Consolidado de interés social de 8 años de existencia, con 63,64% de consolidación de viviendas y se encuentra ejecutando obras de infraestructura, razón por la cual los anchos viales se sujetarán al plano adjunto a la presente ordenanza.  </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Se aprueba el pasaje con los siguientes anchos:</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 xml:space="preserve">PASAJE </w:t>
      </w:r>
      <w:proofErr w:type="spellStart"/>
      <w:r w:rsidRPr="00FF540B">
        <w:rPr>
          <w:rFonts w:ascii="Palatino Linotype" w:hAnsi="Palatino Linotype"/>
          <w:sz w:val="22"/>
          <w:szCs w:val="22"/>
        </w:rPr>
        <w:t>Oe1B</w:t>
      </w:r>
      <w:proofErr w:type="spellEnd"/>
      <w:r w:rsidRPr="00FF540B">
        <w:rPr>
          <w:rFonts w:ascii="Palatino Linotype" w:hAnsi="Palatino Linotype"/>
          <w:sz w:val="22"/>
          <w:szCs w:val="22"/>
        </w:rPr>
        <w:t xml:space="preserve">                6.00</w:t>
      </w:r>
      <w:r w:rsidR="004C350F">
        <w:rPr>
          <w:rFonts w:ascii="Palatino Linotype" w:hAnsi="Palatino Linotype"/>
          <w:sz w:val="22"/>
          <w:szCs w:val="22"/>
        </w:rPr>
        <w:t xml:space="preserve"> </w:t>
      </w:r>
      <w:r w:rsidRPr="00FF540B">
        <w:rPr>
          <w:rFonts w:ascii="Palatino Linotype" w:hAnsi="Palatino Linotype"/>
          <w:sz w:val="22"/>
          <w:szCs w:val="22"/>
        </w:rPr>
        <w:t>m</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b/>
          <w:bCs/>
          <w:sz w:val="22"/>
          <w:szCs w:val="22"/>
        </w:rPr>
        <w:t xml:space="preserve">Artículo 8.- De las obras a ejecutarse.- </w:t>
      </w:r>
      <w:r w:rsidRPr="00FF540B">
        <w:rPr>
          <w:rFonts w:ascii="Palatino Linotype" w:hAnsi="Palatino Linotype"/>
          <w:sz w:val="22"/>
          <w:szCs w:val="22"/>
        </w:rPr>
        <w:t xml:space="preserve">Las obras a ejecutarse en el Asentamiento Humano de Hecho y Consolidado de Interés Social, son las siguientes: </w:t>
      </w:r>
    </w:p>
    <w:p w:rsidR="00F049FB" w:rsidRPr="00FF540B" w:rsidRDefault="00F049FB" w:rsidP="00F049FB">
      <w:pPr>
        <w:spacing w:after="120" w:line="276" w:lineRule="auto"/>
        <w:jc w:val="both"/>
        <w:rPr>
          <w:rFonts w:ascii="Palatino Linotype" w:hAnsi="Palatino Linotype"/>
          <w:sz w:val="22"/>
          <w:szCs w:val="22"/>
        </w:rPr>
      </w:pPr>
      <w:r w:rsidRPr="00FF540B">
        <w:rPr>
          <w:rFonts w:ascii="Palatino Linotype" w:hAnsi="Palatino Linotype"/>
          <w:sz w:val="22"/>
          <w:szCs w:val="22"/>
        </w:rPr>
        <w:t>Calzadas                      100%</w:t>
      </w:r>
    </w:p>
    <w:p w:rsidR="00F049FB" w:rsidRPr="00FF540B" w:rsidRDefault="00F049FB" w:rsidP="00F049FB">
      <w:pPr>
        <w:spacing w:after="120" w:line="276" w:lineRule="auto"/>
        <w:jc w:val="both"/>
        <w:rPr>
          <w:rFonts w:ascii="Palatino Linotype" w:hAnsi="Palatino Linotype"/>
          <w:iCs/>
          <w:sz w:val="22"/>
          <w:szCs w:val="22"/>
        </w:rPr>
      </w:pPr>
      <w:r w:rsidRPr="00FF540B">
        <w:rPr>
          <w:rFonts w:ascii="Palatino Linotype" w:hAnsi="Palatino Linotype"/>
          <w:b/>
          <w:bCs/>
          <w:sz w:val="22"/>
          <w:szCs w:val="22"/>
        </w:rPr>
        <w:t>Artículo 9.- Del plazo de ejecución de las obras.-</w:t>
      </w:r>
      <w:r w:rsidRPr="00FF540B">
        <w:rPr>
          <w:rFonts w:ascii="Palatino Linotype" w:hAnsi="Palatino Linotype"/>
          <w:sz w:val="22"/>
          <w:szCs w:val="22"/>
          <w:lang w:val="es-EC"/>
        </w:rPr>
        <w:t xml:space="preserve">El plazo de ejecución de la totalidad de las obras civiles y de infraestructura, será de cuatro (4) años, </w:t>
      </w:r>
      <w:r w:rsidRPr="00FF540B">
        <w:rPr>
          <w:rFonts w:ascii="Palatino Linotype" w:hAnsi="Palatino Linotype"/>
          <w:iCs/>
          <w:sz w:val="22"/>
          <w:szCs w:val="22"/>
        </w:rPr>
        <w:t xml:space="preserve">de conformidad al cronograma de obras presentado por </w:t>
      </w:r>
      <w:r w:rsidRPr="00FF540B">
        <w:rPr>
          <w:rFonts w:ascii="Palatino Linotype" w:hAnsi="Palatino Linotype"/>
          <w:color w:val="0D0D0D"/>
          <w:sz w:val="22"/>
          <w:szCs w:val="22"/>
        </w:rPr>
        <w:t xml:space="preserve">los copropietarios del inmueble donde se ubica </w:t>
      </w:r>
      <w:r w:rsidRPr="00FF540B">
        <w:rPr>
          <w:rFonts w:ascii="Palatino Linotype" w:hAnsi="Palatino Linotype"/>
          <w:sz w:val="22"/>
          <w:szCs w:val="22"/>
        </w:rPr>
        <w:t>el Asentamiento Humano de Hecho y Consolidado de Interés Social</w:t>
      </w:r>
      <w:r w:rsidRPr="00FF540B">
        <w:rPr>
          <w:rFonts w:ascii="Palatino Linotype" w:hAnsi="Palatino Linotype"/>
          <w:b/>
          <w:sz w:val="22"/>
          <w:szCs w:val="22"/>
        </w:rPr>
        <w:t xml:space="preserve">, </w:t>
      </w:r>
      <w:r w:rsidRPr="00FF540B">
        <w:rPr>
          <w:rFonts w:ascii="Palatino Linotype" w:hAnsi="Palatino Linotype"/>
          <w:iCs/>
          <w:sz w:val="22"/>
          <w:szCs w:val="22"/>
        </w:rPr>
        <w:t xml:space="preserve">plazo que se contará a partir de la fecha </w:t>
      </w:r>
      <w:r w:rsidRPr="00FF540B">
        <w:rPr>
          <w:rFonts w:ascii="Palatino Linotype" w:hAnsi="Palatino Linotype"/>
          <w:iCs/>
          <w:sz w:val="22"/>
          <w:szCs w:val="22"/>
        </w:rPr>
        <w:lastRenderedPageBreak/>
        <w:t>de inscripción de la presente Ordenanza en el Registro de la Propiedad del Distrito Metropolitano de Quito.</w:t>
      </w:r>
    </w:p>
    <w:p w:rsidR="00F049FB" w:rsidRPr="00FF540B" w:rsidRDefault="00F049FB" w:rsidP="00F049FB">
      <w:pPr>
        <w:spacing w:after="120" w:line="276" w:lineRule="auto"/>
        <w:jc w:val="both"/>
        <w:rPr>
          <w:rFonts w:ascii="Palatino Linotype" w:hAnsi="Palatino Linotype"/>
          <w:iCs/>
          <w:sz w:val="22"/>
          <w:szCs w:val="22"/>
        </w:rPr>
      </w:pPr>
      <w:r w:rsidRPr="00FF540B">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F049FB" w:rsidRPr="00FF540B" w:rsidRDefault="00F049FB" w:rsidP="00F049FB">
      <w:pPr>
        <w:spacing w:after="120" w:line="276" w:lineRule="auto"/>
        <w:jc w:val="both"/>
        <w:rPr>
          <w:rFonts w:ascii="Palatino Linotype" w:hAnsi="Palatino Linotype"/>
          <w:color w:val="2A2A2A"/>
          <w:sz w:val="22"/>
          <w:szCs w:val="22"/>
        </w:rPr>
      </w:pPr>
      <w:r w:rsidRPr="00FF540B">
        <w:rPr>
          <w:rFonts w:ascii="Palatino Linotype" w:hAnsi="Palatino Linotype"/>
          <w:b/>
          <w:bCs/>
          <w:sz w:val="22"/>
          <w:szCs w:val="22"/>
        </w:rPr>
        <w:t>Artículo 10</w:t>
      </w:r>
      <w:r w:rsidRPr="00FF540B">
        <w:rPr>
          <w:rFonts w:ascii="Palatino Linotype" w:hAnsi="Palatino Linotype"/>
          <w:b/>
          <w:bCs/>
          <w:sz w:val="22"/>
          <w:szCs w:val="22"/>
          <w:lang w:val="es-ES_tradnl"/>
        </w:rPr>
        <w:t xml:space="preserve">.- Del control de ejecución de las obras.- </w:t>
      </w:r>
      <w:r w:rsidRPr="00FF540B">
        <w:rPr>
          <w:rFonts w:ascii="Palatino Linotype" w:hAnsi="Palatino Linotype"/>
          <w:sz w:val="22"/>
          <w:szCs w:val="22"/>
          <w:lang w:val="es-EC"/>
        </w:rPr>
        <w:t>La Administración Zonal La Delicia</w:t>
      </w:r>
      <w:r w:rsidRPr="00FF540B">
        <w:rPr>
          <w:rFonts w:ascii="Palatino Linotype" w:hAnsi="Palatino Linotype"/>
          <w:color w:val="2A2A2A"/>
          <w:sz w:val="22"/>
          <w:szCs w:val="22"/>
        </w:rPr>
        <w:t xml:space="preserve"> </w:t>
      </w:r>
      <w:r w:rsidRPr="00FF540B">
        <w:rPr>
          <w:rFonts w:ascii="Palatino Linotype" w:hAnsi="Palatino Linotype"/>
          <w:iCs/>
          <w:sz w:val="22"/>
          <w:szCs w:val="22"/>
          <w:lang w:val="es-EC"/>
        </w:rPr>
        <w:t>r</w:t>
      </w:r>
      <w:r w:rsidRPr="00FF540B">
        <w:rPr>
          <w:rFonts w:ascii="Palatino Linotype" w:hAnsi="Palatino Linotype"/>
          <w:sz w:val="22"/>
          <w:szCs w:val="22"/>
          <w:lang w:val="es-EC"/>
        </w:rPr>
        <w:t xml:space="preserve">ealizará el seguimiento en la ejecución y avance de las obras civiles y de infraestructura hasta la terminación de las mismas, </w:t>
      </w:r>
      <w:r w:rsidRPr="00FF540B">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FF540B">
        <w:rPr>
          <w:rFonts w:ascii="Palatino Linotype" w:hAnsi="Palatino Linotype"/>
          <w:color w:val="2A2A2A"/>
          <w:sz w:val="22"/>
          <w:szCs w:val="22"/>
        </w:rPr>
        <w:t>.</w:t>
      </w:r>
    </w:p>
    <w:p w:rsidR="00F049FB" w:rsidRPr="00FF540B" w:rsidRDefault="00F049FB" w:rsidP="00F049FB">
      <w:pPr>
        <w:shd w:val="clear" w:color="auto" w:fill="FFFFFF"/>
        <w:spacing w:after="120" w:line="276" w:lineRule="auto"/>
        <w:jc w:val="both"/>
        <w:rPr>
          <w:rFonts w:ascii="Palatino Linotype" w:hAnsi="Palatino Linotype"/>
          <w:sz w:val="22"/>
          <w:szCs w:val="22"/>
        </w:rPr>
      </w:pPr>
      <w:r w:rsidRPr="00FF540B">
        <w:rPr>
          <w:rFonts w:ascii="Palatino Linotype" w:hAnsi="Palatino Linotype"/>
          <w:b/>
          <w:bCs/>
          <w:sz w:val="22"/>
          <w:szCs w:val="22"/>
        </w:rPr>
        <w:t>Artículo</w:t>
      </w:r>
      <w:r w:rsidRPr="00FF540B">
        <w:rPr>
          <w:rFonts w:ascii="Palatino Linotype" w:hAnsi="Palatino Linotype"/>
          <w:b/>
          <w:bCs/>
          <w:sz w:val="22"/>
          <w:szCs w:val="22"/>
          <w:lang w:val="es-ES_tradnl"/>
        </w:rPr>
        <w:t xml:space="preserve"> 11.- De la multa por retraso en ejecución de obras.- </w:t>
      </w:r>
      <w:r w:rsidRPr="00FF540B">
        <w:rPr>
          <w:rFonts w:ascii="Palatino Linotype" w:hAnsi="Palatino Linotype"/>
          <w:sz w:val="22"/>
          <w:szCs w:val="22"/>
          <w:lang w:val="es-ES_tradnl"/>
        </w:rPr>
        <w:t xml:space="preserve">En caso de retraso en la ejecución de las obras </w:t>
      </w:r>
      <w:r w:rsidRPr="00FF540B">
        <w:rPr>
          <w:rFonts w:ascii="Palatino Linotype" w:hAnsi="Palatino Linotype"/>
          <w:sz w:val="22"/>
          <w:szCs w:val="22"/>
          <w:lang w:val="es-EC"/>
        </w:rPr>
        <w:t>obras civiles y de infraestructura</w:t>
      </w:r>
      <w:r w:rsidRPr="00FF540B">
        <w:rPr>
          <w:rFonts w:ascii="Palatino Linotype" w:hAnsi="Palatino Linotype"/>
          <w:sz w:val="22"/>
          <w:szCs w:val="22"/>
          <w:lang w:val="es-ES_tradnl"/>
        </w:rPr>
        <w:t>,</w:t>
      </w:r>
      <w:r w:rsidRPr="00FF540B">
        <w:rPr>
          <w:rFonts w:ascii="Palatino Linotype" w:hAnsi="Palatino Linotype"/>
          <w:color w:val="0D0D0D"/>
          <w:sz w:val="22"/>
          <w:szCs w:val="22"/>
        </w:rPr>
        <w:t xml:space="preserve"> los copropietarios del inmueble sobre el cual se ubica </w:t>
      </w:r>
      <w:r w:rsidRPr="00FF540B">
        <w:rPr>
          <w:rFonts w:ascii="Palatino Linotype" w:hAnsi="Palatino Linotype"/>
          <w:sz w:val="22"/>
          <w:szCs w:val="22"/>
        </w:rPr>
        <w:t xml:space="preserve">el Asentamiento </w:t>
      </w:r>
      <w:r w:rsidRPr="00FF540B">
        <w:rPr>
          <w:rFonts w:ascii="Palatino Linotype" w:hAnsi="Palatino Linotype"/>
          <w:sz w:val="22"/>
          <w:szCs w:val="22"/>
          <w:lang w:val="es-EC"/>
        </w:rPr>
        <w:t>Humano de hecho y Consolidado de Interés Social denominado Comité Pro Mejoras “Los Hemisferios”, se sujetará</w:t>
      </w:r>
      <w:r w:rsidRPr="00FF540B">
        <w:rPr>
          <w:rFonts w:ascii="Palatino Linotype" w:hAnsi="Palatino Linotype"/>
          <w:bCs/>
          <w:color w:val="000000"/>
          <w:sz w:val="22"/>
          <w:szCs w:val="22"/>
        </w:rPr>
        <w:t xml:space="preserve"> a las sanciones contempladas en el Ordenamiento Jurídico Nacional y Metropolitano.</w:t>
      </w:r>
    </w:p>
    <w:p w:rsidR="00F049FB" w:rsidRPr="00FF540B" w:rsidRDefault="00F049FB" w:rsidP="00F049FB">
      <w:pPr>
        <w:pStyle w:val="Textoindependiente"/>
        <w:tabs>
          <w:tab w:val="left" w:pos="1306"/>
        </w:tabs>
        <w:spacing w:line="276" w:lineRule="auto"/>
        <w:jc w:val="both"/>
        <w:rPr>
          <w:rFonts w:ascii="Palatino Linotype" w:hAnsi="Palatino Linotype"/>
          <w:b/>
          <w:bCs/>
          <w:sz w:val="22"/>
          <w:szCs w:val="22"/>
        </w:rPr>
      </w:pPr>
      <w:r w:rsidRPr="00FF540B">
        <w:rPr>
          <w:rFonts w:ascii="Palatino Linotype" w:hAnsi="Palatino Linotype"/>
          <w:b/>
          <w:bCs/>
          <w:iCs/>
          <w:sz w:val="22"/>
          <w:szCs w:val="22"/>
        </w:rPr>
        <w:t xml:space="preserve">Artículo 12.- De la garantía de ejecución de las obras.- </w:t>
      </w:r>
      <w:r w:rsidRPr="00FF540B">
        <w:rPr>
          <w:rFonts w:ascii="Palatino Linotype" w:hAnsi="Palatino Linotype"/>
          <w:sz w:val="22"/>
          <w:szCs w:val="22"/>
        </w:rPr>
        <w:t xml:space="preserve">Los lotes producto de fraccionamiento donde se encuentra ubicado el Asentamiento </w:t>
      </w:r>
      <w:r w:rsidRPr="00FF540B">
        <w:rPr>
          <w:rFonts w:ascii="Palatino Linotype" w:hAnsi="Palatino Linotype"/>
          <w:sz w:val="22"/>
          <w:szCs w:val="22"/>
          <w:lang w:val="es-EC"/>
        </w:rPr>
        <w:t>Humano de hecho y Consolidado de Interés Social denominado Comité Pro Mejoras “Los Hemisferios”</w:t>
      </w:r>
      <w:r w:rsidRPr="00FF540B">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FF540B">
        <w:rPr>
          <w:rFonts w:ascii="Palatino Linotype" w:hAnsi="Palatino Linotype"/>
          <w:sz w:val="22"/>
          <w:szCs w:val="22"/>
          <w:lang w:val="es-EC"/>
        </w:rPr>
        <w:t xml:space="preserve"> civiles y de infraestructura</w:t>
      </w:r>
    </w:p>
    <w:p w:rsidR="00F049FB" w:rsidRPr="00FF540B" w:rsidRDefault="00F049FB" w:rsidP="00F049FB">
      <w:pPr>
        <w:pStyle w:val="Textoindependiente"/>
        <w:tabs>
          <w:tab w:val="left" w:pos="1306"/>
        </w:tabs>
        <w:spacing w:line="276" w:lineRule="auto"/>
        <w:jc w:val="both"/>
        <w:rPr>
          <w:rFonts w:ascii="Palatino Linotype" w:hAnsi="Palatino Linotype"/>
          <w:sz w:val="22"/>
          <w:szCs w:val="22"/>
          <w:lang w:val="es-ES_tradnl"/>
        </w:rPr>
      </w:pPr>
      <w:r w:rsidRPr="00FF540B">
        <w:rPr>
          <w:rFonts w:ascii="Palatino Linotype" w:hAnsi="Palatino Linotype"/>
          <w:b/>
          <w:bCs/>
          <w:sz w:val="22"/>
          <w:szCs w:val="22"/>
        </w:rPr>
        <w:t>Artículo</w:t>
      </w:r>
      <w:r w:rsidRPr="00FF540B">
        <w:rPr>
          <w:rFonts w:ascii="Palatino Linotype" w:hAnsi="Palatino Linotype"/>
          <w:b/>
          <w:bCs/>
          <w:sz w:val="22"/>
          <w:szCs w:val="22"/>
          <w:lang w:val="es-ES_tradnl"/>
        </w:rPr>
        <w:t xml:space="preserve"> 13</w:t>
      </w:r>
      <w:r w:rsidR="004C350F">
        <w:rPr>
          <w:rFonts w:ascii="Palatino Linotype" w:hAnsi="Palatino Linotype"/>
          <w:b/>
          <w:bCs/>
          <w:sz w:val="22"/>
          <w:szCs w:val="22"/>
          <w:lang w:val="es-ES_tradnl"/>
        </w:rPr>
        <w:t>.- De la p</w:t>
      </w:r>
      <w:r w:rsidRPr="00FF540B">
        <w:rPr>
          <w:rFonts w:ascii="Palatino Linotype" w:hAnsi="Palatino Linotype"/>
          <w:b/>
          <w:bCs/>
          <w:sz w:val="22"/>
          <w:szCs w:val="22"/>
          <w:lang w:val="es-ES_tradnl"/>
        </w:rPr>
        <w:t xml:space="preserve">rotocolización e inscripción de la Ordenanza.- </w:t>
      </w:r>
      <w:r w:rsidRPr="00FF540B">
        <w:rPr>
          <w:rFonts w:ascii="Palatino Linotype" w:hAnsi="Palatino Linotype"/>
          <w:bCs/>
          <w:sz w:val="22"/>
          <w:szCs w:val="22"/>
          <w:lang w:val="es-ES_tradnl"/>
        </w:rPr>
        <w:t>L</w:t>
      </w:r>
      <w:r w:rsidRPr="00FF540B">
        <w:rPr>
          <w:rFonts w:ascii="Palatino Linotype" w:hAnsi="Palatino Linotype"/>
          <w:sz w:val="22"/>
          <w:szCs w:val="22"/>
          <w:lang w:val="es-EC"/>
        </w:rPr>
        <w:t xml:space="preserve">os copropietarios del predio del Asentamiento Humano de Hecho y Consolidado de Interés Social denominado Comité Pro Mejoras “Los Hemisferios”, deberán protocolizar la presente Ordenanza ante Notario Público e inscribirla en el Registro de la Propiedad del Distrito Metropolitano de Quito, </w:t>
      </w:r>
      <w:r w:rsidRPr="00FF540B">
        <w:rPr>
          <w:rFonts w:ascii="Palatino Linotype" w:hAnsi="Palatino Linotype"/>
          <w:sz w:val="22"/>
          <w:szCs w:val="22"/>
          <w:lang w:val="es-ES_tradnl"/>
        </w:rPr>
        <w:t>con todos sus documentos habilitantes</w:t>
      </w:r>
      <w:r w:rsidRPr="00FF540B">
        <w:rPr>
          <w:rFonts w:ascii="Palatino Linotype" w:hAnsi="Palatino Linotype"/>
          <w:sz w:val="22"/>
          <w:szCs w:val="22"/>
          <w:lang w:val="es-EC"/>
        </w:rPr>
        <w:t>.</w:t>
      </w:r>
    </w:p>
    <w:p w:rsidR="00F049FB" w:rsidRPr="00FF540B" w:rsidRDefault="00F049FB" w:rsidP="00F049FB">
      <w:pPr>
        <w:spacing w:after="120" w:line="276" w:lineRule="auto"/>
        <w:ind w:left="1"/>
        <w:jc w:val="both"/>
        <w:rPr>
          <w:rFonts w:ascii="Palatino Linotype" w:hAnsi="Palatino Linotype"/>
          <w:bCs/>
          <w:sz w:val="22"/>
          <w:szCs w:val="22"/>
          <w:lang w:val="es-ES_tradnl"/>
        </w:rPr>
      </w:pPr>
      <w:r w:rsidRPr="00FF540B">
        <w:rPr>
          <w:rFonts w:ascii="Palatino Linotype" w:hAnsi="Palatino Linotype"/>
          <w:bCs/>
          <w:sz w:val="22"/>
          <w:szCs w:val="22"/>
          <w:lang w:val="es-ES_tradnl"/>
        </w:rPr>
        <w:t>En caso no legalizar la presente ordenanza, ésta caducará conforme lo determinado en la normativa nacional vigente.</w:t>
      </w:r>
    </w:p>
    <w:p w:rsidR="00F049FB" w:rsidRPr="00FF540B" w:rsidRDefault="00F049FB" w:rsidP="00F049FB">
      <w:pPr>
        <w:spacing w:after="120" w:line="276" w:lineRule="auto"/>
        <w:ind w:left="1"/>
        <w:jc w:val="both"/>
        <w:rPr>
          <w:rFonts w:ascii="Palatino Linotype" w:hAnsi="Palatino Linotype"/>
          <w:sz w:val="22"/>
          <w:szCs w:val="22"/>
          <w:lang w:val="es-ES_tradnl"/>
        </w:rPr>
      </w:pPr>
      <w:r w:rsidRPr="00FF540B">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049FB" w:rsidRPr="00FF540B" w:rsidRDefault="00F049FB" w:rsidP="00F049FB">
      <w:pPr>
        <w:pStyle w:val="Textoindependiente"/>
        <w:tabs>
          <w:tab w:val="left" w:pos="1306"/>
        </w:tabs>
        <w:spacing w:line="276" w:lineRule="auto"/>
        <w:jc w:val="both"/>
        <w:rPr>
          <w:rFonts w:ascii="Palatino Linotype" w:hAnsi="Palatino Linotype"/>
          <w:sz w:val="22"/>
          <w:szCs w:val="22"/>
          <w:lang w:val="es-ES_tradnl"/>
        </w:rPr>
      </w:pPr>
      <w:r w:rsidRPr="00FF540B">
        <w:rPr>
          <w:rFonts w:ascii="Palatino Linotype" w:hAnsi="Palatino Linotype"/>
          <w:b/>
          <w:bCs/>
          <w:sz w:val="22"/>
          <w:szCs w:val="22"/>
          <w:lang w:val="es-ES_tradnl"/>
        </w:rPr>
        <w:t>Artículo 14.- De la partición y adjudicación.-</w:t>
      </w:r>
      <w:r w:rsidRPr="00FF540B">
        <w:rPr>
          <w:rFonts w:ascii="Palatino Linotype" w:hAnsi="Palatino Linotype" w:cs="Arial"/>
          <w:b/>
          <w:bCs/>
          <w:color w:val="000000" w:themeColor="text1"/>
          <w:sz w:val="22"/>
          <w:szCs w:val="22"/>
          <w:lang w:val="es-ES_tradnl"/>
        </w:rPr>
        <w:t xml:space="preserve"> </w:t>
      </w:r>
      <w:r w:rsidRPr="00FF540B">
        <w:rPr>
          <w:rFonts w:ascii="Palatino Linotype" w:hAnsi="Palatino Linotype"/>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w:t>
      </w:r>
      <w:r w:rsidRPr="00FF540B">
        <w:rPr>
          <w:rFonts w:ascii="Palatino Linotype" w:hAnsi="Palatino Linotype"/>
          <w:sz w:val="22"/>
          <w:szCs w:val="22"/>
          <w:lang w:val="es-ES_tradnl"/>
        </w:rPr>
        <w:lastRenderedPageBreak/>
        <w:t>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F049FB" w:rsidRPr="00FF540B" w:rsidRDefault="00F049FB" w:rsidP="00F049FB">
      <w:pPr>
        <w:spacing w:after="120" w:line="276" w:lineRule="auto"/>
        <w:jc w:val="both"/>
        <w:rPr>
          <w:rFonts w:ascii="Palatino Linotype" w:hAnsi="Palatino Linotype"/>
          <w:bCs/>
          <w:sz w:val="22"/>
          <w:szCs w:val="22"/>
          <w:lang w:val="es-ES_tradnl"/>
        </w:rPr>
      </w:pPr>
      <w:r w:rsidRPr="00FF540B">
        <w:rPr>
          <w:rFonts w:ascii="Palatino Linotype" w:hAnsi="Palatino Linotype"/>
          <w:b/>
          <w:bCs/>
          <w:sz w:val="22"/>
          <w:szCs w:val="22"/>
          <w:lang w:val="es-ES_tradnl"/>
        </w:rPr>
        <w:t xml:space="preserve">Artículo 15.- Solicitudes de ampliación de plazo.- </w:t>
      </w:r>
      <w:r w:rsidRPr="00FF540B">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049FB" w:rsidRPr="00F049FB" w:rsidRDefault="00F049FB" w:rsidP="00DA18B1">
      <w:pPr>
        <w:spacing w:after="120" w:line="276" w:lineRule="auto"/>
        <w:jc w:val="both"/>
        <w:rPr>
          <w:rFonts w:ascii="Palatino Linotype" w:hAnsi="Palatino Linotype"/>
          <w:bCs/>
          <w:sz w:val="22"/>
          <w:szCs w:val="22"/>
          <w:lang w:val="es-ES_tradnl"/>
        </w:rPr>
      </w:pPr>
      <w:r w:rsidRPr="00FF540B">
        <w:rPr>
          <w:rFonts w:ascii="Palatino Linotype" w:hAnsi="Palatino Linotype"/>
          <w:b/>
          <w:bCs/>
          <w:sz w:val="22"/>
          <w:szCs w:val="22"/>
          <w:lang w:val="es-ES_tradnl"/>
        </w:rPr>
        <w:t>Artículo 16.- Potestad de ejecución.-</w:t>
      </w:r>
      <w:r w:rsidRPr="00FF540B">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bookmarkStart w:id="0" w:name="_GoBack"/>
      <w:bookmarkEnd w:id="0"/>
    </w:p>
    <w:p w:rsidR="00A654C3" w:rsidRPr="0076281E" w:rsidRDefault="00A654C3" w:rsidP="00DA18B1">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Pr="003C15E1" w:rsidRDefault="0013600D" w:rsidP="00DA18B1">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F049FB">
        <w:rPr>
          <w:rFonts w:ascii="Palatino Linotype" w:eastAsia="MS Mincho" w:hAnsi="Palatino Linotype" w:cs="Arial"/>
          <w:sz w:val="22"/>
          <w:szCs w:val="22"/>
        </w:rPr>
        <w:t xml:space="preserve">15 de junio </w:t>
      </w:r>
      <w:r w:rsidR="00DA18B1">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70" w:rsidRDefault="00A62870">
      <w:r>
        <w:separator/>
      </w:r>
    </w:p>
  </w:endnote>
  <w:endnote w:type="continuationSeparator" w:id="0">
    <w:p w:rsidR="00A62870" w:rsidRDefault="00A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418E">
      <w:rPr>
        <w:b/>
        <w:noProof/>
      </w:rPr>
      <w:t>18</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4C350F">
      <w:rPr>
        <w:rFonts w:ascii="Palatino Linotype" w:hAnsi="Palatino Linotype"/>
        <w:b/>
        <w:noProof/>
        <w:sz w:val="22"/>
        <w:szCs w:val="22"/>
      </w:rPr>
      <w:t>12</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DA18B1">
      <w:rPr>
        <w:rFonts w:ascii="Palatino Linotype" w:hAnsi="Palatino Linotype"/>
        <w:b/>
        <w:sz w:val="22"/>
        <w:szCs w:val="22"/>
      </w:rPr>
      <w:t>2</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4C350F">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DA18B1">
      <w:rPr>
        <w:rFonts w:ascii="Palatino Linotype" w:hAnsi="Palatino Linotype"/>
        <w:b/>
        <w:sz w:val="22"/>
        <w:szCs w:val="22"/>
      </w:rPr>
      <w:t>2</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70" w:rsidRDefault="00A62870">
      <w:r>
        <w:separator/>
      </w:r>
    </w:p>
  </w:footnote>
  <w:footnote w:type="continuationSeparator" w:id="0">
    <w:p w:rsidR="00A62870" w:rsidRDefault="00A6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8C64F26"/>
    <w:multiLevelType w:val="hybridMultilevel"/>
    <w:tmpl w:val="68920384"/>
    <w:lvl w:ilvl="0" w:tplc="A43AD880">
      <w:start w:val="17"/>
      <w:numFmt w:val="bullet"/>
      <w:lvlText w:val="-"/>
      <w:lvlJc w:val="left"/>
      <w:pPr>
        <w:ind w:left="1068" w:hanging="360"/>
      </w:pPr>
      <w:rPr>
        <w:rFonts w:ascii="Palatino Linotype" w:eastAsia="Times New Roman" w:hAnsi="Palatino Linotype" w:cs="Times New Roman" w:hint="default"/>
        <w:i w:val="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6">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1"/>
  </w:num>
  <w:num w:numId="5">
    <w:abstractNumId w:val="9"/>
  </w:num>
  <w:num w:numId="6">
    <w:abstractNumId w:val="37"/>
  </w:num>
  <w:num w:numId="7">
    <w:abstractNumId w:val="17"/>
  </w:num>
  <w:num w:numId="8">
    <w:abstractNumId w:val="22"/>
  </w:num>
  <w:num w:numId="9">
    <w:abstractNumId w:val="20"/>
  </w:num>
  <w:num w:numId="10">
    <w:abstractNumId w:val="2"/>
  </w:num>
  <w:num w:numId="11">
    <w:abstractNumId w:val="36"/>
  </w:num>
  <w:num w:numId="12">
    <w:abstractNumId w:val="28"/>
  </w:num>
  <w:num w:numId="13">
    <w:abstractNumId w:val="12"/>
  </w:num>
  <w:num w:numId="14">
    <w:abstractNumId w:val="32"/>
  </w:num>
  <w:num w:numId="15">
    <w:abstractNumId w:val="5"/>
  </w:num>
  <w:num w:numId="16">
    <w:abstractNumId w:val="39"/>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8"/>
  </w:num>
  <w:num w:numId="26">
    <w:abstractNumId w:val="27"/>
  </w:num>
  <w:num w:numId="27">
    <w:abstractNumId w:val="26"/>
  </w:num>
  <w:num w:numId="28">
    <w:abstractNumId w:val="16"/>
  </w:num>
  <w:num w:numId="29">
    <w:abstractNumId w:val="7"/>
  </w:num>
  <w:num w:numId="30">
    <w:abstractNumId w:val="4"/>
  </w:num>
  <w:num w:numId="31">
    <w:abstractNumId w:val="40"/>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B4C55"/>
    <w:rsid w:val="001C2217"/>
    <w:rsid w:val="001C525E"/>
    <w:rsid w:val="001C55D3"/>
    <w:rsid w:val="001C75F4"/>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B27"/>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96B51"/>
    <w:rsid w:val="004C350F"/>
    <w:rsid w:val="004D35A7"/>
    <w:rsid w:val="004F6F68"/>
    <w:rsid w:val="00506B01"/>
    <w:rsid w:val="00511A9B"/>
    <w:rsid w:val="00520E1B"/>
    <w:rsid w:val="00526191"/>
    <w:rsid w:val="005359C2"/>
    <w:rsid w:val="00546F26"/>
    <w:rsid w:val="005475EE"/>
    <w:rsid w:val="00555C0E"/>
    <w:rsid w:val="00557A57"/>
    <w:rsid w:val="00591ED3"/>
    <w:rsid w:val="005D2B94"/>
    <w:rsid w:val="005D708A"/>
    <w:rsid w:val="005E2686"/>
    <w:rsid w:val="00606113"/>
    <w:rsid w:val="0061407B"/>
    <w:rsid w:val="006274AF"/>
    <w:rsid w:val="00644DB8"/>
    <w:rsid w:val="00660847"/>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14E9C"/>
    <w:rsid w:val="00924901"/>
    <w:rsid w:val="00927B50"/>
    <w:rsid w:val="00930448"/>
    <w:rsid w:val="00936A45"/>
    <w:rsid w:val="00955960"/>
    <w:rsid w:val="009750C0"/>
    <w:rsid w:val="009D2B5B"/>
    <w:rsid w:val="009D4744"/>
    <w:rsid w:val="009F50F8"/>
    <w:rsid w:val="009F70A7"/>
    <w:rsid w:val="00A25BE6"/>
    <w:rsid w:val="00A437A7"/>
    <w:rsid w:val="00A45897"/>
    <w:rsid w:val="00A4709D"/>
    <w:rsid w:val="00A62870"/>
    <w:rsid w:val="00A63EFB"/>
    <w:rsid w:val="00A6520D"/>
    <w:rsid w:val="00A654C3"/>
    <w:rsid w:val="00A77D40"/>
    <w:rsid w:val="00AF2F72"/>
    <w:rsid w:val="00B2554B"/>
    <w:rsid w:val="00B55856"/>
    <w:rsid w:val="00B65155"/>
    <w:rsid w:val="00B97F78"/>
    <w:rsid w:val="00BA599D"/>
    <w:rsid w:val="00BC5FD3"/>
    <w:rsid w:val="00BD0E3C"/>
    <w:rsid w:val="00BE31B4"/>
    <w:rsid w:val="00BF342B"/>
    <w:rsid w:val="00C15F19"/>
    <w:rsid w:val="00C4546C"/>
    <w:rsid w:val="00C472C7"/>
    <w:rsid w:val="00C649D7"/>
    <w:rsid w:val="00C76887"/>
    <w:rsid w:val="00C8272A"/>
    <w:rsid w:val="00CB2F61"/>
    <w:rsid w:val="00CC1416"/>
    <w:rsid w:val="00CD710B"/>
    <w:rsid w:val="00CE3557"/>
    <w:rsid w:val="00D25F6E"/>
    <w:rsid w:val="00D30211"/>
    <w:rsid w:val="00D35034"/>
    <w:rsid w:val="00DA18B1"/>
    <w:rsid w:val="00DA4B8C"/>
    <w:rsid w:val="00DB3496"/>
    <w:rsid w:val="00DD744F"/>
    <w:rsid w:val="00DE01FF"/>
    <w:rsid w:val="00DE3C84"/>
    <w:rsid w:val="00DE447D"/>
    <w:rsid w:val="00DF66B4"/>
    <w:rsid w:val="00E12100"/>
    <w:rsid w:val="00E13A19"/>
    <w:rsid w:val="00E62A50"/>
    <w:rsid w:val="00E62FDF"/>
    <w:rsid w:val="00EC0DB0"/>
    <w:rsid w:val="00F043D7"/>
    <w:rsid w:val="00F049FB"/>
    <w:rsid w:val="00F05B9F"/>
    <w:rsid w:val="00F173EA"/>
    <w:rsid w:val="00F27DAE"/>
    <w:rsid w:val="00F43388"/>
    <w:rsid w:val="00F61B37"/>
    <w:rsid w:val="00F70841"/>
    <w:rsid w:val="00F8381C"/>
    <w:rsid w:val="00F83A4E"/>
    <w:rsid w:val="00F8528F"/>
    <w:rsid w:val="00F853F8"/>
    <w:rsid w:val="00F9008F"/>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2EE1-490D-4E5D-B739-A53D0555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4502</Words>
  <Characters>24761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2018-07-12T19:37:00Z</cp:lastPrinted>
  <dcterms:created xsi:type="dcterms:W3CDTF">2018-07-26T13:50:00Z</dcterms:created>
  <dcterms:modified xsi:type="dcterms:W3CDTF">2018-07-26T14:40:00Z</dcterms:modified>
</cp:coreProperties>
</file>