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B4" w:rsidRPr="00414B52" w:rsidRDefault="006A60B4" w:rsidP="00414B52">
      <w:pPr>
        <w:spacing w:after="120" w:line="276" w:lineRule="auto"/>
        <w:jc w:val="center"/>
        <w:rPr>
          <w:rFonts w:ascii="Palatino Linotype" w:hAnsi="Palatino Linotype"/>
          <w:b/>
          <w:sz w:val="22"/>
          <w:szCs w:val="22"/>
        </w:rPr>
      </w:pPr>
      <w:r w:rsidRPr="00414B52">
        <w:rPr>
          <w:rFonts w:ascii="Palatino Linotype" w:hAnsi="Palatino Linotype"/>
          <w:b/>
          <w:sz w:val="22"/>
          <w:szCs w:val="22"/>
        </w:rPr>
        <w:t>EXPOSICIÓN DE MOTIVOS</w:t>
      </w:r>
    </w:p>
    <w:p w:rsidR="006A60B4" w:rsidRPr="00414B52" w:rsidRDefault="006A60B4" w:rsidP="00414B52">
      <w:pPr>
        <w:spacing w:after="120" w:line="276" w:lineRule="auto"/>
        <w:ind w:firstLine="708"/>
        <w:jc w:val="both"/>
        <w:rPr>
          <w:rFonts w:ascii="Palatino Linotype" w:eastAsia="Arial" w:hAnsi="Palatino Linotype"/>
          <w:i/>
          <w:sz w:val="22"/>
          <w:szCs w:val="22"/>
        </w:rPr>
      </w:pPr>
      <w:r w:rsidRPr="00414B52">
        <w:rPr>
          <w:rFonts w:ascii="Palatino Linotype" w:hAnsi="Palatino Linotype"/>
          <w:sz w:val="22"/>
          <w:szCs w:val="22"/>
        </w:rPr>
        <w:t>La Contraloría General del Estado, mediante informe de Auditoría Interna No. 003-</w:t>
      </w:r>
      <w:proofErr w:type="spellStart"/>
      <w:r w:rsidRPr="00414B52">
        <w:rPr>
          <w:rFonts w:ascii="Palatino Linotype" w:hAnsi="Palatino Linotype"/>
          <w:sz w:val="22"/>
          <w:szCs w:val="22"/>
        </w:rPr>
        <w:t>AI</w:t>
      </w:r>
      <w:proofErr w:type="spellEnd"/>
      <w:r w:rsidRPr="00414B52">
        <w:rPr>
          <w:rFonts w:ascii="Palatino Linotype" w:hAnsi="Palatino Linotype"/>
          <w:sz w:val="22"/>
          <w:szCs w:val="22"/>
        </w:rPr>
        <w:t>-2003, recomendó que se implementen todas las acciones que viabilicen la racionalización de la denominada tasa de recolección de basura;  recomendación que, de conformidad con lo establecido en el artículo 92 de la Ley Orgánica de la Contraloría General del Estado, debe ser aplicada con el carácter de obligatorio</w:t>
      </w:r>
      <w:r w:rsidR="00414B52">
        <w:rPr>
          <w:rFonts w:ascii="Palatino Linotype" w:hAnsi="Palatino Linotype"/>
          <w:sz w:val="22"/>
          <w:szCs w:val="22"/>
        </w:rPr>
        <w:t>.</w:t>
      </w:r>
    </w:p>
    <w:p w:rsidR="006A60B4" w:rsidRPr="00414B52" w:rsidRDefault="006A60B4" w:rsidP="00414B52">
      <w:pPr>
        <w:spacing w:after="120" w:line="276" w:lineRule="auto"/>
        <w:ind w:firstLine="708"/>
        <w:jc w:val="both"/>
        <w:rPr>
          <w:rFonts w:ascii="Palatino Linotype" w:eastAsia="Arial" w:hAnsi="Palatino Linotype"/>
          <w:i/>
          <w:sz w:val="22"/>
          <w:szCs w:val="22"/>
        </w:rPr>
      </w:pPr>
      <w:r w:rsidRPr="00414B52">
        <w:rPr>
          <w:rFonts w:ascii="Palatino Linotype" w:hAnsi="Palatino Linotype"/>
          <w:sz w:val="22"/>
          <w:szCs w:val="22"/>
        </w:rPr>
        <w:t xml:space="preserve">El Municipio del Distrito Metropolitano de Quito, a través de sus empresas públicas metropolitanas, ha desarrollado un nuevo modelo de gestión integral de residuos sólidos, modernizando el servicio a la ciudadanía a través de componentes como </w:t>
      </w:r>
      <w:proofErr w:type="spellStart"/>
      <w:r w:rsidRPr="00414B52">
        <w:rPr>
          <w:rFonts w:ascii="Palatino Linotype" w:hAnsi="Palatino Linotype"/>
          <w:sz w:val="22"/>
          <w:szCs w:val="22"/>
        </w:rPr>
        <w:t>contenerización</w:t>
      </w:r>
      <w:proofErr w:type="spellEnd"/>
      <w:r w:rsidRPr="00414B52">
        <w:rPr>
          <w:rFonts w:ascii="Palatino Linotype" w:hAnsi="Palatino Linotype"/>
          <w:sz w:val="22"/>
          <w:szCs w:val="22"/>
        </w:rPr>
        <w:t xml:space="preserve"> y adecuados sistemas de tratamiento y disposición final de residuos sólidos, lo que ha permitido ampliar la cobertura y mejorar la calidad en la prestación de los servicios con el consecuente incremento de costos operativos.  Sin embargo, existen terrenos inaccesibles  como las cumbres del Pichincha y del </w:t>
      </w:r>
      <w:proofErr w:type="spellStart"/>
      <w:r w:rsidRPr="00414B52">
        <w:rPr>
          <w:rFonts w:ascii="Palatino Linotype" w:hAnsi="Palatino Linotype"/>
          <w:sz w:val="22"/>
          <w:szCs w:val="22"/>
        </w:rPr>
        <w:t>Atacazo</w:t>
      </w:r>
      <w:proofErr w:type="spellEnd"/>
      <w:r w:rsidRPr="00414B52">
        <w:rPr>
          <w:rFonts w:ascii="Palatino Linotype" w:hAnsi="Palatino Linotype"/>
          <w:sz w:val="22"/>
          <w:szCs w:val="22"/>
        </w:rPr>
        <w:t xml:space="preserve"> en donde no es posible el tránsito vehicular, únicamente a pie o bicicleta, motivo que hace imposible realizar trabajos de limpieza en el sector y por tanto no es factible imponer un pago por la imposibilidad en la prestación del servicio</w:t>
      </w:r>
      <w:r w:rsidR="00414B52">
        <w:rPr>
          <w:rFonts w:ascii="Palatino Linotype" w:hAnsi="Palatino Linotype"/>
          <w:sz w:val="22"/>
          <w:szCs w:val="22"/>
        </w:rPr>
        <w:t>.</w:t>
      </w:r>
    </w:p>
    <w:p w:rsidR="006A60B4" w:rsidRPr="00414B52" w:rsidRDefault="006A60B4" w:rsidP="00414B52">
      <w:pPr>
        <w:spacing w:after="120" w:line="276" w:lineRule="auto"/>
        <w:ind w:firstLine="708"/>
        <w:jc w:val="both"/>
        <w:rPr>
          <w:rFonts w:ascii="Palatino Linotype" w:hAnsi="Palatino Linotype"/>
          <w:sz w:val="22"/>
          <w:szCs w:val="22"/>
        </w:rPr>
      </w:pPr>
      <w:r w:rsidRPr="00414B52">
        <w:rPr>
          <w:rFonts w:ascii="Palatino Linotype" w:hAnsi="Palatino Linotype"/>
          <w:sz w:val="22"/>
          <w:szCs w:val="22"/>
        </w:rPr>
        <w:t xml:space="preserve">Mediante Registro Oficial Suplemento No. 418, de 16 de enero de 2015, se publicó la Ley Orgánica del Servicio Público de Energía Eléctrica, en cuya Disposición General Tercera manda: </w:t>
      </w:r>
      <w:r w:rsidRPr="00414B52">
        <w:rPr>
          <w:rFonts w:ascii="Palatino Linotype" w:hAnsi="Palatino Linotype"/>
          <w:i/>
          <w:sz w:val="22"/>
          <w:szCs w:val="22"/>
        </w:rPr>
        <w:t xml:space="preserve">“(…) </w:t>
      </w:r>
      <w:r w:rsidRPr="00414B52">
        <w:rPr>
          <w:rFonts w:ascii="Palatino Linotype" w:hAnsi="Palatino Linotype"/>
          <w:b/>
          <w:i/>
          <w:sz w:val="22"/>
          <w:szCs w:val="22"/>
        </w:rPr>
        <w:t>Recaudación de terceros</w:t>
      </w:r>
      <w:r w:rsidRPr="00414B52">
        <w:rPr>
          <w:rFonts w:ascii="Palatino Linotype" w:hAnsi="Palatino Linotype"/>
          <w:i/>
          <w:sz w:val="22"/>
          <w:szCs w:val="22"/>
        </w:rPr>
        <w:t xml:space="preserve">.- Las empresas eléctricas de distribución y comercialización de energía eléctrica, de manera excepcional y motivada, y previa autorización del </w:t>
      </w:r>
      <w:proofErr w:type="spellStart"/>
      <w:r w:rsidRPr="00414B52">
        <w:rPr>
          <w:rFonts w:ascii="Palatino Linotype" w:hAnsi="Palatino Linotype"/>
          <w:i/>
          <w:sz w:val="22"/>
          <w:szCs w:val="22"/>
        </w:rPr>
        <w:t>ARCONEL</w:t>
      </w:r>
      <w:proofErr w:type="spellEnd"/>
      <w:r w:rsidRPr="00414B52">
        <w:rPr>
          <w:rFonts w:ascii="Palatino Linotype" w:hAnsi="Palatino Linotype"/>
          <w:i/>
          <w:sz w:val="22"/>
          <w:szCs w:val="22"/>
        </w:rPr>
        <w:t xml:space="preserve">, podrán acordar con los gobiernos autónomos descentralizados la recaudación de tasas por el servicio de recolección de basura. Estos valores constarán por separado en factura independiente (…)”. </w:t>
      </w:r>
      <w:r w:rsidRPr="00414B52">
        <w:rPr>
          <w:rFonts w:ascii="Palatino Linotype" w:hAnsi="Palatino Linotype"/>
          <w:sz w:val="22"/>
          <w:szCs w:val="22"/>
        </w:rPr>
        <w:t>En virtud de esta disposición se suscribieron dos convenios, el primero el 11 de enero de 2016 con una vigencia de 12 meses, y el segundo, el 21 de marzo de 2017, con un plazo de duración de 12 d</w:t>
      </w:r>
      <w:r w:rsidR="00414B52">
        <w:rPr>
          <w:rFonts w:ascii="Palatino Linotype" w:hAnsi="Palatino Linotype"/>
          <w:sz w:val="22"/>
          <w:szCs w:val="22"/>
        </w:rPr>
        <w:t>e enero al 31 de mayo de 2017.</w:t>
      </w:r>
    </w:p>
    <w:p w:rsidR="006A60B4" w:rsidRPr="00414B52" w:rsidRDefault="006A60B4" w:rsidP="00414B52">
      <w:pPr>
        <w:spacing w:after="120" w:line="276" w:lineRule="auto"/>
        <w:ind w:firstLine="708"/>
        <w:jc w:val="both"/>
        <w:rPr>
          <w:rFonts w:ascii="Palatino Linotype" w:eastAsia="Arial" w:hAnsi="Palatino Linotype"/>
          <w:i/>
          <w:sz w:val="22"/>
          <w:szCs w:val="22"/>
        </w:rPr>
      </w:pPr>
      <w:r w:rsidRPr="00414B52">
        <w:rPr>
          <w:rFonts w:ascii="Palatino Linotype" w:hAnsi="Palatino Linotype"/>
          <w:sz w:val="22"/>
          <w:szCs w:val="22"/>
        </w:rPr>
        <w:t xml:space="preserve">El Convenio No. SG-017-2016,  suscrito el 11 de enero de 2016, entre la Empresa Pública Metropolitana de Aseo suscrito con la Empresa Eléctrica Quito en la Cláusula Cuarta, numeral 4.2, </w:t>
      </w:r>
      <w:r w:rsidRPr="00414B52">
        <w:rPr>
          <w:rFonts w:ascii="Palatino Linotype" w:eastAsia="Arial" w:hAnsi="Palatino Linotype"/>
          <w:sz w:val="22"/>
          <w:szCs w:val="22"/>
        </w:rPr>
        <w:t xml:space="preserve">numeral 4.2.7, denominada Obligaciones de las Partes, se estableció que: </w:t>
      </w:r>
      <w:r w:rsidRPr="00414B52">
        <w:rPr>
          <w:rFonts w:ascii="Palatino Linotype" w:eastAsia="Arial" w:hAnsi="Palatino Linotype"/>
          <w:i/>
          <w:sz w:val="22"/>
          <w:szCs w:val="22"/>
        </w:rPr>
        <w:t>“</w:t>
      </w:r>
      <w:r w:rsidRPr="00414B52">
        <w:rPr>
          <w:rFonts w:ascii="Palatino Linotype" w:eastAsia="Arial" w:hAnsi="Palatino Linotype"/>
          <w:i/>
          <w:sz w:val="22"/>
          <w:szCs w:val="22"/>
          <w:u w:val="single"/>
        </w:rPr>
        <w:t>De ser necesario deberá iniciar gestiones necesarias ante Concejo Metropolitano tendientes a alinearse a las directrices del administrador del Contrato,</w:t>
      </w:r>
      <w:r w:rsidRPr="00414B52">
        <w:rPr>
          <w:rFonts w:ascii="Palatino Linotype" w:eastAsia="Arial" w:hAnsi="Palatino Linotype"/>
          <w:i/>
          <w:sz w:val="22"/>
          <w:szCs w:val="22"/>
        </w:rPr>
        <w:t xml:space="preserve"> </w:t>
      </w:r>
      <w:r w:rsidRPr="00414B52">
        <w:rPr>
          <w:rFonts w:ascii="Palatino Linotype" w:eastAsia="Arial" w:hAnsi="Palatino Linotype"/>
          <w:i/>
          <w:sz w:val="22"/>
          <w:szCs w:val="22"/>
          <w:u w:val="single"/>
        </w:rPr>
        <w:t xml:space="preserve">respecto de la homologación de la metodología de cálculo de la tasa de recolección de basura a nivel nacional, que se aplicaría en el </w:t>
      </w:r>
      <w:r w:rsidRPr="00414B52">
        <w:rPr>
          <w:rFonts w:ascii="Palatino Linotype" w:eastAsia="Arial" w:hAnsi="Palatino Linotype"/>
          <w:i/>
          <w:sz w:val="22"/>
          <w:szCs w:val="22"/>
          <w:u w:val="single"/>
        </w:rPr>
        <w:lastRenderedPageBreak/>
        <w:t>segundo semestre del año 2016</w:t>
      </w:r>
      <w:r w:rsidR="00414B52">
        <w:rPr>
          <w:rFonts w:ascii="Palatino Linotype" w:eastAsia="Arial" w:hAnsi="Palatino Linotype"/>
          <w:i/>
          <w:sz w:val="22"/>
          <w:szCs w:val="22"/>
        </w:rPr>
        <w:t>” (El subrayado me corresponde).</w:t>
      </w:r>
    </w:p>
    <w:p w:rsidR="006A60B4" w:rsidRPr="00414B52" w:rsidRDefault="006A60B4" w:rsidP="00414B52">
      <w:pPr>
        <w:spacing w:after="120" w:line="276" w:lineRule="auto"/>
        <w:ind w:firstLine="708"/>
        <w:jc w:val="both"/>
        <w:rPr>
          <w:rFonts w:ascii="Palatino Linotype" w:eastAsia="Arial" w:hAnsi="Palatino Linotype"/>
          <w:i/>
          <w:sz w:val="22"/>
          <w:szCs w:val="22"/>
        </w:rPr>
      </w:pPr>
      <w:r w:rsidRPr="00414B52">
        <w:rPr>
          <w:rFonts w:ascii="Palatino Linotype" w:hAnsi="Palatino Linotype"/>
          <w:sz w:val="22"/>
          <w:szCs w:val="22"/>
        </w:rPr>
        <w:t xml:space="preserve">Mediante Oficio Nro. </w:t>
      </w:r>
      <w:proofErr w:type="spellStart"/>
      <w:r w:rsidRPr="00414B52">
        <w:rPr>
          <w:rFonts w:ascii="Palatino Linotype" w:hAnsi="Palatino Linotype"/>
          <w:sz w:val="22"/>
          <w:szCs w:val="22"/>
        </w:rPr>
        <w:t>CNEL</w:t>
      </w:r>
      <w:proofErr w:type="spellEnd"/>
      <w:r w:rsidRPr="00414B52">
        <w:rPr>
          <w:rFonts w:ascii="Palatino Linotype" w:hAnsi="Palatino Linotype"/>
          <w:sz w:val="22"/>
          <w:szCs w:val="22"/>
        </w:rPr>
        <w:t>-</w:t>
      </w:r>
      <w:proofErr w:type="spellStart"/>
      <w:r w:rsidRPr="00414B52">
        <w:rPr>
          <w:rFonts w:ascii="Palatino Linotype" w:hAnsi="Palatino Linotype"/>
          <w:sz w:val="22"/>
          <w:szCs w:val="22"/>
        </w:rPr>
        <w:t>CORP</w:t>
      </w:r>
      <w:proofErr w:type="spellEnd"/>
      <w:r w:rsidRPr="00414B52">
        <w:rPr>
          <w:rFonts w:ascii="Palatino Linotype" w:hAnsi="Palatino Linotype"/>
          <w:sz w:val="22"/>
          <w:szCs w:val="22"/>
        </w:rPr>
        <w:t>-</w:t>
      </w:r>
      <w:proofErr w:type="spellStart"/>
      <w:r w:rsidRPr="00414B52">
        <w:rPr>
          <w:rFonts w:ascii="Palatino Linotype" w:hAnsi="Palatino Linotype"/>
          <w:sz w:val="22"/>
          <w:szCs w:val="22"/>
        </w:rPr>
        <w:t>SIGDE</w:t>
      </w:r>
      <w:proofErr w:type="spellEnd"/>
      <w:r w:rsidRPr="00414B52">
        <w:rPr>
          <w:rFonts w:ascii="Palatino Linotype" w:hAnsi="Palatino Linotype"/>
          <w:sz w:val="22"/>
          <w:szCs w:val="22"/>
        </w:rPr>
        <w:t xml:space="preserve">-2016-016-O, de 18 de mayo de 2016, el Ing. Christian Eduardo Piedra Lazo, Coordinador General del Proyecto </w:t>
      </w:r>
      <w:proofErr w:type="spellStart"/>
      <w:r w:rsidRPr="00414B52">
        <w:rPr>
          <w:rFonts w:ascii="Palatino Linotype" w:hAnsi="Palatino Linotype"/>
          <w:sz w:val="22"/>
          <w:szCs w:val="22"/>
        </w:rPr>
        <w:t>SIGDE-CORP</w:t>
      </w:r>
      <w:proofErr w:type="spellEnd"/>
      <w:r w:rsidRPr="00414B52">
        <w:rPr>
          <w:rFonts w:ascii="Palatino Linotype" w:hAnsi="Palatino Linotype"/>
          <w:sz w:val="22"/>
          <w:szCs w:val="22"/>
        </w:rPr>
        <w:t>, de la Corporación Nacional de Electricidad (</w:t>
      </w:r>
      <w:proofErr w:type="spellStart"/>
      <w:r w:rsidRPr="00414B52">
        <w:rPr>
          <w:rFonts w:ascii="Palatino Linotype" w:hAnsi="Palatino Linotype"/>
          <w:sz w:val="22"/>
          <w:szCs w:val="22"/>
        </w:rPr>
        <w:t>CNEL</w:t>
      </w:r>
      <w:proofErr w:type="spellEnd"/>
      <w:r w:rsidRPr="00414B52">
        <w:rPr>
          <w:rFonts w:ascii="Palatino Linotype" w:hAnsi="Palatino Linotype"/>
          <w:sz w:val="22"/>
          <w:szCs w:val="22"/>
        </w:rPr>
        <w:t xml:space="preserve"> </w:t>
      </w:r>
      <w:proofErr w:type="spellStart"/>
      <w:r w:rsidRPr="00414B52">
        <w:rPr>
          <w:rFonts w:ascii="Palatino Linotype" w:hAnsi="Palatino Linotype"/>
          <w:sz w:val="22"/>
          <w:szCs w:val="22"/>
        </w:rPr>
        <w:t>EP</w:t>
      </w:r>
      <w:proofErr w:type="spellEnd"/>
      <w:r w:rsidRPr="00414B52">
        <w:rPr>
          <w:rFonts w:ascii="Palatino Linotype" w:hAnsi="Palatino Linotype"/>
          <w:sz w:val="22"/>
          <w:szCs w:val="22"/>
        </w:rPr>
        <w:t xml:space="preserve"> puso en conocimiento de varias Empresas Eléctricas a nivel nacional,  la fórmula de cálculo de la Tasa por el servicio de Recolección de Basura homologada: </w:t>
      </w:r>
      <w:proofErr w:type="spellStart"/>
      <w:r w:rsidRPr="00414B52">
        <w:rPr>
          <w:rFonts w:ascii="Palatino Linotype" w:hAnsi="Palatino Linotype"/>
          <w:b/>
          <w:sz w:val="22"/>
          <w:szCs w:val="22"/>
        </w:rPr>
        <w:t>TRB</w:t>
      </w:r>
      <w:proofErr w:type="spellEnd"/>
      <w:r w:rsidRPr="00414B52">
        <w:rPr>
          <w:rFonts w:ascii="Palatino Linotype" w:hAnsi="Palatino Linotype"/>
          <w:b/>
          <w:sz w:val="22"/>
          <w:szCs w:val="22"/>
        </w:rPr>
        <w:t xml:space="preserve">= </w:t>
      </w:r>
      <w:r w:rsidRPr="00414B52">
        <w:rPr>
          <w:rFonts w:ascii="Palatino Linotype" w:hAnsi="Palatino Linotype"/>
          <w:sz w:val="22"/>
          <w:szCs w:val="22"/>
        </w:rPr>
        <w:t>(</w:t>
      </w:r>
      <w:proofErr w:type="spellStart"/>
      <w:r w:rsidRPr="00414B52">
        <w:rPr>
          <w:rFonts w:ascii="Palatino Linotype" w:hAnsi="Palatino Linotype"/>
          <w:sz w:val="22"/>
          <w:szCs w:val="22"/>
        </w:rPr>
        <w:t>MTE</w:t>
      </w:r>
      <w:proofErr w:type="spellEnd"/>
      <w:r w:rsidRPr="00414B52">
        <w:rPr>
          <w:rFonts w:ascii="Palatino Linotype" w:hAnsi="Palatino Linotype"/>
          <w:sz w:val="22"/>
          <w:szCs w:val="22"/>
        </w:rPr>
        <w:t xml:space="preserve"> x A)+B</w:t>
      </w:r>
      <w:proofErr w:type="gramStart"/>
      <w:r w:rsidRPr="00414B52">
        <w:rPr>
          <w:rFonts w:ascii="Palatino Linotype" w:hAnsi="Palatino Linotype"/>
          <w:sz w:val="22"/>
          <w:szCs w:val="22"/>
        </w:rPr>
        <w:t>+(</w:t>
      </w:r>
      <w:proofErr w:type="spellStart"/>
      <w:proofErr w:type="gramEnd"/>
      <w:r w:rsidRPr="00414B52">
        <w:rPr>
          <w:rFonts w:ascii="Palatino Linotype" w:hAnsi="Palatino Linotype"/>
          <w:sz w:val="22"/>
          <w:szCs w:val="22"/>
        </w:rPr>
        <w:t>SBU</w:t>
      </w:r>
      <w:proofErr w:type="spellEnd"/>
      <w:r w:rsidRPr="00414B52">
        <w:rPr>
          <w:rFonts w:ascii="Palatino Linotype" w:hAnsi="Palatino Linotype"/>
          <w:sz w:val="22"/>
          <w:szCs w:val="22"/>
        </w:rPr>
        <w:t xml:space="preserve"> x C); es así que mediante Oficio Nro. </w:t>
      </w:r>
      <w:proofErr w:type="spellStart"/>
      <w:r w:rsidRPr="00414B52">
        <w:rPr>
          <w:rFonts w:ascii="Palatino Linotype" w:hAnsi="Palatino Linotype"/>
          <w:sz w:val="22"/>
          <w:szCs w:val="22"/>
        </w:rPr>
        <w:t>CNEL</w:t>
      </w:r>
      <w:proofErr w:type="spellEnd"/>
      <w:r w:rsidRPr="00414B52">
        <w:rPr>
          <w:rFonts w:ascii="Palatino Linotype" w:hAnsi="Palatino Linotype"/>
          <w:sz w:val="22"/>
          <w:szCs w:val="22"/>
        </w:rPr>
        <w:t>-</w:t>
      </w:r>
      <w:proofErr w:type="spellStart"/>
      <w:r w:rsidRPr="00414B52">
        <w:rPr>
          <w:rFonts w:ascii="Palatino Linotype" w:hAnsi="Palatino Linotype"/>
          <w:sz w:val="22"/>
          <w:szCs w:val="22"/>
        </w:rPr>
        <w:t>CORP</w:t>
      </w:r>
      <w:proofErr w:type="spellEnd"/>
      <w:r w:rsidRPr="00414B52">
        <w:rPr>
          <w:rFonts w:ascii="Palatino Linotype" w:hAnsi="Palatino Linotype"/>
          <w:sz w:val="22"/>
          <w:szCs w:val="22"/>
        </w:rPr>
        <w:t>-</w:t>
      </w:r>
      <w:proofErr w:type="spellStart"/>
      <w:r w:rsidRPr="00414B52">
        <w:rPr>
          <w:rFonts w:ascii="Palatino Linotype" w:hAnsi="Palatino Linotype"/>
          <w:sz w:val="22"/>
          <w:szCs w:val="22"/>
        </w:rPr>
        <w:t>GG</w:t>
      </w:r>
      <w:proofErr w:type="spellEnd"/>
      <w:r w:rsidRPr="00414B52">
        <w:rPr>
          <w:rFonts w:ascii="Palatino Linotype" w:hAnsi="Palatino Linotype"/>
          <w:sz w:val="22"/>
          <w:szCs w:val="22"/>
        </w:rPr>
        <w:t xml:space="preserve">-2016-0571-O, de 01 de julio de 2016, el Ing. Jorge Eduardo Jaramillo </w:t>
      </w:r>
      <w:proofErr w:type="spellStart"/>
      <w:r w:rsidRPr="00414B52">
        <w:rPr>
          <w:rFonts w:ascii="Palatino Linotype" w:hAnsi="Palatino Linotype"/>
          <w:sz w:val="22"/>
          <w:szCs w:val="22"/>
        </w:rPr>
        <w:t>Mogrovejo</w:t>
      </w:r>
      <w:proofErr w:type="spellEnd"/>
      <w:r w:rsidRPr="00414B52">
        <w:rPr>
          <w:rFonts w:ascii="Palatino Linotype" w:hAnsi="Palatino Linotype"/>
          <w:sz w:val="22"/>
          <w:szCs w:val="22"/>
        </w:rPr>
        <w:t>, Gerente General de la Corporación Nacional de Electricidad (</w:t>
      </w:r>
      <w:proofErr w:type="spellStart"/>
      <w:r w:rsidRPr="00414B52">
        <w:rPr>
          <w:rFonts w:ascii="Palatino Linotype" w:hAnsi="Palatino Linotype"/>
          <w:sz w:val="22"/>
          <w:szCs w:val="22"/>
        </w:rPr>
        <w:t>CNEL</w:t>
      </w:r>
      <w:proofErr w:type="spellEnd"/>
      <w:r w:rsidRPr="00414B52">
        <w:rPr>
          <w:rFonts w:ascii="Palatino Linotype" w:hAnsi="Palatino Linotype"/>
          <w:sz w:val="22"/>
          <w:szCs w:val="22"/>
        </w:rPr>
        <w:t xml:space="preserve"> </w:t>
      </w:r>
      <w:proofErr w:type="spellStart"/>
      <w:r w:rsidRPr="00414B52">
        <w:rPr>
          <w:rFonts w:ascii="Palatino Linotype" w:hAnsi="Palatino Linotype"/>
          <w:sz w:val="22"/>
          <w:szCs w:val="22"/>
        </w:rPr>
        <w:t>EP</w:t>
      </w:r>
      <w:proofErr w:type="spellEnd"/>
      <w:r w:rsidRPr="00414B52">
        <w:rPr>
          <w:rFonts w:ascii="Palatino Linotype" w:hAnsi="Palatino Linotype"/>
          <w:sz w:val="22"/>
          <w:szCs w:val="22"/>
        </w:rPr>
        <w:t>), solicitó al Presidente de la Asociación de Municipalidades Ecuatorianas (AME), que intervenga ante los municipios del país para que realicen los ajustes requeridos, previo al ingreso del nuevo sistema Comercial, con la finalidad de continuar brindando el servicio de</w:t>
      </w:r>
      <w:r w:rsidR="00414B52">
        <w:rPr>
          <w:rFonts w:ascii="Palatino Linotype" w:hAnsi="Palatino Linotype"/>
          <w:sz w:val="22"/>
          <w:szCs w:val="22"/>
        </w:rPr>
        <w:t xml:space="preserve"> recaudación de la tasa de aseo.</w:t>
      </w:r>
    </w:p>
    <w:p w:rsidR="006A60B4" w:rsidRPr="00414B52" w:rsidRDefault="006A60B4" w:rsidP="00414B52">
      <w:pPr>
        <w:spacing w:after="120" w:line="276" w:lineRule="auto"/>
        <w:ind w:right="-1" w:firstLine="708"/>
        <w:jc w:val="both"/>
        <w:rPr>
          <w:rFonts w:ascii="Palatino Linotype" w:hAnsi="Palatino Linotype"/>
          <w:sz w:val="22"/>
          <w:szCs w:val="22"/>
        </w:rPr>
      </w:pPr>
      <w:r w:rsidRPr="00414B52">
        <w:rPr>
          <w:rFonts w:ascii="Palatino Linotype" w:hAnsi="Palatino Linotype"/>
          <w:sz w:val="22"/>
          <w:szCs w:val="22"/>
        </w:rPr>
        <w:t>Mediante la celebración del Contrato No. 26-</w:t>
      </w:r>
      <w:proofErr w:type="spellStart"/>
      <w:r w:rsidRPr="00414B52">
        <w:rPr>
          <w:rFonts w:ascii="Palatino Linotype" w:hAnsi="Palatino Linotype"/>
          <w:sz w:val="22"/>
          <w:szCs w:val="22"/>
        </w:rPr>
        <w:t>LOSNCP</w:t>
      </w:r>
      <w:proofErr w:type="spellEnd"/>
      <w:r w:rsidRPr="00414B52">
        <w:rPr>
          <w:rFonts w:ascii="Palatino Linotype" w:hAnsi="Palatino Linotype"/>
          <w:sz w:val="22"/>
          <w:szCs w:val="22"/>
        </w:rPr>
        <w:t xml:space="preserve">-DJ-2016, de 25 de julio de 2016, la </w:t>
      </w:r>
      <w:proofErr w:type="spellStart"/>
      <w:r w:rsidRPr="00414B52">
        <w:rPr>
          <w:rFonts w:ascii="Palatino Linotype" w:hAnsi="Palatino Linotype"/>
          <w:sz w:val="22"/>
          <w:szCs w:val="22"/>
        </w:rPr>
        <w:t>EMASEO</w:t>
      </w:r>
      <w:proofErr w:type="spellEnd"/>
      <w:r w:rsidRPr="00414B52">
        <w:rPr>
          <w:rFonts w:ascii="Palatino Linotype" w:hAnsi="Palatino Linotype"/>
          <w:sz w:val="22"/>
          <w:szCs w:val="22"/>
        </w:rPr>
        <w:t xml:space="preserve"> </w:t>
      </w:r>
      <w:proofErr w:type="spellStart"/>
      <w:r w:rsidRPr="00414B52">
        <w:rPr>
          <w:rFonts w:ascii="Palatino Linotype" w:hAnsi="Palatino Linotype"/>
          <w:sz w:val="22"/>
          <w:szCs w:val="22"/>
        </w:rPr>
        <w:t>EP</w:t>
      </w:r>
      <w:proofErr w:type="spellEnd"/>
      <w:r w:rsidRPr="00414B52">
        <w:rPr>
          <w:rFonts w:ascii="Palatino Linotype" w:hAnsi="Palatino Linotype"/>
          <w:sz w:val="22"/>
          <w:szCs w:val="22"/>
        </w:rPr>
        <w:t xml:space="preserve"> contrató a la Compañía La Puerta Verde Green </w:t>
      </w:r>
      <w:proofErr w:type="spellStart"/>
      <w:r w:rsidRPr="00414B52">
        <w:rPr>
          <w:rFonts w:ascii="Palatino Linotype" w:hAnsi="Palatino Linotype"/>
          <w:sz w:val="22"/>
          <w:szCs w:val="22"/>
        </w:rPr>
        <w:t>Door</w:t>
      </w:r>
      <w:proofErr w:type="spellEnd"/>
      <w:r w:rsidRPr="00414B52">
        <w:rPr>
          <w:rFonts w:ascii="Palatino Linotype" w:hAnsi="Palatino Linotype"/>
          <w:sz w:val="22"/>
          <w:szCs w:val="22"/>
        </w:rPr>
        <w:t xml:space="preserve"> Cía. Ltda., a fin de que realice la </w:t>
      </w:r>
      <w:r w:rsidRPr="00414B52">
        <w:rPr>
          <w:rFonts w:ascii="Palatino Linotype" w:hAnsi="Palatino Linotype"/>
          <w:i/>
          <w:sz w:val="22"/>
          <w:szCs w:val="22"/>
        </w:rPr>
        <w:t xml:space="preserve">“Consultoría de un Diagnóstico Financiero basado en el funcionamiento actual de la </w:t>
      </w:r>
      <w:proofErr w:type="spellStart"/>
      <w:r w:rsidRPr="00414B52">
        <w:rPr>
          <w:rFonts w:ascii="Palatino Linotype" w:hAnsi="Palatino Linotype"/>
          <w:i/>
          <w:sz w:val="22"/>
          <w:szCs w:val="22"/>
        </w:rPr>
        <w:t>EMASEO</w:t>
      </w:r>
      <w:proofErr w:type="spellEnd"/>
      <w:r w:rsidRPr="00414B52">
        <w:rPr>
          <w:rFonts w:ascii="Palatino Linotype" w:hAnsi="Palatino Linotype"/>
          <w:i/>
          <w:sz w:val="22"/>
          <w:szCs w:val="22"/>
        </w:rPr>
        <w:t xml:space="preserve"> </w:t>
      </w:r>
      <w:proofErr w:type="spellStart"/>
      <w:r w:rsidRPr="00414B52">
        <w:rPr>
          <w:rFonts w:ascii="Palatino Linotype" w:hAnsi="Palatino Linotype"/>
          <w:i/>
          <w:sz w:val="22"/>
          <w:szCs w:val="22"/>
        </w:rPr>
        <w:t>EP</w:t>
      </w:r>
      <w:proofErr w:type="spellEnd"/>
      <w:r w:rsidRPr="00414B52">
        <w:rPr>
          <w:rFonts w:ascii="Palatino Linotype" w:hAnsi="Palatino Linotype"/>
          <w:i/>
          <w:sz w:val="22"/>
          <w:szCs w:val="22"/>
        </w:rPr>
        <w:t>, y, en el sistema de cobro vigente, incluyendo escenario y análisis de sensibilidad; y, realización de un pronóstico de las necesidades financieras de la empresa”</w:t>
      </w:r>
      <w:r w:rsidR="00414B52">
        <w:rPr>
          <w:rFonts w:ascii="Palatino Linotype" w:hAnsi="Palatino Linotype"/>
          <w:sz w:val="22"/>
          <w:szCs w:val="22"/>
        </w:rPr>
        <w:t>.</w:t>
      </w:r>
    </w:p>
    <w:p w:rsidR="006A60B4" w:rsidRPr="00414B52" w:rsidRDefault="006A60B4" w:rsidP="00414B52">
      <w:pPr>
        <w:spacing w:after="120" w:line="276" w:lineRule="auto"/>
        <w:ind w:right="-1" w:firstLine="708"/>
        <w:jc w:val="both"/>
        <w:rPr>
          <w:rFonts w:ascii="Palatino Linotype" w:hAnsi="Palatino Linotype"/>
          <w:sz w:val="22"/>
          <w:szCs w:val="22"/>
        </w:rPr>
      </w:pPr>
      <w:r w:rsidRPr="00414B52">
        <w:rPr>
          <w:rFonts w:ascii="Palatino Linotype" w:hAnsi="Palatino Linotype"/>
          <w:sz w:val="22"/>
          <w:szCs w:val="22"/>
        </w:rPr>
        <w:t>Mediante Informe Financiero No. 158-</w:t>
      </w:r>
      <w:proofErr w:type="spellStart"/>
      <w:r w:rsidRPr="00414B52">
        <w:rPr>
          <w:rFonts w:ascii="Palatino Linotype" w:hAnsi="Palatino Linotype"/>
          <w:sz w:val="22"/>
          <w:szCs w:val="22"/>
        </w:rPr>
        <w:t>DRFN</w:t>
      </w:r>
      <w:proofErr w:type="spellEnd"/>
      <w:r w:rsidRPr="00414B52">
        <w:rPr>
          <w:rFonts w:ascii="Palatino Linotype" w:hAnsi="Palatino Linotype"/>
          <w:sz w:val="22"/>
          <w:szCs w:val="22"/>
        </w:rPr>
        <w:t xml:space="preserve">-2016, de 10 de agosto de 2016, el señor Diego Amores Aguirre, </w:t>
      </w:r>
      <w:proofErr w:type="spellStart"/>
      <w:r w:rsidRPr="00414B52">
        <w:rPr>
          <w:rFonts w:ascii="Palatino Linotype" w:hAnsi="Palatino Linotype"/>
          <w:sz w:val="22"/>
          <w:szCs w:val="22"/>
        </w:rPr>
        <w:t>MBA</w:t>
      </w:r>
      <w:proofErr w:type="spellEnd"/>
      <w:r w:rsidRPr="00414B52">
        <w:rPr>
          <w:rFonts w:ascii="Palatino Linotype" w:hAnsi="Palatino Linotype"/>
          <w:sz w:val="22"/>
          <w:szCs w:val="22"/>
        </w:rPr>
        <w:t xml:space="preserve">, ex Director Financiero, motivó la necesidad de reformar la Ordenanza Metropolitana No. 402, en base al análisis que realizó la consultoría descrita en el motivo anterior,   debido que </w:t>
      </w:r>
      <w:r w:rsidRPr="00414B52">
        <w:rPr>
          <w:rFonts w:ascii="Palatino Linotype" w:eastAsia="Arial" w:hAnsi="Palatino Linotype"/>
          <w:sz w:val="22"/>
          <w:szCs w:val="22"/>
        </w:rPr>
        <w:t xml:space="preserve">al no contar con la Ordenanza Metropolitana para el cambio de la fórmula de cálculo de la tasa de recolección de residuos sólidos  hasta septiembre del  año 2016, el convenio de recaudación se daría por terminado y la </w:t>
      </w:r>
      <w:proofErr w:type="spellStart"/>
      <w:r w:rsidRPr="00414B52">
        <w:rPr>
          <w:rFonts w:ascii="Palatino Linotype" w:eastAsia="Arial" w:hAnsi="Palatino Linotype"/>
          <w:sz w:val="22"/>
          <w:szCs w:val="22"/>
        </w:rPr>
        <w:t>EEQ</w:t>
      </w:r>
      <w:proofErr w:type="spellEnd"/>
      <w:r w:rsidRPr="00414B52">
        <w:rPr>
          <w:rFonts w:ascii="Palatino Linotype" w:eastAsia="Arial" w:hAnsi="Palatino Linotype"/>
          <w:sz w:val="22"/>
          <w:szCs w:val="22"/>
        </w:rPr>
        <w:t xml:space="preserve"> no continuaría realizando la recaudación, en base a lo que estipulaba el literal 4 de la Cláusula Décima del Convenio d</w:t>
      </w:r>
      <w:r w:rsidR="00414B52">
        <w:rPr>
          <w:rFonts w:ascii="Palatino Linotype" w:eastAsia="Arial" w:hAnsi="Palatino Linotype"/>
          <w:sz w:val="22"/>
          <w:szCs w:val="22"/>
        </w:rPr>
        <w:t>e Recaudación antes citado.</w:t>
      </w:r>
    </w:p>
    <w:p w:rsidR="006A60B4" w:rsidRPr="00414B52" w:rsidRDefault="006A60B4" w:rsidP="00414B52">
      <w:pPr>
        <w:spacing w:after="120" w:line="276" w:lineRule="auto"/>
        <w:ind w:firstLine="708"/>
        <w:jc w:val="both"/>
        <w:rPr>
          <w:rFonts w:ascii="Palatino Linotype" w:hAnsi="Palatino Linotype"/>
          <w:sz w:val="22"/>
          <w:szCs w:val="22"/>
        </w:rPr>
      </w:pPr>
      <w:r w:rsidRPr="00414B52">
        <w:rPr>
          <w:rFonts w:ascii="Palatino Linotype" w:hAnsi="Palatino Linotype"/>
          <w:sz w:val="22"/>
          <w:szCs w:val="22"/>
        </w:rPr>
        <w:t>Mediante Memorando No. 306-</w:t>
      </w:r>
      <w:proofErr w:type="spellStart"/>
      <w:r w:rsidRPr="00414B52">
        <w:rPr>
          <w:rFonts w:ascii="Palatino Linotype" w:hAnsi="Palatino Linotype"/>
          <w:sz w:val="22"/>
          <w:szCs w:val="22"/>
        </w:rPr>
        <w:t>DRJU</w:t>
      </w:r>
      <w:proofErr w:type="spellEnd"/>
      <w:r w:rsidRPr="00414B52">
        <w:rPr>
          <w:rFonts w:ascii="Palatino Linotype" w:hAnsi="Palatino Linotype"/>
          <w:sz w:val="22"/>
          <w:szCs w:val="22"/>
        </w:rPr>
        <w:t xml:space="preserve">-2016, de 16 de agosto de 2016, las Direcciones Jurídica y Financiera, así como la Coordinación General Administrativa Financiera de la </w:t>
      </w:r>
      <w:proofErr w:type="spellStart"/>
      <w:r w:rsidRPr="00414B52">
        <w:rPr>
          <w:rFonts w:ascii="Palatino Linotype" w:hAnsi="Palatino Linotype"/>
          <w:sz w:val="22"/>
          <w:szCs w:val="22"/>
        </w:rPr>
        <w:t>EMASEO</w:t>
      </w:r>
      <w:proofErr w:type="spellEnd"/>
      <w:r w:rsidRPr="00414B52">
        <w:rPr>
          <w:rFonts w:ascii="Palatino Linotype" w:hAnsi="Palatino Linotype"/>
          <w:sz w:val="22"/>
          <w:szCs w:val="22"/>
        </w:rPr>
        <w:t xml:space="preserve"> </w:t>
      </w:r>
      <w:proofErr w:type="spellStart"/>
      <w:r w:rsidRPr="00414B52">
        <w:rPr>
          <w:rFonts w:ascii="Palatino Linotype" w:hAnsi="Palatino Linotype"/>
          <w:sz w:val="22"/>
          <w:szCs w:val="22"/>
        </w:rPr>
        <w:t>EP</w:t>
      </w:r>
      <w:proofErr w:type="spellEnd"/>
      <w:r w:rsidRPr="00414B52">
        <w:rPr>
          <w:rFonts w:ascii="Palatino Linotype" w:hAnsi="Palatino Linotype"/>
          <w:sz w:val="22"/>
          <w:szCs w:val="22"/>
        </w:rPr>
        <w:t xml:space="preserve">, remitieron a su Gerente General, el informe técnico y legal que motivó reformar la Ordenanza Metropolitana 402, sancionada el 28 de marzo del 2013 y presentar el Proyecto de Ordenanza Metropolitana para la Recaudación de la Tasa para la Gestión Integral de Residuos Sólidos, conforme a la fórmula homologada a nivel nacional, que fue </w:t>
      </w:r>
      <w:r w:rsidRPr="00414B52">
        <w:rPr>
          <w:rFonts w:ascii="Palatino Linotype" w:hAnsi="Palatino Linotype"/>
          <w:sz w:val="22"/>
          <w:szCs w:val="22"/>
        </w:rPr>
        <w:lastRenderedPageBreak/>
        <w:t>pue</w:t>
      </w:r>
      <w:r w:rsidR="00414B52">
        <w:rPr>
          <w:rFonts w:ascii="Palatino Linotype" w:hAnsi="Palatino Linotype"/>
          <w:sz w:val="22"/>
          <w:szCs w:val="22"/>
        </w:rPr>
        <w:t xml:space="preserve">sta en conocimiento por </w:t>
      </w:r>
      <w:proofErr w:type="spellStart"/>
      <w:r w:rsidR="00414B52">
        <w:rPr>
          <w:rFonts w:ascii="Palatino Linotype" w:hAnsi="Palatino Linotype"/>
          <w:sz w:val="22"/>
          <w:szCs w:val="22"/>
        </w:rPr>
        <w:t>CNEL</w:t>
      </w:r>
      <w:proofErr w:type="spellEnd"/>
      <w:r w:rsidR="00414B52">
        <w:rPr>
          <w:rFonts w:ascii="Palatino Linotype" w:hAnsi="Palatino Linotype"/>
          <w:sz w:val="22"/>
          <w:szCs w:val="22"/>
        </w:rPr>
        <w:t xml:space="preserve"> </w:t>
      </w:r>
      <w:proofErr w:type="spellStart"/>
      <w:r w:rsidR="00414B52">
        <w:rPr>
          <w:rFonts w:ascii="Palatino Linotype" w:hAnsi="Palatino Linotype"/>
          <w:sz w:val="22"/>
          <w:szCs w:val="22"/>
        </w:rPr>
        <w:t>EP</w:t>
      </w:r>
      <w:proofErr w:type="spellEnd"/>
      <w:r w:rsidR="00414B52">
        <w:rPr>
          <w:rFonts w:ascii="Palatino Linotype" w:hAnsi="Palatino Linotype"/>
          <w:sz w:val="22"/>
          <w:szCs w:val="22"/>
        </w:rPr>
        <w:t>.</w:t>
      </w:r>
    </w:p>
    <w:p w:rsidR="006A60B4" w:rsidRPr="00414B52" w:rsidRDefault="006A60B4" w:rsidP="00414B52">
      <w:pPr>
        <w:spacing w:after="120" w:line="276" w:lineRule="auto"/>
        <w:ind w:firstLine="708"/>
        <w:jc w:val="both"/>
        <w:rPr>
          <w:rFonts w:ascii="Palatino Linotype" w:hAnsi="Palatino Linotype"/>
          <w:sz w:val="22"/>
          <w:szCs w:val="22"/>
        </w:rPr>
      </w:pPr>
      <w:r w:rsidRPr="00414B52">
        <w:rPr>
          <w:rFonts w:ascii="Palatino Linotype" w:hAnsi="Palatino Linotype"/>
          <w:sz w:val="22"/>
          <w:szCs w:val="22"/>
        </w:rPr>
        <w:t>En septiembre de 2016 y de manera progresiva, se iniciará la implementación en todas las empresas distribuidoras de electricidad del país el nuevo sistema Comercial - red de distribución inteligente,  por lo que hasta esta fecha los municipios del país deberán hacer los ajustes requeridos, previo a la ejecución del nuevo sistema Comercial</w:t>
      </w:r>
      <w:r w:rsidR="00414B52">
        <w:rPr>
          <w:rFonts w:ascii="Palatino Linotype" w:hAnsi="Palatino Linotype"/>
          <w:sz w:val="22"/>
          <w:szCs w:val="22"/>
        </w:rPr>
        <w:t>.</w:t>
      </w:r>
    </w:p>
    <w:p w:rsidR="006A60B4" w:rsidRPr="00414B52" w:rsidRDefault="006A60B4" w:rsidP="00414B52">
      <w:pPr>
        <w:spacing w:after="120" w:line="276" w:lineRule="auto"/>
        <w:ind w:firstLine="708"/>
        <w:jc w:val="both"/>
        <w:rPr>
          <w:rFonts w:ascii="Palatino Linotype" w:hAnsi="Palatino Linotype"/>
          <w:sz w:val="22"/>
          <w:szCs w:val="22"/>
        </w:rPr>
      </w:pPr>
      <w:r w:rsidRPr="00414B52">
        <w:rPr>
          <w:rFonts w:ascii="Palatino Linotype" w:hAnsi="Palatino Linotype"/>
          <w:sz w:val="22"/>
          <w:szCs w:val="22"/>
        </w:rPr>
        <w:t xml:space="preserve">Por otro lado, la </w:t>
      </w:r>
      <w:r w:rsidRPr="00414B52">
        <w:rPr>
          <w:rFonts w:ascii="Palatino Linotype" w:hAnsi="Palatino Linotype"/>
          <w:color w:val="000000"/>
          <w:sz w:val="22"/>
          <w:szCs w:val="22"/>
          <w:shd w:val="clear" w:color="auto" w:fill="FFFFFF"/>
        </w:rPr>
        <w:t>recolección y tratamiento de residuos sólidos</w:t>
      </w:r>
      <w:r w:rsidRPr="00414B52">
        <w:rPr>
          <w:rFonts w:ascii="Palatino Linotype" w:hAnsi="Palatino Linotype"/>
          <w:sz w:val="22"/>
          <w:szCs w:val="22"/>
        </w:rPr>
        <w:t xml:space="preserve"> es un servicio público, cuya prestación por mandato constitucional no puede ser interrumpido, motivo por el cual, la </w:t>
      </w:r>
      <w:proofErr w:type="spellStart"/>
      <w:r w:rsidRPr="00414B52">
        <w:rPr>
          <w:rFonts w:ascii="Palatino Linotype" w:hAnsi="Palatino Linotype"/>
          <w:sz w:val="22"/>
          <w:szCs w:val="22"/>
        </w:rPr>
        <w:t>EPMAPS</w:t>
      </w:r>
      <w:proofErr w:type="spellEnd"/>
      <w:r w:rsidRPr="00414B52">
        <w:rPr>
          <w:rFonts w:ascii="Palatino Linotype" w:hAnsi="Palatino Linotype"/>
          <w:sz w:val="22"/>
          <w:szCs w:val="22"/>
        </w:rPr>
        <w:t xml:space="preserve"> y la </w:t>
      </w:r>
      <w:proofErr w:type="spellStart"/>
      <w:r w:rsidRPr="00414B52">
        <w:rPr>
          <w:rFonts w:ascii="Palatino Linotype" w:hAnsi="Palatino Linotype"/>
          <w:sz w:val="22"/>
          <w:szCs w:val="22"/>
        </w:rPr>
        <w:t>EMASEO</w:t>
      </w:r>
      <w:proofErr w:type="spellEnd"/>
      <w:r w:rsidRPr="00414B52">
        <w:rPr>
          <w:rFonts w:ascii="Palatino Linotype" w:hAnsi="Palatino Linotype"/>
          <w:sz w:val="22"/>
          <w:szCs w:val="22"/>
        </w:rPr>
        <w:t xml:space="preserve"> </w:t>
      </w:r>
      <w:proofErr w:type="spellStart"/>
      <w:r w:rsidRPr="00414B52">
        <w:rPr>
          <w:rFonts w:ascii="Palatino Linotype" w:hAnsi="Palatino Linotype"/>
          <w:sz w:val="22"/>
          <w:szCs w:val="22"/>
        </w:rPr>
        <w:t>EP</w:t>
      </w:r>
      <w:proofErr w:type="spellEnd"/>
      <w:r w:rsidRPr="00414B52">
        <w:rPr>
          <w:rFonts w:ascii="Palatino Linotype" w:hAnsi="Palatino Linotype"/>
          <w:sz w:val="22"/>
          <w:szCs w:val="22"/>
        </w:rPr>
        <w:t xml:space="preserve"> han coordinado las acciones necesarias y tendientes a recaudar la tasa de gestión integral de residuos sólidos, como alternativa que asegure los ingresos requeridos para la efectiva prestación del servicio</w:t>
      </w:r>
      <w:r w:rsidR="00414B52">
        <w:rPr>
          <w:rFonts w:ascii="Palatino Linotype" w:hAnsi="Palatino Linotype"/>
          <w:sz w:val="22"/>
          <w:szCs w:val="22"/>
        </w:rPr>
        <w:t>.</w:t>
      </w:r>
      <w:r w:rsidRPr="00414B52">
        <w:rPr>
          <w:rFonts w:ascii="Palatino Linotype" w:hAnsi="Palatino Linotype"/>
          <w:sz w:val="22"/>
          <w:szCs w:val="22"/>
        </w:rPr>
        <w:t xml:space="preserve">  </w:t>
      </w:r>
    </w:p>
    <w:p w:rsidR="006A60B4" w:rsidRPr="00414B52" w:rsidRDefault="006A60B4" w:rsidP="00414B52">
      <w:pPr>
        <w:spacing w:after="120" w:line="276" w:lineRule="auto"/>
        <w:ind w:firstLine="708"/>
        <w:jc w:val="both"/>
        <w:rPr>
          <w:rFonts w:ascii="Palatino Linotype" w:hAnsi="Palatino Linotype"/>
          <w:sz w:val="22"/>
          <w:szCs w:val="22"/>
        </w:rPr>
      </w:pPr>
      <w:r w:rsidRPr="00414B52">
        <w:rPr>
          <w:rFonts w:ascii="Palatino Linotype" w:hAnsi="Palatino Linotype"/>
          <w:sz w:val="22"/>
          <w:szCs w:val="22"/>
        </w:rPr>
        <w:t>Las empresas encargadas de la gestión integral de residuos sólidos han identificado varias necesidades institucionales que requieren financiamiento permanente, cuales son: la provisión e indemnizaciones por jubilación; la renovación y repotenciación de la flota vehicular; el incremento del costo de recaudación del tributo y el déficit operacional en cuanto a la disposición final de residuos sólidos; las cuales podrán ser cubiertas con la aprobación de la Ordenanza Reformatoria a la Ordenanza No. 402.  Más aun tomando en consideración que el valor recaudado por concepto de Tasa es el principal ingreso para la prestación del servicio público de gestión integral de residuos sólidos y  es necesario aplicar la fórmula de cálculo homologada a nivel nacional, que fue puesta en conocimiento por la Corporación Naci</w:t>
      </w:r>
      <w:r w:rsidR="00414B52">
        <w:rPr>
          <w:rFonts w:ascii="Palatino Linotype" w:hAnsi="Palatino Linotype"/>
          <w:sz w:val="22"/>
          <w:szCs w:val="22"/>
        </w:rPr>
        <w:t>onal de Electricidad (</w:t>
      </w:r>
      <w:proofErr w:type="spellStart"/>
      <w:r w:rsidR="00414B52">
        <w:rPr>
          <w:rFonts w:ascii="Palatino Linotype" w:hAnsi="Palatino Linotype"/>
          <w:sz w:val="22"/>
          <w:szCs w:val="22"/>
        </w:rPr>
        <w:t>CNEL</w:t>
      </w:r>
      <w:proofErr w:type="spellEnd"/>
      <w:r w:rsidR="00414B52">
        <w:rPr>
          <w:rFonts w:ascii="Palatino Linotype" w:hAnsi="Palatino Linotype"/>
          <w:sz w:val="22"/>
          <w:szCs w:val="22"/>
        </w:rPr>
        <w:t xml:space="preserve"> </w:t>
      </w:r>
      <w:proofErr w:type="spellStart"/>
      <w:r w:rsidR="00414B52">
        <w:rPr>
          <w:rFonts w:ascii="Palatino Linotype" w:hAnsi="Palatino Linotype"/>
          <w:sz w:val="22"/>
          <w:szCs w:val="22"/>
        </w:rPr>
        <w:t>EP</w:t>
      </w:r>
      <w:proofErr w:type="spellEnd"/>
      <w:r w:rsidR="00414B52">
        <w:rPr>
          <w:rFonts w:ascii="Palatino Linotype" w:hAnsi="Palatino Linotype"/>
          <w:sz w:val="22"/>
          <w:szCs w:val="22"/>
        </w:rPr>
        <w:t>).</w:t>
      </w:r>
    </w:p>
    <w:p w:rsidR="006A60B4" w:rsidRPr="00414B52" w:rsidRDefault="006A60B4" w:rsidP="00414B52">
      <w:pPr>
        <w:spacing w:after="120" w:line="276" w:lineRule="auto"/>
        <w:ind w:firstLine="708"/>
        <w:jc w:val="both"/>
        <w:rPr>
          <w:rFonts w:ascii="Palatino Linotype" w:hAnsi="Palatino Linotype"/>
          <w:sz w:val="22"/>
          <w:szCs w:val="22"/>
        </w:rPr>
      </w:pPr>
      <w:r w:rsidRPr="00414B52">
        <w:rPr>
          <w:rFonts w:ascii="Palatino Linotype" w:hAnsi="Palatino Linotype"/>
          <w:sz w:val="22"/>
          <w:szCs w:val="22"/>
        </w:rPr>
        <w:t xml:space="preserve">La gestión de residuos sólidos es un proceso integral, que en orden de ser eficiente, debería ser prestado por una sola </w:t>
      </w:r>
      <w:r w:rsidRPr="00414B52">
        <w:rPr>
          <w:rFonts w:ascii="Palatino Linotype" w:eastAsiaTheme="minorEastAsia" w:hAnsi="Palatino Linotype" w:cstheme="minorBidi"/>
          <w:iCs/>
          <w:kern w:val="24"/>
          <w:sz w:val="22"/>
          <w:szCs w:val="22"/>
        </w:rPr>
        <w:t>organización empresarial pública.  En este sentido, m</w:t>
      </w:r>
      <w:r w:rsidRPr="00414B52">
        <w:rPr>
          <w:rFonts w:ascii="Palatino Linotype" w:hAnsi="Palatino Linotype"/>
          <w:sz w:val="22"/>
          <w:szCs w:val="22"/>
        </w:rPr>
        <w:t xml:space="preserve">ediante Convenio de </w:t>
      </w:r>
      <w:proofErr w:type="spellStart"/>
      <w:r w:rsidRPr="00414B52">
        <w:rPr>
          <w:rFonts w:ascii="Palatino Linotype" w:hAnsi="Palatino Linotype"/>
          <w:sz w:val="22"/>
          <w:szCs w:val="22"/>
        </w:rPr>
        <w:t>Asociatividad</w:t>
      </w:r>
      <w:proofErr w:type="spellEnd"/>
      <w:r w:rsidRPr="00414B52">
        <w:rPr>
          <w:rFonts w:ascii="Palatino Linotype" w:hAnsi="Palatino Linotype"/>
          <w:sz w:val="22"/>
          <w:szCs w:val="22"/>
        </w:rPr>
        <w:t xml:space="preserve"> Temporal para Compras Corporativas, celebrado el 06 de Junio de 2016, entre la </w:t>
      </w:r>
      <w:proofErr w:type="spellStart"/>
      <w:r w:rsidRPr="00414B52">
        <w:rPr>
          <w:rFonts w:ascii="Palatino Linotype" w:hAnsi="Palatino Linotype"/>
          <w:sz w:val="22"/>
          <w:szCs w:val="22"/>
        </w:rPr>
        <w:t>EMASEO</w:t>
      </w:r>
      <w:proofErr w:type="spellEnd"/>
      <w:r w:rsidRPr="00414B52">
        <w:rPr>
          <w:rFonts w:ascii="Palatino Linotype" w:hAnsi="Palatino Linotype"/>
          <w:sz w:val="22"/>
          <w:szCs w:val="22"/>
        </w:rPr>
        <w:t xml:space="preserve"> </w:t>
      </w:r>
      <w:proofErr w:type="spellStart"/>
      <w:r w:rsidRPr="00414B52">
        <w:rPr>
          <w:rFonts w:ascii="Palatino Linotype" w:hAnsi="Palatino Linotype"/>
          <w:sz w:val="22"/>
          <w:szCs w:val="22"/>
        </w:rPr>
        <w:t>EP</w:t>
      </w:r>
      <w:proofErr w:type="spellEnd"/>
      <w:r w:rsidRPr="00414B52">
        <w:rPr>
          <w:rFonts w:ascii="Palatino Linotype" w:hAnsi="Palatino Linotype"/>
          <w:sz w:val="22"/>
          <w:szCs w:val="22"/>
        </w:rPr>
        <w:t xml:space="preserve"> y la </w:t>
      </w:r>
      <w:proofErr w:type="spellStart"/>
      <w:r w:rsidRPr="00414B52">
        <w:rPr>
          <w:rFonts w:ascii="Palatino Linotype" w:hAnsi="Palatino Linotype"/>
          <w:sz w:val="22"/>
          <w:szCs w:val="22"/>
        </w:rPr>
        <w:t>EMGIRS</w:t>
      </w:r>
      <w:proofErr w:type="spellEnd"/>
      <w:r w:rsidRPr="00414B52">
        <w:rPr>
          <w:rFonts w:ascii="Palatino Linotype" w:hAnsi="Palatino Linotype"/>
          <w:sz w:val="22"/>
          <w:szCs w:val="22"/>
        </w:rPr>
        <w:t xml:space="preserve"> </w:t>
      </w:r>
      <w:proofErr w:type="spellStart"/>
      <w:r w:rsidRPr="00414B52">
        <w:rPr>
          <w:rFonts w:ascii="Palatino Linotype" w:hAnsi="Palatino Linotype"/>
          <w:sz w:val="22"/>
          <w:szCs w:val="22"/>
        </w:rPr>
        <w:t>EP</w:t>
      </w:r>
      <w:proofErr w:type="spellEnd"/>
      <w:r w:rsidRPr="00414B52">
        <w:rPr>
          <w:rFonts w:ascii="Palatino Linotype" w:hAnsi="Palatino Linotype"/>
          <w:sz w:val="22"/>
          <w:szCs w:val="22"/>
        </w:rPr>
        <w:t xml:space="preserve">, se contrató  la </w:t>
      </w:r>
      <w:r w:rsidRPr="00414B52">
        <w:rPr>
          <w:rFonts w:ascii="Palatino Linotype" w:hAnsi="Palatino Linotype"/>
          <w:i/>
          <w:sz w:val="22"/>
          <w:szCs w:val="22"/>
        </w:rPr>
        <w:t>Consultoría para el modelo de eficiencias financieras para la gestión integral de residuos sólidos en el Distrito Metropolitano de Quito”</w:t>
      </w:r>
      <w:r w:rsidRPr="00414B52">
        <w:rPr>
          <w:rFonts w:ascii="Palatino Linotype" w:hAnsi="Palatino Linotype"/>
          <w:sz w:val="22"/>
          <w:szCs w:val="22"/>
        </w:rPr>
        <w:t xml:space="preserve">, elaborado por la Compañía </w:t>
      </w:r>
      <w:proofErr w:type="spellStart"/>
      <w:r w:rsidRPr="00414B52">
        <w:rPr>
          <w:rFonts w:ascii="Palatino Linotype" w:hAnsi="Palatino Linotype"/>
          <w:sz w:val="22"/>
          <w:szCs w:val="22"/>
        </w:rPr>
        <w:t>PWC</w:t>
      </w:r>
      <w:proofErr w:type="spellEnd"/>
      <w:r w:rsidRPr="00414B52">
        <w:rPr>
          <w:rFonts w:ascii="Palatino Linotype" w:hAnsi="Palatino Linotype"/>
          <w:sz w:val="22"/>
          <w:szCs w:val="22"/>
        </w:rPr>
        <w:t xml:space="preserve"> Asesores Empresariales Cía. Ltda.; estudio en el cual se concluyó, que la opción más viable para la eficiencia financiera es la fusión por absorción por parte de la </w:t>
      </w:r>
      <w:proofErr w:type="spellStart"/>
      <w:r w:rsidRPr="00414B52">
        <w:rPr>
          <w:rFonts w:ascii="Palatino Linotype" w:hAnsi="Palatino Linotype"/>
          <w:sz w:val="22"/>
          <w:szCs w:val="22"/>
        </w:rPr>
        <w:t>EMASEO</w:t>
      </w:r>
      <w:proofErr w:type="spellEnd"/>
      <w:r w:rsidRPr="00414B52">
        <w:rPr>
          <w:rFonts w:ascii="Palatino Linotype" w:hAnsi="Palatino Linotype"/>
          <w:sz w:val="22"/>
          <w:szCs w:val="22"/>
        </w:rPr>
        <w:t xml:space="preserve">  </w:t>
      </w:r>
      <w:proofErr w:type="spellStart"/>
      <w:r w:rsidRPr="00414B52">
        <w:rPr>
          <w:rFonts w:ascii="Palatino Linotype" w:hAnsi="Palatino Linotype"/>
          <w:sz w:val="22"/>
          <w:szCs w:val="22"/>
        </w:rPr>
        <w:t>EP</w:t>
      </w:r>
      <w:proofErr w:type="spellEnd"/>
      <w:r w:rsidRPr="00414B52">
        <w:rPr>
          <w:rFonts w:ascii="Palatino Linotype" w:hAnsi="Palatino Linotype"/>
          <w:sz w:val="22"/>
          <w:szCs w:val="22"/>
        </w:rPr>
        <w:t xml:space="preserve"> a la </w:t>
      </w:r>
      <w:proofErr w:type="spellStart"/>
      <w:r w:rsidRPr="00414B52">
        <w:rPr>
          <w:rFonts w:ascii="Palatino Linotype" w:hAnsi="Palatino Linotype"/>
          <w:sz w:val="22"/>
          <w:szCs w:val="22"/>
        </w:rPr>
        <w:t>EMGIRS</w:t>
      </w:r>
      <w:proofErr w:type="spellEnd"/>
      <w:r w:rsidRPr="00414B52">
        <w:rPr>
          <w:rFonts w:ascii="Palatino Linotype" w:hAnsi="Palatino Linotype"/>
          <w:sz w:val="22"/>
          <w:szCs w:val="22"/>
        </w:rPr>
        <w:t xml:space="preserve"> </w:t>
      </w:r>
      <w:proofErr w:type="spellStart"/>
      <w:r w:rsidRPr="00414B52">
        <w:rPr>
          <w:rFonts w:ascii="Palatino Linotype" w:hAnsi="Palatino Linotype"/>
          <w:sz w:val="22"/>
          <w:szCs w:val="22"/>
        </w:rPr>
        <w:t>EP</w:t>
      </w:r>
      <w:proofErr w:type="spellEnd"/>
      <w:r w:rsidRPr="00414B52">
        <w:rPr>
          <w:rFonts w:ascii="Palatino Linotype" w:hAnsi="Palatino Linotype"/>
          <w:sz w:val="22"/>
          <w:szCs w:val="22"/>
        </w:rPr>
        <w:t xml:space="preserve">.  La Secretaría de Planificación del Municipio del </w:t>
      </w:r>
      <w:proofErr w:type="spellStart"/>
      <w:r w:rsidRPr="00414B52">
        <w:rPr>
          <w:rFonts w:ascii="Palatino Linotype" w:hAnsi="Palatino Linotype"/>
          <w:sz w:val="22"/>
          <w:szCs w:val="22"/>
        </w:rPr>
        <w:t>DMQ</w:t>
      </w:r>
      <w:proofErr w:type="spellEnd"/>
      <w:r w:rsidRPr="00414B52">
        <w:rPr>
          <w:rFonts w:ascii="Palatino Linotype" w:hAnsi="Palatino Linotype"/>
          <w:sz w:val="22"/>
          <w:szCs w:val="22"/>
        </w:rPr>
        <w:t xml:space="preserve"> mediante Oficio No. </w:t>
      </w:r>
      <w:proofErr w:type="spellStart"/>
      <w:r w:rsidRPr="00414B52">
        <w:rPr>
          <w:rFonts w:ascii="Palatino Linotype" w:hAnsi="Palatino Linotype"/>
          <w:sz w:val="22"/>
          <w:szCs w:val="22"/>
        </w:rPr>
        <w:t>SGP</w:t>
      </w:r>
      <w:proofErr w:type="spellEnd"/>
      <w:r w:rsidRPr="00414B52">
        <w:rPr>
          <w:rFonts w:ascii="Palatino Linotype" w:hAnsi="Palatino Linotype"/>
          <w:sz w:val="22"/>
          <w:szCs w:val="22"/>
        </w:rPr>
        <w:t xml:space="preserve">-2016-0852, de 29 de noviembre de 2016, emitió su informe favorable para la fusión por absorción entre la </w:t>
      </w:r>
      <w:proofErr w:type="spellStart"/>
      <w:r w:rsidRPr="00414B52">
        <w:rPr>
          <w:rFonts w:ascii="Palatino Linotype" w:hAnsi="Palatino Linotype"/>
          <w:sz w:val="22"/>
          <w:szCs w:val="22"/>
        </w:rPr>
        <w:t>EMASEO</w:t>
      </w:r>
      <w:proofErr w:type="spellEnd"/>
      <w:r w:rsidRPr="00414B52">
        <w:rPr>
          <w:rFonts w:ascii="Palatino Linotype" w:hAnsi="Palatino Linotype"/>
          <w:sz w:val="22"/>
          <w:szCs w:val="22"/>
        </w:rPr>
        <w:t xml:space="preserve"> </w:t>
      </w:r>
      <w:proofErr w:type="spellStart"/>
      <w:r w:rsidRPr="00414B52">
        <w:rPr>
          <w:rFonts w:ascii="Palatino Linotype" w:hAnsi="Palatino Linotype"/>
          <w:sz w:val="22"/>
          <w:szCs w:val="22"/>
        </w:rPr>
        <w:t>EP</w:t>
      </w:r>
      <w:proofErr w:type="spellEnd"/>
      <w:r w:rsidRPr="00414B52">
        <w:rPr>
          <w:rFonts w:ascii="Palatino Linotype" w:hAnsi="Palatino Linotype"/>
          <w:sz w:val="22"/>
          <w:szCs w:val="22"/>
        </w:rPr>
        <w:t xml:space="preserve"> y la </w:t>
      </w:r>
      <w:proofErr w:type="spellStart"/>
      <w:r w:rsidRPr="00414B52">
        <w:rPr>
          <w:rFonts w:ascii="Palatino Linotype" w:hAnsi="Palatino Linotype"/>
          <w:sz w:val="22"/>
          <w:szCs w:val="22"/>
        </w:rPr>
        <w:t>EMGIRS</w:t>
      </w:r>
      <w:proofErr w:type="spellEnd"/>
      <w:r w:rsidRPr="00414B52">
        <w:rPr>
          <w:rFonts w:ascii="Palatino Linotype" w:hAnsi="Palatino Linotype"/>
          <w:sz w:val="22"/>
          <w:szCs w:val="22"/>
        </w:rPr>
        <w:t xml:space="preserve"> </w:t>
      </w:r>
      <w:proofErr w:type="spellStart"/>
      <w:r w:rsidRPr="00414B52">
        <w:rPr>
          <w:rFonts w:ascii="Palatino Linotype" w:hAnsi="Palatino Linotype"/>
          <w:sz w:val="22"/>
          <w:szCs w:val="22"/>
        </w:rPr>
        <w:t>EP</w:t>
      </w:r>
      <w:proofErr w:type="spellEnd"/>
      <w:r w:rsidRPr="00414B52">
        <w:rPr>
          <w:rFonts w:ascii="Palatino Linotype" w:hAnsi="Palatino Linotype"/>
          <w:sz w:val="22"/>
          <w:szCs w:val="22"/>
        </w:rPr>
        <w:t xml:space="preserve"> y la Subprocuraduría  Metropolitana de Asesoría General </w:t>
      </w:r>
      <w:r w:rsidRPr="00414B52">
        <w:rPr>
          <w:rFonts w:ascii="Palatino Linotype" w:hAnsi="Palatino Linotype"/>
          <w:sz w:val="22"/>
          <w:szCs w:val="22"/>
        </w:rPr>
        <w:lastRenderedPageBreak/>
        <w:t>dictaminó mediante Expediente No. 2016-03151, de 13 de abril de 2017, la viabilidad jurídica de realizar el procedimiento societario de concentración empresarial previo el cumplimiento de todos los requisitos y procedimientos contemplados en la</w:t>
      </w:r>
      <w:r w:rsidR="00414B52">
        <w:rPr>
          <w:rFonts w:ascii="Palatino Linotype" w:hAnsi="Palatino Linotype"/>
          <w:sz w:val="22"/>
          <w:szCs w:val="22"/>
        </w:rPr>
        <w:t xml:space="preserve"> Ley.</w:t>
      </w:r>
    </w:p>
    <w:p w:rsidR="00414B52" w:rsidRDefault="00414B52" w:rsidP="00414B52">
      <w:pPr>
        <w:spacing w:after="120" w:line="276" w:lineRule="auto"/>
        <w:rPr>
          <w:rFonts w:ascii="Palatino Linotype" w:hAnsi="Palatino Linotype"/>
          <w:sz w:val="22"/>
          <w:szCs w:val="22"/>
        </w:rPr>
        <w:sectPr w:rsidR="00414B52">
          <w:headerReference w:type="default" r:id="rId9"/>
          <w:footerReference w:type="default" r:id="rId10"/>
          <w:pgSz w:w="12240" w:h="15840"/>
          <w:pgMar w:top="1417" w:right="1701" w:bottom="1417" w:left="1701" w:header="708" w:footer="708" w:gutter="0"/>
          <w:cols w:space="708"/>
          <w:docGrid w:linePitch="360"/>
        </w:sectPr>
      </w:pPr>
    </w:p>
    <w:p w:rsidR="006A60B4" w:rsidRPr="00414B52" w:rsidRDefault="006A60B4" w:rsidP="00414B52">
      <w:pPr>
        <w:spacing w:after="120" w:line="276" w:lineRule="auto"/>
        <w:jc w:val="center"/>
        <w:rPr>
          <w:rFonts w:ascii="Palatino Linotype" w:hAnsi="Palatino Linotype"/>
          <w:b/>
          <w:sz w:val="22"/>
          <w:szCs w:val="22"/>
        </w:rPr>
      </w:pPr>
      <w:r w:rsidRPr="00414B52">
        <w:rPr>
          <w:rFonts w:ascii="Palatino Linotype" w:hAnsi="Palatino Linotype"/>
          <w:b/>
          <w:sz w:val="22"/>
          <w:szCs w:val="22"/>
        </w:rPr>
        <w:lastRenderedPageBreak/>
        <w:t>EL CONCEJO METROPOLITANO DE QUITO</w:t>
      </w:r>
    </w:p>
    <w:p w:rsidR="00521EC0" w:rsidRPr="00414B52" w:rsidRDefault="00414B52" w:rsidP="00414B52">
      <w:pPr>
        <w:spacing w:after="120" w:line="276" w:lineRule="auto"/>
        <w:jc w:val="both"/>
        <w:rPr>
          <w:rFonts w:ascii="Palatino Linotype" w:hAnsi="Palatino Linotype"/>
          <w:sz w:val="22"/>
          <w:szCs w:val="22"/>
        </w:rPr>
      </w:pPr>
      <w:r>
        <w:rPr>
          <w:rFonts w:ascii="Palatino Linotype" w:hAnsi="Palatino Linotype"/>
          <w:sz w:val="22"/>
          <w:szCs w:val="22"/>
        </w:rPr>
        <w:t xml:space="preserve">Vistos los Informes Nos. </w:t>
      </w:r>
      <w:proofErr w:type="spellStart"/>
      <w:r>
        <w:rPr>
          <w:rFonts w:ascii="Palatino Linotype" w:hAnsi="Palatino Linotype"/>
          <w:sz w:val="22"/>
          <w:szCs w:val="22"/>
        </w:rPr>
        <w:t>IC</w:t>
      </w:r>
      <w:proofErr w:type="spellEnd"/>
      <w:r>
        <w:rPr>
          <w:rFonts w:ascii="Palatino Linotype" w:hAnsi="Palatino Linotype"/>
          <w:sz w:val="22"/>
          <w:szCs w:val="22"/>
        </w:rPr>
        <w:t xml:space="preserve">-O-2016-311 e </w:t>
      </w:r>
      <w:proofErr w:type="spellStart"/>
      <w:r>
        <w:rPr>
          <w:rFonts w:ascii="Palatino Linotype" w:hAnsi="Palatino Linotype"/>
          <w:sz w:val="22"/>
          <w:szCs w:val="22"/>
        </w:rPr>
        <w:t>IC</w:t>
      </w:r>
      <w:proofErr w:type="spellEnd"/>
      <w:r>
        <w:rPr>
          <w:rFonts w:ascii="Palatino Linotype" w:hAnsi="Palatino Linotype"/>
          <w:sz w:val="22"/>
          <w:szCs w:val="22"/>
        </w:rPr>
        <w:t>-O-2017-144, de 23 de noviembre de 2016 y 31 de mayo de 2017, respectivamente.</w:t>
      </w:r>
    </w:p>
    <w:p w:rsidR="00521EC0" w:rsidRPr="00414B52" w:rsidRDefault="00521EC0" w:rsidP="00414B52">
      <w:pPr>
        <w:shd w:val="clear" w:color="auto" w:fill="FFFFFF"/>
        <w:spacing w:after="120" w:line="276" w:lineRule="auto"/>
        <w:ind w:left="567" w:right="5"/>
        <w:jc w:val="center"/>
        <w:rPr>
          <w:rFonts w:ascii="Palatino Linotype" w:hAnsi="Palatino Linotype"/>
          <w:b/>
          <w:spacing w:val="-11"/>
          <w:sz w:val="22"/>
          <w:szCs w:val="22"/>
          <w:lang w:val="es-ES_tradnl"/>
        </w:rPr>
      </w:pPr>
      <w:r w:rsidRPr="00414B52">
        <w:rPr>
          <w:rFonts w:ascii="Palatino Linotype" w:hAnsi="Palatino Linotype"/>
          <w:b/>
          <w:spacing w:val="-11"/>
          <w:sz w:val="22"/>
          <w:szCs w:val="22"/>
          <w:lang w:val="es-ES_tradnl"/>
        </w:rPr>
        <w:t>CONSIDERANDO:</w:t>
      </w:r>
    </w:p>
    <w:p w:rsidR="00521EC0" w:rsidRPr="00414B52" w:rsidRDefault="00521EC0" w:rsidP="00414B52">
      <w:pPr>
        <w:shd w:val="clear" w:color="auto" w:fill="FFFFFF"/>
        <w:spacing w:after="120" w:line="276" w:lineRule="auto"/>
        <w:ind w:left="567" w:hanging="567"/>
        <w:jc w:val="both"/>
        <w:rPr>
          <w:rFonts w:ascii="Palatino Linotype" w:hAnsi="Palatino Linotype"/>
          <w:sz w:val="22"/>
          <w:szCs w:val="22"/>
          <w:lang w:val="es-ES_tradnl"/>
        </w:rPr>
      </w:pPr>
      <w:r w:rsidRPr="00414B52">
        <w:rPr>
          <w:rFonts w:ascii="Palatino Linotype" w:hAnsi="Palatino Linotype"/>
          <w:b/>
          <w:spacing w:val="-6"/>
          <w:sz w:val="22"/>
          <w:szCs w:val="22"/>
          <w:lang w:val="es-ES_tradnl"/>
        </w:rPr>
        <w:t>Que,</w:t>
      </w:r>
      <w:r w:rsidRPr="00414B52">
        <w:rPr>
          <w:rFonts w:ascii="Palatino Linotype" w:hAnsi="Palatino Linotype"/>
          <w:spacing w:val="-6"/>
          <w:sz w:val="22"/>
          <w:szCs w:val="22"/>
          <w:lang w:val="es-ES_tradnl"/>
        </w:rPr>
        <w:t xml:space="preserve"> el artículo 14 de la Constitución de la República del </w:t>
      </w:r>
      <w:r w:rsidRPr="00414B52">
        <w:rPr>
          <w:rFonts w:ascii="Palatino Linotype" w:hAnsi="Palatino Linotype"/>
          <w:spacing w:val="-7"/>
          <w:sz w:val="22"/>
          <w:szCs w:val="22"/>
          <w:lang w:val="es-ES_tradnl"/>
        </w:rPr>
        <w:t xml:space="preserve">Ecuador (en adelante “Constitución”), reconoce el derecho </w:t>
      </w:r>
      <w:r w:rsidRPr="00414B52">
        <w:rPr>
          <w:rFonts w:ascii="Palatino Linotype" w:hAnsi="Palatino Linotype"/>
          <w:sz w:val="22"/>
          <w:szCs w:val="22"/>
          <w:lang w:val="es-ES_tradnl"/>
        </w:rPr>
        <w:t>de la población a vivir en un ambiente sano y ecológicamente equilibrado;</w:t>
      </w:r>
    </w:p>
    <w:p w:rsidR="00521EC0" w:rsidRPr="00414B52" w:rsidRDefault="00521EC0" w:rsidP="00414B52">
      <w:pPr>
        <w:shd w:val="clear" w:color="auto" w:fill="FFFFFF"/>
        <w:spacing w:after="120" w:line="276" w:lineRule="auto"/>
        <w:ind w:left="567" w:hanging="567"/>
        <w:jc w:val="both"/>
        <w:rPr>
          <w:rFonts w:ascii="Palatino Linotype" w:hAnsi="Palatino Linotype"/>
          <w:spacing w:val="-7"/>
          <w:sz w:val="22"/>
          <w:szCs w:val="22"/>
          <w:lang w:val="es-ES_tradnl"/>
        </w:rPr>
      </w:pPr>
      <w:r w:rsidRPr="00414B52">
        <w:rPr>
          <w:rFonts w:ascii="Palatino Linotype" w:hAnsi="Palatino Linotype"/>
          <w:b/>
          <w:spacing w:val="-7"/>
          <w:sz w:val="22"/>
          <w:szCs w:val="22"/>
          <w:lang w:val="es-ES_tradnl"/>
        </w:rPr>
        <w:t>Que,</w:t>
      </w:r>
      <w:r w:rsidRPr="00414B52">
        <w:rPr>
          <w:rFonts w:ascii="Palatino Linotype" w:hAnsi="Palatino Linotype"/>
          <w:spacing w:val="-7"/>
          <w:sz w:val="22"/>
          <w:szCs w:val="22"/>
          <w:lang w:val="es-ES_tradnl"/>
        </w:rPr>
        <w:t xml:space="preserve">  el segundo inciso, del artículo 314 de la Constitución, dispone al Estado garantizar que la provisión de los servicios públicos respondan a los principios de obligatoriedad, generalidad, uniformidad, eficiencia, responsabilidad, universalidad, accesibilidad, regularidad, continuidad y calidad. El Estado dispondrá que los precios y tarifas de los servicios públicos sean equitativos, y establecerá su control y regulación;</w:t>
      </w:r>
    </w:p>
    <w:p w:rsidR="00521EC0" w:rsidRPr="00414B52" w:rsidRDefault="00521EC0" w:rsidP="00414B52">
      <w:pPr>
        <w:shd w:val="clear" w:color="auto" w:fill="FFFFFF"/>
        <w:spacing w:after="120" w:line="276" w:lineRule="auto"/>
        <w:ind w:left="567" w:hanging="567"/>
        <w:jc w:val="both"/>
        <w:rPr>
          <w:rFonts w:ascii="Palatino Linotype" w:hAnsi="Palatino Linotype"/>
          <w:sz w:val="22"/>
          <w:szCs w:val="22"/>
          <w:lang w:val="es-ES_tradnl"/>
        </w:rPr>
      </w:pPr>
      <w:r w:rsidRPr="00414B52">
        <w:rPr>
          <w:rFonts w:ascii="Palatino Linotype" w:hAnsi="Palatino Linotype"/>
          <w:b/>
          <w:spacing w:val="-7"/>
          <w:sz w:val="22"/>
          <w:szCs w:val="22"/>
          <w:lang w:val="es-ES_tradnl"/>
        </w:rPr>
        <w:t>Que,</w:t>
      </w:r>
      <w:r w:rsidRPr="00414B52">
        <w:rPr>
          <w:rFonts w:ascii="Palatino Linotype" w:hAnsi="Palatino Linotype"/>
          <w:spacing w:val="-7"/>
          <w:sz w:val="22"/>
          <w:szCs w:val="22"/>
          <w:lang w:val="es-ES_tradnl"/>
        </w:rPr>
        <w:t xml:space="preserve"> el artículo 415 de la Constitución establece que los </w:t>
      </w:r>
      <w:r w:rsidRPr="00414B52">
        <w:rPr>
          <w:rFonts w:ascii="Palatino Linotype" w:hAnsi="Palatino Linotype"/>
          <w:spacing w:val="-5"/>
          <w:sz w:val="22"/>
          <w:szCs w:val="22"/>
          <w:lang w:val="es-ES_tradnl"/>
        </w:rPr>
        <w:t xml:space="preserve">gobiernos autónomos descentralizados desarrollarán </w:t>
      </w:r>
      <w:r w:rsidRPr="00414B52">
        <w:rPr>
          <w:rFonts w:ascii="Palatino Linotype" w:hAnsi="Palatino Linotype"/>
          <w:spacing w:val="-2"/>
          <w:sz w:val="22"/>
          <w:szCs w:val="22"/>
          <w:lang w:val="es-ES_tradnl"/>
        </w:rPr>
        <w:t xml:space="preserve">programas de uso racional del agua y de reducción, </w:t>
      </w:r>
      <w:r w:rsidRPr="00414B52">
        <w:rPr>
          <w:rFonts w:ascii="Palatino Linotype" w:hAnsi="Palatino Linotype"/>
          <w:spacing w:val="-7"/>
          <w:sz w:val="22"/>
          <w:szCs w:val="22"/>
          <w:lang w:val="es-ES_tradnl"/>
        </w:rPr>
        <w:t xml:space="preserve">reciclaje y tratamiento adecuado de desechos sólidos y </w:t>
      </w:r>
      <w:r w:rsidRPr="00414B52">
        <w:rPr>
          <w:rFonts w:ascii="Palatino Linotype" w:hAnsi="Palatino Linotype"/>
          <w:sz w:val="22"/>
          <w:szCs w:val="22"/>
          <w:lang w:val="es-ES_tradnl"/>
        </w:rPr>
        <w:t>líquidos;</w:t>
      </w:r>
    </w:p>
    <w:p w:rsidR="00521EC0" w:rsidRPr="00414B52" w:rsidRDefault="00521EC0" w:rsidP="00414B52">
      <w:pPr>
        <w:shd w:val="clear" w:color="auto" w:fill="FFFFFF"/>
        <w:tabs>
          <w:tab w:val="left" w:pos="567"/>
        </w:tabs>
        <w:spacing w:after="120" w:line="276" w:lineRule="auto"/>
        <w:ind w:left="567" w:hanging="567"/>
        <w:jc w:val="both"/>
        <w:rPr>
          <w:rFonts w:ascii="Palatino Linotype" w:hAnsi="Palatino Linotype"/>
          <w:sz w:val="22"/>
          <w:szCs w:val="22"/>
          <w:lang w:val="es-ES_tradnl"/>
        </w:rPr>
      </w:pPr>
      <w:r w:rsidRPr="00414B52">
        <w:rPr>
          <w:rFonts w:ascii="Palatino Linotype" w:hAnsi="Palatino Linotype"/>
          <w:b/>
          <w:spacing w:val="-5"/>
          <w:sz w:val="22"/>
          <w:szCs w:val="22"/>
          <w:lang w:val="es-ES_tradnl"/>
        </w:rPr>
        <w:t>Que,</w:t>
      </w:r>
      <w:r w:rsidRPr="00414B52">
        <w:rPr>
          <w:rFonts w:ascii="Palatino Linotype" w:hAnsi="Palatino Linotype"/>
          <w:spacing w:val="-5"/>
          <w:sz w:val="22"/>
          <w:szCs w:val="22"/>
          <w:lang w:val="es-ES_tradnl"/>
        </w:rPr>
        <w:t xml:space="preserve"> </w:t>
      </w:r>
      <w:r w:rsidRPr="00414B52">
        <w:rPr>
          <w:rFonts w:ascii="Palatino Linotype" w:hAnsi="Palatino Linotype"/>
          <w:spacing w:val="-5"/>
          <w:sz w:val="22"/>
          <w:szCs w:val="22"/>
          <w:lang w:val="es-ES_tradnl"/>
        </w:rPr>
        <w:tab/>
        <w:t xml:space="preserve">la letra d) del artículo 55 del Código Orgánico de </w:t>
      </w:r>
      <w:r w:rsidRPr="00414B52">
        <w:rPr>
          <w:rFonts w:ascii="Palatino Linotype" w:hAnsi="Palatino Linotype"/>
          <w:spacing w:val="-4"/>
          <w:sz w:val="22"/>
          <w:szCs w:val="22"/>
          <w:lang w:val="es-ES_tradnl"/>
        </w:rPr>
        <w:t xml:space="preserve">Organización Territorial, Autonomía y Descentralización </w:t>
      </w:r>
      <w:r w:rsidRPr="00414B52">
        <w:rPr>
          <w:rFonts w:ascii="Palatino Linotype" w:hAnsi="Palatino Linotype"/>
          <w:spacing w:val="-6"/>
          <w:sz w:val="22"/>
          <w:szCs w:val="22"/>
          <w:lang w:val="es-ES_tradnl"/>
        </w:rPr>
        <w:t>(en adelante “</w:t>
      </w:r>
      <w:proofErr w:type="spellStart"/>
      <w:r w:rsidRPr="00414B52">
        <w:rPr>
          <w:rFonts w:ascii="Palatino Linotype" w:hAnsi="Palatino Linotype"/>
          <w:spacing w:val="-6"/>
          <w:sz w:val="22"/>
          <w:szCs w:val="22"/>
          <w:lang w:val="es-ES_tradnl"/>
        </w:rPr>
        <w:t>COOTAD</w:t>
      </w:r>
      <w:proofErr w:type="spellEnd"/>
      <w:r w:rsidRPr="00414B52">
        <w:rPr>
          <w:rFonts w:ascii="Palatino Linotype" w:hAnsi="Palatino Linotype"/>
          <w:spacing w:val="-6"/>
          <w:sz w:val="22"/>
          <w:szCs w:val="22"/>
          <w:lang w:val="es-ES_tradnl"/>
        </w:rPr>
        <w:t xml:space="preserve">”), en concordancia con el artículo </w:t>
      </w:r>
      <w:r w:rsidRPr="00414B52">
        <w:rPr>
          <w:rFonts w:ascii="Palatino Linotype" w:hAnsi="Palatino Linotype"/>
          <w:sz w:val="22"/>
          <w:szCs w:val="22"/>
          <w:lang w:val="es-ES_tradnl"/>
        </w:rPr>
        <w:t xml:space="preserve">85 del mismo cuerpo normativo establece que, los </w:t>
      </w:r>
      <w:r w:rsidRPr="00414B52">
        <w:rPr>
          <w:rFonts w:ascii="Palatino Linotype" w:hAnsi="Palatino Linotype"/>
          <w:spacing w:val="-8"/>
          <w:sz w:val="22"/>
          <w:szCs w:val="22"/>
          <w:lang w:val="es-ES_tradnl"/>
        </w:rPr>
        <w:t xml:space="preserve">gobiernos autónomos descentralizados municipales tienen </w:t>
      </w:r>
      <w:r w:rsidRPr="00414B52">
        <w:rPr>
          <w:rFonts w:ascii="Palatino Linotype" w:hAnsi="Palatino Linotype"/>
          <w:spacing w:val="-9"/>
          <w:sz w:val="22"/>
          <w:szCs w:val="22"/>
          <w:lang w:val="es-ES_tradnl"/>
        </w:rPr>
        <w:t xml:space="preserve">competencia exclusiva para prestar los servicios públicos de manejo de desechos sólidos y actividades de saneamiento </w:t>
      </w:r>
      <w:r w:rsidRPr="00414B52">
        <w:rPr>
          <w:rFonts w:ascii="Palatino Linotype" w:hAnsi="Palatino Linotype"/>
          <w:sz w:val="22"/>
          <w:szCs w:val="22"/>
          <w:lang w:val="es-ES_tradnl"/>
        </w:rPr>
        <w:t>ambiental;</w:t>
      </w:r>
    </w:p>
    <w:p w:rsidR="00521EC0" w:rsidRPr="00414B52" w:rsidRDefault="00521EC0" w:rsidP="00414B52">
      <w:pPr>
        <w:shd w:val="clear" w:color="auto" w:fill="FFFFFF"/>
        <w:spacing w:after="120" w:line="276" w:lineRule="auto"/>
        <w:ind w:left="567" w:right="5" w:hanging="567"/>
        <w:jc w:val="both"/>
        <w:rPr>
          <w:rFonts w:ascii="Palatino Linotype" w:hAnsi="Palatino Linotype"/>
          <w:i/>
          <w:sz w:val="22"/>
          <w:szCs w:val="22"/>
        </w:rPr>
      </w:pPr>
      <w:r w:rsidRPr="00414B52">
        <w:rPr>
          <w:rFonts w:ascii="Palatino Linotype" w:hAnsi="Palatino Linotype"/>
          <w:b/>
          <w:spacing w:val="-9"/>
          <w:sz w:val="22"/>
          <w:szCs w:val="22"/>
          <w:lang w:val="es-ES_tradnl"/>
        </w:rPr>
        <w:t>Que,</w:t>
      </w:r>
      <w:r w:rsidRPr="00414B52">
        <w:rPr>
          <w:rFonts w:ascii="Palatino Linotype" w:hAnsi="Palatino Linotype"/>
          <w:spacing w:val="-9"/>
          <w:sz w:val="22"/>
          <w:szCs w:val="22"/>
          <w:lang w:val="es-ES_tradnl"/>
        </w:rPr>
        <w:t xml:space="preserve"> </w:t>
      </w:r>
      <w:r w:rsidRPr="00414B52">
        <w:rPr>
          <w:rFonts w:ascii="Palatino Linotype" w:hAnsi="Palatino Linotype"/>
          <w:spacing w:val="-9"/>
          <w:sz w:val="22"/>
          <w:szCs w:val="22"/>
          <w:lang w:val="es-ES_tradnl"/>
        </w:rPr>
        <w:tab/>
        <w:t xml:space="preserve">el </w:t>
      </w:r>
      <w:proofErr w:type="spellStart"/>
      <w:r w:rsidRPr="00414B52">
        <w:rPr>
          <w:rStyle w:val="nrmar"/>
          <w:rFonts w:ascii="Palatino Linotype" w:hAnsi="Palatino Linotype"/>
          <w:sz w:val="22"/>
          <w:szCs w:val="22"/>
        </w:rPr>
        <w:t>COOTAD</w:t>
      </w:r>
      <w:proofErr w:type="spellEnd"/>
      <w:r w:rsidRPr="00414B52">
        <w:rPr>
          <w:rStyle w:val="nrmar"/>
          <w:rFonts w:ascii="Palatino Linotype" w:hAnsi="Palatino Linotype"/>
          <w:sz w:val="22"/>
          <w:szCs w:val="22"/>
        </w:rPr>
        <w:t xml:space="preserve"> en su </w:t>
      </w:r>
      <w:r w:rsidRPr="00414B52">
        <w:rPr>
          <w:rFonts w:ascii="Palatino Linotype" w:hAnsi="Palatino Linotype"/>
          <w:spacing w:val="-9"/>
          <w:sz w:val="22"/>
          <w:szCs w:val="22"/>
          <w:lang w:val="es-ES_tradnl"/>
        </w:rPr>
        <w:t xml:space="preserve">artículo </w:t>
      </w:r>
      <w:r w:rsidRPr="00414B52">
        <w:rPr>
          <w:rStyle w:val="nrmar"/>
          <w:rFonts w:ascii="Palatino Linotype" w:hAnsi="Palatino Linotype"/>
          <w:sz w:val="22"/>
          <w:szCs w:val="22"/>
        </w:rPr>
        <w:t>87 determina las a</w:t>
      </w:r>
      <w:r w:rsidRPr="00414B52">
        <w:rPr>
          <w:rFonts w:ascii="Palatino Linotype" w:hAnsi="Palatino Linotype"/>
          <w:sz w:val="22"/>
          <w:szCs w:val="22"/>
        </w:rPr>
        <w:t xml:space="preserve">tribuciones del Concejo Metropolitano, así las letras a); b); y, c) prevén lo siguiente: </w:t>
      </w:r>
      <w:r w:rsidRPr="00414B52">
        <w:rPr>
          <w:rFonts w:ascii="Palatino Linotype" w:hAnsi="Palatino Linotype"/>
          <w:i/>
          <w:sz w:val="22"/>
          <w:szCs w:val="22"/>
        </w:rPr>
        <w:t>a) Ejercer la facultad normativa en las materias de competencia del gobierno autónomo descentralizado metropolitano, mediante la expedición de ordenanzas metropolitanas, acuerdos y resoluciones; b) Regular, mediante ordenanza metropolitana, la aplicación de tributos previstos en la ley a su favor; c) Crear, modificar o extinguir tasas y contribuciones especiales por los servicios que presta y obras que ejecute;”</w:t>
      </w:r>
    </w:p>
    <w:p w:rsidR="00521EC0" w:rsidRPr="00414B52" w:rsidRDefault="00521EC0" w:rsidP="00414B52">
      <w:pPr>
        <w:shd w:val="clear" w:color="auto" w:fill="FFFFFF"/>
        <w:spacing w:after="120" w:line="276" w:lineRule="auto"/>
        <w:ind w:left="567" w:right="5" w:hanging="567"/>
        <w:jc w:val="both"/>
        <w:rPr>
          <w:rFonts w:ascii="Palatino Linotype" w:hAnsi="Palatino Linotype"/>
          <w:spacing w:val="-9"/>
          <w:sz w:val="22"/>
          <w:szCs w:val="22"/>
          <w:lang w:val="es-ES_tradnl"/>
        </w:rPr>
      </w:pPr>
      <w:r w:rsidRPr="00414B52">
        <w:rPr>
          <w:rFonts w:ascii="Palatino Linotype" w:hAnsi="Palatino Linotype"/>
          <w:b/>
          <w:spacing w:val="-4"/>
          <w:sz w:val="22"/>
          <w:szCs w:val="22"/>
          <w:lang w:val="es-ES_tradnl"/>
        </w:rPr>
        <w:t>Que,</w:t>
      </w:r>
      <w:r w:rsidRPr="00414B52">
        <w:rPr>
          <w:rFonts w:ascii="Palatino Linotype" w:hAnsi="Palatino Linotype"/>
          <w:spacing w:val="-4"/>
          <w:sz w:val="22"/>
          <w:szCs w:val="22"/>
          <w:lang w:val="es-ES_tradnl"/>
        </w:rPr>
        <w:t xml:space="preserve"> según establecen los artículos 566 y 568 del </w:t>
      </w:r>
      <w:proofErr w:type="spellStart"/>
      <w:r w:rsidRPr="00414B52">
        <w:rPr>
          <w:rFonts w:ascii="Palatino Linotype" w:hAnsi="Palatino Linotype"/>
          <w:spacing w:val="-7"/>
          <w:sz w:val="22"/>
          <w:szCs w:val="22"/>
          <w:lang w:val="es-ES_tradnl"/>
        </w:rPr>
        <w:t>COOTAD</w:t>
      </w:r>
      <w:proofErr w:type="spellEnd"/>
      <w:r w:rsidRPr="00414B52">
        <w:rPr>
          <w:rFonts w:ascii="Palatino Linotype" w:hAnsi="Palatino Linotype"/>
          <w:spacing w:val="-7"/>
          <w:sz w:val="22"/>
          <w:szCs w:val="22"/>
          <w:lang w:val="es-ES_tradnl"/>
        </w:rPr>
        <w:t xml:space="preserve">, los gobiernos autónomos descentralizados </w:t>
      </w:r>
      <w:r w:rsidRPr="00414B52">
        <w:rPr>
          <w:rFonts w:ascii="Palatino Linotype" w:hAnsi="Palatino Linotype"/>
          <w:spacing w:val="-5"/>
          <w:sz w:val="22"/>
          <w:szCs w:val="22"/>
          <w:lang w:val="es-ES_tradnl"/>
        </w:rPr>
        <w:t xml:space="preserve">municipales y distritales tienen la facultad de determinar </w:t>
      </w:r>
      <w:r w:rsidRPr="00414B52">
        <w:rPr>
          <w:rFonts w:ascii="Palatino Linotype" w:hAnsi="Palatino Linotype"/>
          <w:spacing w:val="-6"/>
          <w:sz w:val="22"/>
          <w:szCs w:val="22"/>
          <w:lang w:val="es-ES_tradnl"/>
        </w:rPr>
        <w:t xml:space="preserve">tasas por la prestación de servicios públicos, entre las que </w:t>
      </w:r>
      <w:r w:rsidRPr="00414B52">
        <w:rPr>
          <w:rFonts w:ascii="Palatino Linotype" w:hAnsi="Palatino Linotype"/>
          <w:spacing w:val="-9"/>
          <w:sz w:val="22"/>
          <w:szCs w:val="22"/>
          <w:lang w:val="es-ES_tradnl"/>
        </w:rPr>
        <w:t>se encuentran los de recolección de basura y aseo público;</w:t>
      </w:r>
    </w:p>
    <w:p w:rsidR="00521EC0" w:rsidRPr="00414B52" w:rsidRDefault="00521EC0" w:rsidP="00414B52">
      <w:pPr>
        <w:shd w:val="clear" w:color="auto" w:fill="FFFFFF"/>
        <w:spacing w:after="120" w:line="276" w:lineRule="auto"/>
        <w:ind w:left="567" w:right="5" w:hanging="567"/>
        <w:jc w:val="both"/>
        <w:rPr>
          <w:rFonts w:ascii="Palatino Linotype" w:hAnsi="Palatino Linotype"/>
          <w:i/>
          <w:sz w:val="22"/>
          <w:szCs w:val="22"/>
        </w:rPr>
      </w:pPr>
      <w:r w:rsidRPr="00414B52">
        <w:rPr>
          <w:rFonts w:ascii="Palatino Linotype" w:hAnsi="Palatino Linotype"/>
          <w:b/>
          <w:spacing w:val="-10"/>
          <w:sz w:val="22"/>
          <w:szCs w:val="22"/>
          <w:lang w:val="es-ES_tradnl"/>
        </w:rPr>
        <w:lastRenderedPageBreak/>
        <w:t>Que,</w:t>
      </w:r>
      <w:r w:rsidRPr="00414B52">
        <w:rPr>
          <w:rFonts w:ascii="Palatino Linotype" w:hAnsi="Palatino Linotype"/>
          <w:spacing w:val="-10"/>
          <w:sz w:val="22"/>
          <w:szCs w:val="22"/>
          <w:lang w:val="es-ES_tradnl"/>
        </w:rPr>
        <w:t xml:space="preserve"> </w:t>
      </w:r>
      <w:r w:rsidRPr="00414B52">
        <w:rPr>
          <w:rFonts w:ascii="Palatino Linotype" w:hAnsi="Palatino Linotype"/>
          <w:spacing w:val="-10"/>
          <w:sz w:val="22"/>
          <w:szCs w:val="22"/>
          <w:lang w:val="es-ES_tradnl"/>
        </w:rPr>
        <w:tab/>
        <w:t xml:space="preserve">el Código Municipal para el Distrito Metropolitano de Quito, en su artículo </w:t>
      </w:r>
      <w:proofErr w:type="spellStart"/>
      <w:r w:rsidRPr="00414B52">
        <w:rPr>
          <w:rStyle w:val="nrmar"/>
          <w:rFonts w:ascii="Palatino Linotype" w:hAnsi="Palatino Linotype"/>
          <w:sz w:val="22"/>
          <w:szCs w:val="22"/>
        </w:rPr>
        <w:t>P.2</w:t>
      </w:r>
      <w:proofErr w:type="spellEnd"/>
      <w:r w:rsidRPr="00414B52">
        <w:rPr>
          <w:rFonts w:ascii="Palatino Linotype" w:hAnsi="Palatino Linotype"/>
          <w:sz w:val="22"/>
          <w:szCs w:val="22"/>
        </w:rPr>
        <w:t xml:space="preserve">.- ORDENANZAS, establece que: </w:t>
      </w:r>
      <w:r w:rsidRPr="00414B52">
        <w:rPr>
          <w:rFonts w:ascii="Palatino Linotype" w:hAnsi="Palatino Linotype"/>
          <w:i/>
          <w:sz w:val="22"/>
          <w:szCs w:val="22"/>
        </w:rPr>
        <w:t xml:space="preserve">“El </w:t>
      </w:r>
      <w:r w:rsidRPr="00414B52">
        <w:rPr>
          <w:rStyle w:val="hit"/>
          <w:rFonts w:ascii="Palatino Linotype" w:hAnsi="Palatino Linotype"/>
          <w:i/>
          <w:sz w:val="22"/>
          <w:szCs w:val="22"/>
        </w:rPr>
        <w:t>Concejo</w:t>
      </w:r>
      <w:r w:rsidRPr="00414B52">
        <w:rPr>
          <w:rFonts w:ascii="Palatino Linotype" w:hAnsi="Palatino Linotype"/>
          <w:i/>
          <w:sz w:val="22"/>
          <w:szCs w:val="22"/>
        </w:rPr>
        <w:t xml:space="preserve"> Metropolitano de Quito solo podrá expedir como ordenanzas normas de carácter general que serán, necesariamente, reformatorias de este Código, ya por modificar sus disposiciones, ya por agregarle otras nuevas, y se denominará ordenanzas metropolitanas…”;</w:t>
      </w:r>
    </w:p>
    <w:p w:rsidR="00521EC0" w:rsidRPr="00514AAC" w:rsidRDefault="00521EC0" w:rsidP="00514AAC">
      <w:pPr>
        <w:spacing w:after="120" w:line="276" w:lineRule="auto"/>
        <w:ind w:left="567" w:hanging="567"/>
        <w:jc w:val="both"/>
        <w:rPr>
          <w:rFonts w:ascii="Palatino Linotype" w:hAnsi="Palatino Linotype"/>
          <w:sz w:val="22"/>
          <w:szCs w:val="22"/>
          <w:lang w:val="es-ES_tradnl"/>
        </w:rPr>
      </w:pPr>
      <w:r w:rsidRPr="00514AAC">
        <w:rPr>
          <w:rFonts w:ascii="Palatino Linotype" w:hAnsi="Palatino Linotype"/>
          <w:b/>
          <w:sz w:val="22"/>
          <w:szCs w:val="22"/>
          <w:lang w:val="es-ES_tradnl"/>
        </w:rPr>
        <w:t>Que,</w:t>
      </w:r>
      <w:r w:rsidR="00514AAC">
        <w:rPr>
          <w:rFonts w:ascii="Palatino Linotype" w:hAnsi="Palatino Linotype"/>
          <w:sz w:val="22"/>
          <w:szCs w:val="22"/>
          <w:lang w:val="es-ES_tradnl"/>
        </w:rPr>
        <w:t xml:space="preserve"> </w:t>
      </w:r>
      <w:r w:rsidR="00514AAC">
        <w:rPr>
          <w:rFonts w:ascii="Palatino Linotype" w:hAnsi="Palatino Linotype"/>
          <w:sz w:val="22"/>
          <w:szCs w:val="22"/>
          <w:lang w:val="es-ES_tradnl"/>
        </w:rPr>
        <w:tab/>
      </w:r>
      <w:r w:rsidRPr="00514AAC">
        <w:rPr>
          <w:rFonts w:ascii="Palatino Linotype" w:hAnsi="Palatino Linotype"/>
          <w:sz w:val="22"/>
          <w:szCs w:val="22"/>
          <w:lang w:val="es-ES_tradnl"/>
        </w:rPr>
        <w:t>la Disposición General Tercera de la Ley Orgánica del Servicio Público de Energía Eléctrica establece: “</w:t>
      </w:r>
      <w:r w:rsidRPr="00514AAC">
        <w:rPr>
          <w:rFonts w:ascii="Palatino Linotype" w:hAnsi="Palatino Linotype"/>
          <w:i/>
          <w:sz w:val="22"/>
          <w:szCs w:val="22"/>
          <w:lang w:val="es-ES_tradnl"/>
        </w:rPr>
        <w:t xml:space="preserve">Recaudación de terceros.- Las empresas eléctricas de distribución y comercialización de energía eléctrica, de manera excepcional y motivada, y previa autorización del </w:t>
      </w:r>
      <w:proofErr w:type="spellStart"/>
      <w:r w:rsidRPr="00514AAC">
        <w:rPr>
          <w:rFonts w:ascii="Palatino Linotype" w:hAnsi="Palatino Linotype"/>
          <w:i/>
          <w:sz w:val="22"/>
          <w:szCs w:val="22"/>
          <w:lang w:val="es-ES_tradnl"/>
        </w:rPr>
        <w:t>ARCONEL</w:t>
      </w:r>
      <w:proofErr w:type="spellEnd"/>
      <w:r w:rsidRPr="00514AAC">
        <w:rPr>
          <w:rFonts w:ascii="Palatino Linotype" w:hAnsi="Palatino Linotype"/>
          <w:i/>
          <w:sz w:val="22"/>
          <w:szCs w:val="22"/>
          <w:lang w:val="es-ES_tradnl"/>
        </w:rPr>
        <w:t>, podrán acordar con los gobiernos autónomos descentralizados la recaudación de tasas por el servicio de recolección de basura. Estos valores constarán por separado en factura independiente”</w:t>
      </w:r>
      <w:r w:rsidRPr="00514AAC">
        <w:rPr>
          <w:rFonts w:ascii="Palatino Linotype" w:hAnsi="Palatino Linotype"/>
          <w:sz w:val="22"/>
          <w:szCs w:val="22"/>
          <w:lang w:val="es-ES_tradnl"/>
        </w:rPr>
        <w:t>;</w:t>
      </w:r>
    </w:p>
    <w:p w:rsidR="00521EC0" w:rsidRPr="00414B52" w:rsidRDefault="00521EC0" w:rsidP="00414B52">
      <w:pPr>
        <w:shd w:val="clear" w:color="auto" w:fill="FFFFFF"/>
        <w:spacing w:after="120" w:line="276" w:lineRule="auto"/>
        <w:ind w:left="567" w:right="5" w:hanging="567"/>
        <w:jc w:val="both"/>
        <w:rPr>
          <w:rFonts w:ascii="Palatino Linotype" w:hAnsi="Palatino Linotype"/>
          <w:i/>
          <w:sz w:val="22"/>
          <w:szCs w:val="22"/>
        </w:rPr>
      </w:pPr>
      <w:r w:rsidRPr="00414B52">
        <w:rPr>
          <w:rStyle w:val="nrmar"/>
          <w:rFonts w:ascii="Palatino Linotype" w:hAnsi="Palatino Linotype"/>
          <w:b/>
          <w:sz w:val="22"/>
          <w:szCs w:val="22"/>
        </w:rPr>
        <w:t>Que,</w:t>
      </w:r>
      <w:r w:rsidRPr="00414B52">
        <w:rPr>
          <w:rStyle w:val="nrmar"/>
          <w:rFonts w:ascii="Palatino Linotype" w:hAnsi="Palatino Linotype"/>
          <w:sz w:val="22"/>
          <w:szCs w:val="22"/>
        </w:rPr>
        <w:t xml:space="preserve">  la L</w:t>
      </w:r>
      <w:r w:rsidRPr="00414B52">
        <w:rPr>
          <w:rFonts w:ascii="Palatino Linotype" w:hAnsi="Palatino Linotype"/>
          <w:bCs/>
          <w:sz w:val="22"/>
          <w:szCs w:val="22"/>
        </w:rPr>
        <w:t xml:space="preserve">ey de Régimen del Distrito Metropolitano de Quito en su artículo </w:t>
      </w:r>
      <w:r w:rsidRPr="00414B52">
        <w:rPr>
          <w:rStyle w:val="nrmar"/>
          <w:rFonts w:ascii="Palatino Linotype" w:hAnsi="Palatino Linotype"/>
          <w:sz w:val="22"/>
          <w:szCs w:val="22"/>
        </w:rPr>
        <w:t xml:space="preserve">8, numerales 1) y 3) establece que </w:t>
      </w:r>
      <w:r w:rsidRPr="00414B52">
        <w:rPr>
          <w:rStyle w:val="nrmar"/>
          <w:rFonts w:ascii="Palatino Linotype" w:hAnsi="Palatino Linotype"/>
          <w:i/>
          <w:sz w:val="22"/>
          <w:szCs w:val="22"/>
        </w:rPr>
        <w:t>“</w:t>
      </w:r>
      <w:r w:rsidRPr="00414B52">
        <w:rPr>
          <w:rFonts w:ascii="Palatino Linotype" w:hAnsi="Palatino Linotype"/>
          <w:i/>
          <w:sz w:val="22"/>
          <w:szCs w:val="22"/>
        </w:rPr>
        <w:t>corresponde especialmente, al Concejo Metropolitano:</w:t>
      </w:r>
      <w:r w:rsidRPr="00414B52">
        <w:rPr>
          <w:rFonts w:ascii="Palatino Linotype" w:hAnsi="Palatino Linotype"/>
          <w:i/>
          <w:sz w:val="22"/>
          <w:szCs w:val="22"/>
        </w:rPr>
        <w:br/>
        <w:t xml:space="preserve">1) 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w:t>
      </w:r>
      <w:proofErr w:type="spellStart"/>
      <w:r w:rsidRPr="00414B52">
        <w:rPr>
          <w:rFonts w:ascii="Palatino Linotype" w:hAnsi="Palatino Linotype"/>
          <w:i/>
          <w:sz w:val="22"/>
          <w:szCs w:val="22"/>
        </w:rPr>
        <w:t>municipal;3</w:t>
      </w:r>
      <w:proofErr w:type="spellEnd"/>
      <w:r w:rsidRPr="00414B52">
        <w:rPr>
          <w:rFonts w:ascii="Palatino Linotype" w:hAnsi="Palatino Linotype"/>
          <w:i/>
          <w:sz w:val="22"/>
          <w:szCs w:val="22"/>
        </w:rPr>
        <w:t>) Normar, mediante Ordenanza, la aplicación de las disposiciones tributarias, de carácter municipal, cuando sea preciso”;</w:t>
      </w:r>
    </w:p>
    <w:p w:rsidR="00521EC0" w:rsidRPr="00414B52" w:rsidRDefault="00521EC0" w:rsidP="00414B52">
      <w:pPr>
        <w:shd w:val="clear" w:color="auto" w:fill="FFFFFF"/>
        <w:spacing w:after="120" w:line="276" w:lineRule="auto"/>
        <w:ind w:left="567" w:right="5" w:hanging="567"/>
        <w:jc w:val="both"/>
        <w:rPr>
          <w:rFonts w:ascii="Palatino Linotype" w:hAnsi="Palatino Linotype"/>
          <w:spacing w:val="-4"/>
          <w:sz w:val="22"/>
          <w:szCs w:val="22"/>
          <w:lang w:val="es-ES_tradnl"/>
        </w:rPr>
      </w:pPr>
      <w:r w:rsidRPr="00414B52">
        <w:rPr>
          <w:rFonts w:ascii="Palatino Linotype" w:hAnsi="Palatino Linotype"/>
          <w:b/>
          <w:spacing w:val="-4"/>
          <w:sz w:val="22"/>
          <w:szCs w:val="22"/>
          <w:lang w:val="es-ES_tradnl"/>
        </w:rPr>
        <w:t xml:space="preserve">Que, </w:t>
      </w:r>
      <w:r w:rsidRPr="00414B52">
        <w:rPr>
          <w:rFonts w:ascii="Palatino Linotype" w:hAnsi="Palatino Linotype"/>
          <w:b/>
          <w:spacing w:val="-4"/>
          <w:sz w:val="22"/>
          <w:szCs w:val="22"/>
          <w:lang w:val="es-ES_tradnl"/>
        </w:rPr>
        <w:tab/>
      </w:r>
      <w:r w:rsidRPr="00414B52">
        <w:rPr>
          <w:rFonts w:ascii="Palatino Linotype" w:hAnsi="Palatino Linotype"/>
          <w:spacing w:val="-4"/>
          <w:sz w:val="22"/>
          <w:szCs w:val="22"/>
          <w:lang w:val="es-ES_tradnl"/>
        </w:rPr>
        <w:t>se creó la tasa de recolección de basura, mediante Ordenanza No. 3135, publicada en el Suplemento del Registro Oficial No. 754, de 7 de agosto de 1995; y, reformada mediante Ordenanza No. 3214, publicada en el Suplemento del Registro Oficial No. 98 de 30 de diciembre de 1996;</w:t>
      </w:r>
    </w:p>
    <w:p w:rsidR="00521EC0" w:rsidRPr="00414B52" w:rsidRDefault="00521EC0" w:rsidP="00414B52">
      <w:pPr>
        <w:shd w:val="clear" w:color="auto" w:fill="FFFFFF"/>
        <w:spacing w:after="120" w:line="276" w:lineRule="auto"/>
        <w:ind w:left="567" w:hanging="567"/>
        <w:jc w:val="both"/>
        <w:rPr>
          <w:rFonts w:ascii="Palatino Linotype" w:hAnsi="Palatino Linotype"/>
          <w:spacing w:val="-7"/>
          <w:sz w:val="22"/>
          <w:szCs w:val="22"/>
          <w:lang w:val="es-ES_tradnl"/>
        </w:rPr>
      </w:pPr>
      <w:r w:rsidRPr="00414B52">
        <w:rPr>
          <w:rFonts w:ascii="Palatino Linotype" w:hAnsi="Palatino Linotype"/>
          <w:b/>
          <w:spacing w:val="-9"/>
          <w:sz w:val="22"/>
          <w:szCs w:val="22"/>
          <w:lang w:val="es-ES_tradnl"/>
        </w:rPr>
        <w:t>Que,</w:t>
      </w:r>
      <w:r w:rsidRPr="00414B52">
        <w:rPr>
          <w:rFonts w:ascii="Palatino Linotype" w:hAnsi="Palatino Linotype"/>
          <w:spacing w:val="-9"/>
          <w:sz w:val="22"/>
          <w:szCs w:val="22"/>
          <w:lang w:val="es-ES_tradnl"/>
        </w:rPr>
        <w:t xml:space="preserve"> </w:t>
      </w:r>
      <w:r w:rsidRPr="00414B52">
        <w:rPr>
          <w:rFonts w:ascii="Palatino Linotype" w:hAnsi="Palatino Linotype"/>
          <w:spacing w:val="-9"/>
          <w:sz w:val="22"/>
          <w:szCs w:val="22"/>
          <w:lang w:val="es-ES_tradnl"/>
        </w:rPr>
        <w:tab/>
        <w:t xml:space="preserve">la tasa de recolección de basura fue incorporada en el </w:t>
      </w:r>
      <w:r w:rsidRPr="00414B52">
        <w:rPr>
          <w:rFonts w:ascii="Palatino Linotype" w:hAnsi="Palatino Linotype"/>
          <w:spacing w:val="-4"/>
          <w:sz w:val="22"/>
          <w:szCs w:val="22"/>
          <w:lang w:val="es-ES_tradnl"/>
        </w:rPr>
        <w:t xml:space="preserve">Capítulo I, Título II, del Libro III, del Código Municipal para </w:t>
      </w:r>
      <w:r w:rsidRPr="00414B52">
        <w:rPr>
          <w:rFonts w:ascii="Palatino Linotype" w:hAnsi="Palatino Linotype"/>
          <w:spacing w:val="-6"/>
          <w:sz w:val="22"/>
          <w:szCs w:val="22"/>
          <w:lang w:val="es-ES_tradnl"/>
        </w:rPr>
        <w:t xml:space="preserve">el Distrito Metropolitano de Quito, publicado en el Registro </w:t>
      </w:r>
      <w:r w:rsidRPr="00414B52">
        <w:rPr>
          <w:rFonts w:ascii="Palatino Linotype" w:hAnsi="Palatino Linotype"/>
          <w:spacing w:val="-7"/>
          <w:sz w:val="22"/>
          <w:szCs w:val="22"/>
          <w:lang w:val="es-ES_tradnl"/>
        </w:rPr>
        <w:t>Oficial No. 226</w:t>
      </w:r>
      <w:r w:rsidRPr="00414B52">
        <w:rPr>
          <w:rFonts w:ascii="Palatino Linotype" w:hAnsi="Palatino Linotype"/>
          <w:spacing w:val="-9"/>
          <w:sz w:val="22"/>
          <w:szCs w:val="22"/>
          <w:lang w:val="es-ES_tradnl"/>
        </w:rPr>
        <w:t xml:space="preserve"> </w:t>
      </w:r>
      <w:r w:rsidRPr="00414B52">
        <w:rPr>
          <w:rFonts w:ascii="Palatino Linotype" w:hAnsi="Palatino Linotype"/>
          <w:spacing w:val="-7"/>
          <w:sz w:val="22"/>
          <w:szCs w:val="22"/>
          <w:lang w:val="es-ES_tradnl"/>
        </w:rPr>
        <w:t>de 31 de diciembre de 1997;</w:t>
      </w:r>
    </w:p>
    <w:p w:rsidR="00521EC0" w:rsidRPr="00414B52" w:rsidRDefault="00521EC0" w:rsidP="00414B52">
      <w:pPr>
        <w:shd w:val="clear" w:color="auto" w:fill="FFFFFF"/>
        <w:spacing w:after="120" w:line="276" w:lineRule="auto"/>
        <w:ind w:left="567" w:hanging="567"/>
        <w:jc w:val="both"/>
        <w:rPr>
          <w:rFonts w:ascii="Palatino Linotype" w:hAnsi="Palatino Linotype"/>
          <w:sz w:val="22"/>
          <w:szCs w:val="22"/>
          <w:lang w:val="es-ES_tradnl"/>
        </w:rPr>
      </w:pPr>
      <w:r w:rsidRPr="00414B52">
        <w:rPr>
          <w:rFonts w:ascii="Palatino Linotype" w:hAnsi="Palatino Linotype"/>
          <w:b/>
          <w:spacing w:val="-2"/>
          <w:sz w:val="22"/>
          <w:szCs w:val="22"/>
          <w:lang w:val="es-ES_tradnl"/>
        </w:rPr>
        <w:t>Que,</w:t>
      </w:r>
      <w:r w:rsidR="00414B52">
        <w:rPr>
          <w:rFonts w:ascii="Palatino Linotype" w:hAnsi="Palatino Linotype"/>
          <w:spacing w:val="-2"/>
          <w:sz w:val="22"/>
          <w:szCs w:val="22"/>
          <w:lang w:val="es-ES_tradnl"/>
        </w:rPr>
        <w:tab/>
      </w:r>
      <w:r w:rsidRPr="00414B52">
        <w:rPr>
          <w:rFonts w:ascii="Palatino Linotype" w:hAnsi="Palatino Linotype"/>
          <w:spacing w:val="-9"/>
          <w:sz w:val="22"/>
          <w:szCs w:val="22"/>
          <w:lang w:val="es-ES_tradnl"/>
        </w:rPr>
        <w:t>mediante Ordenanza Metropolitana No. 0309, sancionada el 16 de abril de 2010, se creó la Empresa Pública Metropolitana de Aseo, con el objeto de operar el sistema de</w:t>
      </w:r>
      <w:r w:rsidRPr="00414B52">
        <w:rPr>
          <w:rFonts w:ascii="Palatino Linotype" w:hAnsi="Palatino Linotype"/>
          <w:spacing w:val="-4"/>
          <w:sz w:val="22"/>
          <w:szCs w:val="22"/>
          <w:lang w:val="es-ES_tradnl"/>
        </w:rPr>
        <w:t xml:space="preserve"> aseo del Distrito Metropolitano de Quito, dentro de las actividades de barrido y recolección de residuos sólidos;</w:t>
      </w:r>
    </w:p>
    <w:p w:rsidR="00521EC0" w:rsidRPr="00414B52" w:rsidRDefault="00521EC0" w:rsidP="00414B52">
      <w:pPr>
        <w:shd w:val="clear" w:color="auto" w:fill="FFFFFF"/>
        <w:spacing w:after="120" w:line="276" w:lineRule="auto"/>
        <w:ind w:left="567" w:hanging="567"/>
        <w:jc w:val="both"/>
        <w:rPr>
          <w:rFonts w:ascii="Palatino Linotype" w:hAnsi="Palatino Linotype"/>
          <w:sz w:val="22"/>
          <w:szCs w:val="22"/>
          <w:lang w:val="es-ES_tradnl"/>
        </w:rPr>
      </w:pPr>
      <w:r w:rsidRPr="00414B52">
        <w:rPr>
          <w:rFonts w:ascii="Palatino Linotype" w:hAnsi="Palatino Linotype"/>
          <w:b/>
          <w:spacing w:val="-2"/>
          <w:sz w:val="22"/>
          <w:szCs w:val="22"/>
          <w:lang w:val="es-ES_tradnl"/>
        </w:rPr>
        <w:t xml:space="preserve">Que,  </w:t>
      </w:r>
      <w:r w:rsidRPr="00414B52">
        <w:rPr>
          <w:rFonts w:ascii="Palatino Linotype" w:hAnsi="Palatino Linotype"/>
          <w:spacing w:val="-2"/>
          <w:sz w:val="22"/>
          <w:szCs w:val="22"/>
          <w:lang w:val="es-ES_tradnl"/>
        </w:rPr>
        <w:t xml:space="preserve">mediante Ordenanza Metropolitana No. 0323, </w:t>
      </w:r>
      <w:r w:rsidRPr="00414B52">
        <w:rPr>
          <w:rFonts w:ascii="Palatino Linotype" w:hAnsi="Palatino Linotype"/>
          <w:spacing w:val="-9"/>
          <w:sz w:val="22"/>
          <w:szCs w:val="22"/>
          <w:lang w:val="es-ES_tradnl"/>
        </w:rPr>
        <w:t xml:space="preserve">sancionada el 18 de octubre de 2010, se creó la </w:t>
      </w:r>
      <w:r w:rsidRPr="00414B52">
        <w:rPr>
          <w:rFonts w:ascii="Palatino Linotype" w:hAnsi="Palatino Linotype"/>
          <w:spacing w:val="-9"/>
          <w:sz w:val="22"/>
          <w:szCs w:val="22"/>
          <w:lang w:val="es-ES_tradnl"/>
        </w:rPr>
        <w:lastRenderedPageBreak/>
        <w:t xml:space="preserve">Empresa </w:t>
      </w:r>
      <w:r w:rsidRPr="00414B52">
        <w:rPr>
          <w:rFonts w:ascii="Palatino Linotype" w:hAnsi="Palatino Linotype"/>
          <w:spacing w:val="-5"/>
          <w:sz w:val="22"/>
          <w:szCs w:val="22"/>
          <w:lang w:val="es-ES_tradnl"/>
        </w:rPr>
        <w:t xml:space="preserve">Pública Metropolitana de Gestión Integral de Residuos </w:t>
      </w:r>
      <w:r w:rsidRPr="00414B52">
        <w:rPr>
          <w:rFonts w:ascii="Palatino Linotype" w:hAnsi="Palatino Linotype"/>
          <w:spacing w:val="-6"/>
          <w:sz w:val="22"/>
          <w:szCs w:val="22"/>
          <w:lang w:val="es-ES_tradnl"/>
        </w:rPr>
        <w:t>Sólidos (</w:t>
      </w:r>
      <w:proofErr w:type="spellStart"/>
      <w:r w:rsidRPr="00414B52">
        <w:rPr>
          <w:rFonts w:ascii="Palatino Linotype" w:hAnsi="Palatino Linotype"/>
          <w:spacing w:val="-6"/>
          <w:sz w:val="22"/>
          <w:szCs w:val="22"/>
          <w:lang w:val="es-ES_tradnl"/>
        </w:rPr>
        <w:t>EMGIRS-EP</w:t>
      </w:r>
      <w:proofErr w:type="spellEnd"/>
      <w:r w:rsidRPr="00414B52">
        <w:rPr>
          <w:rFonts w:ascii="Palatino Linotype" w:hAnsi="Palatino Linotype"/>
          <w:spacing w:val="-6"/>
          <w:sz w:val="22"/>
          <w:szCs w:val="22"/>
          <w:lang w:val="es-ES_tradnl"/>
        </w:rPr>
        <w:t xml:space="preserve">), encargada de planificar, operar y </w:t>
      </w:r>
      <w:r w:rsidRPr="00414B52">
        <w:rPr>
          <w:rFonts w:ascii="Palatino Linotype" w:hAnsi="Palatino Linotype"/>
          <w:sz w:val="22"/>
          <w:szCs w:val="22"/>
          <w:lang w:val="es-ES_tradnl"/>
        </w:rPr>
        <w:t xml:space="preserve">explotar la infraestructura del sistema municipal de </w:t>
      </w:r>
      <w:r w:rsidRPr="00414B52">
        <w:rPr>
          <w:rFonts w:ascii="Palatino Linotype" w:hAnsi="Palatino Linotype"/>
          <w:spacing w:val="-5"/>
          <w:sz w:val="22"/>
          <w:szCs w:val="22"/>
          <w:lang w:val="es-ES_tradnl"/>
        </w:rPr>
        <w:t xml:space="preserve">gestión de residuos sólidos del Distrito Metropolitano de </w:t>
      </w:r>
      <w:r w:rsidRPr="00414B52">
        <w:rPr>
          <w:rFonts w:ascii="Palatino Linotype" w:hAnsi="Palatino Linotype"/>
          <w:sz w:val="22"/>
          <w:szCs w:val="22"/>
          <w:lang w:val="es-ES_tradnl"/>
        </w:rPr>
        <w:t>Quito; siendo necesario que el manejo de la gestión integral de residuos sólidos sea asumido por un solo órgano empresarial público para la eficiencia y optimización de recursos de conformidad con la Ordenanza Metropolitana No. 0332;</w:t>
      </w:r>
    </w:p>
    <w:p w:rsidR="00521EC0" w:rsidRPr="00414B52" w:rsidRDefault="00521EC0" w:rsidP="00414B52">
      <w:pPr>
        <w:shd w:val="clear" w:color="auto" w:fill="FFFFFF"/>
        <w:spacing w:after="120" w:line="276" w:lineRule="auto"/>
        <w:ind w:left="567" w:hanging="567"/>
        <w:jc w:val="both"/>
        <w:rPr>
          <w:rFonts w:ascii="Palatino Linotype" w:hAnsi="Palatino Linotype"/>
          <w:sz w:val="22"/>
          <w:szCs w:val="22"/>
          <w:lang w:val="es-ES_tradnl"/>
        </w:rPr>
      </w:pPr>
      <w:r w:rsidRPr="00414B52">
        <w:rPr>
          <w:rFonts w:ascii="Palatino Linotype" w:hAnsi="Palatino Linotype"/>
          <w:b/>
          <w:spacing w:val="-2"/>
          <w:sz w:val="22"/>
          <w:szCs w:val="22"/>
          <w:lang w:val="es-ES_tradnl"/>
        </w:rPr>
        <w:t>Que,</w:t>
      </w:r>
      <w:r w:rsidRPr="00414B52">
        <w:rPr>
          <w:rFonts w:ascii="Palatino Linotype" w:hAnsi="Palatino Linotype"/>
          <w:spacing w:val="-2"/>
          <w:sz w:val="22"/>
          <w:szCs w:val="22"/>
          <w:lang w:val="es-ES_tradnl"/>
        </w:rPr>
        <w:t xml:space="preserve">  mediante Ordenanza Metropolitana No. 0332, </w:t>
      </w:r>
      <w:r w:rsidRPr="00414B52">
        <w:rPr>
          <w:rFonts w:ascii="Palatino Linotype" w:hAnsi="Palatino Linotype"/>
          <w:spacing w:val="-8"/>
          <w:sz w:val="22"/>
          <w:szCs w:val="22"/>
          <w:lang w:val="es-ES_tradnl"/>
        </w:rPr>
        <w:t xml:space="preserve">sancionada el 16 de marzo de 2011, se creó el Sistema de </w:t>
      </w:r>
      <w:r w:rsidRPr="00414B52">
        <w:rPr>
          <w:rFonts w:ascii="Palatino Linotype" w:hAnsi="Palatino Linotype"/>
          <w:sz w:val="22"/>
          <w:szCs w:val="22"/>
          <w:lang w:val="es-ES_tradnl"/>
        </w:rPr>
        <w:t xml:space="preserve">Gestión Integral de Residuos Sólidos del Distrito Metropolitano de Quito, con los siguientes </w:t>
      </w:r>
      <w:r w:rsidRPr="00414B52">
        <w:rPr>
          <w:rFonts w:ascii="Palatino Linotype" w:hAnsi="Palatino Linotype"/>
          <w:spacing w:val="-2"/>
          <w:sz w:val="22"/>
          <w:szCs w:val="22"/>
          <w:lang w:val="es-ES_tradnl"/>
        </w:rPr>
        <w:t xml:space="preserve">componentes: 1) Barrido y limpieza de vías, áreas y </w:t>
      </w:r>
      <w:r w:rsidRPr="00414B52">
        <w:rPr>
          <w:rFonts w:ascii="Palatino Linotype" w:hAnsi="Palatino Linotype"/>
          <w:spacing w:val="-7"/>
          <w:sz w:val="22"/>
          <w:szCs w:val="22"/>
          <w:lang w:val="es-ES_tradnl"/>
        </w:rPr>
        <w:t xml:space="preserve">espacios públicos; 2) Recolección y trasporte de residuos </w:t>
      </w:r>
      <w:r w:rsidRPr="00414B52">
        <w:rPr>
          <w:rFonts w:ascii="Palatino Linotype" w:hAnsi="Palatino Linotype"/>
          <w:spacing w:val="-6"/>
          <w:sz w:val="22"/>
          <w:szCs w:val="22"/>
          <w:lang w:val="es-ES_tradnl"/>
        </w:rPr>
        <w:t xml:space="preserve">sólidos; 3) Acopio y transferencia de residuos sólidos; 4) Reducción, aprovechamiento y tratamiento de residuos </w:t>
      </w:r>
      <w:r w:rsidRPr="00414B52">
        <w:rPr>
          <w:rFonts w:ascii="Palatino Linotype" w:hAnsi="Palatino Linotype"/>
          <w:spacing w:val="-5"/>
          <w:sz w:val="22"/>
          <w:szCs w:val="22"/>
          <w:lang w:val="es-ES_tradnl"/>
        </w:rPr>
        <w:t xml:space="preserve">sólidos; y, 5) Disposición final y/o eliminación de residuos </w:t>
      </w:r>
      <w:r w:rsidRPr="00414B52">
        <w:rPr>
          <w:rFonts w:ascii="Palatino Linotype" w:hAnsi="Palatino Linotype"/>
          <w:sz w:val="22"/>
          <w:szCs w:val="22"/>
          <w:lang w:val="es-ES_tradnl"/>
        </w:rPr>
        <w:t>sólidos;</w:t>
      </w:r>
    </w:p>
    <w:p w:rsidR="00521EC0" w:rsidRPr="00414B52" w:rsidRDefault="00521EC0" w:rsidP="00414B52">
      <w:pPr>
        <w:shd w:val="clear" w:color="auto" w:fill="FFFFFF"/>
        <w:spacing w:after="120" w:line="276" w:lineRule="auto"/>
        <w:ind w:left="567" w:hanging="567"/>
        <w:jc w:val="both"/>
        <w:rPr>
          <w:rFonts w:ascii="Palatino Linotype" w:hAnsi="Palatino Linotype"/>
          <w:sz w:val="22"/>
          <w:szCs w:val="22"/>
          <w:lang w:val="es-ES_tradnl"/>
        </w:rPr>
      </w:pPr>
      <w:r w:rsidRPr="00414B52">
        <w:rPr>
          <w:rFonts w:ascii="Palatino Linotype" w:hAnsi="Palatino Linotype"/>
          <w:b/>
          <w:sz w:val="22"/>
          <w:szCs w:val="22"/>
          <w:lang w:val="es-ES_tradnl"/>
        </w:rPr>
        <w:t>Que,</w:t>
      </w:r>
      <w:r w:rsidRPr="00414B52">
        <w:rPr>
          <w:rFonts w:ascii="Palatino Linotype" w:hAnsi="Palatino Linotype"/>
          <w:sz w:val="22"/>
          <w:szCs w:val="22"/>
          <w:lang w:val="es-ES_tradnl"/>
        </w:rPr>
        <w:t xml:space="preserve">  mediante Ordenanza Metropolitana No. 402, sancionada el 28 de mayo de 2013, el Concejo Metropolitano reformó, el Libro III “De los Tributos Municipales”, Título II “De las Tasas, Capítulo I “De las Tasas por Recolección de Basura” del Código Municipal para el Distrito Metropolitano de Quito; </w:t>
      </w:r>
    </w:p>
    <w:p w:rsidR="00521EC0" w:rsidRPr="00414B52" w:rsidRDefault="00521EC0" w:rsidP="00414B52">
      <w:pPr>
        <w:shd w:val="clear" w:color="auto" w:fill="FFFFFF"/>
        <w:spacing w:after="120" w:line="276" w:lineRule="auto"/>
        <w:ind w:left="567" w:hanging="567"/>
        <w:jc w:val="both"/>
        <w:rPr>
          <w:rFonts w:ascii="Palatino Linotype" w:hAnsi="Palatino Linotype"/>
          <w:spacing w:val="-8"/>
          <w:sz w:val="22"/>
          <w:szCs w:val="22"/>
          <w:lang w:val="es-ES_tradnl"/>
        </w:rPr>
      </w:pPr>
      <w:r w:rsidRPr="00414B52">
        <w:rPr>
          <w:rFonts w:ascii="Palatino Linotype" w:hAnsi="Palatino Linotype"/>
          <w:b/>
          <w:spacing w:val="-8"/>
          <w:sz w:val="22"/>
          <w:szCs w:val="22"/>
          <w:lang w:val="es-ES_tradnl"/>
        </w:rPr>
        <w:t>Que,</w:t>
      </w:r>
      <w:r w:rsidRPr="00414B52">
        <w:rPr>
          <w:rFonts w:ascii="Palatino Linotype" w:hAnsi="Palatino Linotype"/>
          <w:spacing w:val="-8"/>
          <w:sz w:val="22"/>
          <w:szCs w:val="22"/>
          <w:lang w:val="es-ES_tradnl"/>
        </w:rPr>
        <w:t xml:space="preserve">  el máximo Organismo de Control, mediante Informe de </w:t>
      </w:r>
      <w:r w:rsidRPr="00414B52">
        <w:rPr>
          <w:rFonts w:ascii="Palatino Linotype" w:hAnsi="Palatino Linotype"/>
          <w:spacing w:val="-5"/>
          <w:sz w:val="22"/>
          <w:szCs w:val="22"/>
          <w:lang w:val="es-ES_tradnl"/>
        </w:rPr>
        <w:t>Auditoría Interna No. 003-</w:t>
      </w:r>
      <w:proofErr w:type="spellStart"/>
      <w:r w:rsidRPr="00414B52">
        <w:rPr>
          <w:rFonts w:ascii="Palatino Linotype" w:hAnsi="Palatino Linotype"/>
          <w:spacing w:val="-5"/>
          <w:sz w:val="22"/>
          <w:szCs w:val="22"/>
          <w:lang w:val="es-ES_tradnl"/>
        </w:rPr>
        <w:t>AI</w:t>
      </w:r>
      <w:proofErr w:type="spellEnd"/>
      <w:r w:rsidRPr="00414B52">
        <w:rPr>
          <w:rFonts w:ascii="Palatino Linotype" w:hAnsi="Palatino Linotype"/>
          <w:spacing w:val="-5"/>
          <w:sz w:val="22"/>
          <w:szCs w:val="22"/>
          <w:lang w:val="es-ES_tradnl"/>
        </w:rPr>
        <w:t xml:space="preserve">-2013, recomienda que se </w:t>
      </w:r>
      <w:r w:rsidRPr="00414B52">
        <w:rPr>
          <w:rFonts w:ascii="Palatino Linotype" w:hAnsi="Palatino Linotype"/>
          <w:spacing w:val="-2"/>
          <w:sz w:val="22"/>
          <w:szCs w:val="22"/>
          <w:lang w:val="es-ES_tradnl"/>
        </w:rPr>
        <w:t xml:space="preserve">implementen todas las acciones que viabilicen la </w:t>
      </w:r>
      <w:r w:rsidRPr="00414B52">
        <w:rPr>
          <w:rFonts w:ascii="Palatino Linotype" w:hAnsi="Palatino Linotype"/>
          <w:spacing w:val="-6"/>
          <w:sz w:val="22"/>
          <w:szCs w:val="22"/>
          <w:lang w:val="es-ES_tradnl"/>
        </w:rPr>
        <w:t xml:space="preserve">racionalización de la tasa de recolección de basura, </w:t>
      </w:r>
      <w:r w:rsidRPr="00414B52">
        <w:rPr>
          <w:rFonts w:ascii="Palatino Linotype" w:hAnsi="Palatino Linotype"/>
          <w:spacing w:val="-9"/>
          <w:sz w:val="22"/>
          <w:szCs w:val="22"/>
          <w:lang w:val="es-ES_tradnl"/>
        </w:rPr>
        <w:t xml:space="preserve">recomendación ésta que, de conformidad con lo establecido en el </w:t>
      </w:r>
      <w:r w:rsidRPr="00414B52">
        <w:rPr>
          <w:rFonts w:ascii="Palatino Linotype" w:hAnsi="Palatino Linotype"/>
          <w:spacing w:val="-8"/>
          <w:sz w:val="22"/>
          <w:szCs w:val="22"/>
          <w:lang w:val="es-ES_tradnl"/>
        </w:rPr>
        <w:t>artículo 92 de la Ley Orgánica de la Contraloría General del Estado, debe ser aplicada con carácter obligatorio;</w:t>
      </w:r>
    </w:p>
    <w:p w:rsidR="00521EC0" w:rsidRPr="00414B52" w:rsidRDefault="00521EC0" w:rsidP="00414B52">
      <w:pPr>
        <w:shd w:val="clear" w:color="auto" w:fill="FFFFFF"/>
        <w:tabs>
          <w:tab w:val="left" w:pos="567"/>
        </w:tabs>
        <w:spacing w:after="120" w:line="276" w:lineRule="auto"/>
        <w:ind w:left="567" w:hanging="567"/>
        <w:jc w:val="both"/>
        <w:rPr>
          <w:rFonts w:ascii="Palatino Linotype" w:hAnsi="Palatino Linotype"/>
          <w:sz w:val="22"/>
          <w:szCs w:val="22"/>
          <w:lang w:val="es-ES_tradnl"/>
        </w:rPr>
      </w:pPr>
      <w:r w:rsidRPr="00414B52">
        <w:rPr>
          <w:rFonts w:ascii="Palatino Linotype" w:hAnsi="Palatino Linotype"/>
          <w:b/>
          <w:spacing w:val="-3"/>
          <w:sz w:val="22"/>
          <w:szCs w:val="22"/>
          <w:lang w:val="es-ES_tradnl"/>
        </w:rPr>
        <w:t>Que,</w:t>
      </w:r>
      <w:r w:rsidRPr="00414B52">
        <w:rPr>
          <w:rFonts w:ascii="Palatino Linotype" w:hAnsi="Palatino Linotype"/>
          <w:spacing w:val="-3"/>
          <w:sz w:val="22"/>
          <w:szCs w:val="22"/>
          <w:lang w:val="es-ES_tradnl"/>
        </w:rPr>
        <w:t xml:space="preserve"> el Municipio del Distrito Metropolitano de Quito, a </w:t>
      </w:r>
      <w:r w:rsidRPr="00414B52">
        <w:rPr>
          <w:rFonts w:ascii="Palatino Linotype" w:hAnsi="Palatino Linotype"/>
          <w:spacing w:val="-5"/>
          <w:sz w:val="22"/>
          <w:szCs w:val="22"/>
          <w:lang w:val="es-ES_tradnl"/>
        </w:rPr>
        <w:t xml:space="preserve">través de sus empresas públicas metropolitanas, ha </w:t>
      </w:r>
      <w:r w:rsidRPr="00414B52">
        <w:rPr>
          <w:rFonts w:ascii="Palatino Linotype" w:hAnsi="Palatino Linotype"/>
          <w:spacing w:val="-3"/>
          <w:sz w:val="22"/>
          <w:szCs w:val="22"/>
          <w:lang w:val="es-ES_tradnl"/>
        </w:rPr>
        <w:t xml:space="preserve">desarrollado un nuevo modelo de gestión integral de </w:t>
      </w:r>
      <w:r w:rsidRPr="00414B52">
        <w:rPr>
          <w:rFonts w:ascii="Palatino Linotype" w:hAnsi="Palatino Linotype"/>
          <w:spacing w:val="-8"/>
          <w:sz w:val="22"/>
          <w:szCs w:val="22"/>
          <w:lang w:val="es-ES_tradnl"/>
        </w:rPr>
        <w:t xml:space="preserve">residuos sólidos, modernizando el servicio a la ciudadanía, a </w:t>
      </w:r>
      <w:r w:rsidRPr="00414B52">
        <w:rPr>
          <w:rFonts w:ascii="Palatino Linotype" w:hAnsi="Palatino Linotype"/>
          <w:spacing w:val="-9"/>
          <w:sz w:val="22"/>
          <w:szCs w:val="22"/>
          <w:lang w:val="es-ES_tradnl"/>
        </w:rPr>
        <w:t xml:space="preserve">través de componentes como </w:t>
      </w:r>
      <w:proofErr w:type="spellStart"/>
      <w:r w:rsidRPr="00414B52">
        <w:rPr>
          <w:rFonts w:ascii="Palatino Linotype" w:hAnsi="Palatino Linotype"/>
          <w:spacing w:val="-9"/>
          <w:sz w:val="22"/>
          <w:szCs w:val="22"/>
          <w:lang w:val="es-ES_tradnl"/>
        </w:rPr>
        <w:t>contenerización</w:t>
      </w:r>
      <w:proofErr w:type="spellEnd"/>
      <w:r w:rsidRPr="00414B52">
        <w:rPr>
          <w:rFonts w:ascii="Palatino Linotype" w:hAnsi="Palatino Linotype"/>
          <w:spacing w:val="-9"/>
          <w:sz w:val="22"/>
          <w:szCs w:val="22"/>
          <w:lang w:val="es-ES_tradnl"/>
        </w:rPr>
        <w:t xml:space="preserve"> y adecuados sistemas de tratamiento y disposición final de residuos sólidos, lo </w:t>
      </w:r>
      <w:r w:rsidRPr="00414B52">
        <w:rPr>
          <w:rFonts w:ascii="Palatino Linotype" w:hAnsi="Palatino Linotype"/>
          <w:spacing w:val="-5"/>
          <w:sz w:val="22"/>
          <w:szCs w:val="22"/>
          <w:lang w:val="es-ES_tradnl"/>
        </w:rPr>
        <w:t xml:space="preserve">que ha permitido, ampliar la cobertura y mejorar la calidad en la prestación de los servicios, con el consecuente </w:t>
      </w:r>
      <w:r w:rsidRPr="00414B52">
        <w:rPr>
          <w:rFonts w:ascii="Palatino Linotype" w:hAnsi="Palatino Linotype"/>
          <w:sz w:val="22"/>
          <w:szCs w:val="22"/>
          <w:lang w:val="es-ES_tradnl"/>
        </w:rPr>
        <w:t>incremento de costos operativos;</w:t>
      </w:r>
    </w:p>
    <w:p w:rsidR="00521EC0" w:rsidRPr="00414B52" w:rsidRDefault="00521EC0" w:rsidP="00414B52">
      <w:pPr>
        <w:shd w:val="clear" w:color="auto" w:fill="FFFFFF"/>
        <w:spacing w:after="120" w:line="276" w:lineRule="auto"/>
        <w:ind w:left="567" w:right="5" w:hanging="567"/>
        <w:jc w:val="both"/>
        <w:rPr>
          <w:rFonts w:ascii="Palatino Linotype" w:hAnsi="Palatino Linotype"/>
          <w:sz w:val="22"/>
          <w:szCs w:val="22"/>
          <w:lang w:val="es-ES_tradnl"/>
        </w:rPr>
      </w:pPr>
      <w:r w:rsidRPr="00414B52">
        <w:rPr>
          <w:rFonts w:ascii="Palatino Linotype" w:hAnsi="Palatino Linotype"/>
          <w:b/>
          <w:spacing w:val="-6"/>
          <w:sz w:val="22"/>
          <w:szCs w:val="22"/>
          <w:lang w:val="es-ES_tradnl"/>
        </w:rPr>
        <w:t>Que,</w:t>
      </w:r>
      <w:r w:rsidRPr="00414B52">
        <w:rPr>
          <w:rFonts w:ascii="Palatino Linotype" w:hAnsi="Palatino Linotype"/>
          <w:spacing w:val="-6"/>
          <w:sz w:val="22"/>
          <w:szCs w:val="22"/>
          <w:lang w:val="es-ES_tradnl"/>
        </w:rPr>
        <w:t xml:space="preserve"> </w:t>
      </w:r>
      <w:r w:rsidR="00414B52">
        <w:rPr>
          <w:rFonts w:ascii="Palatino Linotype" w:hAnsi="Palatino Linotype"/>
          <w:spacing w:val="-6"/>
          <w:sz w:val="22"/>
          <w:szCs w:val="22"/>
          <w:lang w:val="es-ES_tradnl"/>
        </w:rPr>
        <w:tab/>
      </w:r>
      <w:r w:rsidRPr="00414B52">
        <w:rPr>
          <w:rFonts w:ascii="Palatino Linotype" w:hAnsi="Palatino Linotype"/>
          <w:spacing w:val="-6"/>
          <w:sz w:val="22"/>
          <w:szCs w:val="22"/>
          <w:lang w:val="es-ES_tradnl"/>
        </w:rPr>
        <w:t xml:space="preserve">mediante Oficio No.  </w:t>
      </w:r>
      <w:r w:rsidRPr="00414B52">
        <w:rPr>
          <w:rFonts w:ascii="Palatino Linotype" w:hAnsi="Palatino Linotype"/>
          <w:bCs/>
          <w:iCs/>
          <w:sz w:val="22"/>
          <w:szCs w:val="22"/>
          <w:lang w:val="es-EC"/>
        </w:rPr>
        <w:t>275-</w:t>
      </w:r>
      <w:proofErr w:type="spellStart"/>
      <w:r w:rsidRPr="00414B52">
        <w:rPr>
          <w:rFonts w:ascii="Palatino Linotype" w:hAnsi="Palatino Linotype"/>
          <w:bCs/>
          <w:iCs/>
          <w:sz w:val="22"/>
          <w:szCs w:val="22"/>
          <w:lang w:val="es-EC"/>
        </w:rPr>
        <w:t>GG</w:t>
      </w:r>
      <w:proofErr w:type="spellEnd"/>
      <w:r w:rsidRPr="00414B52">
        <w:rPr>
          <w:rFonts w:ascii="Palatino Linotype" w:hAnsi="Palatino Linotype"/>
          <w:bCs/>
          <w:iCs/>
          <w:sz w:val="22"/>
          <w:szCs w:val="22"/>
          <w:lang w:val="es-EC"/>
        </w:rPr>
        <w:t>-2016, de 26 de agosto de 2016, el Gerente General de la Empresa Pública Metropolitana de Aseo, remitió al señor Alcalde del Municipio del Distrito Metropolitano de Quito, el Proyecto de la Ordenanza Me</w:t>
      </w:r>
      <w:proofErr w:type="spellStart"/>
      <w:r w:rsidRPr="00414B52">
        <w:rPr>
          <w:rFonts w:ascii="Palatino Linotype" w:hAnsi="Palatino Linotype"/>
          <w:sz w:val="22"/>
          <w:szCs w:val="22"/>
          <w:lang w:val="es-ES_tradnl"/>
        </w:rPr>
        <w:t>tropolitana</w:t>
      </w:r>
      <w:proofErr w:type="spellEnd"/>
      <w:r w:rsidRPr="00414B52">
        <w:rPr>
          <w:rFonts w:ascii="Palatino Linotype" w:hAnsi="Palatino Linotype"/>
          <w:sz w:val="22"/>
          <w:szCs w:val="22"/>
          <w:lang w:val="es-ES_tradnl"/>
        </w:rPr>
        <w:t xml:space="preserve"> Reformatoria del Libro III “De los Tributos Municipales”, Título II “De las Tasas”, </w:t>
      </w:r>
      <w:r w:rsidRPr="00414B52">
        <w:rPr>
          <w:rFonts w:ascii="Palatino Linotype" w:hAnsi="Palatino Linotype"/>
          <w:sz w:val="22"/>
          <w:szCs w:val="22"/>
          <w:lang w:val="es-ES_tradnl"/>
        </w:rPr>
        <w:lastRenderedPageBreak/>
        <w:t xml:space="preserve">Capítulo I “De las Tasas de Recolección y Tratamiento </w:t>
      </w:r>
      <w:r w:rsidRPr="00414B52">
        <w:rPr>
          <w:rFonts w:ascii="Palatino Linotype" w:hAnsi="Palatino Linotype"/>
          <w:spacing w:val="-2"/>
          <w:sz w:val="22"/>
          <w:szCs w:val="22"/>
        </w:rPr>
        <w:t>de Residuos Sólidos</w:t>
      </w:r>
      <w:r w:rsidRPr="00414B52">
        <w:rPr>
          <w:rFonts w:ascii="Palatino Linotype" w:hAnsi="Palatino Linotype"/>
          <w:sz w:val="22"/>
          <w:szCs w:val="22"/>
          <w:lang w:val="es-ES_tradnl"/>
        </w:rPr>
        <w:t>”, del Código Municipal para el distrito Metropolitano de Quito (Ordenanza Metropolitana No. 402);</w:t>
      </w:r>
    </w:p>
    <w:p w:rsidR="00521EC0" w:rsidRPr="00414B52" w:rsidRDefault="00521EC0" w:rsidP="00414B52">
      <w:pPr>
        <w:shd w:val="clear" w:color="auto" w:fill="FFFFFF"/>
        <w:spacing w:after="120" w:line="276" w:lineRule="auto"/>
        <w:ind w:left="567" w:hanging="567"/>
        <w:jc w:val="both"/>
        <w:rPr>
          <w:rFonts w:ascii="Palatino Linotype" w:hAnsi="Palatino Linotype"/>
          <w:sz w:val="22"/>
          <w:szCs w:val="22"/>
          <w:lang w:val="es-EC"/>
        </w:rPr>
      </w:pPr>
      <w:r w:rsidRPr="00414B52">
        <w:rPr>
          <w:rFonts w:ascii="Palatino Linotype" w:hAnsi="Palatino Linotype"/>
          <w:b/>
          <w:bCs/>
          <w:iCs/>
          <w:sz w:val="22"/>
          <w:szCs w:val="22"/>
          <w:lang w:val="es-EC"/>
        </w:rPr>
        <w:t>Que,</w:t>
      </w:r>
      <w:r w:rsidR="00414B52">
        <w:rPr>
          <w:rFonts w:ascii="Palatino Linotype" w:hAnsi="Palatino Linotype"/>
          <w:bCs/>
          <w:iCs/>
          <w:sz w:val="22"/>
          <w:szCs w:val="22"/>
          <w:lang w:val="es-EC"/>
        </w:rPr>
        <w:tab/>
        <w:t>mediante o</w:t>
      </w:r>
      <w:r w:rsidRPr="00414B52">
        <w:rPr>
          <w:rFonts w:ascii="Palatino Linotype" w:hAnsi="Palatino Linotype"/>
          <w:bCs/>
          <w:iCs/>
          <w:sz w:val="22"/>
          <w:szCs w:val="22"/>
          <w:lang w:val="es-EC"/>
        </w:rPr>
        <w:t xml:space="preserve">ficio </w:t>
      </w:r>
      <w:r w:rsidR="00414B52">
        <w:rPr>
          <w:rFonts w:ascii="Palatino Linotype" w:hAnsi="Palatino Linotype"/>
          <w:bCs/>
          <w:iCs/>
          <w:sz w:val="22"/>
          <w:szCs w:val="22"/>
          <w:lang w:val="es-EC"/>
        </w:rPr>
        <w:t xml:space="preserve">No. </w:t>
      </w:r>
      <w:proofErr w:type="spellStart"/>
      <w:r w:rsidRPr="00414B52">
        <w:rPr>
          <w:rFonts w:ascii="Palatino Linotype" w:hAnsi="Palatino Linotype"/>
          <w:bCs/>
          <w:iCs/>
          <w:sz w:val="22"/>
          <w:szCs w:val="22"/>
          <w:lang w:val="es-EC"/>
        </w:rPr>
        <w:t>A0244</w:t>
      </w:r>
      <w:proofErr w:type="spellEnd"/>
      <w:r w:rsidRPr="00414B52">
        <w:rPr>
          <w:rFonts w:ascii="Palatino Linotype" w:hAnsi="Palatino Linotype"/>
          <w:bCs/>
          <w:iCs/>
          <w:sz w:val="22"/>
          <w:szCs w:val="22"/>
          <w:lang w:val="es-EC"/>
        </w:rPr>
        <w:t xml:space="preserve">, de 05 de octubre de 2016, el </w:t>
      </w:r>
      <w:r w:rsidRPr="00414B52">
        <w:rPr>
          <w:rFonts w:ascii="Palatino Linotype" w:hAnsi="Palatino Linotype"/>
          <w:sz w:val="22"/>
          <w:szCs w:val="22"/>
          <w:lang w:val="es-EC"/>
        </w:rPr>
        <w:t xml:space="preserve">Alcalde del Municipio del Distrito Metropolitano de Quito remitió a Secretaría General del Concejo Metropolitano, el requerimiento efectuado por la </w:t>
      </w:r>
      <w:proofErr w:type="spellStart"/>
      <w:r w:rsidRPr="00414B52">
        <w:rPr>
          <w:rFonts w:ascii="Palatino Linotype" w:hAnsi="Palatino Linotype"/>
          <w:sz w:val="22"/>
          <w:szCs w:val="22"/>
          <w:lang w:val="es-EC"/>
        </w:rPr>
        <w:t>EMASEO</w:t>
      </w:r>
      <w:proofErr w:type="spellEnd"/>
      <w:r w:rsidRPr="00414B52">
        <w:rPr>
          <w:rFonts w:ascii="Palatino Linotype" w:hAnsi="Palatino Linotype"/>
          <w:sz w:val="22"/>
          <w:szCs w:val="22"/>
          <w:lang w:val="es-EC"/>
        </w:rPr>
        <w:t xml:space="preserve"> </w:t>
      </w:r>
      <w:proofErr w:type="spellStart"/>
      <w:r w:rsidRPr="00414B52">
        <w:rPr>
          <w:rFonts w:ascii="Palatino Linotype" w:hAnsi="Palatino Linotype"/>
          <w:sz w:val="22"/>
          <w:szCs w:val="22"/>
          <w:lang w:val="es-EC"/>
        </w:rPr>
        <w:t>EP</w:t>
      </w:r>
      <w:proofErr w:type="spellEnd"/>
      <w:r w:rsidRPr="00414B52">
        <w:rPr>
          <w:rFonts w:ascii="Palatino Linotype" w:hAnsi="Palatino Linotype"/>
          <w:sz w:val="22"/>
          <w:szCs w:val="22"/>
          <w:lang w:val="es-EC"/>
        </w:rPr>
        <w:t>;</w:t>
      </w:r>
    </w:p>
    <w:p w:rsidR="00521EC0" w:rsidRPr="00414B52" w:rsidRDefault="00521EC0" w:rsidP="00414B52">
      <w:pPr>
        <w:shd w:val="clear" w:color="auto" w:fill="FFFFFF"/>
        <w:spacing w:after="120" w:line="276" w:lineRule="auto"/>
        <w:ind w:left="567" w:hanging="567"/>
        <w:jc w:val="both"/>
        <w:rPr>
          <w:rFonts w:ascii="Palatino Linotype" w:hAnsi="Palatino Linotype"/>
          <w:bCs/>
          <w:iCs/>
          <w:sz w:val="22"/>
          <w:szCs w:val="22"/>
          <w:lang w:val="es-EC"/>
        </w:rPr>
      </w:pPr>
      <w:r w:rsidRPr="00414B52">
        <w:rPr>
          <w:rFonts w:ascii="Palatino Linotype" w:hAnsi="Palatino Linotype"/>
          <w:b/>
          <w:bCs/>
          <w:iCs/>
          <w:sz w:val="22"/>
          <w:szCs w:val="22"/>
          <w:lang w:val="es-EC"/>
        </w:rPr>
        <w:t>Que,</w:t>
      </w:r>
      <w:r w:rsidRPr="00414B52">
        <w:rPr>
          <w:rFonts w:ascii="Palatino Linotype" w:hAnsi="Palatino Linotype"/>
          <w:bCs/>
          <w:iCs/>
          <w:sz w:val="22"/>
          <w:szCs w:val="22"/>
          <w:lang w:val="es-EC"/>
        </w:rPr>
        <w:t xml:space="preserve"> </w:t>
      </w:r>
      <w:r w:rsidRPr="00414B52">
        <w:rPr>
          <w:rFonts w:ascii="Palatino Linotype" w:hAnsi="Palatino Linotype"/>
          <w:bCs/>
          <w:iCs/>
          <w:sz w:val="22"/>
          <w:szCs w:val="22"/>
          <w:lang w:val="es-EC"/>
        </w:rPr>
        <w:tab/>
        <w:t xml:space="preserve">mediante </w:t>
      </w:r>
      <w:proofErr w:type="spellStart"/>
      <w:r w:rsidRPr="00414B52">
        <w:rPr>
          <w:rFonts w:ascii="Palatino Linotype" w:hAnsi="Palatino Linotype"/>
          <w:bCs/>
          <w:iCs/>
          <w:sz w:val="22"/>
          <w:szCs w:val="22"/>
          <w:lang w:val="es-EC"/>
        </w:rPr>
        <w:t>GDOC</w:t>
      </w:r>
      <w:proofErr w:type="spellEnd"/>
      <w:r w:rsidRPr="00414B52">
        <w:rPr>
          <w:rFonts w:ascii="Palatino Linotype" w:hAnsi="Palatino Linotype"/>
          <w:bCs/>
          <w:iCs/>
          <w:sz w:val="22"/>
          <w:szCs w:val="22"/>
          <w:lang w:val="es-EC"/>
        </w:rPr>
        <w:t xml:space="preserve"> 2016-514, de 05 de octubre de 2016, la Secretaría General del Concejo Metropolitano remitió a la Comisión de Presupuesto, Finanzas y Tributación el Proyecto de Ordenanza que reforma el </w:t>
      </w:r>
      <w:r w:rsidRPr="00414B52">
        <w:rPr>
          <w:rFonts w:ascii="Palatino Linotype" w:hAnsi="Palatino Linotype"/>
          <w:sz w:val="22"/>
          <w:szCs w:val="22"/>
          <w:lang w:val="es-ES_tradnl"/>
        </w:rPr>
        <w:t xml:space="preserve">LIBRO III “DE LOS TRIBUTOS MUNICIPALES”, TÍTULO II “DE LAS TASAS”, CAPÍTULO I “DE LAS TASAS DE RECOLECCIÓN Y TRATAMIENTO </w:t>
      </w:r>
      <w:r w:rsidRPr="00414B52">
        <w:rPr>
          <w:rFonts w:ascii="Palatino Linotype" w:hAnsi="Palatino Linotype"/>
          <w:spacing w:val="-2"/>
          <w:sz w:val="22"/>
          <w:szCs w:val="22"/>
        </w:rPr>
        <w:t>DE RESIDUOS SÓLIDOS</w:t>
      </w:r>
      <w:r w:rsidRPr="00414B52">
        <w:rPr>
          <w:rFonts w:ascii="Palatino Linotype" w:hAnsi="Palatino Linotype"/>
          <w:sz w:val="22"/>
          <w:szCs w:val="22"/>
          <w:lang w:val="es-ES_tradnl"/>
        </w:rPr>
        <w:t>”</w:t>
      </w:r>
      <w:r w:rsidRPr="00414B52">
        <w:rPr>
          <w:rFonts w:ascii="Palatino Linotype" w:hAnsi="Palatino Linotype"/>
          <w:b/>
          <w:sz w:val="22"/>
          <w:szCs w:val="22"/>
          <w:lang w:val="es-ES_tradnl"/>
        </w:rPr>
        <w:t xml:space="preserve"> </w:t>
      </w:r>
      <w:r w:rsidRPr="00414B52">
        <w:rPr>
          <w:rFonts w:ascii="Palatino Linotype" w:hAnsi="Palatino Linotype"/>
          <w:sz w:val="22"/>
          <w:szCs w:val="22"/>
          <w:lang w:val="es-ES_tradnl"/>
        </w:rPr>
        <w:t>del Código Municipal Para El Distrito Metropolitano de Quito;</w:t>
      </w:r>
    </w:p>
    <w:p w:rsidR="00521EC0" w:rsidRPr="00414B52" w:rsidRDefault="00521EC0" w:rsidP="00414B52">
      <w:pPr>
        <w:shd w:val="clear" w:color="auto" w:fill="FFFFFF"/>
        <w:spacing w:after="120" w:line="276" w:lineRule="auto"/>
        <w:ind w:left="567" w:hanging="567"/>
        <w:jc w:val="both"/>
        <w:rPr>
          <w:rFonts w:ascii="Palatino Linotype" w:hAnsi="Palatino Linotype"/>
          <w:sz w:val="22"/>
          <w:szCs w:val="22"/>
          <w:lang w:val="es-ES_tradnl"/>
        </w:rPr>
      </w:pPr>
      <w:r w:rsidRPr="00414B52">
        <w:rPr>
          <w:rFonts w:ascii="Palatino Linotype" w:hAnsi="Palatino Linotype"/>
          <w:b/>
          <w:bCs/>
          <w:iCs/>
          <w:sz w:val="22"/>
          <w:szCs w:val="22"/>
          <w:lang w:val="es-EC"/>
        </w:rPr>
        <w:t>Que,</w:t>
      </w:r>
      <w:r w:rsidRPr="00414B52">
        <w:rPr>
          <w:rFonts w:ascii="Palatino Linotype" w:hAnsi="Palatino Linotype"/>
          <w:bCs/>
          <w:iCs/>
          <w:sz w:val="22"/>
          <w:szCs w:val="22"/>
          <w:lang w:val="es-EC"/>
        </w:rPr>
        <w:t xml:space="preserve"> el 23 de noviembre de 2016, la Comisión de Presupuesto, Finanzas y Tributación emitió el dictamen favorable para que el Concejo Metropolitano conozca en primer debate el Proyecto de Ordenanza Metropolitana que reforma el </w:t>
      </w:r>
      <w:r w:rsidRPr="00414B52">
        <w:rPr>
          <w:rFonts w:ascii="Palatino Linotype" w:hAnsi="Palatino Linotype"/>
          <w:sz w:val="22"/>
          <w:szCs w:val="22"/>
          <w:lang w:val="es-ES_tradnl"/>
        </w:rPr>
        <w:t xml:space="preserve">LIBRO III “DE LOS TRIBUTOS MUNICIPALES”, TÍTULO II “DE LAS TASAS”, CAPÍTULO I “DE LAS TASAS DE RECOLECCIÓN Y TRATAMIENTO </w:t>
      </w:r>
      <w:r w:rsidRPr="00414B52">
        <w:rPr>
          <w:rFonts w:ascii="Palatino Linotype" w:hAnsi="Palatino Linotype"/>
          <w:spacing w:val="-2"/>
          <w:sz w:val="22"/>
          <w:szCs w:val="22"/>
        </w:rPr>
        <w:t>DE RESIDUOS SÓLIDOS</w:t>
      </w:r>
      <w:r w:rsidRPr="00414B52">
        <w:rPr>
          <w:rFonts w:ascii="Palatino Linotype" w:hAnsi="Palatino Linotype"/>
          <w:sz w:val="22"/>
          <w:szCs w:val="22"/>
          <w:lang w:val="es-ES_tradnl"/>
        </w:rPr>
        <w:t>”</w:t>
      </w:r>
      <w:r w:rsidRPr="00414B52">
        <w:rPr>
          <w:rFonts w:ascii="Palatino Linotype" w:hAnsi="Palatino Linotype"/>
          <w:b/>
          <w:sz w:val="22"/>
          <w:szCs w:val="22"/>
          <w:lang w:val="es-ES_tradnl"/>
        </w:rPr>
        <w:t xml:space="preserve"> </w:t>
      </w:r>
      <w:r w:rsidRPr="00414B52">
        <w:rPr>
          <w:rFonts w:ascii="Palatino Linotype" w:hAnsi="Palatino Linotype"/>
          <w:sz w:val="22"/>
          <w:szCs w:val="22"/>
          <w:lang w:val="es-ES_tradnl"/>
        </w:rPr>
        <w:t>del Código Municipal Para El Distrito Metropolitano de Quito;</w:t>
      </w:r>
      <w:r w:rsidR="00414B52">
        <w:rPr>
          <w:rFonts w:ascii="Palatino Linotype" w:hAnsi="Palatino Linotype"/>
          <w:sz w:val="22"/>
          <w:szCs w:val="22"/>
          <w:lang w:val="es-ES_tradnl"/>
        </w:rPr>
        <w:t xml:space="preserve"> y,</w:t>
      </w:r>
    </w:p>
    <w:p w:rsidR="00521EC0" w:rsidRPr="00414B52" w:rsidRDefault="00521EC0" w:rsidP="00414B52">
      <w:pPr>
        <w:shd w:val="clear" w:color="auto" w:fill="FFFFFF"/>
        <w:spacing w:after="120" w:line="276" w:lineRule="auto"/>
        <w:ind w:left="567" w:hanging="567"/>
        <w:jc w:val="both"/>
        <w:rPr>
          <w:rFonts w:ascii="Palatino Linotype" w:hAnsi="Palatino Linotype"/>
          <w:bCs/>
          <w:iCs/>
          <w:sz w:val="22"/>
          <w:szCs w:val="22"/>
          <w:lang w:val="es-EC"/>
        </w:rPr>
      </w:pPr>
      <w:r w:rsidRPr="00414B52">
        <w:rPr>
          <w:rFonts w:ascii="Palatino Linotype" w:hAnsi="Palatino Linotype"/>
          <w:b/>
          <w:bCs/>
          <w:iCs/>
          <w:sz w:val="22"/>
          <w:szCs w:val="22"/>
          <w:lang w:val="es-EC"/>
        </w:rPr>
        <w:t>Que,</w:t>
      </w:r>
      <w:r w:rsidRPr="00414B52">
        <w:rPr>
          <w:rFonts w:ascii="Palatino Linotype" w:hAnsi="Palatino Linotype"/>
          <w:bCs/>
          <w:iCs/>
          <w:sz w:val="22"/>
          <w:szCs w:val="22"/>
          <w:lang w:val="es-EC"/>
        </w:rPr>
        <w:t xml:space="preserve"> el primer debate del Concejo Metropolitano para la aprobación de la Reforma a la Ordenanza Metropolitana No. 402 </w:t>
      </w:r>
      <w:r w:rsidR="00E21DE0" w:rsidRPr="00414B52">
        <w:rPr>
          <w:rFonts w:ascii="Palatino Linotype" w:hAnsi="Palatino Linotype"/>
          <w:bCs/>
          <w:iCs/>
          <w:sz w:val="22"/>
          <w:szCs w:val="22"/>
          <w:lang w:val="es-EC"/>
        </w:rPr>
        <w:t xml:space="preserve">se efectuó </w:t>
      </w:r>
      <w:r w:rsidR="00414B52">
        <w:rPr>
          <w:rFonts w:ascii="Palatino Linotype" w:hAnsi="Palatino Linotype"/>
          <w:bCs/>
          <w:iCs/>
          <w:sz w:val="22"/>
          <w:szCs w:val="22"/>
          <w:lang w:val="es-EC"/>
        </w:rPr>
        <w:t xml:space="preserve">el </w:t>
      </w:r>
      <w:r w:rsidRPr="00414B52">
        <w:rPr>
          <w:rFonts w:ascii="Palatino Linotype" w:hAnsi="Palatino Linotype"/>
          <w:bCs/>
          <w:iCs/>
          <w:sz w:val="22"/>
          <w:szCs w:val="22"/>
          <w:lang w:val="es-EC"/>
        </w:rPr>
        <w:t>9 de marzo de 2017 y que las observaciones vertidas por los señores Concejales fueron revisadas y analizadas en las mesas de trabajo y sesiones de la Comisión de Presupuesto, Finanzas y Tributación, en los días 28 de marzo, 03 y 5 de abril; y, 17, 22 de mayo de 2017</w:t>
      </w:r>
      <w:r w:rsidR="00CE5583" w:rsidRPr="00414B52">
        <w:rPr>
          <w:rFonts w:ascii="Palatino Linotype" w:hAnsi="Palatino Linotype"/>
          <w:bCs/>
          <w:iCs/>
          <w:sz w:val="22"/>
          <w:szCs w:val="22"/>
          <w:lang w:val="es-EC"/>
        </w:rPr>
        <w:t xml:space="preserve">, finalmente, mediante </w:t>
      </w:r>
      <w:r w:rsidR="00CE5583" w:rsidRPr="00414B52">
        <w:rPr>
          <w:rFonts w:ascii="Palatino Linotype" w:eastAsiaTheme="minorHAnsi" w:hAnsi="Palatino Linotype" w:cs="Times New Roman"/>
          <w:sz w:val="22"/>
          <w:szCs w:val="22"/>
          <w:lang w:eastAsia="en-US"/>
        </w:rPr>
        <w:t xml:space="preserve">Acta </w:t>
      </w:r>
      <w:r w:rsidR="00CE5583" w:rsidRPr="00414B52">
        <w:rPr>
          <w:rFonts w:ascii="Palatino Linotype" w:eastAsiaTheme="minorHAnsi" w:hAnsi="Palatino Linotype" w:cs="Times New Roman"/>
          <w:bCs/>
          <w:sz w:val="22"/>
          <w:szCs w:val="22"/>
          <w:lang w:eastAsia="en-US"/>
        </w:rPr>
        <w:t>Resolutiva de la Sesión Extraordinaria de la Comisión</w:t>
      </w:r>
      <w:r w:rsidR="00CE5583" w:rsidRPr="00414B52">
        <w:rPr>
          <w:rFonts w:ascii="Palatino Linotype" w:hAnsi="Palatino Linotype"/>
          <w:bCs/>
          <w:iCs/>
          <w:sz w:val="22"/>
          <w:szCs w:val="22"/>
          <w:lang w:val="es-EC"/>
        </w:rPr>
        <w:t xml:space="preserve"> </w:t>
      </w:r>
      <w:r w:rsidR="00CE5583" w:rsidRPr="00414B52">
        <w:rPr>
          <w:rFonts w:ascii="Palatino Linotype" w:eastAsiaTheme="minorHAnsi" w:hAnsi="Palatino Linotype" w:cs="Times New Roman"/>
          <w:bCs/>
          <w:sz w:val="22"/>
          <w:szCs w:val="22"/>
          <w:lang w:eastAsia="en-US"/>
        </w:rPr>
        <w:t>de Presupuesto, Finanzas y Tributación</w:t>
      </w:r>
      <w:r w:rsidR="00CE5583" w:rsidRPr="00414B52">
        <w:rPr>
          <w:rFonts w:ascii="Palatino Linotype" w:hAnsi="Palatino Linotype"/>
          <w:bCs/>
          <w:iCs/>
          <w:sz w:val="22"/>
          <w:szCs w:val="22"/>
          <w:lang w:val="es-EC"/>
        </w:rPr>
        <w:t xml:space="preserve"> </w:t>
      </w:r>
      <w:r w:rsidR="00414B52">
        <w:rPr>
          <w:rFonts w:ascii="Palatino Linotype" w:hAnsi="Palatino Linotype"/>
          <w:bCs/>
          <w:iCs/>
          <w:sz w:val="22"/>
          <w:szCs w:val="22"/>
          <w:lang w:val="es-EC"/>
        </w:rPr>
        <w:t xml:space="preserve">- </w:t>
      </w:r>
      <w:r w:rsidR="00CE5583" w:rsidRPr="00414B52">
        <w:rPr>
          <w:rFonts w:ascii="Palatino Linotype" w:eastAsiaTheme="minorHAnsi" w:hAnsi="Palatino Linotype" w:cs="Times New Roman"/>
          <w:bCs/>
          <w:sz w:val="22"/>
          <w:szCs w:val="22"/>
          <w:lang w:eastAsia="en-US"/>
        </w:rPr>
        <w:t xml:space="preserve">Eje de Gobernabilidad e Institucionalidad, de 31 de mayo de 2017, los señores Concejales emitieron DICTAMEN FAVORABLE </w:t>
      </w:r>
      <w:r w:rsidR="00CE5583" w:rsidRPr="00414B52">
        <w:rPr>
          <w:rFonts w:ascii="Palatino Linotype" w:eastAsiaTheme="minorHAnsi" w:hAnsi="Palatino Linotype" w:cs="Times New Roman"/>
          <w:sz w:val="22"/>
          <w:szCs w:val="22"/>
          <w:lang w:eastAsia="en-US"/>
        </w:rPr>
        <w:t>para que el Concejo Metropolitano conozca el texto final de la mencionada Ordenanza en segundo y definitivo debate</w:t>
      </w:r>
      <w:r w:rsidR="00414B52">
        <w:rPr>
          <w:rFonts w:ascii="Palatino Linotype" w:eastAsiaTheme="minorHAnsi" w:hAnsi="Palatino Linotype" w:cs="Times New Roman"/>
          <w:sz w:val="22"/>
          <w:szCs w:val="22"/>
          <w:lang w:eastAsia="en-US"/>
        </w:rPr>
        <w:t>.</w:t>
      </w:r>
      <w:r w:rsidR="00E21DE0" w:rsidRPr="00414B52">
        <w:rPr>
          <w:rFonts w:ascii="Palatino Linotype" w:hAnsi="Palatino Linotype"/>
          <w:bCs/>
          <w:iCs/>
          <w:sz w:val="22"/>
          <w:szCs w:val="22"/>
          <w:lang w:val="es-EC"/>
        </w:rPr>
        <w:t xml:space="preserve"> </w:t>
      </w:r>
    </w:p>
    <w:p w:rsidR="00521EC0" w:rsidRPr="00414B52" w:rsidRDefault="00521EC0" w:rsidP="00414B52">
      <w:pPr>
        <w:shd w:val="clear" w:color="auto" w:fill="FFFFFF"/>
        <w:spacing w:after="120" w:line="276" w:lineRule="auto"/>
        <w:jc w:val="both"/>
        <w:rPr>
          <w:rFonts w:ascii="Palatino Linotype" w:hAnsi="Palatino Linotype"/>
          <w:b/>
          <w:bCs/>
          <w:sz w:val="22"/>
          <w:szCs w:val="22"/>
        </w:rPr>
      </w:pPr>
      <w:r w:rsidRPr="00414B52">
        <w:rPr>
          <w:rFonts w:ascii="Palatino Linotype" w:hAnsi="Palatino Linotype"/>
          <w:b/>
          <w:spacing w:val="-8"/>
          <w:sz w:val="22"/>
          <w:szCs w:val="22"/>
          <w:lang w:val="es-ES_tradnl"/>
        </w:rPr>
        <w:t xml:space="preserve">En ejercicio de sus atribuciones legales constantes en el artículo </w:t>
      </w:r>
      <w:r w:rsidRPr="00414B52">
        <w:rPr>
          <w:rFonts w:ascii="Palatino Linotype" w:hAnsi="Palatino Linotype"/>
          <w:b/>
          <w:spacing w:val="-5"/>
          <w:sz w:val="22"/>
          <w:szCs w:val="22"/>
          <w:lang w:val="es-ES_tradnl"/>
        </w:rPr>
        <w:t xml:space="preserve">87 literales a), b) y c) del Código Orgánico de Organización Territorial, Autonomía y </w:t>
      </w:r>
      <w:r w:rsidRPr="00414B52">
        <w:rPr>
          <w:rFonts w:ascii="Palatino Linotype" w:hAnsi="Palatino Linotype"/>
          <w:b/>
          <w:spacing w:val="-9"/>
          <w:sz w:val="22"/>
          <w:szCs w:val="22"/>
          <w:lang w:val="es-ES_tradnl"/>
        </w:rPr>
        <w:t xml:space="preserve">Descentralización; artículo </w:t>
      </w:r>
      <w:proofErr w:type="spellStart"/>
      <w:r w:rsidRPr="00414B52">
        <w:rPr>
          <w:rStyle w:val="nrmar"/>
          <w:rFonts w:ascii="Palatino Linotype" w:hAnsi="Palatino Linotype"/>
          <w:b/>
          <w:sz w:val="22"/>
          <w:szCs w:val="22"/>
        </w:rPr>
        <w:t>P.2</w:t>
      </w:r>
      <w:proofErr w:type="spellEnd"/>
      <w:r w:rsidRPr="00414B52">
        <w:rPr>
          <w:rFonts w:ascii="Palatino Linotype" w:hAnsi="Palatino Linotype"/>
          <w:b/>
          <w:sz w:val="22"/>
          <w:szCs w:val="22"/>
        </w:rPr>
        <w:t xml:space="preserve">.- </w:t>
      </w:r>
      <w:r w:rsidRPr="00414B52">
        <w:rPr>
          <w:rFonts w:ascii="Palatino Linotype" w:hAnsi="Palatino Linotype"/>
          <w:b/>
          <w:spacing w:val="-9"/>
          <w:sz w:val="22"/>
          <w:szCs w:val="22"/>
          <w:lang w:val="es-ES_tradnl"/>
        </w:rPr>
        <w:t xml:space="preserve"> d</w:t>
      </w:r>
      <w:r w:rsidRPr="00414B52">
        <w:rPr>
          <w:rFonts w:ascii="Palatino Linotype" w:hAnsi="Palatino Linotype"/>
          <w:b/>
          <w:spacing w:val="-10"/>
          <w:sz w:val="22"/>
          <w:szCs w:val="22"/>
          <w:lang w:val="es-ES_tradnl"/>
        </w:rPr>
        <w:t xml:space="preserve">el Código Municipal para el Distrito Metropolitano de Quito, y </w:t>
      </w:r>
      <w:r w:rsidRPr="00414B52">
        <w:rPr>
          <w:rStyle w:val="nrmar"/>
          <w:rFonts w:ascii="Palatino Linotype" w:hAnsi="Palatino Linotype"/>
          <w:b/>
          <w:sz w:val="22"/>
          <w:szCs w:val="22"/>
        </w:rPr>
        <w:t>números 1) y 3) de la L</w:t>
      </w:r>
      <w:r w:rsidRPr="00414B52">
        <w:rPr>
          <w:rFonts w:ascii="Palatino Linotype" w:hAnsi="Palatino Linotype"/>
          <w:b/>
          <w:bCs/>
          <w:sz w:val="22"/>
          <w:szCs w:val="22"/>
        </w:rPr>
        <w:t>ey de Régimen del Distrito Metropolitano de Quito,</w:t>
      </w:r>
    </w:p>
    <w:p w:rsidR="00521EC0" w:rsidRPr="00414B52" w:rsidRDefault="00414B52" w:rsidP="00414B52">
      <w:pPr>
        <w:shd w:val="clear" w:color="auto" w:fill="FFFFFF"/>
        <w:spacing w:after="120" w:line="276" w:lineRule="auto"/>
        <w:ind w:right="5"/>
        <w:jc w:val="center"/>
        <w:rPr>
          <w:rFonts w:ascii="Palatino Linotype" w:hAnsi="Palatino Linotype"/>
          <w:b/>
          <w:spacing w:val="-8"/>
          <w:sz w:val="22"/>
          <w:szCs w:val="22"/>
          <w:lang w:val="es-ES_tradnl"/>
        </w:rPr>
      </w:pPr>
      <w:r w:rsidRPr="00414B52">
        <w:rPr>
          <w:rFonts w:ascii="Palatino Linotype" w:hAnsi="Palatino Linotype"/>
          <w:b/>
          <w:spacing w:val="-8"/>
          <w:sz w:val="22"/>
          <w:szCs w:val="22"/>
          <w:lang w:val="es-ES_tradnl"/>
        </w:rPr>
        <w:lastRenderedPageBreak/>
        <w:t>EXPIDE</w:t>
      </w:r>
      <w:r>
        <w:rPr>
          <w:rFonts w:ascii="Palatino Linotype" w:hAnsi="Palatino Linotype"/>
          <w:b/>
          <w:spacing w:val="-8"/>
          <w:sz w:val="22"/>
          <w:szCs w:val="22"/>
          <w:lang w:val="es-ES_tradnl"/>
        </w:rPr>
        <w:t xml:space="preserve"> LA SIGUIENTE</w:t>
      </w:r>
      <w:r w:rsidRPr="00414B52">
        <w:rPr>
          <w:rFonts w:ascii="Palatino Linotype" w:hAnsi="Palatino Linotype"/>
          <w:b/>
          <w:spacing w:val="-8"/>
          <w:sz w:val="22"/>
          <w:szCs w:val="22"/>
          <w:lang w:val="es-ES_tradnl"/>
        </w:rPr>
        <w:t>:</w:t>
      </w:r>
    </w:p>
    <w:p w:rsidR="00521EC0" w:rsidRPr="00414B52" w:rsidRDefault="00521EC0" w:rsidP="00414B52">
      <w:pPr>
        <w:shd w:val="clear" w:color="auto" w:fill="FFFFFF"/>
        <w:spacing w:after="120" w:line="276" w:lineRule="auto"/>
        <w:ind w:right="5"/>
        <w:jc w:val="center"/>
        <w:rPr>
          <w:rFonts w:ascii="Palatino Linotype" w:hAnsi="Palatino Linotype"/>
          <w:b/>
          <w:sz w:val="22"/>
          <w:szCs w:val="22"/>
          <w:lang w:val="es-ES_tradnl"/>
        </w:rPr>
      </w:pPr>
      <w:r w:rsidRPr="00414B52">
        <w:rPr>
          <w:rFonts w:ascii="Palatino Linotype" w:hAnsi="Palatino Linotype"/>
          <w:b/>
          <w:sz w:val="22"/>
          <w:szCs w:val="22"/>
          <w:lang w:val="es-ES_tradnl"/>
        </w:rPr>
        <w:t xml:space="preserve">ORDENANZA METROPOLITANA REFORMATORIA DEL LIBRO III “DE LOS TRIBUTOS MUNICIPALES”, TÍTULO II “DE LAS TASAS”, CAPÍTULO I “DE LAS TASAS DE RECOLECCIÓN Y TRATAMIENTO </w:t>
      </w:r>
      <w:r w:rsidRPr="00414B52">
        <w:rPr>
          <w:rFonts w:ascii="Palatino Linotype" w:hAnsi="Palatino Linotype"/>
          <w:b/>
          <w:spacing w:val="-2"/>
          <w:sz w:val="22"/>
          <w:szCs w:val="22"/>
        </w:rPr>
        <w:t>DE RESIDUOS SÓLIDOS</w:t>
      </w:r>
      <w:r w:rsidRPr="00414B52">
        <w:rPr>
          <w:rFonts w:ascii="Palatino Linotype" w:hAnsi="Palatino Linotype"/>
          <w:b/>
          <w:sz w:val="22"/>
          <w:szCs w:val="22"/>
          <w:lang w:val="es-ES_tradnl"/>
        </w:rPr>
        <w:t>” DEL CÓDIGO MUNICIPAL PARA EL DISTRITO</w:t>
      </w:r>
      <w:r w:rsidR="00414B52">
        <w:rPr>
          <w:rFonts w:ascii="Palatino Linotype" w:hAnsi="Palatino Linotype"/>
          <w:b/>
          <w:sz w:val="22"/>
          <w:szCs w:val="22"/>
          <w:lang w:val="es-ES_tradnl"/>
        </w:rPr>
        <w:t xml:space="preserve"> </w:t>
      </w:r>
      <w:r w:rsidRPr="00414B52">
        <w:rPr>
          <w:rFonts w:ascii="Palatino Linotype" w:hAnsi="Palatino Linotype"/>
          <w:b/>
          <w:sz w:val="22"/>
          <w:szCs w:val="22"/>
          <w:lang w:val="es-ES_tradnl"/>
        </w:rPr>
        <w:t>METROPOLITANO DE QUITO</w:t>
      </w:r>
    </w:p>
    <w:p w:rsidR="00521EC0" w:rsidRPr="00414B52" w:rsidRDefault="00521EC0" w:rsidP="00414B52">
      <w:pPr>
        <w:spacing w:after="120" w:line="276" w:lineRule="auto"/>
        <w:jc w:val="both"/>
        <w:rPr>
          <w:rFonts w:ascii="Palatino Linotype" w:hAnsi="Palatino Linotype"/>
          <w:spacing w:val="-6"/>
          <w:sz w:val="22"/>
          <w:szCs w:val="22"/>
          <w:lang w:val="es-ES_tradnl"/>
        </w:rPr>
      </w:pPr>
      <w:r w:rsidRPr="00414B52">
        <w:rPr>
          <w:rFonts w:ascii="Palatino Linotype" w:hAnsi="Palatino Linotype"/>
          <w:b/>
          <w:spacing w:val="-6"/>
          <w:sz w:val="22"/>
          <w:szCs w:val="22"/>
          <w:lang w:val="es-ES_tradnl"/>
        </w:rPr>
        <w:t xml:space="preserve">Artículo 1.- </w:t>
      </w:r>
      <w:r w:rsidRPr="00414B52">
        <w:rPr>
          <w:rFonts w:ascii="Palatino Linotype" w:hAnsi="Palatino Linotype"/>
          <w:spacing w:val="-6"/>
          <w:sz w:val="22"/>
          <w:szCs w:val="22"/>
          <w:lang w:val="es-ES_tradnl"/>
        </w:rPr>
        <w:t>En el Libro III “De los Tributos Municipales</w:t>
      </w:r>
      <w:r w:rsidR="003D344A">
        <w:rPr>
          <w:rFonts w:ascii="Palatino Linotype" w:hAnsi="Palatino Linotype"/>
          <w:spacing w:val="-6"/>
          <w:sz w:val="22"/>
          <w:szCs w:val="22"/>
          <w:lang w:val="es-ES_tradnl"/>
        </w:rPr>
        <w:t>”</w:t>
      </w:r>
      <w:r w:rsidRPr="00414B52">
        <w:rPr>
          <w:rFonts w:ascii="Palatino Linotype" w:hAnsi="Palatino Linotype"/>
          <w:spacing w:val="-6"/>
          <w:sz w:val="22"/>
          <w:szCs w:val="22"/>
          <w:lang w:val="es-ES_tradnl"/>
        </w:rPr>
        <w:t>, Título II “De las Tasas”, Capítulo I “De las Tasas de Recolección y Tratamiento de Residuos Sólidos” del Código Municipal para el Distrito Metropolitano de Quito, sustitúyase el nombre del Capítulo I “</w:t>
      </w:r>
      <w:r w:rsidRPr="00414B52">
        <w:rPr>
          <w:rFonts w:ascii="Palatino Linotype" w:hAnsi="Palatino Linotype"/>
          <w:i/>
          <w:spacing w:val="-6"/>
          <w:sz w:val="22"/>
          <w:szCs w:val="22"/>
          <w:lang w:val="es-ES_tradnl"/>
        </w:rPr>
        <w:t>De las Tasas de Recolección y Tratamiento</w:t>
      </w:r>
      <w:r w:rsidR="00E21DE0" w:rsidRPr="00414B52">
        <w:rPr>
          <w:rFonts w:ascii="Palatino Linotype" w:hAnsi="Palatino Linotype"/>
          <w:i/>
          <w:spacing w:val="-6"/>
          <w:sz w:val="22"/>
          <w:szCs w:val="22"/>
          <w:lang w:val="es-ES_tradnl"/>
        </w:rPr>
        <w:t xml:space="preserve"> de Residuos Sólidos</w:t>
      </w:r>
      <w:r w:rsidR="00E21DE0" w:rsidRPr="00414B52">
        <w:rPr>
          <w:rFonts w:ascii="Palatino Linotype" w:hAnsi="Palatino Linotype"/>
          <w:spacing w:val="-6"/>
          <w:sz w:val="22"/>
          <w:szCs w:val="22"/>
          <w:lang w:val="es-ES_tradnl"/>
        </w:rPr>
        <w:t xml:space="preserve">” por </w:t>
      </w:r>
      <w:r w:rsidRPr="00414B52">
        <w:rPr>
          <w:rFonts w:ascii="Palatino Linotype" w:hAnsi="Palatino Linotype"/>
          <w:spacing w:val="-6"/>
          <w:sz w:val="22"/>
          <w:szCs w:val="22"/>
          <w:lang w:val="es-ES_tradnl"/>
        </w:rPr>
        <w:t>“</w:t>
      </w:r>
      <w:r w:rsidRPr="00414B52">
        <w:rPr>
          <w:rFonts w:ascii="Palatino Linotype" w:hAnsi="Palatino Linotype"/>
          <w:b/>
          <w:i/>
          <w:spacing w:val="-6"/>
          <w:sz w:val="22"/>
          <w:szCs w:val="22"/>
          <w:lang w:val="es-ES_tradnl"/>
        </w:rPr>
        <w:t>De la Tasa para la Gestión Integral de Residuos Sólidos</w:t>
      </w:r>
      <w:r w:rsidRPr="00414B52">
        <w:rPr>
          <w:rFonts w:ascii="Palatino Linotype" w:hAnsi="Palatino Linotype"/>
          <w:spacing w:val="-6"/>
          <w:sz w:val="22"/>
          <w:szCs w:val="22"/>
          <w:lang w:val="es-ES_tradnl"/>
        </w:rPr>
        <w:t>”</w:t>
      </w:r>
      <w:r w:rsidR="00E21DE0" w:rsidRPr="00414B52">
        <w:rPr>
          <w:rFonts w:ascii="Palatino Linotype" w:hAnsi="Palatino Linotype"/>
          <w:spacing w:val="-6"/>
          <w:sz w:val="22"/>
          <w:szCs w:val="22"/>
          <w:lang w:val="es-ES_tradnl"/>
        </w:rPr>
        <w:t>, así como en todo texto del Código Municipal en que se haga mención al mismo</w:t>
      </w:r>
      <w:r w:rsidR="00CE4C07" w:rsidRPr="00414B52">
        <w:rPr>
          <w:rFonts w:ascii="Palatino Linotype" w:hAnsi="Palatino Linotype"/>
          <w:spacing w:val="-6"/>
          <w:sz w:val="22"/>
          <w:szCs w:val="22"/>
          <w:lang w:val="es-ES_tradnl"/>
        </w:rPr>
        <w:t xml:space="preserve"> tributo.</w:t>
      </w:r>
      <w:r w:rsidR="00E21DE0" w:rsidRPr="00414B52">
        <w:rPr>
          <w:rFonts w:ascii="Palatino Linotype" w:hAnsi="Palatino Linotype"/>
          <w:spacing w:val="-6"/>
          <w:sz w:val="22"/>
          <w:szCs w:val="22"/>
          <w:lang w:val="es-ES_tradnl"/>
        </w:rPr>
        <w:t xml:space="preserve"> </w:t>
      </w:r>
    </w:p>
    <w:p w:rsidR="00521EC0" w:rsidRPr="00414B52" w:rsidRDefault="00521EC0" w:rsidP="00414B52">
      <w:pPr>
        <w:spacing w:after="120" w:line="276" w:lineRule="auto"/>
        <w:jc w:val="both"/>
        <w:rPr>
          <w:rFonts w:ascii="Palatino Linotype" w:hAnsi="Palatino Linotype"/>
          <w:sz w:val="22"/>
          <w:szCs w:val="22"/>
        </w:rPr>
      </w:pPr>
      <w:r w:rsidRPr="00414B52">
        <w:rPr>
          <w:rFonts w:ascii="Palatino Linotype" w:hAnsi="Palatino Linotype"/>
          <w:b/>
          <w:spacing w:val="-6"/>
          <w:sz w:val="22"/>
          <w:szCs w:val="22"/>
          <w:lang w:val="es-ES_tradnl"/>
        </w:rPr>
        <w:t xml:space="preserve">Artículo 2.- </w:t>
      </w:r>
      <w:r w:rsidRPr="00414B52">
        <w:rPr>
          <w:rFonts w:ascii="Palatino Linotype" w:hAnsi="Palatino Linotype"/>
          <w:sz w:val="22"/>
          <w:szCs w:val="22"/>
        </w:rPr>
        <w:t xml:space="preserve">Sustitúyase el artículo </w:t>
      </w:r>
      <w:proofErr w:type="spellStart"/>
      <w:r w:rsidRPr="00414B52">
        <w:rPr>
          <w:rFonts w:ascii="Palatino Linotype" w:hAnsi="Palatino Linotype"/>
          <w:sz w:val="22"/>
          <w:szCs w:val="22"/>
        </w:rPr>
        <w:t>III.81</w:t>
      </w:r>
      <w:proofErr w:type="spellEnd"/>
      <w:r w:rsidRPr="00414B52">
        <w:rPr>
          <w:rFonts w:ascii="Palatino Linotype" w:hAnsi="Palatino Linotype"/>
          <w:sz w:val="22"/>
          <w:szCs w:val="22"/>
        </w:rPr>
        <w:t xml:space="preserve">.- Tasa de recolección y tratamiento de residuos sólidos, por el siguiente: </w:t>
      </w:r>
    </w:p>
    <w:p w:rsidR="00521EC0" w:rsidRPr="00414B52" w:rsidRDefault="00414B52" w:rsidP="00414B52">
      <w:pPr>
        <w:shd w:val="clear" w:color="auto" w:fill="FFFFFF"/>
        <w:spacing w:after="120" w:line="276" w:lineRule="auto"/>
        <w:ind w:left="708" w:right="5"/>
        <w:jc w:val="both"/>
        <w:rPr>
          <w:rFonts w:ascii="Palatino Linotype" w:hAnsi="Palatino Linotype"/>
          <w:i/>
          <w:sz w:val="22"/>
          <w:szCs w:val="22"/>
        </w:rPr>
      </w:pPr>
      <w:r>
        <w:rPr>
          <w:rFonts w:ascii="Palatino Linotype" w:hAnsi="Palatino Linotype"/>
          <w:b/>
          <w:i/>
          <w:sz w:val="22"/>
          <w:szCs w:val="22"/>
        </w:rPr>
        <w:t>“</w:t>
      </w:r>
      <w:r w:rsidR="00CE4C07" w:rsidRPr="00414B52">
        <w:rPr>
          <w:rFonts w:ascii="Palatino Linotype" w:hAnsi="Palatino Linotype"/>
          <w:b/>
          <w:i/>
          <w:sz w:val="22"/>
          <w:szCs w:val="22"/>
        </w:rPr>
        <w:t xml:space="preserve">Artículo </w:t>
      </w:r>
      <w:proofErr w:type="spellStart"/>
      <w:r w:rsidR="00CE4C07" w:rsidRPr="00414B52">
        <w:rPr>
          <w:rFonts w:ascii="Palatino Linotype" w:hAnsi="Palatino Linotype"/>
          <w:b/>
          <w:i/>
          <w:sz w:val="22"/>
          <w:szCs w:val="22"/>
        </w:rPr>
        <w:t>III.81</w:t>
      </w:r>
      <w:proofErr w:type="spellEnd"/>
      <w:r w:rsidR="00CE4C07" w:rsidRPr="00414B52">
        <w:rPr>
          <w:rFonts w:ascii="Palatino Linotype" w:hAnsi="Palatino Linotype"/>
          <w:b/>
          <w:i/>
          <w:sz w:val="22"/>
          <w:szCs w:val="22"/>
        </w:rPr>
        <w:t xml:space="preserve">.- </w:t>
      </w:r>
      <w:r w:rsidR="00521EC0" w:rsidRPr="00414B52">
        <w:rPr>
          <w:rStyle w:val="hit"/>
          <w:rFonts w:ascii="Palatino Linotype" w:hAnsi="Palatino Linotype"/>
          <w:b/>
          <w:i/>
          <w:sz w:val="22"/>
          <w:szCs w:val="22"/>
        </w:rPr>
        <w:t>“Tasa</w:t>
      </w:r>
      <w:r w:rsidR="00521EC0" w:rsidRPr="00414B52">
        <w:rPr>
          <w:rFonts w:ascii="Palatino Linotype" w:hAnsi="Palatino Linotype"/>
          <w:b/>
          <w:i/>
          <w:sz w:val="22"/>
          <w:szCs w:val="22"/>
        </w:rPr>
        <w:t xml:space="preserve"> para la Gestión Integral de Residuos Sólidos (</w:t>
      </w:r>
      <w:proofErr w:type="spellStart"/>
      <w:r w:rsidR="00521EC0" w:rsidRPr="00414B52">
        <w:rPr>
          <w:rFonts w:ascii="Palatino Linotype" w:hAnsi="Palatino Linotype"/>
          <w:b/>
          <w:i/>
          <w:sz w:val="22"/>
          <w:szCs w:val="22"/>
        </w:rPr>
        <w:t>TGIRS</w:t>
      </w:r>
      <w:proofErr w:type="spellEnd"/>
      <w:r w:rsidR="00521EC0" w:rsidRPr="00414B52">
        <w:rPr>
          <w:rFonts w:ascii="Palatino Linotype" w:hAnsi="Palatino Linotype"/>
          <w:b/>
          <w:i/>
          <w:sz w:val="22"/>
          <w:szCs w:val="22"/>
        </w:rPr>
        <w:t>).-</w:t>
      </w:r>
      <w:r w:rsidR="00521EC0" w:rsidRPr="00414B52">
        <w:rPr>
          <w:rFonts w:ascii="Palatino Linotype" w:hAnsi="Palatino Linotype"/>
          <w:i/>
          <w:sz w:val="22"/>
          <w:szCs w:val="22"/>
        </w:rPr>
        <w:t xml:space="preserve"> El hecho generador de la </w:t>
      </w:r>
      <w:r w:rsidR="00521EC0" w:rsidRPr="00414B52">
        <w:rPr>
          <w:rStyle w:val="hit"/>
          <w:rFonts w:ascii="Palatino Linotype" w:hAnsi="Palatino Linotype"/>
          <w:i/>
          <w:sz w:val="22"/>
          <w:szCs w:val="22"/>
        </w:rPr>
        <w:t>tasa</w:t>
      </w:r>
      <w:r w:rsidR="00521EC0" w:rsidRPr="00414B52">
        <w:rPr>
          <w:rFonts w:ascii="Palatino Linotype" w:hAnsi="Palatino Linotype"/>
          <w:i/>
          <w:sz w:val="22"/>
          <w:szCs w:val="22"/>
        </w:rPr>
        <w:t xml:space="preserve"> para la gestión integral de residuos sólidos es la prestación de los servicios del Sistema de Gestión Integral de Residuos Sólidos, dentro de los límites del Distrito Metropolitano de Quito. </w:t>
      </w:r>
    </w:p>
    <w:p w:rsidR="00004F99" w:rsidRDefault="00521EC0" w:rsidP="00414B52">
      <w:pPr>
        <w:shd w:val="clear" w:color="auto" w:fill="FFFFFF"/>
        <w:spacing w:after="120" w:line="276" w:lineRule="auto"/>
        <w:ind w:left="708" w:right="5"/>
        <w:jc w:val="both"/>
        <w:rPr>
          <w:rFonts w:ascii="Palatino Linotype" w:hAnsi="Palatino Linotype"/>
          <w:i/>
          <w:sz w:val="22"/>
          <w:szCs w:val="22"/>
        </w:rPr>
      </w:pPr>
      <w:r w:rsidRPr="00414B52">
        <w:rPr>
          <w:rFonts w:ascii="Palatino Linotype" w:hAnsi="Palatino Linotype"/>
          <w:i/>
          <w:sz w:val="22"/>
          <w:szCs w:val="22"/>
        </w:rPr>
        <w:t>Son sujetos pasivos del tributo al que se refiere este Capítulo</w:t>
      </w:r>
      <w:r w:rsidR="00CE4C07" w:rsidRPr="00414B52">
        <w:rPr>
          <w:rFonts w:ascii="Palatino Linotype" w:hAnsi="Palatino Linotype"/>
          <w:i/>
          <w:sz w:val="22"/>
          <w:szCs w:val="22"/>
        </w:rPr>
        <w:t>,</w:t>
      </w:r>
      <w:r w:rsidRPr="00414B52">
        <w:rPr>
          <w:rFonts w:ascii="Palatino Linotype" w:hAnsi="Palatino Linotype"/>
          <w:i/>
          <w:sz w:val="22"/>
          <w:szCs w:val="22"/>
        </w:rPr>
        <w:t xml:space="preserve"> todas las personas naturales y jurídicas que, como contribuyentes o responsables, deban pagar por la prestación de los servicios de Gestión Integral de Residuos Sólidos (</w:t>
      </w:r>
      <w:proofErr w:type="spellStart"/>
      <w:r w:rsidRPr="00414B52">
        <w:rPr>
          <w:rFonts w:ascii="Palatino Linotype" w:hAnsi="Palatino Linotype"/>
          <w:i/>
          <w:sz w:val="22"/>
          <w:szCs w:val="22"/>
        </w:rPr>
        <w:t>GIRS</w:t>
      </w:r>
      <w:proofErr w:type="spellEnd"/>
      <w:r w:rsidRPr="00414B52">
        <w:rPr>
          <w:rFonts w:ascii="Palatino Linotype" w:hAnsi="Palatino Linotype"/>
          <w:i/>
          <w:sz w:val="22"/>
          <w:szCs w:val="22"/>
        </w:rPr>
        <w:t xml:space="preserve">) </w:t>
      </w:r>
      <w:r w:rsidR="00CE4C07" w:rsidRPr="00414B52">
        <w:rPr>
          <w:rFonts w:ascii="Palatino Linotype" w:hAnsi="Palatino Linotype"/>
          <w:i/>
          <w:sz w:val="22"/>
          <w:szCs w:val="22"/>
        </w:rPr>
        <w:t xml:space="preserve">al gestor encargado de la recaudación, </w:t>
      </w:r>
      <w:r w:rsidRPr="00414B52">
        <w:rPr>
          <w:rFonts w:ascii="Palatino Linotype" w:hAnsi="Palatino Linotype"/>
          <w:i/>
          <w:sz w:val="22"/>
          <w:szCs w:val="22"/>
        </w:rPr>
        <w:t>a través del consumo de energía eléctrica y/o d</w:t>
      </w:r>
      <w:r w:rsidR="00673162" w:rsidRPr="00414B52">
        <w:rPr>
          <w:rFonts w:ascii="Palatino Linotype" w:hAnsi="Palatino Linotype"/>
          <w:i/>
          <w:sz w:val="22"/>
          <w:szCs w:val="22"/>
        </w:rPr>
        <w:t>e agua potable y alcantarillado; los que organicen eventos o concentraciones públicas que demandan una prestación especial, particular y adicional de los servicios de aseo y limpieza;</w:t>
      </w:r>
      <w:r w:rsidR="00CE4C07" w:rsidRPr="00414B52">
        <w:rPr>
          <w:rFonts w:ascii="Palatino Linotype" w:hAnsi="Palatino Linotype"/>
          <w:i/>
          <w:sz w:val="22"/>
          <w:szCs w:val="22"/>
        </w:rPr>
        <w:t xml:space="preserve"> y</w:t>
      </w:r>
      <w:r w:rsidR="00CE4C07" w:rsidRPr="00004F99">
        <w:rPr>
          <w:rFonts w:ascii="Palatino Linotype" w:hAnsi="Palatino Linotype"/>
          <w:i/>
          <w:sz w:val="22"/>
          <w:szCs w:val="22"/>
        </w:rPr>
        <w:t>, las que se</w:t>
      </w:r>
      <w:r w:rsidR="00494258" w:rsidRPr="00004F99">
        <w:rPr>
          <w:rFonts w:ascii="Palatino Linotype" w:hAnsi="Palatino Linotype"/>
          <w:i/>
          <w:sz w:val="22"/>
          <w:szCs w:val="22"/>
        </w:rPr>
        <w:t xml:space="preserve">an </w:t>
      </w:r>
      <w:r w:rsidR="00673162" w:rsidRPr="00004F99">
        <w:rPr>
          <w:rFonts w:ascii="Palatino Linotype" w:hAnsi="Palatino Linotype"/>
          <w:i/>
          <w:sz w:val="22"/>
          <w:szCs w:val="22"/>
        </w:rPr>
        <w:t>catal</w:t>
      </w:r>
      <w:r w:rsidR="00CE4C07" w:rsidRPr="00004F99">
        <w:rPr>
          <w:rFonts w:ascii="Palatino Linotype" w:hAnsi="Palatino Linotype"/>
          <w:i/>
          <w:sz w:val="22"/>
          <w:szCs w:val="22"/>
        </w:rPr>
        <w:t>ogados como grandes generadores</w:t>
      </w:r>
      <w:r w:rsidRPr="00004F99">
        <w:rPr>
          <w:rFonts w:ascii="Palatino Linotype" w:hAnsi="Palatino Linotype"/>
          <w:i/>
          <w:sz w:val="22"/>
          <w:szCs w:val="22"/>
        </w:rPr>
        <w:t>.</w:t>
      </w:r>
    </w:p>
    <w:p w:rsidR="00521EC0" w:rsidRPr="00445957" w:rsidRDefault="00004F99" w:rsidP="00445957">
      <w:pPr>
        <w:pStyle w:val="Sinespaciado"/>
        <w:spacing w:after="120" w:line="276" w:lineRule="auto"/>
        <w:ind w:left="708"/>
        <w:jc w:val="both"/>
        <w:rPr>
          <w:rFonts w:ascii="Palatino Linotype" w:hAnsi="Palatino Linotype" w:cs="Arial"/>
          <w:i/>
          <w:color w:val="000000" w:themeColor="text1"/>
          <w:lang w:val="es-ES"/>
        </w:rPr>
      </w:pPr>
      <w:r>
        <w:rPr>
          <w:rFonts w:ascii="Palatino Linotype" w:hAnsi="Palatino Linotype" w:cs="Arial"/>
          <w:i/>
          <w:color w:val="000000" w:themeColor="text1"/>
          <w:lang w:val="es-ES"/>
        </w:rPr>
        <w:t>Para efectos de la presente Ordenanza, se c</w:t>
      </w:r>
      <w:r w:rsidR="00445957">
        <w:rPr>
          <w:rFonts w:ascii="Palatino Linotype" w:hAnsi="Palatino Linotype" w:cs="Arial"/>
          <w:i/>
          <w:color w:val="000000" w:themeColor="text1"/>
          <w:lang w:val="es-ES"/>
        </w:rPr>
        <w:t>onsiderarán grandes generadores</w:t>
      </w:r>
      <w:r>
        <w:rPr>
          <w:rFonts w:ascii="Palatino Linotype" w:hAnsi="Palatino Linotype" w:cs="Arial"/>
          <w:i/>
          <w:color w:val="000000" w:themeColor="text1"/>
          <w:lang w:val="es-ES"/>
        </w:rPr>
        <w:t xml:space="preserve"> de residuos, aquellos que, según informe técnico efectuado por la o las empresas públicas metropolitanas encargadas de la </w:t>
      </w:r>
      <w:proofErr w:type="spellStart"/>
      <w:r>
        <w:rPr>
          <w:rFonts w:ascii="Palatino Linotype" w:hAnsi="Palatino Linotype" w:cs="Arial"/>
          <w:i/>
          <w:color w:val="000000" w:themeColor="text1"/>
          <w:lang w:val="es-ES"/>
        </w:rPr>
        <w:t>GIRS</w:t>
      </w:r>
      <w:proofErr w:type="spellEnd"/>
      <w:r>
        <w:rPr>
          <w:rFonts w:ascii="Palatino Linotype" w:hAnsi="Palatino Linotype" w:cs="Arial"/>
          <w:i/>
          <w:color w:val="000000" w:themeColor="text1"/>
          <w:lang w:val="es-ES"/>
        </w:rPr>
        <w:t xml:space="preserve">, generen una cantidad de desechos por mes mayor al umbral definido conforme lo previsto en la disposición transitoria primera de la presente Ordenanza, y dispongan de vías de acceso apropiadas y de un espacio adecuado para almacenar y entregar los residuos sólidos a través de contenedores estandarizados, definidos y determinados por la o las empresas públicas a cargo de la </w:t>
      </w:r>
      <w:proofErr w:type="spellStart"/>
      <w:r>
        <w:rPr>
          <w:rFonts w:ascii="Palatino Linotype" w:hAnsi="Palatino Linotype" w:cs="Arial"/>
          <w:i/>
          <w:color w:val="000000" w:themeColor="text1"/>
          <w:lang w:val="es-ES"/>
        </w:rPr>
        <w:t>GIRS</w:t>
      </w:r>
      <w:proofErr w:type="spellEnd"/>
      <w:r>
        <w:rPr>
          <w:rFonts w:ascii="Palatino Linotype" w:hAnsi="Palatino Linotype" w:cs="Arial"/>
          <w:i/>
          <w:color w:val="000000" w:themeColor="text1"/>
          <w:lang w:val="es-ES"/>
        </w:rPr>
        <w:t xml:space="preserve">, que pagarán de manera independiente en función de la </w:t>
      </w:r>
      <w:r>
        <w:rPr>
          <w:rFonts w:ascii="Palatino Linotype" w:hAnsi="Palatino Linotype" w:cs="Arial"/>
          <w:i/>
          <w:color w:val="000000" w:themeColor="text1"/>
          <w:lang w:val="es-ES"/>
        </w:rPr>
        <w:lastRenderedPageBreak/>
        <w:t>producción de desechos de la actividad que realizan y sin relación al consumo de energía eléctrica.</w:t>
      </w:r>
      <w:r w:rsidR="00521EC0" w:rsidRPr="00414B52">
        <w:rPr>
          <w:rFonts w:ascii="Palatino Linotype" w:hAnsi="Palatino Linotype"/>
          <w:i/>
        </w:rPr>
        <w:t>”</w:t>
      </w:r>
    </w:p>
    <w:p w:rsidR="00521EC0" w:rsidRPr="00414B52" w:rsidRDefault="00521EC0" w:rsidP="00414B52">
      <w:pPr>
        <w:shd w:val="clear" w:color="auto" w:fill="FFFFFF"/>
        <w:spacing w:after="120" w:line="276" w:lineRule="auto"/>
        <w:ind w:right="5"/>
        <w:jc w:val="both"/>
        <w:rPr>
          <w:rFonts w:ascii="Palatino Linotype" w:hAnsi="Palatino Linotype"/>
          <w:spacing w:val="-5"/>
          <w:sz w:val="22"/>
          <w:szCs w:val="22"/>
          <w:lang w:val="es-ES_tradnl"/>
        </w:rPr>
      </w:pPr>
      <w:r w:rsidRPr="00414B52">
        <w:rPr>
          <w:rFonts w:ascii="Palatino Linotype" w:hAnsi="Palatino Linotype"/>
          <w:b/>
          <w:spacing w:val="-6"/>
          <w:sz w:val="22"/>
          <w:szCs w:val="22"/>
          <w:lang w:val="es-ES_tradnl"/>
        </w:rPr>
        <w:t xml:space="preserve">Artículo 3.- </w:t>
      </w:r>
      <w:r w:rsidRPr="00414B52">
        <w:rPr>
          <w:rFonts w:ascii="Palatino Linotype" w:hAnsi="Palatino Linotype"/>
          <w:spacing w:val="-5"/>
          <w:sz w:val="22"/>
          <w:szCs w:val="22"/>
          <w:lang w:val="es-ES_tradnl"/>
        </w:rPr>
        <w:t xml:space="preserve">Sustitúyase el </w:t>
      </w:r>
      <w:r w:rsidRPr="00414B52">
        <w:rPr>
          <w:rFonts w:ascii="Palatino Linotype" w:hAnsi="Palatino Linotype"/>
          <w:spacing w:val="-3"/>
          <w:sz w:val="22"/>
          <w:szCs w:val="22"/>
          <w:lang w:val="es-ES_tradnl"/>
        </w:rPr>
        <w:t xml:space="preserve">artículo </w:t>
      </w:r>
      <w:proofErr w:type="spellStart"/>
      <w:r w:rsidRPr="00414B52">
        <w:rPr>
          <w:rFonts w:ascii="Palatino Linotype" w:hAnsi="Palatino Linotype"/>
          <w:spacing w:val="-3"/>
          <w:sz w:val="22"/>
          <w:szCs w:val="22"/>
          <w:lang w:val="es-ES_tradnl"/>
        </w:rPr>
        <w:t>III.82</w:t>
      </w:r>
      <w:proofErr w:type="spellEnd"/>
      <w:r w:rsidRPr="00414B52">
        <w:rPr>
          <w:rFonts w:ascii="Palatino Linotype" w:hAnsi="Palatino Linotype"/>
          <w:spacing w:val="-3"/>
          <w:sz w:val="22"/>
          <w:szCs w:val="22"/>
          <w:lang w:val="es-ES_tradnl"/>
        </w:rPr>
        <w:t xml:space="preserve"> del Código Municipal para el </w:t>
      </w:r>
      <w:r w:rsidRPr="00414B52">
        <w:rPr>
          <w:rFonts w:ascii="Palatino Linotype" w:hAnsi="Palatino Linotype"/>
          <w:spacing w:val="-5"/>
          <w:sz w:val="22"/>
          <w:szCs w:val="22"/>
          <w:lang w:val="es-ES_tradnl"/>
        </w:rPr>
        <w:t>Distrito Metropolitano de Quito, por lo siguiente:</w:t>
      </w:r>
    </w:p>
    <w:p w:rsidR="00D0061F" w:rsidRDefault="00521EC0" w:rsidP="00414B52">
      <w:pPr>
        <w:shd w:val="clear" w:color="auto" w:fill="FFFFFF"/>
        <w:spacing w:after="120" w:line="276" w:lineRule="auto"/>
        <w:ind w:left="708" w:right="5"/>
        <w:jc w:val="both"/>
        <w:rPr>
          <w:rFonts w:ascii="Palatino Linotype" w:hAnsi="Palatino Linotype"/>
          <w:i/>
          <w:spacing w:val="-5"/>
          <w:sz w:val="22"/>
          <w:szCs w:val="22"/>
          <w:lang w:val="es-ES_tradnl"/>
        </w:rPr>
      </w:pPr>
      <w:r w:rsidRPr="00414B52">
        <w:rPr>
          <w:rFonts w:ascii="Palatino Linotype" w:hAnsi="Palatino Linotype"/>
          <w:b/>
          <w:i/>
          <w:spacing w:val="-5"/>
          <w:sz w:val="22"/>
          <w:szCs w:val="22"/>
          <w:lang w:val="es-ES_tradnl"/>
        </w:rPr>
        <w:t>“</w:t>
      </w:r>
      <w:r w:rsidR="00D0061F">
        <w:rPr>
          <w:rFonts w:ascii="Palatino Linotype" w:hAnsi="Palatino Linotype"/>
          <w:b/>
          <w:i/>
          <w:spacing w:val="-5"/>
          <w:sz w:val="22"/>
          <w:szCs w:val="22"/>
          <w:lang w:val="es-ES_tradnl"/>
        </w:rPr>
        <w:t xml:space="preserve">Artículo </w:t>
      </w:r>
      <w:proofErr w:type="spellStart"/>
      <w:r w:rsidR="00D0061F">
        <w:rPr>
          <w:rFonts w:ascii="Palatino Linotype" w:hAnsi="Palatino Linotype"/>
          <w:b/>
          <w:i/>
          <w:spacing w:val="-5"/>
          <w:sz w:val="22"/>
          <w:szCs w:val="22"/>
          <w:lang w:val="es-ES_tradnl"/>
        </w:rPr>
        <w:t>III.82</w:t>
      </w:r>
      <w:proofErr w:type="spellEnd"/>
      <w:r w:rsidR="00D0061F">
        <w:rPr>
          <w:rFonts w:ascii="Palatino Linotype" w:hAnsi="Palatino Linotype"/>
          <w:b/>
          <w:i/>
          <w:spacing w:val="-5"/>
          <w:sz w:val="22"/>
          <w:szCs w:val="22"/>
          <w:lang w:val="es-ES_tradnl"/>
        </w:rPr>
        <w:t xml:space="preserve">.- Cuantía.- </w:t>
      </w:r>
      <w:r w:rsidR="00D0061F">
        <w:rPr>
          <w:rFonts w:ascii="Palatino Linotype" w:hAnsi="Palatino Linotype"/>
          <w:i/>
          <w:spacing w:val="-5"/>
          <w:sz w:val="22"/>
          <w:szCs w:val="22"/>
          <w:lang w:val="es-ES_tradnl"/>
        </w:rPr>
        <w:t>La cuantía de la tasa</w:t>
      </w:r>
      <w:r w:rsidR="00806F62">
        <w:rPr>
          <w:rFonts w:ascii="Palatino Linotype" w:hAnsi="Palatino Linotype"/>
          <w:i/>
          <w:spacing w:val="-5"/>
          <w:sz w:val="22"/>
          <w:szCs w:val="22"/>
          <w:lang w:val="es-ES_tradnl"/>
        </w:rPr>
        <w:t xml:space="preserve"> para la Gestión Integral de Residuos Sólidos (</w:t>
      </w:r>
      <w:proofErr w:type="spellStart"/>
      <w:r w:rsidR="00806F62">
        <w:rPr>
          <w:rFonts w:ascii="Palatino Linotype" w:hAnsi="Palatino Linotype"/>
          <w:i/>
          <w:spacing w:val="-5"/>
          <w:sz w:val="22"/>
          <w:szCs w:val="22"/>
          <w:lang w:val="es-ES_tradnl"/>
        </w:rPr>
        <w:t>TGIRS</w:t>
      </w:r>
      <w:proofErr w:type="spellEnd"/>
      <w:r w:rsidR="00806F62">
        <w:rPr>
          <w:rFonts w:ascii="Palatino Linotype" w:hAnsi="Palatino Linotype"/>
          <w:i/>
          <w:spacing w:val="-5"/>
          <w:sz w:val="22"/>
          <w:szCs w:val="22"/>
          <w:lang w:val="es-ES_tradnl"/>
        </w:rPr>
        <w:t>)</w:t>
      </w:r>
      <w:r w:rsidR="00D0061F">
        <w:rPr>
          <w:rFonts w:ascii="Palatino Linotype" w:hAnsi="Palatino Linotype"/>
          <w:i/>
          <w:spacing w:val="-5"/>
          <w:sz w:val="22"/>
          <w:szCs w:val="22"/>
          <w:lang w:val="es-ES_tradnl"/>
        </w:rPr>
        <w:t>, será la siguiente:</w:t>
      </w:r>
    </w:p>
    <w:p w:rsidR="00CE4C07" w:rsidRPr="00D0061F" w:rsidRDefault="00D0061F" w:rsidP="00D0061F">
      <w:pPr>
        <w:pStyle w:val="Prrafodelista"/>
        <w:numPr>
          <w:ilvl w:val="0"/>
          <w:numId w:val="4"/>
        </w:numPr>
        <w:shd w:val="clear" w:color="auto" w:fill="FFFFFF"/>
        <w:spacing w:after="120" w:line="276" w:lineRule="auto"/>
        <w:ind w:right="5"/>
        <w:jc w:val="both"/>
        <w:rPr>
          <w:rFonts w:ascii="Palatino Linotype" w:hAnsi="Palatino Linotype"/>
          <w:b/>
          <w:i/>
          <w:spacing w:val="-5"/>
          <w:lang w:val="es-ES_tradnl"/>
        </w:rPr>
      </w:pPr>
      <w:r w:rsidRPr="00D0061F">
        <w:rPr>
          <w:rFonts w:ascii="Palatino Linotype" w:hAnsi="Palatino Linotype"/>
          <w:b/>
          <w:i/>
          <w:spacing w:val="-5"/>
          <w:lang w:val="es-ES_tradnl"/>
        </w:rPr>
        <w:t>Para generadores comunes:</w:t>
      </w:r>
      <w:r w:rsidR="00CE4C07" w:rsidRPr="00D0061F">
        <w:rPr>
          <w:rFonts w:ascii="Palatino Linotype" w:hAnsi="Palatino Linotype"/>
          <w:b/>
          <w:i/>
          <w:spacing w:val="-5"/>
          <w:lang w:val="es-ES_tradnl"/>
        </w:rPr>
        <w:t xml:space="preserve"> </w:t>
      </w:r>
    </w:p>
    <w:p w:rsidR="00CE4C07" w:rsidRPr="00414B52" w:rsidRDefault="00CE4C07" w:rsidP="00414B52">
      <w:pPr>
        <w:shd w:val="clear" w:color="auto" w:fill="FFFFFF"/>
        <w:spacing w:after="120" w:line="276" w:lineRule="auto"/>
        <w:ind w:left="708" w:right="5"/>
        <w:jc w:val="both"/>
        <w:rPr>
          <w:rFonts w:ascii="Palatino Linotype" w:hAnsi="Palatino Linotype"/>
          <w:i/>
          <w:spacing w:val="-5"/>
          <w:sz w:val="22"/>
          <w:szCs w:val="22"/>
          <w:lang w:val="es-ES_tradnl"/>
        </w:rPr>
      </w:pPr>
      <w:r w:rsidRPr="00414B52">
        <w:rPr>
          <w:rFonts w:ascii="Palatino Linotype" w:hAnsi="Palatino Linotype"/>
          <w:i/>
          <w:spacing w:val="-5"/>
          <w:sz w:val="22"/>
          <w:szCs w:val="22"/>
          <w:lang w:val="es-ES_tradnl"/>
        </w:rPr>
        <w:t>La cuantía de la tasa a pagarse, por la prestación del servicio de gestión integral de residuos sólidos, mediante el consumo de energía eléctrica, será la que resulte de la aplicación de la siguiente fórmula:</w:t>
      </w:r>
    </w:p>
    <w:p w:rsidR="00CE4C07" w:rsidRPr="00414B52" w:rsidRDefault="00CE4C07" w:rsidP="00414B52">
      <w:pPr>
        <w:widowControl/>
        <w:spacing w:after="120" w:line="276" w:lineRule="auto"/>
        <w:ind w:left="708"/>
        <w:jc w:val="center"/>
        <w:rPr>
          <w:rFonts w:ascii="Palatino Linotype" w:eastAsiaTheme="minorHAnsi" w:hAnsi="Palatino Linotype" w:cs="Calibri"/>
          <w:b/>
          <w:bCs/>
          <w:i/>
          <w:color w:val="000000"/>
          <w:sz w:val="22"/>
          <w:szCs w:val="22"/>
          <w:lang w:val="en-US" w:eastAsia="en-US"/>
        </w:rPr>
      </w:pPr>
      <w:proofErr w:type="spellStart"/>
      <w:r w:rsidRPr="00414B52">
        <w:rPr>
          <w:rFonts w:ascii="Palatino Linotype" w:eastAsiaTheme="minorHAnsi" w:hAnsi="Palatino Linotype" w:cs="Calibri"/>
          <w:b/>
          <w:bCs/>
          <w:i/>
          <w:color w:val="000000"/>
          <w:sz w:val="22"/>
          <w:szCs w:val="22"/>
          <w:lang w:val="en-US" w:eastAsia="en-US"/>
        </w:rPr>
        <w:t>TGIRS</w:t>
      </w:r>
      <w:proofErr w:type="spellEnd"/>
      <w:r w:rsidRPr="00414B52">
        <w:rPr>
          <w:rFonts w:ascii="Palatino Linotype" w:eastAsiaTheme="minorHAnsi" w:hAnsi="Palatino Linotype" w:cs="Calibri"/>
          <w:b/>
          <w:bCs/>
          <w:i/>
          <w:color w:val="000000"/>
          <w:sz w:val="22"/>
          <w:szCs w:val="22"/>
          <w:lang w:val="en-US" w:eastAsia="en-US"/>
        </w:rPr>
        <w:t xml:space="preserve"> = (A x MTE) + B + (C x </w:t>
      </w:r>
      <w:proofErr w:type="spellStart"/>
      <w:r w:rsidRPr="00414B52">
        <w:rPr>
          <w:rFonts w:ascii="Palatino Linotype" w:eastAsiaTheme="minorHAnsi" w:hAnsi="Palatino Linotype" w:cs="Calibri"/>
          <w:b/>
          <w:bCs/>
          <w:i/>
          <w:color w:val="000000"/>
          <w:sz w:val="22"/>
          <w:szCs w:val="22"/>
          <w:lang w:val="en-US" w:eastAsia="en-US"/>
        </w:rPr>
        <w:t>SBU</w:t>
      </w:r>
      <w:proofErr w:type="spellEnd"/>
      <w:r w:rsidRPr="00414B52">
        <w:rPr>
          <w:rFonts w:ascii="Palatino Linotype" w:eastAsiaTheme="minorHAnsi" w:hAnsi="Palatino Linotype" w:cs="Calibri"/>
          <w:b/>
          <w:bCs/>
          <w:i/>
          <w:color w:val="000000"/>
          <w:sz w:val="22"/>
          <w:szCs w:val="22"/>
          <w:lang w:val="en-US" w:eastAsia="en-US"/>
        </w:rPr>
        <w:t>)</w:t>
      </w:r>
    </w:p>
    <w:p w:rsidR="00CE4C07" w:rsidRPr="00414B52" w:rsidRDefault="00CE4C07" w:rsidP="00414B52">
      <w:pPr>
        <w:widowControl/>
        <w:spacing w:after="120" w:line="276" w:lineRule="auto"/>
        <w:ind w:left="708" w:firstLine="708"/>
        <w:jc w:val="both"/>
        <w:rPr>
          <w:rFonts w:ascii="Palatino Linotype" w:eastAsiaTheme="minorHAnsi" w:hAnsi="Palatino Linotype" w:cs="Calibri"/>
          <w:i/>
          <w:sz w:val="22"/>
          <w:szCs w:val="22"/>
          <w:lang w:eastAsia="en-US"/>
        </w:rPr>
      </w:pPr>
      <w:r w:rsidRPr="00414B52">
        <w:rPr>
          <w:rFonts w:ascii="Palatino Linotype" w:eastAsiaTheme="minorHAnsi" w:hAnsi="Palatino Linotype"/>
          <w:i/>
          <w:color w:val="000000"/>
          <w:sz w:val="22"/>
          <w:szCs w:val="22"/>
          <w:lang w:eastAsia="en-US"/>
        </w:rPr>
        <w:t xml:space="preserve">• </w:t>
      </w:r>
      <w:proofErr w:type="spellStart"/>
      <w:r w:rsidRPr="00414B52">
        <w:rPr>
          <w:rFonts w:ascii="Palatino Linotype" w:eastAsiaTheme="minorHAnsi" w:hAnsi="Palatino Linotype" w:cs="Calibri"/>
          <w:b/>
          <w:bCs/>
          <w:i/>
          <w:color w:val="000000"/>
          <w:sz w:val="22"/>
          <w:szCs w:val="22"/>
          <w:lang w:eastAsia="en-US"/>
        </w:rPr>
        <w:t>TGIRS</w:t>
      </w:r>
      <w:proofErr w:type="spellEnd"/>
      <w:r w:rsidRPr="00414B52">
        <w:rPr>
          <w:rFonts w:ascii="Palatino Linotype" w:eastAsiaTheme="minorHAnsi" w:hAnsi="Palatino Linotype" w:cs="Calibri"/>
          <w:b/>
          <w:bCs/>
          <w:i/>
          <w:color w:val="000000"/>
          <w:sz w:val="22"/>
          <w:szCs w:val="22"/>
          <w:lang w:eastAsia="en-US"/>
        </w:rPr>
        <w:t xml:space="preserve">: </w:t>
      </w:r>
      <w:r w:rsidRPr="00414B52">
        <w:rPr>
          <w:rFonts w:ascii="Palatino Linotype" w:eastAsiaTheme="minorHAnsi" w:hAnsi="Palatino Linotype" w:cs="Calibri"/>
          <w:i/>
          <w:sz w:val="22"/>
          <w:szCs w:val="22"/>
          <w:lang w:eastAsia="en-US"/>
        </w:rPr>
        <w:t>Tasa para la Gestión Integral de Residuos Sólidos.</w:t>
      </w:r>
    </w:p>
    <w:p w:rsidR="00CE4C07" w:rsidRPr="00414B52" w:rsidRDefault="00CE4C07" w:rsidP="00414B52">
      <w:pPr>
        <w:widowControl/>
        <w:spacing w:after="120" w:line="276" w:lineRule="auto"/>
        <w:ind w:left="1416"/>
        <w:jc w:val="both"/>
        <w:rPr>
          <w:rFonts w:ascii="Palatino Linotype" w:eastAsiaTheme="minorHAnsi" w:hAnsi="Palatino Linotype" w:cs="Calibri"/>
          <w:i/>
          <w:color w:val="000000"/>
          <w:sz w:val="22"/>
          <w:szCs w:val="22"/>
          <w:lang w:eastAsia="en-US"/>
        </w:rPr>
      </w:pPr>
      <w:r w:rsidRPr="00414B52">
        <w:rPr>
          <w:rFonts w:ascii="Palatino Linotype" w:eastAsiaTheme="minorHAnsi" w:hAnsi="Palatino Linotype"/>
          <w:i/>
          <w:color w:val="000000"/>
          <w:sz w:val="22"/>
          <w:szCs w:val="22"/>
          <w:lang w:eastAsia="en-US"/>
        </w:rPr>
        <w:t xml:space="preserve">• </w:t>
      </w:r>
      <w:proofErr w:type="spellStart"/>
      <w:r w:rsidRPr="00414B52">
        <w:rPr>
          <w:rFonts w:ascii="Palatino Linotype" w:eastAsiaTheme="minorHAnsi" w:hAnsi="Palatino Linotype" w:cs="Calibri"/>
          <w:b/>
          <w:bCs/>
          <w:i/>
          <w:color w:val="000000"/>
          <w:sz w:val="22"/>
          <w:szCs w:val="22"/>
          <w:lang w:eastAsia="en-US"/>
        </w:rPr>
        <w:t>MTE</w:t>
      </w:r>
      <w:proofErr w:type="spellEnd"/>
      <w:r w:rsidRPr="00414B52">
        <w:rPr>
          <w:rFonts w:ascii="Palatino Linotype" w:eastAsiaTheme="minorHAnsi" w:hAnsi="Palatino Linotype" w:cs="Calibri"/>
          <w:b/>
          <w:bCs/>
          <w:i/>
          <w:color w:val="000000"/>
          <w:sz w:val="22"/>
          <w:szCs w:val="22"/>
          <w:lang w:eastAsia="en-US"/>
        </w:rPr>
        <w:t xml:space="preserve">: </w:t>
      </w:r>
      <w:r w:rsidRPr="00414B52">
        <w:rPr>
          <w:rFonts w:ascii="Palatino Linotype" w:eastAsiaTheme="minorHAnsi" w:hAnsi="Palatino Linotype" w:cs="Calibri"/>
          <w:i/>
          <w:color w:val="000000"/>
          <w:sz w:val="22"/>
          <w:szCs w:val="22"/>
          <w:lang w:eastAsia="en-US"/>
        </w:rPr>
        <w:t xml:space="preserve">Monto total en dólares de rubros de energía, comercialización, demanda, pérdidas de transformación y bajo factor de potencia, sin subsidios, calculando en base a la tarifa </w:t>
      </w:r>
      <w:r w:rsidR="00377948" w:rsidRPr="00414B52">
        <w:rPr>
          <w:rFonts w:ascii="Palatino Linotype" w:eastAsiaTheme="minorHAnsi" w:hAnsi="Palatino Linotype" w:cs="Calibri"/>
          <w:i/>
          <w:color w:val="000000"/>
          <w:sz w:val="22"/>
          <w:szCs w:val="22"/>
          <w:lang w:eastAsia="en-US"/>
        </w:rPr>
        <w:t xml:space="preserve">del servicio de energía </w:t>
      </w:r>
      <w:r w:rsidRPr="00414B52">
        <w:rPr>
          <w:rFonts w:ascii="Palatino Linotype" w:eastAsiaTheme="minorHAnsi" w:hAnsi="Palatino Linotype" w:cs="Calibri"/>
          <w:i/>
          <w:color w:val="000000"/>
          <w:sz w:val="22"/>
          <w:szCs w:val="22"/>
          <w:lang w:eastAsia="en-US"/>
        </w:rPr>
        <w:t>eléctrica vigente a junio de 2017.</w:t>
      </w:r>
    </w:p>
    <w:p w:rsidR="00CE4C07" w:rsidRPr="00414B52" w:rsidRDefault="00CE4C07" w:rsidP="00414B52">
      <w:pPr>
        <w:widowControl/>
        <w:spacing w:after="120" w:line="276" w:lineRule="auto"/>
        <w:ind w:left="1416"/>
        <w:jc w:val="both"/>
        <w:rPr>
          <w:rFonts w:ascii="Palatino Linotype" w:eastAsiaTheme="minorHAnsi" w:hAnsi="Palatino Linotype" w:cs="Calibri"/>
          <w:bCs/>
          <w:i/>
          <w:color w:val="000000"/>
          <w:sz w:val="22"/>
          <w:szCs w:val="22"/>
          <w:lang w:eastAsia="en-US"/>
        </w:rPr>
      </w:pPr>
      <w:r w:rsidRPr="00414B52">
        <w:rPr>
          <w:rFonts w:ascii="Palatino Linotype" w:eastAsiaTheme="minorHAnsi" w:hAnsi="Palatino Linotype"/>
          <w:i/>
          <w:color w:val="000000"/>
          <w:sz w:val="22"/>
          <w:szCs w:val="22"/>
          <w:lang w:eastAsia="en-US"/>
        </w:rPr>
        <w:t xml:space="preserve">• </w:t>
      </w:r>
      <w:proofErr w:type="spellStart"/>
      <w:r w:rsidRPr="00414B52">
        <w:rPr>
          <w:rFonts w:ascii="Palatino Linotype" w:eastAsiaTheme="minorHAnsi" w:hAnsi="Palatino Linotype"/>
          <w:b/>
          <w:i/>
          <w:color w:val="000000"/>
          <w:sz w:val="22"/>
          <w:szCs w:val="22"/>
          <w:lang w:eastAsia="en-US"/>
        </w:rPr>
        <w:t>SBU</w:t>
      </w:r>
      <w:proofErr w:type="spellEnd"/>
      <w:r w:rsidRPr="00414B52">
        <w:rPr>
          <w:rFonts w:ascii="Palatino Linotype" w:eastAsiaTheme="minorHAnsi" w:hAnsi="Palatino Linotype" w:cs="Calibri"/>
          <w:b/>
          <w:bCs/>
          <w:i/>
          <w:color w:val="000000"/>
          <w:sz w:val="22"/>
          <w:szCs w:val="22"/>
          <w:lang w:eastAsia="en-US"/>
        </w:rPr>
        <w:t xml:space="preserve">: </w:t>
      </w:r>
      <w:r w:rsidRPr="00414B52">
        <w:rPr>
          <w:rFonts w:ascii="Palatino Linotype" w:eastAsiaTheme="minorHAnsi" w:hAnsi="Palatino Linotype" w:cs="Calibri"/>
          <w:bCs/>
          <w:i/>
          <w:color w:val="000000"/>
          <w:sz w:val="22"/>
          <w:szCs w:val="22"/>
          <w:lang w:eastAsia="en-US"/>
        </w:rPr>
        <w:t>Monto de salario básico unificado vigente.</w:t>
      </w:r>
    </w:p>
    <w:p w:rsidR="00521EC0" w:rsidRPr="00414B52" w:rsidRDefault="00521EC0" w:rsidP="00414B52">
      <w:pPr>
        <w:widowControl/>
        <w:spacing w:after="120" w:line="276" w:lineRule="auto"/>
        <w:ind w:left="708"/>
        <w:jc w:val="both"/>
        <w:rPr>
          <w:rFonts w:ascii="Palatino Linotype" w:eastAsiaTheme="minorHAnsi" w:hAnsi="Palatino Linotype" w:cs="Calibri"/>
          <w:b/>
          <w:bCs/>
          <w:i/>
          <w:color w:val="000000"/>
          <w:sz w:val="22"/>
          <w:szCs w:val="22"/>
          <w:lang w:eastAsia="en-US"/>
        </w:rPr>
      </w:pPr>
      <w:r w:rsidRPr="00414B52">
        <w:rPr>
          <w:rFonts w:ascii="Palatino Linotype" w:eastAsiaTheme="minorHAnsi" w:hAnsi="Palatino Linotype" w:cs="Calibri"/>
          <w:b/>
          <w:bCs/>
          <w:i/>
          <w:color w:val="000000"/>
          <w:sz w:val="22"/>
          <w:szCs w:val="22"/>
          <w:lang w:eastAsia="en-US"/>
        </w:rPr>
        <w:t>PAR</w:t>
      </w:r>
      <w:r w:rsidR="00414B52" w:rsidRPr="00414B52">
        <w:rPr>
          <w:rFonts w:ascii="Palatino Linotype" w:eastAsiaTheme="minorHAnsi" w:hAnsi="Palatino Linotype" w:cs="Calibri"/>
          <w:b/>
          <w:bCs/>
          <w:i/>
          <w:color w:val="000000"/>
          <w:sz w:val="22"/>
          <w:szCs w:val="22"/>
          <w:lang w:eastAsia="en-US"/>
        </w:rPr>
        <w:t>Á</w:t>
      </w:r>
      <w:r w:rsidRPr="00414B52">
        <w:rPr>
          <w:rFonts w:ascii="Palatino Linotype" w:eastAsiaTheme="minorHAnsi" w:hAnsi="Palatino Linotype" w:cs="Calibri"/>
          <w:b/>
          <w:bCs/>
          <w:i/>
          <w:color w:val="000000"/>
          <w:sz w:val="22"/>
          <w:szCs w:val="22"/>
          <w:lang w:eastAsia="en-US"/>
        </w:rPr>
        <w:t xml:space="preserve">METRO A: </w:t>
      </w:r>
      <w:r w:rsidRPr="00414B52">
        <w:rPr>
          <w:rFonts w:ascii="Palatino Linotype" w:eastAsiaTheme="minorHAnsi" w:hAnsi="Palatino Linotype" w:cs="Calibri"/>
          <w:bCs/>
          <w:i/>
          <w:color w:val="000000"/>
          <w:sz w:val="22"/>
          <w:szCs w:val="22"/>
          <w:lang w:eastAsia="en-US"/>
        </w:rPr>
        <w:t xml:space="preserve">Coeficiente a aplicarse sobre </w:t>
      </w:r>
      <w:proofErr w:type="spellStart"/>
      <w:r w:rsidRPr="00414B52">
        <w:rPr>
          <w:rFonts w:ascii="Palatino Linotype" w:eastAsiaTheme="minorHAnsi" w:hAnsi="Palatino Linotype" w:cs="Calibri"/>
          <w:bCs/>
          <w:i/>
          <w:color w:val="000000"/>
          <w:sz w:val="22"/>
          <w:szCs w:val="22"/>
          <w:lang w:eastAsia="en-US"/>
        </w:rPr>
        <w:t>MTE</w:t>
      </w:r>
      <w:proofErr w:type="spellEnd"/>
      <w:r w:rsidRPr="00414B52">
        <w:rPr>
          <w:rFonts w:ascii="Palatino Linotype" w:eastAsiaTheme="minorHAnsi" w:hAnsi="Palatino Linotype" w:cs="Calibri"/>
          <w:b/>
          <w:bCs/>
          <w:i/>
          <w:color w:val="000000"/>
          <w:sz w:val="22"/>
          <w:szCs w:val="22"/>
          <w:lang w:eastAsia="en-US"/>
        </w:rPr>
        <w:t xml:space="preserve">, </w:t>
      </w:r>
      <w:r w:rsidRPr="00414B52">
        <w:rPr>
          <w:rFonts w:ascii="Palatino Linotype" w:eastAsiaTheme="minorHAnsi" w:hAnsi="Palatino Linotype" w:cs="Calibri"/>
          <w:bCs/>
          <w:i/>
          <w:color w:val="000000"/>
          <w:sz w:val="22"/>
          <w:szCs w:val="22"/>
          <w:lang w:eastAsia="en-US"/>
        </w:rPr>
        <w:t>según la siguiente tabla</w:t>
      </w:r>
      <w:r w:rsidR="00B40458" w:rsidRPr="00414B52">
        <w:rPr>
          <w:rFonts w:ascii="Palatino Linotype" w:eastAsiaTheme="minorHAnsi" w:hAnsi="Palatino Linotype" w:cs="Calibri"/>
          <w:bCs/>
          <w:i/>
          <w:color w:val="000000"/>
          <w:sz w:val="22"/>
          <w:szCs w:val="22"/>
          <w:lang w:eastAsia="en-US"/>
        </w:rPr>
        <w:t>, de forma diferenciada, en función del sector y rangos de consumo</w:t>
      </w:r>
      <w:r w:rsidRPr="00414B52">
        <w:rPr>
          <w:rFonts w:ascii="Palatino Linotype" w:eastAsiaTheme="minorHAnsi" w:hAnsi="Palatino Linotype" w:cs="Calibri"/>
          <w:bCs/>
          <w:i/>
          <w:color w:val="000000"/>
          <w:sz w:val="22"/>
          <w:szCs w:val="22"/>
          <w:lang w:eastAsia="en-US"/>
        </w:rPr>
        <w:t>:</w:t>
      </w:r>
    </w:p>
    <w:p w:rsidR="00521EC0" w:rsidRPr="00414B52" w:rsidRDefault="00F13DC3" w:rsidP="00414B52">
      <w:pPr>
        <w:widowControl/>
        <w:spacing w:after="120" w:line="276" w:lineRule="auto"/>
        <w:ind w:left="1416"/>
        <w:jc w:val="center"/>
        <w:rPr>
          <w:rFonts w:ascii="Palatino Linotype" w:eastAsiaTheme="minorHAnsi" w:hAnsi="Palatino Linotype" w:cs="Calibri"/>
          <w:b/>
          <w:bCs/>
          <w:i/>
          <w:color w:val="000000"/>
          <w:sz w:val="22"/>
          <w:szCs w:val="22"/>
          <w:lang w:eastAsia="en-US"/>
        </w:rPr>
      </w:pPr>
      <w:r w:rsidRPr="00414B52">
        <w:rPr>
          <w:rFonts w:ascii="Palatino Linotype" w:eastAsiaTheme="minorHAnsi" w:hAnsi="Palatino Linotype" w:cs="Calibri"/>
          <w:b/>
          <w:bCs/>
          <w:i/>
          <w:noProof/>
          <w:color w:val="000000"/>
          <w:sz w:val="22"/>
          <w:szCs w:val="22"/>
          <w:lang w:val="es-EC" w:eastAsia="es-EC"/>
        </w:rPr>
        <w:lastRenderedPageBreak/>
        <w:drawing>
          <wp:inline distT="0" distB="0" distL="0" distR="0" wp14:anchorId="42D9FCE4" wp14:editId="3FC7A0B4">
            <wp:extent cx="4383405" cy="39871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3405" cy="3987165"/>
                    </a:xfrm>
                    <a:prstGeom prst="rect">
                      <a:avLst/>
                    </a:prstGeom>
                    <a:noFill/>
                  </pic:spPr>
                </pic:pic>
              </a:graphicData>
            </a:graphic>
          </wp:inline>
        </w:drawing>
      </w:r>
    </w:p>
    <w:p w:rsidR="00521EC0" w:rsidRPr="00414B52" w:rsidRDefault="00521EC0" w:rsidP="00445957">
      <w:pPr>
        <w:widowControl/>
        <w:tabs>
          <w:tab w:val="left" w:pos="3665"/>
        </w:tabs>
        <w:spacing w:after="120" w:line="276" w:lineRule="auto"/>
        <w:jc w:val="both"/>
        <w:rPr>
          <w:rFonts w:ascii="Palatino Linotype" w:eastAsiaTheme="minorHAnsi" w:hAnsi="Palatino Linotype" w:cs="Calibri"/>
          <w:bCs/>
          <w:i/>
          <w:color w:val="000000"/>
          <w:sz w:val="22"/>
          <w:szCs w:val="22"/>
          <w:lang w:eastAsia="en-US"/>
        </w:rPr>
      </w:pPr>
    </w:p>
    <w:p w:rsidR="00521EC0" w:rsidRPr="00414B52" w:rsidRDefault="00521EC0" w:rsidP="00414B52">
      <w:pPr>
        <w:widowControl/>
        <w:spacing w:after="120" w:line="276" w:lineRule="auto"/>
        <w:ind w:left="1416"/>
        <w:jc w:val="both"/>
        <w:rPr>
          <w:rFonts w:ascii="Palatino Linotype" w:eastAsiaTheme="minorHAnsi" w:hAnsi="Palatino Linotype" w:cs="Calibri"/>
          <w:bCs/>
          <w:i/>
          <w:color w:val="000000"/>
          <w:sz w:val="22"/>
          <w:szCs w:val="22"/>
          <w:lang w:eastAsia="en-US"/>
        </w:rPr>
      </w:pPr>
      <w:r w:rsidRPr="00414B52">
        <w:rPr>
          <w:rFonts w:ascii="Palatino Linotype" w:eastAsiaTheme="minorHAnsi" w:hAnsi="Palatino Linotype"/>
          <w:i/>
          <w:color w:val="000000"/>
          <w:sz w:val="22"/>
          <w:szCs w:val="22"/>
          <w:lang w:eastAsia="en-US"/>
        </w:rPr>
        <w:t xml:space="preserve">• </w:t>
      </w:r>
      <w:r w:rsidRPr="00414B52">
        <w:rPr>
          <w:rFonts w:ascii="Palatino Linotype" w:eastAsiaTheme="minorHAnsi" w:hAnsi="Palatino Linotype" w:cs="Calibri"/>
          <w:b/>
          <w:bCs/>
          <w:i/>
          <w:color w:val="000000"/>
          <w:sz w:val="22"/>
          <w:szCs w:val="22"/>
          <w:lang w:eastAsia="en-US"/>
        </w:rPr>
        <w:t>PAR</w:t>
      </w:r>
      <w:r w:rsidR="00414B52" w:rsidRPr="00414B52">
        <w:rPr>
          <w:rFonts w:ascii="Palatino Linotype" w:eastAsiaTheme="minorHAnsi" w:hAnsi="Palatino Linotype" w:cs="Calibri"/>
          <w:b/>
          <w:bCs/>
          <w:i/>
          <w:color w:val="000000"/>
          <w:sz w:val="22"/>
          <w:szCs w:val="22"/>
          <w:lang w:eastAsia="en-US"/>
        </w:rPr>
        <w:t>Á</w:t>
      </w:r>
      <w:r w:rsidRPr="00414B52">
        <w:rPr>
          <w:rFonts w:ascii="Palatino Linotype" w:eastAsiaTheme="minorHAnsi" w:hAnsi="Palatino Linotype" w:cs="Calibri"/>
          <w:b/>
          <w:bCs/>
          <w:i/>
          <w:color w:val="000000"/>
          <w:sz w:val="22"/>
          <w:szCs w:val="22"/>
          <w:lang w:eastAsia="en-US"/>
        </w:rPr>
        <w:t xml:space="preserve">METRO B: </w:t>
      </w:r>
      <w:r w:rsidRPr="00414B52">
        <w:rPr>
          <w:rFonts w:ascii="Palatino Linotype" w:eastAsiaTheme="minorHAnsi" w:hAnsi="Palatino Linotype" w:cs="Calibri"/>
          <w:bCs/>
          <w:i/>
          <w:color w:val="000000"/>
          <w:sz w:val="22"/>
          <w:szCs w:val="22"/>
          <w:lang w:eastAsia="en-US"/>
        </w:rPr>
        <w:t>Costo de facturación por planilla del tributo establecida</w:t>
      </w:r>
      <w:r w:rsidR="00B40458" w:rsidRPr="00414B52">
        <w:rPr>
          <w:rFonts w:ascii="Palatino Linotype" w:eastAsiaTheme="minorHAnsi" w:hAnsi="Palatino Linotype" w:cs="Calibri"/>
          <w:bCs/>
          <w:i/>
          <w:color w:val="000000"/>
          <w:sz w:val="22"/>
          <w:szCs w:val="22"/>
          <w:lang w:eastAsia="en-US"/>
        </w:rPr>
        <w:t xml:space="preserve"> de forma diferenciada</w:t>
      </w:r>
      <w:r w:rsidRPr="00414B52">
        <w:rPr>
          <w:rFonts w:ascii="Palatino Linotype" w:eastAsiaTheme="minorHAnsi" w:hAnsi="Palatino Linotype" w:cs="Calibri"/>
          <w:bCs/>
          <w:i/>
          <w:color w:val="000000"/>
          <w:sz w:val="22"/>
          <w:szCs w:val="22"/>
          <w:lang w:eastAsia="en-US"/>
        </w:rPr>
        <w:t xml:space="preserve"> por sector y rango de consumo, aplicando la siguiente formula: </w:t>
      </w:r>
    </w:p>
    <w:p w:rsidR="00521EC0" w:rsidRPr="00414B52" w:rsidRDefault="00F44265" w:rsidP="00414B52">
      <w:pPr>
        <w:widowControl/>
        <w:spacing w:after="120" w:line="276" w:lineRule="auto"/>
        <w:ind w:left="1416"/>
        <w:jc w:val="both"/>
        <w:rPr>
          <w:rFonts w:ascii="Palatino Linotype" w:eastAsiaTheme="minorHAnsi" w:hAnsi="Palatino Linotype" w:cs="Calibri"/>
          <w:bCs/>
          <w:i/>
          <w:color w:val="000000"/>
          <w:sz w:val="22"/>
          <w:szCs w:val="22"/>
          <w:lang w:eastAsia="en-US"/>
        </w:rPr>
      </w:pPr>
      <m:oMathPara>
        <m:oMath>
          <m:sSub>
            <m:sSubPr>
              <m:ctrlPr>
                <w:rPr>
                  <w:rFonts w:ascii="Cambria Math" w:eastAsiaTheme="minorHAnsi" w:hAnsi="Cambria Math" w:cs="Calibri"/>
                  <w:i/>
                  <w:color w:val="000000"/>
                  <w:sz w:val="22"/>
                  <w:szCs w:val="22"/>
                  <w:lang w:eastAsia="en-US"/>
                </w:rPr>
              </m:ctrlPr>
            </m:sSubPr>
            <m:e>
              <m:r>
                <w:rPr>
                  <w:rFonts w:ascii="Cambria Math" w:eastAsiaTheme="minorHAnsi" w:hAnsi="Cambria Math" w:cs="Calibri"/>
                  <w:color w:val="000000"/>
                  <w:sz w:val="22"/>
                  <w:szCs w:val="22"/>
                  <w:lang w:eastAsia="en-US"/>
                </w:rPr>
                <m:t>B</m:t>
              </m:r>
            </m:e>
            <m:sub>
              <m:r>
                <w:rPr>
                  <w:rFonts w:ascii="Cambria Math" w:eastAsiaTheme="minorHAnsi" w:hAnsi="Cambria Math" w:cs="Calibri"/>
                  <w:color w:val="000000"/>
                  <w:sz w:val="22"/>
                  <w:szCs w:val="22"/>
                  <w:lang w:eastAsia="en-US"/>
                </w:rPr>
                <m:t>t</m:t>
              </m:r>
            </m:sub>
          </m:sSub>
          <w:bookmarkStart w:id="0" w:name="_GoBack"/>
          <w:bookmarkEnd w:id="0"/>
          <m:r>
            <w:rPr>
              <w:rFonts w:ascii="Cambria Math" w:eastAsiaTheme="minorHAnsi" w:hAnsi="Cambria Math" w:cs="Calibri"/>
              <w:color w:val="000000"/>
              <w:sz w:val="22"/>
              <w:szCs w:val="22"/>
              <w:lang w:eastAsia="en-US"/>
            </w:rPr>
            <m:t>=</m:t>
          </m:r>
          <m:sSub>
            <m:sSubPr>
              <m:ctrlPr>
                <w:rPr>
                  <w:rFonts w:ascii="Cambria Math" w:eastAsiaTheme="minorHAnsi" w:hAnsi="Cambria Math" w:cs="Calibri"/>
                  <w:i/>
                  <w:color w:val="000000"/>
                  <w:sz w:val="22"/>
                  <w:szCs w:val="22"/>
                  <w:lang w:eastAsia="en-US"/>
                </w:rPr>
              </m:ctrlPr>
            </m:sSubPr>
            <m:e>
              <m:r>
                <w:rPr>
                  <w:rFonts w:ascii="Cambria Math" w:eastAsiaTheme="minorHAnsi" w:hAnsi="Cambria Math" w:cs="Calibri"/>
                  <w:color w:val="000000"/>
                  <w:sz w:val="22"/>
                  <w:szCs w:val="22"/>
                  <w:lang w:eastAsia="en-US"/>
                </w:rPr>
                <m:t>{[Costo facturación por planilla del tributo</m:t>
              </m:r>
            </m:e>
            <m:sub>
              <m:r>
                <w:rPr>
                  <w:rFonts w:ascii="Cambria Math" w:eastAsiaTheme="minorHAnsi" w:hAnsi="Cambria Math" w:cs="Calibri"/>
                  <w:color w:val="000000"/>
                  <w:sz w:val="22"/>
                  <w:szCs w:val="22"/>
                  <w:lang w:eastAsia="en-US"/>
                </w:rPr>
                <m:t>t</m:t>
              </m:r>
            </m:sub>
          </m:sSub>
          <m:r>
            <w:rPr>
              <w:rFonts w:ascii="Cambria Math" w:eastAsiaTheme="minorHAnsi" w:hAnsi="Cambria Math" w:cs="Calibri"/>
              <w:color w:val="000000"/>
              <w:sz w:val="22"/>
              <w:szCs w:val="22"/>
              <w:lang w:eastAsia="en-US"/>
            </w:rPr>
            <m:t>*</m:t>
          </m:r>
          <m:d>
            <m:dPr>
              <m:ctrlPr>
                <w:rPr>
                  <w:rFonts w:ascii="Cambria Math" w:eastAsiaTheme="minorHAnsi" w:hAnsi="Cambria Math" w:cs="Calibri"/>
                  <w:i/>
                  <w:color w:val="000000"/>
                  <w:sz w:val="22"/>
                  <w:szCs w:val="22"/>
                  <w:lang w:eastAsia="en-US"/>
                </w:rPr>
              </m:ctrlPr>
            </m:dPr>
            <m:e>
              <m:r>
                <w:rPr>
                  <w:rFonts w:ascii="Cambria Math" w:eastAsiaTheme="minorHAnsi" w:hAnsi="Cambria Math" w:cs="Calibri"/>
                  <w:color w:val="000000"/>
                  <w:sz w:val="22"/>
                  <w:szCs w:val="22"/>
                  <w:lang w:eastAsia="en-US"/>
                </w:rPr>
                <m:t>1+</m:t>
              </m:r>
              <m:sSub>
                <m:sSubPr>
                  <m:ctrlPr>
                    <w:rPr>
                      <w:rFonts w:ascii="Cambria Math" w:eastAsiaTheme="minorHAnsi" w:hAnsi="Cambria Math" w:cs="Calibri"/>
                      <w:i/>
                      <w:color w:val="000000"/>
                      <w:sz w:val="22"/>
                      <w:szCs w:val="22"/>
                      <w:lang w:eastAsia="en-US"/>
                    </w:rPr>
                  </m:ctrlPr>
                </m:sSubPr>
                <m:e>
                  <m:r>
                    <w:rPr>
                      <w:rFonts w:ascii="Cambria Math" w:eastAsiaTheme="minorHAnsi" w:hAnsi="Cambria Math" w:cs="Calibri"/>
                      <w:color w:val="000000"/>
                      <w:sz w:val="22"/>
                      <w:szCs w:val="22"/>
                      <w:lang w:eastAsia="en-US"/>
                    </w:rPr>
                    <m:t>IVA</m:t>
                  </m:r>
                </m:e>
                <m:sub>
                  <m:r>
                    <w:rPr>
                      <w:rFonts w:ascii="Cambria Math" w:eastAsiaTheme="minorHAnsi" w:hAnsi="Cambria Math" w:cs="Calibri"/>
                      <w:color w:val="000000"/>
                      <w:sz w:val="22"/>
                      <w:szCs w:val="22"/>
                      <w:lang w:eastAsia="en-US"/>
                    </w:rPr>
                    <m:t>t</m:t>
                  </m:r>
                </m:sub>
              </m:sSub>
            </m:e>
          </m:d>
          <m:r>
            <w:rPr>
              <w:rFonts w:ascii="Cambria Math" w:eastAsiaTheme="minorHAnsi" w:hAnsi="Cambria Math" w:cs="Calibri"/>
              <w:color w:val="000000"/>
              <w:sz w:val="22"/>
              <w:szCs w:val="22"/>
              <w:lang w:eastAsia="en-US"/>
            </w:rPr>
            <m:t>]-0.3136}*Coefic</m:t>
          </m:r>
          <m:r>
            <w:rPr>
              <w:rFonts w:ascii="Cambria Math" w:eastAsiaTheme="minorHAnsi" w:hAnsi="Cambria Math" w:cs="Calibri"/>
              <w:color w:val="000000"/>
              <w:sz w:val="22"/>
              <w:szCs w:val="22"/>
              <w:lang w:eastAsia="en-US"/>
            </w:rPr>
            <m:t>iente de ajuste por rango de consumo</m:t>
          </m:r>
        </m:oMath>
      </m:oMathPara>
    </w:p>
    <w:p w:rsidR="00521EC0" w:rsidRPr="00414B52" w:rsidRDefault="00AA4643" w:rsidP="00414B52">
      <w:pPr>
        <w:widowControl/>
        <w:spacing w:after="120" w:line="276" w:lineRule="auto"/>
        <w:ind w:left="708" w:firstLine="708"/>
        <w:jc w:val="center"/>
        <w:rPr>
          <w:rFonts w:ascii="Palatino Linotype" w:eastAsiaTheme="minorHAnsi" w:hAnsi="Palatino Linotype" w:cs="Calibri"/>
          <w:bCs/>
          <w:i/>
          <w:color w:val="000000"/>
          <w:sz w:val="22"/>
          <w:szCs w:val="22"/>
          <w:lang w:eastAsia="en-US"/>
        </w:rPr>
      </w:pPr>
      <w:r w:rsidRPr="00414B52">
        <w:rPr>
          <w:rFonts w:ascii="Palatino Linotype" w:hAnsi="Palatino Linotype"/>
          <w:i/>
          <w:noProof/>
          <w:sz w:val="22"/>
          <w:szCs w:val="22"/>
          <w:lang w:val="es-EC" w:eastAsia="es-EC"/>
        </w:rPr>
        <w:lastRenderedPageBreak/>
        <w:drawing>
          <wp:inline distT="0" distB="0" distL="0" distR="0" wp14:anchorId="686CE61D" wp14:editId="34C4E6BD">
            <wp:extent cx="4144010" cy="3815715"/>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4010" cy="3815715"/>
                    </a:xfrm>
                    <a:prstGeom prst="rect">
                      <a:avLst/>
                    </a:prstGeom>
                    <a:noFill/>
                    <a:ln>
                      <a:noFill/>
                    </a:ln>
                  </pic:spPr>
                </pic:pic>
              </a:graphicData>
            </a:graphic>
          </wp:inline>
        </w:drawing>
      </w:r>
    </w:p>
    <w:p w:rsidR="00521EC0" w:rsidRPr="00414B52" w:rsidRDefault="00521EC0" w:rsidP="00414B52">
      <w:pPr>
        <w:widowControl/>
        <w:spacing w:after="120" w:line="276" w:lineRule="auto"/>
        <w:ind w:left="1416"/>
        <w:jc w:val="both"/>
        <w:rPr>
          <w:rFonts w:ascii="Palatino Linotype" w:eastAsiaTheme="minorHAnsi" w:hAnsi="Palatino Linotype" w:cs="Calibri"/>
          <w:bCs/>
          <w:i/>
          <w:color w:val="000000"/>
          <w:sz w:val="22"/>
          <w:szCs w:val="22"/>
          <w:lang w:eastAsia="en-US"/>
        </w:rPr>
      </w:pPr>
      <w:r w:rsidRPr="00414B52">
        <w:rPr>
          <w:rFonts w:ascii="Palatino Linotype" w:eastAsiaTheme="minorHAnsi" w:hAnsi="Palatino Linotype"/>
          <w:i/>
          <w:color w:val="000000"/>
          <w:sz w:val="22"/>
          <w:szCs w:val="22"/>
          <w:lang w:eastAsia="en-US"/>
        </w:rPr>
        <w:t xml:space="preserve">• </w:t>
      </w:r>
      <w:r w:rsidR="00414B52" w:rsidRPr="00414B52">
        <w:rPr>
          <w:rFonts w:ascii="Palatino Linotype" w:eastAsiaTheme="minorHAnsi" w:hAnsi="Palatino Linotype" w:cs="Calibri"/>
          <w:b/>
          <w:bCs/>
          <w:i/>
          <w:color w:val="000000"/>
          <w:sz w:val="22"/>
          <w:szCs w:val="22"/>
          <w:lang w:eastAsia="en-US"/>
        </w:rPr>
        <w:t>PARÁMETRO</w:t>
      </w:r>
      <w:r w:rsidRPr="00414B52">
        <w:rPr>
          <w:rFonts w:ascii="Palatino Linotype" w:eastAsiaTheme="minorHAnsi" w:hAnsi="Palatino Linotype" w:cs="Calibri"/>
          <w:b/>
          <w:bCs/>
          <w:i/>
          <w:color w:val="000000"/>
          <w:sz w:val="22"/>
          <w:szCs w:val="22"/>
          <w:lang w:eastAsia="en-US"/>
        </w:rPr>
        <w:t xml:space="preserve"> C: </w:t>
      </w:r>
      <w:r w:rsidRPr="00414B52">
        <w:rPr>
          <w:rFonts w:ascii="Palatino Linotype" w:eastAsiaTheme="minorHAnsi" w:hAnsi="Palatino Linotype" w:cs="Calibri"/>
          <w:bCs/>
          <w:i/>
          <w:color w:val="000000"/>
          <w:sz w:val="22"/>
          <w:szCs w:val="22"/>
          <w:lang w:eastAsia="en-US"/>
        </w:rPr>
        <w:t xml:space="preserve">Factor por rangos de consumo del </w:t>
      </w:r>
      <w:r w:rsidRPr="00414B52">
        <w:rPr>
          <w:rFonts w:ascii="Palatino Linotype" w:eastAsiaTheme="minorHAnsi" w:hAnsi="Palatino Linotype" w:cs="Calibri"/>
          <w:bCs/>
          <w:i/>
          <w:color w:val="000000"/>
          <w:sz w:val="22"/>
          <w:szCs w:val="22"/>
          <w:u w:val="single"/>
          <w:lang w:eastAsia="en-US"/>
        </w:rPr>
        <w:t>sector residencial</w:t>
      </w:r>
      <w:r w:rsidRPr="00414B52">
        <w:rPr>
          <w:rFonts w:ascii="Palatino Linotype" w:eastAsiaTheme="minorHAnsi" w:hAnsi="Palatino Linotype" w:cs="Calibri"/>
          <w:bCs/>
          <w:i/>
          <w:color w:val="000000"/>
          <w:sz w:val="22"/>
          <w:szCs w:val="22"/>
          <w:lang w:eastAsia="en-US"/>
        </w:rPr>
        <w:t xml:space="preserve"> a aplicar</w:t>
      </w:r>
      <w:r w:rsidR="00B40458" w:rsidRPr="00414B52">
        <w:rPr>
          <w:rFonts w:ascii="Palatino Linotype" w:eastAsiaTheme="minorHAnsi" w:hAnsi="Palatino Linotype" w:cs="Calibri"/>
          <w:bCs/>
          <w:i/>
          <w:color w:val="000000"/>
          <w:sz w:val="22"/>
          <w:szCs w:val="22"/>
          <w:lang w:eastAsia="en-US"/>
        </w:rPr>
        <w:t xml:space="preserve"> de forma diferenciada,</w:t>
      </w:r>
      <w:r w:rsidRPr="00414B52">
        <w:rPr>
          <w:rFonts w:ascii="Palatino Linotype" w:eastAsiaTheme="minorHAnsi" w:hAnsi="Palatino Linotype" w:cs="Calibri"/>
          <w:bCs/>
          <w:i/>
          <w:color w:val="000000"/>
          <w:sz w:val="22"/>
          <w:szCs w:val="22"/>
          <w:lang w:eastAsia="en-US"/>
        </w:rPr>
        <w:t xml:space="preserve"> sobre el salario básico unificado (</w:t>
      </w:r>
      <w:proofErr w:type="spellStart"/>
      <w:r w:rsidRPr="00414B52">
        <w:rPr>
          <w:rFonts w:ascii="Palatino Linotype" w:eastAsiaTheme="minorHAnsi" w:hAnsi="Palatino Linotype" w:cs="Calibri"/>
          <w:bCs/>
          <w:i/>
          <w:color w:val="000000"/>
          <w:sz w:val="22"/>
          <w:szCs w:val="22"/>
          <w:lang w:eastAsia="en-US"/>
        </w:rPr>
        <w:t>SBU</w:t>
      </w:r>
      <w:proofErr w:type="spellEnd"/>
      <w:r w:rsidRPr="00414B52">
        <w:rPr>
          <w:rFonts w:ascii="Palatino Linotype" w:eastAsiaTheme="minorHAnsi" w:hAnsi="Palatino Linotype" w:cs="Calibri"/>
          <w:bCs/>
          <w:i/>
          <w:color w:val="000000"/>
          <w:sz w:val="22"/>
          <w:szCs w:val="22"/>
          <w:lang w:eastAsia="en-US"/>
        </w:rPr>
        <w:t xml:space="preserve">) vigente, de acuerdo al siguiente cálculo: </w:t>
      </w:r>
    </w:p>
    <w:p w:rsidR="00521EC0" w:rsidRPr="00414B52" w:rsidRDefault="00F44265" w:rsidP="00414B52">
      <w:pPr>
        <w:widowControl/>
        <w:spacing w:after="120" w:line="276" w:lineRule="auto"/>
        <w:ind w:left="1416"/>
        <w:jc w:val="both"/>
        <w:rPr>
          <w:rFonts w:ascii="Palatino Linotype" w:eastAsiaTheme="minorEastAsia" w:hAnsi="Palatino Linotype" w:cs="Calibri"/>
          <w:i/>
          <w:color w:val="000000"/>
          <w:sz w:val="22"/>
          <w:szCs w:val="22"/>
          <w:lang w:eastAsia="en-US"/>
        </w:rPr>
      </w:pPr>
      <m:oMathPara>
        <m:oMath>
          <m:sSub>
            <m:sSubPr>
              <m:ctrlPr>
                <w:rPr>
                  <w:rFonts w:ascii="Cambria Math" w:eastAsiaTheme="minorHAnsi" w:hAnsi="Cambria Math" w:cs="Calibri"/>
                  <w:i/>
                  <w:color w:val="000000"/>
                  <w:sz w:val="22"/>
                  <w:szCs w:val="22"/>
                  <w:lang w:eastAsia="en-US"/>
                </w:rPr>
              </m:ctrlPr>
            </m:sSubPr>
            <m:e>
              <m:r>
                <w:rPr>
                  <w:rFonts w:ascii="Cambria Math" w:eastAsiaTheme="minorHAnsi" w:hAnsi="Cambria Math" w:cs="Calibri"/>
                  <w:color w:val="000000"/>
                  <w:sz w:val="22"/>
                  <w:szCs w:val="22"/>
                  <w:lang w:eastAsia="en-US"/>
                </w:rPr>
                <m:t>C</m:t>
              </m:r>
            </m:e>
            <m:sub>
              <m:r>
                <w:rPr>
                  <w:rFonts w:ascii="Cambria Math" w:eastAsiaTheme="minorHAnsi" w:hAnsi="Cambria Math" w:cs="Calibri"/>
                  <w:color w:val="000000"/>
                  <w:sz w:val="22"/>
                  <w:szCs w:val="22"/>
                  <w:lang w:eastAsia="en-US"/>
                </w:rPr>
                <m:t>t</m:t>
              </m:r>
            </m:sub>
          </m:sSub>
          <m:r>
            <w:rPr>
              <w:rFonts w:ascii="Cambria Math" w:eastAsiaTheme="minorHAnsi" w:hAnsi="Cambria Math" w:cs="Calibri"/>
              <w:color w:val="000000"/>
              <w:sz w:val="22"/>
              <w:szCs w:val="22"/>
              <w:lang w:eastAsia="en-US"/>
            </w:rPr>
            <m:t>=</m:t>
          </m:r>
          <m:sSub>
            <m:sSubPr>
              <m:ctrlPr>
                <w:rPr>
                  <w:rFonts w:ascii="Cambria Math" w:eastAsiaTheme="minorHAnsi" w:hAnsi="Cambria Math" w:cs="Calibri"/>
                  <w:i/>
                  <w:color w:val="000000"/>
                  <w:sz w:val="22"/>
                  <w:szCs w:val="22"/>
                  <w:lang w:eastAsia="en-US"/>
                </w:rPr>
              </m:ctrlPr>
            </m:sSubPr>
            <m:e>
              <m:r>
                <w:rPr>
                  <w:rFonts w:ascii="Cambria Math" w:eastAsiaTheme="minorHAnsi" w:hAnsi="Cambria Math" w:cs="Calibri"/>
                  <w:color w:val="000000"/>
                  <w:sz w:val="22"/>
                  <w:szCs w:val="22"/>
                  <w:lang w:eastAsia="en-US"/>
                </w:rPr>
                <m:t>SBU</m:t>
              </m:r>
            </m:e>
            <m:sub>
              <m:r>
                <w:rPr>
                  <w:rFonts w:ascii="Cambria Math" w:eastAsiaTheme="minorHAnsi" w:hAnsi="Cambria Math" w:cs="Calibri"/>
                  <w:color w:val="000000"/>
                  <w:sz w:val="22"/>
                  <w:szCs w:val="22"/>
                  <w:lang w:eastAsia="en-US"/>
                </w:rPr>
                <m:t>t</m:t>
              </m:r>
            </m:sub>
          </m:sSub>
          <m:r>
            <w:rPr>
              <w:rFonts w:ascii="Cambria Math" w:eastAsiaTheme="minorHAnsi" w:hAnsi="Cambria Math" w:cs="Calibri"/>
              <w:color w:val="000000"/>
              <w:sz w:val="22"/>
              <w:szCs w:val="22"/>
              <w:lang w:eastAsia="en-US"/>
            </w:rPr>
            <m:t>*Factor por rango de consumo</m:t>
          </m:r>
        </m:oMath>
      </m:oMathPara>
    </w:p>
    <w:p w:rsidR="00521EC0" w:rsidRPr="00414B52" w:rsidRDefault="00521EC0" w:rsidP="00414B52">
      <w:pPr>
        <w:widowControl/>
        <w:spacing w:after="120" w:line="276" w:lineRule="auto"/>
        <w:ind w:left="1416"/>
        <w:jc w:val="both"/>
        <w:rPr>
          <w:rFonts w:ascii="Palatino Linotype" w:eastAsiaTheme="minorEastAsia" w:hAnsi="Palatino Linotype" w:cs="Calibri"/>
          <w:i/>
          <w:color w:val="000000"/>
          <w:sz w:val="22"/>
          <w:szCs w:val="22"/>
          <w:lang w:eastAsia="en-US"/>
        </w:rPr>
      </w:pPr>
    </w:p>
    <w:p w:rsidR="00521EC0" w:rsidRPr="00414B52" w:rsidRDefault="00521EC0" w:rsidP="00414B52">
      <w:pPr>
        <w:widowControl/>
        <w:spacing w:after="120" w:line="276" w:lineRule="auto"/>
        <w:ind w:left="708"/>
        <w:jc w:val="center"/>
        <w:rPr>
          <w:rFonts w:ascii="Palatino Linotype" w:eastAsiaTheme="minorHAnsi" w:hAnsi="Palatino Linotype" w:cs="Calibri"/>
          <w:bCs/>
          <w:i/>
          <w:color w:val="000000"/>
          <w:sz w:val="22"/>
          <w:szCs w:val="22"/>
          <w:lang w:eastAsia="en-US"/>
        </w:rPr>
      </w:pPr>
      <w:r w:rsidRPr="00414B52">
        <w:rPr>
          <w:rFonts w:ascii="Palatino Linotype" w:eastAsiaTheme="minorHAnsi" w:hAnsi="Palatino Linotype" w:cs="Calibri"/>
          <w:i/>
          <w:noProof/>
          <w:color w:val="000000"/>
          <w:sz w:val="22"/>
          <w:szCs w:val="22"/>
          <w:lang w:val="es-EC" w:eastAsia="es-EC"/>
        </w:rPr>
        <w:lastRenderedPageBreak/>
        <w:drawing>
          <wp:inline distT="0" distB="0" distL="0" distR="0" wp14:anchorId="00D4B256" wp14:editId="7ACA4044">
            <wp:extent cx="4522124" cy="27313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2464" cy="2743610"/>
                    </a:xfrm>
                    <a:prstGeom prst="rect">
                      <a:avLst/>
                    </a:prstGeom>
                    <a:noFill/>
                    <a:ln>
                      <a:noFill/>
                    </a:ln>
                  </pic:spPr>
                </pic:pic>
              </a:graphicData>
            </a:graphic>
          </wp:inline>
        </w:drawing>
      </w:r>
    </w:p>
    <w:p w:rsidR="00521EC0" w:rsidRPr="00414B52" w:rsidRDefault="00521EC0" w:rsidP="00414B52">
      <w:pPr>
        <w:widowControl/>
        <w:spacing w:after="120" w:line="276" w:lineRule="auto"/>
        <w:ind w:left="708"/>
        <w:jc w:val="both"/>
        <w:rPr>
          <w:rFonts w:ascii="Palatino Linotype" w:eastAsiaTheme="minorHAnsi" w:hAnsi="Palatino Linotype" w:cs="Calibri"/>
          <w:i/>
          <w:color w:val="000000"/>
          <w:sz w:val="22"/>
          <w:szCs w:val="22"/>
          <w:lang w:eastAsia="en-US"/>
        </w:rPr>
      </w:pPr>
      <w:r w:rsidRPr="00414B52">
        <w:rPr>
          <w:rFonts w:ascii="Palatino Linotype" w:eastAsiaTheme="minorHAnsi" w:hAnsi="Palatino Linotype" w:cs="Calibri"/>
          <w:i/>
          <w:color w:val="000000"/>
          <w:sz w:val="22"/>
          <w:szCs w:val="22"/>
          <w:lang w:eastAsia="en-US"/>
        </w:rPr>
        <w:t xml:space="preserve">  </w:t>
      </w:r>
      <w:r w:rsidRPr="00414B52">
        <w:rPr>
          <w:rFonts w:ascii="Palatino Linotype" w:eastAsiaTheme="minorHAnsi" w:hAnsi="Palatino Linotype" w:cs="Calibri"/>
          <w:i/>
          <w:color w:val="000000"/>
          <w:sz w:val="22"/>
          <w:szCs w:val="22"/>
          <w:lang w:eastAsia="en-US"/>
        </w:rPr>
        <w:tab/>
        <w:t>Se excluye sector Comercial, Industrial y otros.</w:t>
      </w:r>
    </w:p>
    <w:p w:rsidR="00521EC0" w:rsidRPr="00414B52" w:rsidRDefault="00521EC0" w:rsidP="00414B52">
      <w:pPr>
        <w:widowControl/>
        <w:spacing w:after="120" w:line="276" w:lineRule="auto"/>
        <w:ind w:left="708"/>
        <w:jc w:val="both"/>
        <w:rPr>
          <w:rFonts w:ascii="Palatino Linotype" w:eastAsiaTheme="minorHAnsi" w:hAnsi="Palatino Linotype" w:cs="Calibri"/>
          <w:i/>
          <w:color w:val="000000"/>
          <w:sz w:val="22"/>
          <w:szCs w:val="22"/>
          <w:lang w:eastAsia="en-US"/>
        </w:rPr>
      </w:pPr>
      <w:r w:rsidRPr="00414B52">
        <w:rPr>
          <w:rFonts w:ascii="Palatino Linotype" w:eastAsiaTheme="minorHAnsi" w:hAnsi="Palatino Linotype" w:cs="Calibri"/>
          <w:b/>
          <w:i/>
          <w:color w:val="000000"/>
          <w:sz w:val="22"/>
          <w:szCs w:val="22"/>
          <w:lang w:eastAsia="en-US"/>
        </w:rPr>
        <w:t xml:space="preserve">A partir del año 2018 al 2021, el  Parámetro A </w:t>
      </w:r>
      <w:r w:rsidRPr="00414B52">
        <w:rPr>
          <w:rFonts w:ascii="Palatino Linotype" w:eastAsiaTheme="minorHAnsi" w:hAnsi="Palatino Linotype" w:cs="Calibri"/>
          <w:i/>
          <w:color w:val="000000"/>
          <w:sz w:val="22"/>
          <w:szCs w:val="22"/>
          <w:lang w:eastAsia="en-US"/>
        </w:rPr>
        <w:t>se actualizará</w:t>
      </w:r>
      <w:r w:rsidRPr="00414B52">
        <w:rPr>
          <w:rFonts w:ascii="Palatino Linotype" w:eastAsiaTheme="minorHAnsi" w:hAnsi="Palatino Linotype" w:cs="Calibri"/>
          <w:b/>
          <w:i/>
          <w:color w:val="000000"/>
          <w:sz w:val="22"/>
          <w:szCs w:val="22"/>
          <w:lang w:eastAsia="en-US"/>
        </w:rPr>
        <w:t xml:space="preserve"> </w:t>
      </w:r>
      <w:r w:rsidRPr="00414B52">
        <w:rPr>
          <w:rFonts w:ascii="Palatino Linotype" w:eastAsiaTheme="minorHAnsi" w:hAnsi="Palatino Linotype" w:cs="Calibri"/>
          <w:i/>
          <w:color w:val="000000"/>
          <w:sz w:val="22"/>
          <w:szCs w:val="22"/>
          <w:lang w:eastAsia="en-US"/>
        </w:rPr>
        <w:t xml:space="preserve">anualmente aplicando la siguiente formula: </w:t>
      </w:r>
    </w:p>
    <w:p w:rsidR="00521EC0" w:rsidRPr="00414B52" w:rsidRDefault="00F44265" w:rsidP="00414B52">
      <w:pPr>
        <w:spacing w:after="120" w:line="276" w:lineRule="auto"/>
        <w:ind w:left="708"/>
        <w:rPr>
          <w:rFonts w:ascii="Palatino Linotype" w:eastAsiaTheme="minorEastAsia" w:hAnsi="Palatino Linotype"/>
          <w:i/>
          <w:sz w:val="22"/>
          <w:szCs w:val="22"/>
        </w:rPr>
      </w:pPr>
      <m:oMathPara>
        <m:oMath>
          <m:sSub>
            <m:sSubPr>
              <m:ctrlPr>
                <w:rPr>
                  <w:rFonts w:ascii="Cambria Math" w:hAnsi="Cambria Math"/>
                  <w:i/>
                  <w:sz w:val="22"/>
                  <w:szCs w:val="22"/>
                </w:rPr>
              </m:ctrlPr>
            </m:sSubPr>
            <m:e>
              <m:r>
                <m:rPr>
                  <m:sty m:val="bi"/>
                </m:rPr>
                <w:rPr>
                  <w:rFonts w:ascii="Cambria Math" w:hAnsi="Cambria Math"/>
                  <w:sz w:val="22"/>
                  <w:szCs w:val="22"/>
                </w:rPr>
                <m:t>A</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t-1</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1+0.6×</m:t>
              </m:r>
              <m:sSub>
                <m:sSubPr>
                  <m:ctrlPr>
                    <w:rPr>
                      <w:rFonts w:ascii="Cambria Math" w:hAnsi="Cambria Math"/>
                      <w:i/>
                      <w:sz w:val="22"/>
                      <w:szCs w:val="22"/>
                    </w:rPr>
                  </m:ctrlPr>
                </m:sSubPr>
                <m:e>
                  <m:r>
                    <w:rPr>
                      <w:rFonts w:ascii="Cambria Math" w:hAnsi="Cambria Math"/>
                      <w:sz w:val="22"/>
                      <w:szCs w:val="22"/>
                    </w:rPr>
                    <m:t>inflación</m:t>
                  </m:r>
                </m:e>
                <m:sub>
                  <m:r>
                    <w:rPr>
                      <w:rFonts w:ascii="Cambria Math" w:hAnsi="Cambria Math"/>
                      <w:sz w:val="22"/>
                      <w:szCs w:val="22"/>
                    </w:rPr>
                    <m:t>t-1</m:t>
                  </m:r>
                </m:sub>
              </m:sSub>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Ajuste Tarifa Tabla para el año t</m:t>
              </m:r>
            </m:e>
          </m:d>
        </m:oMath>
      </m:oMathPara>
    </w:p>
    <w:p w:rsidR="00521EC0" w:rsidRPr="00414B52" w:rsidRDefault="00521EC0" w:rsidP="00414B52">
      <w:pPr>
        <w:keepNext/>
        <w:spacing w:after="120" w:line="276" w:lineRule="auto"/>
        <w:ind w:left="1416"/>
        <w:jc w:val="both"/>
        <w:rPr>
          <w:rFonts w:ascii="Palatino Linotype" w:hAnsi="Palatino Linotype" w:cs="Cambria Math"/>
          <w:i/>
          <w:sz w:val="22"/>
          <w:szCs w:val="22"/>
        </w:rPr>
      </w:pPr>
      <w:proofErr w:type="spellStart"/>
      <w:r w:rsidRPr="00414B52">
        <w:rPr>
          <w:rFonts w:ascii="Palatino Linotype" w:hAnsi="Palatino Linotype" w:cs="Cambria Math"/>
          <w:i/>
          <w:sz w:val="22"/>
          <w:szCs w:val="22"/>
        </w:rPr>
        <w:t>Donde</w:t>
      </w:r>
      <w:proofErr w:type="spellEnd"/>
      <w:r w:rsidRPr="00414B52">
        <w:rPr>
          <w:rFonts w:ascii="Palatino Linotype" w:hAnsi="Palatino Linotype" w:cs="Cambria Math"/>
          <w:i/>
          <w:sz w:val="22"/>
          <w:szCs w:val="22"/>
        </w:rPr>
        <w:t>:</w:t>
      </w:r>
    </w:p>
    <w:p w:rsidR="00521EC0" w:rsidRPr="00414B52" w:rsidRDefault="00521EC0" w:rsidP="00414B52">
      <w:pPr>
        <w:keepNext/>
        <w:spacing w:after="120" w:line="276" w:lineRule="auto"/>
        <w:ind w:left="1416"/>
        <w:jc w:val="both"/>
        <w:rPr>
          <w:rFonts w:ascii="Palatino Linotype" w:hAnsi="Palatino Linotype" w:cs="Cambria Math"/>
          <w:i/>
          <w:sz w:val="22"/>
          <w:szCs w:val="22"/>
        </w:rPr>
      </w:pPr>
      <w:r w:rsidRPr="00414B52">
        <w:rPr>
          <w:rFonts w:ascii="Palatino Linotype" w:hAnsi="Palatino Linotype" w:cs="Cambria Math"/>
          <w:i/>
          <w:sz w:val="22"/>
          <w:szCs w:val="22"/>
        </w:rPr>
        <w:t>1.- La inflación del año t-1 se entenderá como la variación porcentual anual a diciembre del año inmediato anterior del índice de Precios al Consumidor a nivel nacional difundido por el Instituto Nacional de Estadísticas y Censos; y,</w:t>
      </w:r>
    </w:p>
    <w:p w:rsidR="00521EC0" w:rsidRPr="00414B52" w:rsidRDefault="00521EC0" w:rsidP="00414B52">
      <w:pPr>
        <w:widowControl/>
        <w:spacing w:after="120" w:line="276" w:lineRule="auto"/>
        <w:ind w:left="708"/>
        <w:jc w:val="both"/>
        <w:rPr>
          <w:rFonts w:ascii="Palatino Linotype" w:eastAsiaTheme="minorHAnsi" w:hAnsi="Palatino Linotype" w:cs="Cambria Math"/>
          <w:i/>
          <w:color w:val="000000"/>
          <w:sz w:val="22"/>
          <w:szCs w:val="22"/>
          <w:lang w:eastAsia="en-US"/>
        </w:rPr>
      </w:pPr>
      <w:r w:rsidRPr="00414B52">
        <w:rPr>
          <w:rFonts w:ascii="Palatino Linotype" w:eastAsiaTheme="minorHAnsi" w:hAnsi="Palatino Linotype" w:cs="Cambria Math"/>
          <w:i/>
          <w:color w:val="000000"/>
          <w:sz w:val="22"/>
          <w:szCs w:val="22"/>
          <w:lang w:eastAsia="en-US"/>
        </w:rPr>
        <w:tab/>
        <w:t>2.- El Ajuste Tarifa Tabla para el año t, es:</w:t>
      </w:r>
    </w:p>
    <w:p w:rsidR="00521EC0" w:rsidRPr="00414B52" w:rsidRDefault="00521EC0" w:rsidP="00414B52">
      <w:pPr>
        <w:widowControl/>
        <w:spacing w:after="120" w:line="276" w:lineRule="auto"/>
        <w:ind w:left="708"/>
        <w:jc w:val="both"/>
        <w:rPr>
          <w:rFonts w:ascii="Palatino Linotype" w:eastAsiaTheme="minorHAnsi" w:hAnsi="Palatino Linotype" w:cs="Cambria Math"/>
          <w:i/>
          <w:color w:val="000000"/>
          <w:sz w:val="22"/>
          <w:szCs w:val="22"/>
          <w:lang w:eastAsia="en-US"/>
        </w:rPr>
      </w:pPr>
    </w:p>
    <w:p w:rsidR="00521EC0" w:rsidRPr="00414B52" w:rsidRDefault="00521EC0" w:rsidP="00414B52">
      <w:pPr>
        <w:widowControl/>
        <w:spacing w:after="120" w:line="276" w:lineRule="auto"/>
        <w:ind w:left="708"/>
        <w:jc w:val="center"/>
        <w:rPr>
          <w:rFonts w:ascii="Palatino Linotype" w:eastAsiaTheme="minorHAnsi" w:hAnsi="Palatino Linotype" w:cs="Cambria Math"/>
          <w:i/>
          <w:color w:val="000000"/>
          <w:sz w:val="22"/>
          <w:szCs w:val="22"/>
          <w:lang w:eastAsia="en-US"/>
        </w:rPr>
      </w:pPr>
      <w:r w:rsidRPr="00414B52">
        <w:rPr>
          <w:rFonts w:ascii="Palatino Linotype" w:eastAsiaTheme="minorHAnsi" w:hAnsi="Palatino Linotype" w:cs="Cambria Math"/>
          <w:i/>
          <w:color w:val="000000"/>
          <w:sz w:val="22"/>
          <w:szCs w:val="22"/>
          <w:lang w:eastAsia="en-US"/>
        </w:rPr>
        <w:lastRenderedPageBreak/>
        <w:tab/>
      </w:r>
      <w:r w:rsidR="00AA4643" w:rsidRPr="00414B52">
        <w:rPr>
          <w:rFonts w:ascii="Palatino Linotype" w:hAnsi="Palatino Linotype"/>
          <w:i/>
          <w:noProof/>
          <w:sz w:val="22"/>
          <w:szCs w:val="22"/>
          <w:lang w:val="es-EC" w:eastAsia="es-EC"/>
        </w:rPr>
        <w:drawing>
          <wp:inline distT="0" distB="0" distL="0" distR="0" wp14:anchorId="3C10654B" wp14:editId="5C0AC589">
            <wp:extent cx="5612130" cy="297434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2974340"/>
                    </a:xfrm>
                    <a:prstGeom prst="rect">
                      <a:avLst/>
                    </a:prstGeom>
                    <a:noFill/>
                    <a:ln>
                      <a:noFill/>
                    </a:ln>
                  </pic:spPr>
                </pic:pic>
              </a:graphicData>
            </a:graphic>
          </wp:inline>
        </w:drawing>
      </w:r>
    </w:p>
    <w:p w:rsidR="00521EC0" w:rsidRPr="00414B52" w:rsidRDefault="00521EC0" w:rsidP="00414B52">
      <w:pPr>
        <w:widowControl/>
        <w:spacing w:after="120" w:line="276" w:lineRule="auto"/>
        <w:ind w:left="708"/>
        <w:jc w:val="both"/>
        <w:rPr>
          <w:rFonts w:ascii="Palatino Linotype" w:eastAsiaTheme="minorHAnsi" w:hAnsi="Palatino Linotype" w:cs="Calibri"/>
          <w:b/>
          <w:i/>
          <w:color w:val="000000"/>
          <w:sz w:val="22"/>
          <w:szCs w:val="22"/>
          <w:lang w:eastAsia="en-US"/>
        </w:rPr>
      </w:pPr>
      <w:r w:rsidRPr="00414B52">
        <w:rPr>
          <w:rFonts w:ascii="Palatino Linotype" w:eastAsiaTheme="minorHAnsi" w:hAnsi="Palatino Linotype" w:cs="Calibri"/>
          <w:b/>
          <w:i/>
          <w:color w:val="000000"/>
          <w:sz w:val="22"/>
          <w:szCs w:val="22"/>
          <w:lang w:eastAsia="en-US"/>
        </w:rPr>
        <w:t xml:space="preserve">A partir del año 2022, éste Parámetro A  </w:t>
      </w:r>
      <w:r w:rsidRPr="00414B52">
        <w:rPr>
          <w:rFonts w:ascii="Palatino Linotype" w:eastAsiaTheme="minorHAnsi" w:hAnsi="Palatino Linotype" w:cs="Calibri"/>
          <w:i/>
          <w:color w:val="000000"/>
          <w:sz w:val="22"/>
          <w:szCs w:val="22"/>
          <w:lang w:eastAsia="en-US"/>
        </w:rPr>
        <w:t>se ajustará en función al siguiente cálculo:</w:t>
      </w:r>
      <w:r w:rsidRPr="00414B52">
        <w:rPr>
          <w:rFonts w:ascii="Palatino Linotype" w:eastAsiaTheme="minorHAnsi" w:hAnsi="Palatino Linotype" w:cs="Calibri"/>
          <w:b/>
          <w:i/>
          <w:color w:val="000000"/>
          <w:sz w:val="22"/>
          <w:szCs w:val="22"/>
          <w:lang w:eastAsia="en-US"/>
        </w:rPr>
        <w:t xml:space="preserve"> </w:t>
      </w:r>
    </w:p>
    <w:p w:rsidR="00521EC0" w:rsidRPr="00414B52" w:rsidRDefault="00F44265" w:rsidP="00414B52">
      <w:pPr>
        <w:spacing w:after="120" w:line="276" w:lineRule="auto"/>
        <w:ind w:left="708"/>
        <w:rPr>
          <w:rFonts w:ascii="Palatino Linotype" w:hAnsi="Palatino Linotype"/>
          <w:i/>
          <w:sz w:val="22"/>
          <w:szCs w:val="22"/>
        </w:rPr>
      </w:pPr>
      <m:oMathPara>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t-1</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1+0.6×</m:t>
              </m:r>
              <m:sSub>
                <m:sSubPr>
                  <m:ctrlPr>
                    <w:rPr>
                      <w:rFonts w:ascii="Cambria Math" w:hAnsi="Cambria Math"/>
                      <w:i/>
                      <w:sz w:val="22"/>
                      <w:szCs w:val="22"/>
                    </w:rPr>
                  </m:ctrlPr>
                </m:sSubPr>
                <m:e>
                  <m:r>
                    <w:rPr>
                      <w:rFonts w:ascii="Cambria Math" w:hAnsi="Cambria Math"/>
                      <w:sz w:val="22"/>
                      <w:szCs w:val="22"/>
                    </w:rPr>
                    <m:t>inflacion</m:t>
                  </m:r>
                </m:e>
                <m:sub>
                  <m:r>
                    <w:rPr>
                      <w:rFonts w:ascii="Cambria Math" w:hAnsi="Cambria Math"/>
                      <w:sz w:val="22"/>
                      <w:szCs w:val="22"/>
                    </w:rPr>
                    <m:t>t-1</m:t>
                  </m:r>
                </m:sub>
              </m:sSub>
            </m:e>
          </m:d>
        </m:oMath>
      </m:oMathPara>
    </w:p>
    <w:p w:rsidR="00521EC0" w:rsidRPr="00414B52" w:rsidRDefault="00521EC0" w:rsidP="00414B52">
      <w:pPr>
        <w:shd w:val="clear" w:color="auto" w:fill="FFFFFF"/>
        <w:spacing w:after="120" w:line="276" w:lineRule="auto"/>
        <w:ind w:left="708"/>
        <w:jc w:val="both"/>
        <w:rPr>
          <w:rFonts w:ascii="Palatino Linotype" w:eastAsiaTheme="minorHAnsi" w:hAnsi="Palatino Linotype" w:cs="Cambria Math"/>
          <w:i/>
          <w:sz w:val="22"/>
          <w:szCs w:val="22"/>
          <w:lang w:eastAsia="en-US"/>
        </w:rPr>
      </w:pPr>
      <w:r w:rsidRPr="00414B52">
        <w:rPr>
          <w:rFonts w:ascii="Palatino Linotype" w:eastAsiaTheme="minorHAnsi" w:hAnsi="Palatino Linotype" w:cs="Cambria Math"/>
          <w:i/>
          <w:sz w:val="22"/>
          <w:szCs w:val="22"/>
          <w:lang w:eastAsia="en-US"/>
        </w:rPr>
        <w:t xml:space="preserve">El valor que el gestor de recaudación de la </w:t>
      </w:r>
      <w:r w:rsidRPr="00414B52">
        <w:rPr>
          <w:rStyle w:val="hit"/>
          <w:rFonts w:ascii="Palatino Linotype" w:hAnsi="Palatino Linotype"/>
          <w:i/>
          <w:sz w:val="22"/>
          <w:szCs w:val="22"/>
        </w:rPr>
        <w:t>tasa</w:t>
      </w:r>
      <w:r w:rsidRPr="00414B52">
        <w:rPr>
          <w:rFonts w:ascii="Palatino Linotype" w:hAnsi="Palatino Linotype"/>
          <w:i/>
          <w:sz w:val="22"/>
          <w:szCs w:val="22"/>
        </w:rPr>
        <w:t xml:space="preserve"> para la gestión integral de residuos sólidos</w:t>
      </w:r>
      <w:r w:rsidRPr="00414B52">
        <w:rPr>
          <w:rFonts w:ascii="Palatino Linotype" w:eastAsiaTheme="minorHAnsi" w:hAnsi="Palatino Linotype" w:cs="Cambria Math"/>
          <w:i/>
          <w:sz w:val="22"/>
          <w:szCs w:val="22"/>
          <w:lang w:eastAsia="en-US"/>
        </w:rPr>
        <w:t xml:space="preserve">, reciba por concepto de </w:t>
      </w:r>
      <w:proofErr w:type="spellStart"/>
      <w:r w:rsidRPr="00414B52">
        <w:rPr>
          <w:rFonts w:ascii="Palatino Linotype" w:eastAsiaTheme="minorHAnsi" w:hAnsi="Palatino Linotype" w:cs="Cambria Math"/>
          <w:i/>
          <w:sz w:val="22"/>
          <w:szCs w:val="22"/>
          <w:lang w:eastAsia="en-US"/>
        </w:rPr>
        <w:t>TGIRS</w:t>
      </w:r>
      <w:proofErr w:type="spellEnd"/>
      <w:r w:rsidRPr="00414B52">
        <w:rPr>
          <w:rFonts w:ascii="Palatino Linotype" w:eastAsiaTheme="minorHAnsi" w:hAnsi="Palatino Linotype" w:cs="Cambria Math"/>
          <w:i/>
          <w:sz w:val="22"/>
          <w:szCs w:val="22"/>
          <w:lang w:eastAsia="en-US"/>
        </w:rPr>
        <w:t xml:space="preserve"> será entregado </w:t>
      </w:r>
      <w:r w:rsidR="00DB006B" w:rsidRPr="00414B52">
        <w:rPr>
          <w:rFonts w:ascii="Palatino Linotype" w:eastAsiaTheme="minorHAnsi" w:hAnsi="Palatino Linotype" w:cs="Cambria Math"/>
          <w:i/>
          <w:sz w:val="22"/>
          <w:szCs w:val="22"/>
          <w:lang w:eastAsia="en-US"/>
        </w:rPr>
        <w:t>y administrado por</w:t>
      </w:r>
      <w:r w:rsidRPr="00414B52">
        <w:rPr>
          <w:rFonts w:ascii="Palatino Linotype" w:eastAsiaTheme="minorHAnsi" w:hAnsi="Palatino Linotype" w:cs="Cambria Math"/>
          <w:i/>
          <w:sz w:val="22"/>
          <w:szCs w:val="22"/>
          <w:lang w:eastAsia="en-US"/>
        </w:rPr>
        <w:t xml:space="preserve"> la o las empresas</w:t>
      </w:r>
      <w:r w:rsidR="00DB006B" w:rsidRPr="00414B52">
        <w:rPr>
          <w:rFonts w:ascii="Palatino Linotype" w:eastAsiaTheme="minorHAnsi" w:hAnsi="Palatino Linotype" w:cs="Cambria Math"/>
          <w:i/>
          <w:sz w:val="22"/>
          <w:szCs w:val="22"/>
          <w:lang w:eastAsia="en-US"/>
        </w:rPr>
        <w:t xml:space="preserve"> públicas</w:t>
      </w:r>
      <w:r w:rsidRPr="00414B52">
        <w:rPr>
          <w:rFonts w:ascii="Palatino Linotype" w:eastAsiaTheme="minorHAnsi" w:hAnsi="Palatino Linotype" w:cs="Cambria Math"/>
          <w:i/>
          <w:sz w:val="22"/>
          <w:szCs w:val="22"/>
          <w:lang w:eastAsia="en-US"/>
        </w:rPr>
        <w:t xml:space="preserve"> encargadas de la gestión integral de residuos sólidos en el </w:t>
      </w:r>
      <w:proofErr w:type="spellStart"/>
      <w:r w:rsidRPr="00414B52">
        <w:rPr>
          <w:rFonts w:ascii="Palatino Linotype" w:eastAsiaTheme="minorHAnsi" w:hAnsi="Palatino Linotype" w:cs="Cambria Math"/>
          <w:i/>
          <w:sz w:val="22"/>
          <w:szCs w:val="22"/>
          <w:lang w:eastAsia="en-US"/>
        </w:rPr>
        <w:t>DMQ</w:t>
      </w:r>
      <w:proofErr w:type="spellEnd"/>
      <w:r w:rsidRPr="00414B52">
        <w:rPr>
          <w:rFonts w:ascii="Palatino Linotype" w:eastAsiaTheme="minorHAnsi" w:hAnsi="Palatino Linotype" w:cs="Cambria Math"/>
          <w:i/>
          <w:sz w:val="22"/>
          <w:szCs w:val="22"/>
          <w:lang w:eastAsia="en-US"/>
        </w:rPr>
        <w:t xml:space="preserve">.  </w:t>
      </w:r>
    </w:p>
    <w:p w:rsidR="00D0061F" w:rsidRDefault="00521EC0" w:rsidP="00414B52">
      <w:pPr>
        <w:shd w:val="clear" w:color="auto" w:fill="FFFFFF"/>
        <w:spacing w:after="120" w:line="276" w:lineRule="auto"/>
        <w:ind w:left="708"/>
        <w:jc w:val="both"/>
        <w:rPr>
          <w:rFonts w:ascii="Palatino Linotype" w:hAnsi="Palatino Linotype"/>
          <w:i/>
          <w:spacing w:val="-3"/>
          <w:sz w:val="22"/>
          <w:szCs w:val="22"/>
          <w:lang w:val="es-ES_tradnl"/>
        </w:rPr>
      </w:pPr>
      <w:r w:rsidRPr="00414B52">
        <w:rPr>
          <w:rFonts w:ascii="Palatino Linotype" w:hAnsi="Palatino Linotype"/>
          <w:i/>
          <w:spacing w:val="-3"/>
          <w:sz w:val="22"/>
          <w:szCs w:val="22"/>
          <w:lang w:val="es-ES_tradnl"/>
        </w:rPr>
        <w:t xml:space="preserve">Están exentos del pago de la </w:t>
      </w:r>
      <w:proofErr w:type="spellStart"/>
      <w:r w:rsidRPr="00414B52">
        <w:rPr>
          <w:rFonts w:ascii="Palatino Linotype" w:hAnsi="Palatino Linotype"/>
          <w:i/>
          <w:spacing w:val="-3"/>
          <w:sz w:val="22"/>
          <w:szCs w:val="22"/>
          <w:lang w:val="es-ES_tradnl"/>
        </w:rPr>
        <w:t>TGIRS</w:t>
      </w:r>
      <w:proofErr w:type="spellEnd"/>
      <w:r w:rsidRPr="00414B52">
        <w:rPr>
          <w:rFonts w:ascii="Palatino Linotype" w:hAnsi="Palatino Linotype"/>
          <w:i/>
          <w:spacing w:val="-3"/>
          <w:sz w:val="22"/>
          <w:szCs w:val="22"/>
          <w:lang w:val="es-ES_tradnl"/>
        </w:rPr>
        <w:t xml:space="preserve">, los lugares inaccesibles donde se ubican las torres y antenas de los medios de comunicación en las cumbres del Pichincha y </w:t>
      </w:r>
      <w:proofErr w:type="spellStart"/>
      <w:r w:rsidRPr="00414B52">
        <w:rPr>
          <w:rFonts w:ascii="Palatino Linotype" w:hAnsi="Palatino Linotype"/>
          <w:i/>
          <w:spacing w:val="-3"/>
          <w:sz w:val="22"/>
          <w:szCs w:val="22"/>
          <w:lang w:val="es-ES_tradnl"/>
        </w:rPr>
        <w:t>Atacazo</w:t>
      </w:r>
      <w:proofErr w:type="spellEnd"/>
      <w:r w:rsidR="00D0061F">
        <w:rPr>
          <w:rFonts w:ascii="Palatino Linotype" w:hAnsi="Palatino Linotype"/>
          <w:i/>
          <w:spacing w:val="-3"/>
          <w:sz w:val="22"/>
          <w:szCs w:val="22"/>
          <w:lang w:val="es-ES_tradnl"/>
        </w:rPr>
        <w:t>.</w:t>
      </w:r>
    </w:p>
    <w:p w:rsidR="00D0061F" w:rsidRPr="00D0061F" w:rsidRDefault="00D0061F" w:rsidP="00D0061F">
      <w:pPr>
        <w:pStyle w:val="Prrafodelista"/>
        <w:numPr>
          <w:ilvl w:val="0"/>
          <w:numId w:val="4"/>
        </w:numPr>
        <w:shd w:val="clear" w:color="auto" w:fill="FFFFFF"/>
        <w:spacing w:after="120" w:line="276" w:lineRule="auto"/>
        <w:ind w:left="709" w:hanging="1"/>
        <w:jc w:val="both"/>
        <w:rPr>
          <w:rFonts w:ascii="Palatino Linotype" w:hAnsi="Palatino Linotype"/>
          <w:i/>
          <w:spacing w:val="-3"/>
          <w:lang w:val="es-ES_tradnl"/>
        </w:rPr>
      </w:pPr>
      <w:r>
        <w:rPr>
          <w:rFonts w:ascii="Palatino Linotype" w:hAnsi="Palatino Linotype" w:cs="Arial"/>
          <w:b/>
          <w:i/>
        </w:rPr>
        <w:t xml:space="preserve">Para </w:t>
      </w:r>
      <w:r w:rsidRPr="00D0061F">
        <w:rPr>
          <w:rFonts w:ascii="Palatino Linotype" w:hAnsi="Palatino Linotype" w:cs="Arial"/>
          <w:b/>
          <w:i/>
        </w:rPr>
        <w:t>grandes generadores de residuos</w:t>
      </w:r>
      <w:r>
        <w:rPr>
          <w:rFonts w:ascii="Palatino Linotype" w:hAnsi="Palatino Linotype" w:cs="Arial"/>
          <w:i/>
        </w:rPr>
        <w:t>:</w:t>
      </w:r>
      <w:r w:rsidRPr="00D0061F">
        <w:rPr>
          <w:rFonts w:ascii="Palatino Linotype" w:hAnsi="Palatino Linotype" w:cs="Arial"/>
          <w:i/>
        </w:rPr>
        <w:t xml:space="preserve"> </w:t>
      </w:r>
      <w:r w:rsidRPr="00D0061F">
        <w:rPr>
          <w:rFonts w:ascii="Palatino Linotype" w:hAnsi="Palatino Linotype" w:cs="Arial"/>
          <w:i/>
          <w:color w:val="000000" w:themeColor="text1"/>
        </w:rPr>
        <w:t>El monto de la tasa mensual para los usuarios calificados como grandes generadores de residuos, se calculará por la siguiente fórmula:</w:t>
      </w:r>
    </w:p>
    <w:p w:rsidR="00D0061F" w:rsidRPr="00494258" w:rsidRDefault="00D0061F" w:rsidP="00D0061F">
      <w:pPr>
        <w:pStyle w:val="Default"/>
        <w:spacing w:after="120" w:line="276" w:lineRule="auto"/>
        <w:ind w:left="708"/>
        <w:jc w:val="center"/>
        <w:rPr>
          <w:rFonts w:ascii="Palatino Linotype" w:hAnsi="Palatino Linotype"/>
          <w:i/>
          <w:color w:val="000000" w:themeColor="text1"/>
          <w:sz w:val="22"/>
          <w:szCs w:val="22"/>
          <w:lang w:val="en-US"/>
        </w:rPr>
      </w:pPr>
      <w:proofErr w:type="spellStart"/>
      <w:r w:rsidRPr="00494258">
        <w:rPr>
          <w:rFonts w:ascii="Palatino Linotype" w:hAnsi="Palatino Linotype"/>
          <w:b/>
          <w:i/>
          <w:color w:val="000000" w:themeColor="text1"/>
          <w:sz w:val="22"/>
          <w:szCs w:val="22"/>
          <w:lang w:val="en-US"/>
        </w:rPr>
        <w:t>TGIRS</w:t>
      </w:r>
      <w:proofErr w:type="spellEnd"/>
      <w:r w:rsidRPr="00494258">
        <w:rPr>
          <w:rFonts w:ascii="Palatino Linotype" w:hAnsi="Palatino Linotype"/>
          <w:b/>
          <w:i/>
          <w:color w:val="000000" w:themeColor="text1"/>
          <w:sz w:val="22"/>
          <w:szCs w:val="22"/>
          <w:lang w:val="en-US"/>
        </w:rPr>
        <w:t xml:space="preserve"> =</w:t>
      </w:r>
      <w:r w:rsidRPr="00494258">
        <w:rPr>
          <w:rFonts w:ascii="Palatino Linotype" w:hAnsi="Palatino Linotype"/>
          <w:i/>
          <w:color w:val="000000" w:themeColor="text1"/>
          <w:sz w:val="22"/>
          <w:szCs w:val="22"/>
          <w:lang w:val="en-US"/>
        </w:rPr>
        <w:t xml:space="preserve"> (</w:t>
      </w:r>
      <w:proofErr w:type="spellStart"/>
      <w:r w:rsidRPr="00494258">
        <w:rPr>
          <w:rFonts w:ascii="Palatino Linotype" w:hAnsi="Palatino Linotype"/>
          <w:i/>
          <w:color w:val="000000" w:themeColor="text1"/>
          <w:sz w:val="22"/>
          <w:szCs w:val="22"/>
          <w:lang w:val="en-US"/>
        </w:rPr>
        <w:t>CO</w:t>
      </w:r>
      <w:r w:rsidRPr="00494258">
        <w:rPr>
          <w:rFonts w:ascii="Palatino Linotype" w:hAnsi="Palatino Linotype"/>
          <w:i/>
          <w:color w:val="000000" w:themeColor="text1"/>
          <w:sz w:val="22"/>
          <w:szCs w:val="22"/>
          <w:vertAlign w:val="subscript"/>
          <w:lang w:val="en-US"/>
        </w:rPr>
        <w:t>ton</w:t>
      </w:r>
      <w:proofErr w:type="spellEnd"/>
      <w:r w:rsidRPr="00494258">
        <w:rPr>
          <w:rFonts w:ascii="Palatino Linotype" w:hAnsi="Palatino Linotype"/>
          <w:i/>
          <w:color w:val="000000" w:themeColor="text1"/>
          <w:sz w:val="22"/>
          <w:szCs w:val="22"/>
          <w:lang w:val="en-US"/>
        </w:rPr>
        <w:t xml:space="preserve"> * V * D) * </w:t>
      </w:r>
      <w:r w:rsidRPr="00494258">
        <w:rPr>
          <w:rFonts w:ascii="Palatino Linotype" w:hAnsi="Palatino Linotype"/>
          <w:i/>
          <w:sz w:val="22"/>
          <w:szCs w:val="22"/>
          <w:lang w:val="en-US"/>
        </w:rPr>
        <w:t xml:space="preserve">(1 + 0.6 x </w:t>
      </w:r>
      <w:proofErr w:type="spellStart"/>
      <w:r w:rsidRPr="00494258">
        <w:rPr>
          <w:rFonts w:ascii="Palatino Linotype" w:hAnsi="Palatino Linotype"/>
          <w:i/>
          <w:iCs/>
          <w:sz w:val="22"/>
          <w:szCs w:val="22"/>
          <w:lang w:val="en-US"/>
        </w:rPr>
        <w:t>inflación</w:t>
      </w:r>
      <w:r w:rsidRPr="00494258">
        <w:rPr>
          <w:rFonts w:ascii="Palatino Linotype" w:hAnsi="Palatino Linotype"/>
          <w:i/>
          <w:iCs/>
          <w:sz w:val="22"/>
          <w:szCs w:val="22"/>
          <w:vertAlign w:val="subscript"/>
          <w:lang w:val="en-US"/>
        </w:rPr>
        <w:t>t_i</w:t>
      </w:r>
      <w:proofErr w:type="spellEnd"/>
      <w:r w:rsidRPr="00494258">
        <w:rPr>
          <w:rFonts w:ascii="Palatino Linotype" w:hAnsi="Palatino Linotype"/>
          <w:i/>
          <w:iCs/>
          <w:sz w:val="22"/>
          <w:szCs w:val="22"/>
          <w:lang w:val="en-US"/>
        </w:rPr>
        <w:t>)</w:t>
      </w:r>
    </w:p>
    <w:p w:rsidR="00D0061F" w:rsidRPr="00414B52" w:rsidRDefault="00D0061F" w:rsidP="00D0061F">
      <w:pPr>
        <w:pStyle w:val="Sinespaciado"/>
        <w:spacing w:after="120" w:line="276" w:lineRule="auto"/>
        <w:ind w:left="708"/>
        <w:jc w:val="both"/>
        <w:rPr>
          <w:rFonts w:ascii="Palatino Linotype" w:hAnsi="Palatino Linotype" w:cs="Arial"/>
          <w:i/>
          <w:color w:val="000000" w:themeColor="text1"/>
          <w:lang w:val="es-ES"/>
        </w:rPr>
      </w:pPr>
      <w:r w:rsidRPr="00414B52">
        <w:rPr>
          <w:rFonts w:ascii="Palatino Linotype" w:hAnsi="Palatino Linotype" w:cs="Arial"/>
          <w:i/>
          <w:color w:val="000000" w:themeColor="text1"/>
          <w:lang w:val="es-ES"/>
        </w:rPr>
        <w:t>En donde:</w:t>
      </w:r>
    </w:p>
    <w:tbl>
      <w:tblPr>
        <w:tblW w:w="0" w:type="auto"/>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135"/>
        <w:gridCol w:w="222"/>
        <w:gridCol w:w="6575"/>
      </w:tblGrid>
      <w:tr w:rsidR="00D0061F" w:rsidRPr="00414B52" w:rsidTr="003C2EA4">
        <w:trPr>
          <w:jc w:val="center"/>
        </w:trPr>
        <w:tc>
          <w:tcPr>
            <w:tcW w:w="0" w:type="auto"/>
            <w:tcBorders>
              <w:top w:val="single" w:sz="4" w:space="0" w:color="A5A5A5"/>
              <w:left w:val="single" w:sz="4" w:space="0" w:color="A5A5A5"/>
              <w:bottom w:val="single" w:sz="4" w:space="0" w:color="A5A5A5"/>
              <w:right w:val="nil"/>
            </w:tcBorders>
            <w:shd w:val="clear" w:color="auto" w:fill="D9D9D9" w:themeFill="background1" w:themeFillShade="D9"/>
            <w:vAlign w:val="center"/>
          </w:tcPr>
          <w:p w:rsidR="00D0061F" w:rsidRPr="00414B52" w:rsidRDefault="00D0061F" w:rsidP="003C2EA4">
            <w:pPr>
              <w:pStyle w:val="Sinespaciado"/>
              <w:spacing w:after="120" w:line="276" w:lineRule="auto"/>
              <w:jc w:val="center"/>
              <w:rPr>
                <w:rFonts w:ascii="Palatino Linotype" w:hAnsi="Palatino Linotype" w:cs="Arial"/>
                <w:b/>
                <w:bCs/>
                <w:i/>
                <w:color w:val="000000" w:themeColor="text1"/>
                <w:lang w:val="es-ES"/>
              </w:rPr>
            </w:pPr>
            <w:proofErr w:type="spellStart"/>
            <w:r w:rsidRPr="00414B52">
              <w:rPr>
                <w:rFonts w:ascii="Palatino Linotype" w:hAnsi="Palatino Linotype" w:cs="Arial"/>
                <w:b/>
                <w:bCs/>
                <w:i/>
                <w:color w:val="000000" w:themeColor="text1"/>
                <w:lang w:val="es-ES"/>
              </w:rPr>
              <w:t>TGIRS</w:t>
            </w:r>
            <w:proofErr w:type="spellEnd"/>
          </w:p>
        </w:tc>
        <w:tc>
          <w:tcPr>
            <w:tcW w:w="6798" w:type="dxa"/>
            <w:gridSpan w:val="2"/>
            <w:tcBorders>
              <w:top w:val="single" w:sz="4" w:space="0" w:color="A5A5A5"/>
              <w:left w:val="nil"/>
              <w:bottom w:val="single" w:sz="4" w:space="0" w:color="A5A5A5"/>
              <w:right w:val="single" w:sz="4" w:space="0" w:color="A5A5A5"/>
            </w:tcBorders>
            <w:shd w:val="clear" w:color="auto" w:fill="D9D9D9" w:themeFill="background1" w:themeFillShade="D9"/>
            <w:vAlign w:val="center"/>
          </w:tcPr>
          <w:p w:rsidR="00D0061F" w:rsidRPr="00414B52" w:rsidRDefault="00D0061F" w:rsidP="003C2EA4">
            <w:pPr>
              <w:pStyle w:val="Sinespaciado"/>
              <w:spacing w:after="120" w:line="276" w:lineRule="auto"/>
              <w:jc w:val="center"/>
              <w:rPr>
                <w:rFonts w:ascii="Palatino Linotype" w:hAnsi="Palatino Linotype" w:cs="Arial"/>
                <w:b/>
                <w:bCs/>
                <w:i/>
                <w:color w:val="000000" w:themeColor="text1"/>
                <w:lang w:val="es-ES"/>
              </w:rPr>
            </w:pPr>
            <w:r w:rsidRPr="00414B52">
              <w:rPr>
                <w:rFonts w:ascii="Palatino Linotype" w:hAnsi="Palatino Linotype" w:cs="Arial"/>
                <w:b/>
                <w:bCs/>
                <w:i/>
                <w:color w:val="000000" w:themeColor="text1"/>
                <w:lang w:val="es-ES"/>
              </w:rPr>
              <w:t>Cuantía de la tasa para Grandes Generadores</w:t>
            </w:r>
          </w:p>
        </w:tc>
      </w:tr>
      <w:tr w:rsidR="00D0061F" w:rsidRPr="00414B52" w:rsidTr="003C2EA4">
        <w:trPr>
          <w:jc w:val="center"/>
        </w:trPr>
        <w:tc>
          <w:tcPr>
            <w:tcW w:w="0" w:type="auto"/>
            <w:shd w:val="clear" w:color="auto" w:fill="EDEDED"/>
            <w:vAlign w:val="center"/>
          </w:tcPr>
          <w:p w:rsidR="00D0061F" w:rsidRPr="00414B52" w:rsidRDefault="00D0061F" w:rsidP="003C2EA4">
            <w:pPr>
              <w:pStyle w:val="Sinespaciado"/>
              <w:spacing w:after="120" w:line="276" w:lineRule="auto"/>
              <w:jc w:val="center"/>
              <w:rPr>
                <w:rFonts w:ascii="Palatino Linotype" w:hAnsi="Palatino Linotype" w:cs="Arial"/>
                <w:b/>
                <w:bCs/>
                <w:i/>
                <w:color w:val="000000" w:themeColor="text1"/>
                <w:lang w:val="es-ES"/>
              </w:rPr>
            </w:pPr>
            <w:proofErr w:type="spellStart"/>
            <w:r w:rsidRPr="00414B52">
              <w:rPr>
                <w:rFonts w:ascii="Palatino Linotype" w:hAnsi="Palatino Linotype" w:cs="Arial"/>
                <w:b/>
                <w:bCs/>
                <w:i/>
                <w:color w:val="000000" w:themeColor="text1"/>
                <w:lang w:val="es-ES"/>
              </w:rPr>
              <w:t>CO</w:t>
            </w:r>
            <w:r w:rsidRPr="00414B52">
              <w:rPr>
                <w:rFonts w:ascii="Palatino Linotype" w:hAnsi="Palatino Linotype" w:cs="Arial"/>
                <w:b/>
                <w:bCs/>
                <w:i/>
                <w:color w:val="000000" w:themeColor="text1"/>
                <w:vertAlign w:val="subscript"/>
                <w:lang w:val="es-ES"/>
              </w:rPr>
              <w:t>ton</w:t>
            </w:r>
            <w:proofErr w:type="spellEnd"/>
          </w:p>
        </w:tc>
        <w:tc>
          <w:tcPr>
            <w:tcW w:w="0" w:type="auto"/>
            <w:shd w:val="clear" w:color="auto" w:fill="EDEDED"/>
            <w:vAlign w:val="center"/>
          </w:tcPr>
          <w:p w:rsidR="00D0061F" w:rsidRPr="00414B52" w:rsidRDefault="00D0061F" w:rsidP="003C2EA4">
            <w:pPr>
              <w:pStyle w:val="Sinespaciado"/>
              <w:spacing w:after="120" w:line="276" w:lineRule="auto"/>
              <w:jc w:val="center"/>
              <w:rPr>
                <w:rFonts w:ascii="Palatino Linotype" w:hAnsi="Palatino Linotype" w:cs="Arial"/>
                <w:b/>
                <w:i/>
                <w:color w:val="000000" w:themeColor="text1"/>
                <w:lang w:val="es-ES"/>
              </w:rPr>
            </w:pPr>
          </w:p>
        </w:tc>
        <w:tc>
          <w:tcPr>
            <w:tcW w:w="6575" w:type="dxa"/>
            <w:shd w:val="clear" w:color="auto" w:fill="EDEDED"/>
            <w:vAlign w:val="center"/>
          </w:tcPr>
          <w:p w:rsidR="00D0061F" w:rsidRPr="00414B52" w:rsidRDefault="00D0061F" w:rsidP="003C2EA4">
            <w:pPr>
              <w:pStyle w:val="Sinespaciado"/>
              <w:spacing w:after="120" w:line="276" w:lineRule="auto"/>
              <w:jc w:val="both"/>
              <w:rPr>
                <w:rFonts w:ascii="Palatino Linotype" w:hAnsi="Palatino Linotype" w:cs="Arial"/>
                <w:i/>
                <w:color w:val="000000" w:themeColor="text1"/>
                <w:lang w:val="es-ES"/>
              </w:rPr>
            </w:pPr>
            <w:r w:rsidRPr="00414B52">
              <w:rPr>
                <w:rFonts w:ascii="Palatino Linotype" w:hAnsi="Palatino Linotype" w:cs="Arial"/>
                <w:i/>
                <w:color w:val="000000" w:themeColor="text1"/>
                <w:lang w:val="es-ES"/>
              </w:rPr>
              <w:t xml:space="preserve">Costo Operativo por tonelada, por servicio de </w:t>
            </w:r>
            <w:proofErr w:type="spellStart"/>
            <w:r w:rsidRPr="00414B52">
              <w:rPr>
                <w:rFonts w:ascii="Palatino Linotype" w:hAnsi="Palatino Linotype" w:cs="Arial"/>
                <w:i/>
                <w:color w:val="000000" w:themeColor="text1"/>
                <w:lang w:val="es-ES"/>
              </w:rPr>
              <w:t>GIRS</w:t>
            </w:r>
            <w:proofErr w:type="spellEnd"/>
          </w:p>
        </w:tc>
      </w:tr>
      <w:tr w:rsidR="00D0061F" w:rsidRPr="00414B52" w:rsidTr="003C2EA4">
        <w:trPr>
          <w:jc w:val="center"/>
        </w:trPr>
        <w:tc>
          <w:tcPr>
            <w:tcW w:w="0" w:type="auto"/>
            <w:shd w:val="clear" w:color="auto" w:fill="auto"/>
            <w:vAlign w:val="center"/>
          </w:tcPr>
          <w:p w:rsidR="00D0061F" w:rsidRPr="00414B52" w:rsidRDefault="00D0061F" w:rsidP="003C2EA4">
            <w:pPr>
              <w:pStyle w:val="Sinespaciado"/>
              <w:spacing w:after="120" w:line="276" w:lineRule="auto"/>
              <w:jc w:val="center"/>
              <w:rPr>
                <w:rFonts w:ascii="Palatino Linotype" w:hAnsi="Palatino Linotype" w:cs="Arial"/>
                <w:b/>
                <w:bCs/>
                <w:i/>
                <w:color w:val="000000" w:themeColor="text1"/>
                <w:lang w:val="es-ES"/>
              </w:rPr>
            </w:pPr>
            <w:r w:rsidRPr="00414B52">
              <w:rPr>
                <w:rFonts w:ascii="Palatino Linotype" w:hAnsi="Palatino Linotype" w:cs="Arial"/>
                <w:b/>
                <w:bCs/>
                <w:i/>
                <w:color w:val="000000" w:themeColor="text1"/>
                <w:lang w:val="es-ES"/>
              </w:rPr>
              <w:t>V</w:t>
            </w:r>
          </w:p>
        </w:tc>
        <w:tc>
          <w:tcPr>
            <w:tcW w:w="0" w:type="auto"/>
            <w:shd w:val="clear" w:color="auto" w:fill="auto"/>
            <w:vAlign w:val="center"/>
          </w:tcPr>
          <w:p w:rsidR="00D0061F" w:rsidRPr="00414B52" w:rsidRDefault="00D0061F" w:rsidP="003C2EA4">
            <w:pPr>
              <w:pStyle w:val="Sinespaciado"/>
              <w:spacing w:after="120" w:line="276" w:lineRule="auto"/>
              <w:jc w:val="center"/>
              <w:rPr>
                <w:rFonts w:ascii="Palatino Linotype" w:hAnsi="Palatino Linotype" w:cs="Arial"/>
                <w:b/>
                <w:i/>
                <w:color w:val="000000" w:themeColor="text1"/>
                <w:lang w:val="es-ES"/>
              </w:rPr>
            </w:pPr>
          </w:p>
        </w:tc>
        <w:tc>
          <w:tcPr>
            <w:tcW w:w="6575" w:type="dxa"/>
            <w:shd w:val="clear" w:color="auto" w:fill="auto"/>
            <w:vAlign w:val="center"/>
          </w:tcPr>
          <w:p w:rsidR="00D0061F" w:rsidRPr="00414B52" w:rsidRDefault="00D0061F" w:rsidP="003C2EA4">
            <w:pPr>
              <w:pStyle w:val="Sinespaciado"/>
              <w:spacing w:after="120" w:line="276" w:lineRule="auto"/>
              <w:jc w:val="both"/>
              <w:rPr>
                <w:rFonts w:ascii="Palatino Linotype" w:hAnsi="Palatino Linotype" w:cs="Arial"/>
                <w:i/>
                <w:color w:val="000000" w:themeColor="text1"/>
                <w:lang w:val="es-ES"/>
              </w:rPr>
            </w:pPr>
            <w:r w:rsidRPr="00414B52">
              <w:rPr>
                <w:rFonts w:ascii="Palatino Linotype" w:hAnsi="Palatino Linotype" w:cs="Arial"/>
                <w:i/>
                <w:color w:val="000000" w:themeColor="text1"/>
                <w:lang w:val="es-ES"/>
              </w:rPr>
              <w:t>Volumen de la basura recolectada (</w:t>
            </w:r>
            <w:proofErr w:type="spellStart"/>
            <w:r w:rsidRPr="00414B52">
              <w:rPr>
                <w:rFonts w:ascii="Palatino Linotype" w:hAnsi="Palatino Linotype" w:cs="Arial"/>
                <w:i/>
                <w:color w:val="000000" w:themeColor="text1"/>
                <w:lang w:val="es-ES"/>
              </w:rPr>
              <w:t>m</w:t>
            </w:r>
            <w:r w:rsidRPr="00414B52">
              <w:rPr>
                <w:rFonts w:ascii="Palatino Linotype" w:hAnsi="Palatino Linotype" w:cs="Arial"/>
                <w:i/>
                <w:color w:val="000000" w:themeColor="text1"/>
                <w:vertAlign w:val="superscript"/>
                <w:lang w:val="es-ES"/>
              </w:rPr>
              <w:t>3</w:t>
            </w:r>
            <w:proofErr w:type="spellEnd"/>
            <w:r w:rsidRPr="00414B52">
              <w:rPr>
                <w:rFonts w:ascii="Palatino Linotype" w:hAnsi="Palatino Linotype" w:cs="Arial"/>
                <w:i/>
                <w:color w:val="000000" w:themeColor="text1"/>
                <w:lang w:val="es-ES"/>
              </w:rPr>
              <w:t>) mensual.</w:t>
            </w:r>
          </w:p>
        </w:tc>
      </w:tr>
      <w:tr w:rsidR="00D0061F" w:rsidRPr="00414B52" w:rsidTr="003C2EA4">
        <w:trPr>
          <w:jc w:val="center"/>
        </w:trPr>
        <w:tc>
          <w:tcPr>
            <w:tcW w:w="0" w:type="auto"/>
            <w:shd w:val="clear" w:color="auto" w:fill="EDEDED"/>
            <w:vAlign w:val="center"/>
          </w:tcPr>
          <w:p w:rsidR="00D0061F" w:rsidRPr="00414B52" w:rsidRDefault="00D0061F" w:rsidP="003C2EA4">
            <w:pPr>
              <w:pStyle w:val="Sinespaciado"/>
              <w:spacing w:after="120" w:line="276" w:lineRule="auto"/>
              <w:jc w:val="center"/>
              <w:rPr>
                <w:rFonts w:ascii="Palatino Linotype" w:hAnsi="Palatino Linotype" w:cs="Arial"/>
                <w:b/>
                <w:bCs/>
                <w:i/>
                <w:color w:val="000000" w:themeColor="text1"/>
                <w:lang w:val="es-ES"/>
              </w:rPr>
            </w:pPr>
            <w:r w:rsidRPr="00414B52">
              <w:rPr>
                <w:rFonts w:ascii="Palatino Linotype" w:hAnsi="Palatino Linotype" w:cs="Arial"/>
                <w:b/>
                <w:bCs/>
                <w:i/>
                <w:color w:val="000000" w:themeColor="text1"/>
                <w:lang w:val="es-ES"/>
              </w:rPr>
              <w:lastRenderedPageBreak/>
              <w:t>D</w:t>
            </w:r>
          </w:p>
        </w:tc>
        <w:tc>
          <w:tcPr>
            <w:tcW w:w="0" w:type="auto"/>
            <w:shd w:val="clear" w:color="auto" w:fill="EDEDED"/>
            <w:vAlign w:val="center"/>
          </w:tcPr>
          <w:p w:rsidR="00D0061F" w:rsidRPr="00414B52" w:rsidRDefault="00D0061F" w:rsidP="003C2EA4">
            <w:pPr>
              <w:pStyle w:val="Sinespaciado"/>
              <w:spacing w:after="120" w:line="276" w:lineRule="auto"/>
              <w:jc w:val="center"/>
              <w:rPr>
                <w:rFonts w:ascii="Palatino Linotype" w:hAnsi="Palatino Linotype" w:cs="Arial"/>
                <w:b/>
                <w:i/>
                <w:color w:val="000000" w:themeColor="text1"/>
                <w:lang w:val="es-ES"/>
              </w:rPr>
            </w:pPr>
          </w:p>
        </w:tc>
        <w:tc>
          <w:tcPr>
            <w:tcW w:w="6575" w:type="dxa"/>
            <w:shd w:val="clear" w:color="auto" w:fill="EDEDED"/>
            <w:vAlign w:val="center"/>
          </w:tcPr>
          <w:p w:rsidR="00D0061F" w:rsidRPr="00414B52" w:rsidRDefault="00D0061F" w:rsidP="003C2EA4">
            <w:pPr>
              <w:pStyle w:val="Sinespaciado"/>
              <w:spacing w:after="120" w:line="276" w:lineRule="auto"/>
              <w:jc w:val="both"/>
              <w:rPr>
                <w:rFonts w:ascii="Palatino Linotype" w:hAnsi="Palatino Linotype" w:cs="Arial"/>
                <w:i/>
                <w:color w:val="000000" w:themeColor="text1"/>
                <w:lang w:val="es-ES"/>
              </w:rPr>
            </w:pPr>
            <w:r w:rsidRPr="00414B52">
              <w:rPr>
                <w:rFonts w:ascii="Palatino Linotype" w:hAnsi="Palatino Linotype" w:cs="Arial"/>
                <w:i/>
                <w:color w:val="000000" w:themeColor="text1"/>
                <w:lang w:val="es-ES"/>
              </w:rPr>
              <w:t>Peso específico promedio de los desechos recolectados (Ton/</w:t>
            </w:r>
            <w:proofErr w:type="spellStart"/>
            <w:r w:rsidRPr="00414B52">
              <w:rPr>
                <w:rFonts w:ascii="Palatino Linotype" w:hAnsi="Palatino Linotype" w:cs="Arial"/>
                <w:i/>
                <w:color w:val="000000" w:themeColor="text1"/>
                <w:lang w:val="es-ES"/>
              </w:rPr>
              <w:t>m</w:t>
            </w:r>
            <w:r w:rsidRPr="00414B52">
              <w:rPr>
                <w:rFonts w:ascii="Palatino Linotype" w:hAnsi="Palatino Linotype" w:cs="Arial"/>
                <w:i/>
                <w:color w:val="000000" w:themeColor="text1"/>
                <w:vertAlign w:val="superscript"/>
                <w:lang w:val="es-ES"/>
              </w:rPr>
              <w:t>3</w:t>
            </w:r>
            <w:proofErr w:type="spellEnd"/>
            <w:r w:rsidRPr="00414B52">
              <w:rPr>
                <w:rFonts w:ascii="Palatino Linotype" w:hAnsi="Palatino Linotype" w:cs="Arial"/>
                <w:i/>
                <w:color w:val="000000" w:themeColor="text1"/>
                <w:lang w:val="es-ES"/>
              </w:rPr>
              <w:t>)</w:t>
            </w:r>
          </w:p>
        </w:tc>
      </w:tr>
      <w:tr w:rsidR="00D0061F" w:rsidRPr="00414B52" w:rsidTr="003C2EA4">
        <w:trPr>
          <w:jc w:val="center"/>
        </w:trPr>
        <w:tc>
          <w:tcPr>
            <w:tcW w:w="0" w:type="auto"/>
            <w:shd w:val="clear" w:color="auto" w:fill="EDEDED"/>
            <w:vAlign w:val="center"/>
          </w:tcPr>
          <w:p w:rsidR="00D0061F" w:rsidRPr="00414B52" w:rsidRDefault="00D0061F" w:rsidP="003C2EA4">
            <w:pPr>
              <w:pStyle w:val="Sinespaciado"/>
              <w:spacing w:after="120" w:line="276" w:lineRule="auto"/>
              <w:jc w:val="center"/>
              <w:rPr>
                <w:rFonts w:ascii="Palatino Linotype" w:hAnsi="Palatino Linotype" w:cs="Arial"/>
                <w:b/>
                <w:bCs/>
                <w:i/>
                <w:color w:val="000000" w:themeColor="text1"/>
                <w:lang w:val="es-ES"/>
              </w:rPr>
            </w:pPr>
            <w:proofErr w:type="spellStart"/>
            <w:r w:rsidRPr="00414B52">
              <w:rPr>
                <w:rFonts w:ascii="Palatino Linotype" w:hAnsi="Palatino Linotype" w:cs="Arial"/>
                <w:i/>
                <w:iCs/>
                <w:lang w:val="en-US"/>
              </w:rPr>
              <w:t>inflación</w:t>
            </w:r>
            <w:r w:rsidRPr="00414B52">
              <w:rPr>
                <w:rFonts w:ascii="Palatino Linotype" w:hAnsi="Palatino Linotype" w:cs="Arial"/>
                <w:i/>
                <w:iCs/>
                <w:vertAlign w:val="subscript"/>
                <w:lang w:val="en-US"/>
              </w:rPr>
              <w:t>t_i</w:t>
            </w:r>
            <w:proofErr w:type="spellEnd"/>
          </w:p>
        </w:tc>
        <w:tc>
          <w:tcPr>
            <w:tcW w:w="0" w:type="auto"/>
            <w:shd w:val="clear" w:color="auto" w:fill="EDEDED"/>
            <w:vAlign w:val="center"/>
          </w:tcPr>
          <w:p w:rsidR="00D0061F" w:rsidRPr="00414B52" w:rsidRDefault="00D0061F" w:rsidP="003C2EA4">
            <w:pPr>
              <w:pStyle w:val="Sinespaciado"/>
              <w:spacing w:after="120" w:line="276" w:lineRule="auto"/>
              <w:jc w:val="center"/>
              <w:rPr>
                <w:rFonts w:ascii="Palatino Linotype" w:hAnsi="Palatino Linotype" w:cs="Arial"/>
                <w:b/>
                <w:i/>
                <w:color w:val="000000" w:themeColor="text1"/>
                <w:lang w:val="es-ES"/>
              </w:rPr>
            </w:pPr>
          </w:p>
        </w:tc>
        <w:tc>
          <w:tcPr>
            <w:tcW w:w="6575" w:type="dxa"/>
            <w:shd w:val="clear" w:color="auto" w:fill="EDEDED"/>
            <w:vAlign w:val="center"/>
          </w:tcPr>
          <w:p w:rsidR="00D0061F" w:rsidRPr="00414B52" w:rsidRDefault="00D0061F" w:rsidP="003C2EA4">
            <w:pPr>
              <w:pStyle w:val="Sinespaciado"/>
              <w:spacing w:after="120" w:line="276" w:lineRule="auto"/>
              <w:jc w:val="both"/>
              <w:rPr>
                <w:rFonts w:ascii="Palatino Linotype" w:hAnsi="Palatino Linotype" w:cs="Arial"/>
                <w:i/>
                <w:color w:val="000000" w:themeColor="text1"/>
                <w:lang w:val="es-ES"/>
              </w:rPr>
            </w:pPr>
            <w:r w:rsidRPr="00414B52">
              <w:rPr>
                <w:rFonts w:ascii="Palatino Linotype" w:hAnsi="Palatino Linotype" w:cs="Arial"/>
                <w:i/>
                <w:lang w:val="es-ES"/>
              </w:rPr>
              <w:t>Inflación del año inmediatamente anterior, expresada como la variación porcentual anual a diciembre del año inmediato anterior del índice de Precios al Consumidor a nivel nacional, difundido por el Instituto Nacional de Estadísticas y Censos</w:t>
            </w:r>
          </w:p>
        </w:tc>
      </w:tr>
    </w:tbl>
    <w:p w:rsidR="003D344A" w:rsidRDefault="003D344A" w:rsidP="00D0061F">
      <w:pPr>
        <w:pStyle w:val="Sinespaciado"/>
        <w:spacing w:after="120" w:line="276" w:lineRule="auto"/>
        <w:ind w:left="708"/>
        <w:jc w:val="both"/>
        <w:rPr>
          <w:rFonts w:ascii="Palatino Linotype" w:hAnsi="Palatino Linotype" w:cs="Arial"/>
          <w:i/>
          <w:color w:val="000000" w:themeColor="text1"/>
          <w:lang w:val="es-ES"/>
        </w:rPr>
      </w:pPr>
    </w:p>
    <w:p w:rsidR="00D0061F" w:rsidRDefault="00D0061F" w:rsidP="00D0061F">
      <w:pPr>
        <w:pStyle w:val="Sinespaciado"/>
        <w:spacing w:after="120" w:line="276" w:lineRule="auto"/>
        <w:ind w:left="708"/>
        <w:jc w:val="both"/>
        <w:rPr>
          <w:rFonts w:ascii="Palatino Linotype" w:hAnsi="Palatino Linotype" w:cs="Arial"/>
          <w:i/>
          <w:color w:val="000000" w:themeColor="text1"/>
          <w:lang w:val="es-ES"/>
        </w:rPr>
      </w:pPr>
      <w:r w:rsidRPr="00414B52">
        <w:rPr>
          <w:rFonts w:ascii="Palatino Linotype" w:hAnsi="Palatino Linotype" w:cs="Arial"/>
          <w:i/>
          <w:color w:val="000000" w:themeColor="text1"/>
          <w:lang w:val="es-ES"/>
        </w:rPr>
        <w:t xml:space="preserve">Lo anterior bajo la condición de que en ningún caso la </w:t>
      </w:r>
      <w:proofErr w:type="spellStart"/>
      <w:r w:rsidRPr="00414B52">
        <w:rPr>
          <w:rFonts w:ascii="Palatino Linotype" w:hAnsi="Palatino Linotype" w:cs="Arial"/>
          <w:i/>
          <w:color w:val="000000" w:themeColor="text1"/>
          <w:lang w:val="es-ES"/>
        </w:rPr>
        <w:t>TGIRS</w:t>
      </w:r>
      <w:proofErr w:type="spellEnd"/>
      <w:r w:rsidRPr="00414B52">
        <w:rPr>
          <w:rFonts w:ascii="Palatino Linotype" w:hAnsi="Palatino Linotype" w:cs="Arial"/>
          <w:i/>
          <w:color w:val="000000" w:themeColor="text1"/>
          <w:lang w:val="es-ES"/>
        </w:rPr>
        <w:t xml:space="preserve"> será menor a lo facturado en el mes inmediato anterior, previo a la vigencia de la presente Ordenanza Metropolitana. Condición que podrá ser modificada, sobre la base del informe técnico específico efectuado entre la Secretaría de Ambiente y las empresas encargadas de la </w:t>
      </w:r>
      <w:proofErr w:type="spellStart"/>
      <w:r w:rsidRPr="00414B52">
        <w:rPr>
          <w:rFonts w:ascii="Palatino Linotype" w:hAnsi="Palatino Linotype" w:cs="Arial"/>
          <w:i/>
          <w:color w:val="000000" w:themeColor="text1"/>
          <w:lang w:val="es-ES"/>
        </w:rPr>
        <w:t>GIRS</w:t>
      </w:r>
      <w:proofErr w:type="spellEnd"/>
      <w:r w:rsidRPr="00414B52">
        <w:rPr>
          <w:rFonts w:ascii="Palatino Linotype" w:hAnsi="Palatino Linotype" w:cs="Arial"/>
          <w:i/>
          <w:color w:val="000000" w:themeColor="text1"/>
          <w:lang w:val="es-ES"/>
        </w:rPr>
        <w:t>, para determinar a un productor de cero basura.</w:t>
      </w:r>
    </w:p>
    <w:p w:rsidR="00521EC0" w:rsidRPr="00D0061F" w:rsidRDefault="00D0061F" w:rsidP="00D0061F">
      <w:pPr>
        <w:pStyle w:val="Sinespaciado"/>
        <w:numPr>
          <w:ilvl w:val="0"/>
          <w:numId w:val="4"/>
        </w:numPr>
        <w:spacing w:after="120" w:line="276" w:lineRule="auto"/>
        <w:ind w:left="709" w:hanging="1"/>
        <w:jc w:val="both"/>
        <w:rPr>
          <w:rFonts w:ascii="Palatino Linotype" w:hAnsi="Palatino Linotype" w:cs="Arial"/>
          <w:i/>
          <w:color w:val="000000" w:themeColor="text1"/>
          <w:lang w:val="es-ES"/>
        </w:rPr>
      </w:pPr>
      <w:r>
        <w:rPr>
          <w:rFonts w:ascii="Palatino Linotype" w:hAnsi="Palatino Linotype" w:cs="Arial"/>
          <w:b/>
          <w:i/>
        </w:rPr>
        <w:t>P</w:t>
      </w:r>
      <w:r w:rsidRPr="00D0061F">
        <w:rPr>
          <w:rFonts w:ascii="Palatino Linotype" w:hAnsi="Palatino Linotype" w:cs="Arial"/>
          <w:b/>
          <w:i/>
        </w:rPr>
        <w:t xml:space="preserve">ara </w:t>
      </w:r>
      <w:r w:rsidRPr="00D0061F">
        <w:rPr>
          <w:rFonts w:ascii="Palatino Linotype" w:hAnsi="Palatino Linotype"/>
          <w:b/>
          <w:i/>
        </w:rPr>
        <w:t xml:space="preserve">empresas </w:t>
      </w:r>
      <w:proofErr w:type="spellStart"/>
      <w:r w:rsidRPr="00D0061F">
        <w:rPr>
          <w:rFonts w:ascii="Palatino Linotype" w:hAnsi="Palatino Linotype"/>
          <w:b/>
          <w:i/>
        </w:rPr>
        <w:t>autoproductoras</w:t>
      </w:r>
      <w:proofErr w:type="spellEnd"/>
      <w:r w:rsidRPr="00D0061F">
        <w:rPr>
          <w:rFonts w:ascii="Palatino Linotype" w:hAnsi="Palatino Linotype"/>
          <w:b/>
          <w:i/>
        </w:rPr>
        <w:t xml:space="preserve"> y </w:t>
      </w:r>
      <w:proofErr w:type="spellStart"/>
      <w:r w:rsidRPr="00D0061F">
        <w:rPr>
          <w:rFonts w:ascii="Palatino Linotype" w:hAnsi="Palatino Linotype"/>
          <w:b/>
          <w:i/>
        </w:rPr>
        <w:t>autogeneradoras</w:t>
      </w:r>
      <w:proofErr w:type="spellEnd"/>
      <w:r w:rsidRPr="00D0061F">
        <w:rPr>
          <w:rFonts w:ascii="Palatino Linotype" w:hAnsi="Palatino Linotype"/>
          <w:b/>
          <w:i/>
        </w:rPr>
        <w:t xml:space="preserve"> de energía eléctrica y sus clientes, cargas y asociados</w:t>
      </w:r>
      <w:r>
        <w:rPr>
          <w:rFonts w:ascii="Palatino Linotype" w:hAnsi="Palatino Linotype" w:cs="Arial"/>
          <w:i/>
        </w:rPr>
        <w:t>:</w:t>
      </w:r>
      <w:r w:rsidRPr="00D0061F">
        <w:rPr>
          <w:rFonts w:ascii="Palatino Linotype" w:hAnsi="Palatino Linotype" w:cs="Arial"/>
          <w:i/>
        </w:rPr>
        <w:t xml:space="preserve"> La cuantía de la </w:t>
      </w:r>
      <w:proofErr w:type="spellStart"/>
      <w:r w:rsidRPr="00D0061F">
        <w:rPr>
          <w:rFonts w:ascii="Palatino Linotype" w:hAnsi="Palatino Linotype" w:cs="Arial"/>
          <w:i/>
        </w:rPr>
        <w:t>TGIRS</w:t>
      </w:r>
      <w:proofErr w:type="spellEnd"/>
      <w:r w:rsidRPr="00D0061F">
        <w:rPr>
          <w:rFonts w:ascii="Palatino Linotype" w:hAnsi="Palatino Linotype" w:cs="Arial"/>
          <w:i/>
        </w:rPr>
        <w:t xml:space="preserve"> para el caso de las empresas </w:t>
      </w:r>
      <w:proofErr w:type="spellStart"/>
      <w:r w:rsidRPr="00D0061F">
        <w:rPr>
          <w:rFonts w:ascii="Palatino Linotype" w:hAnsi="Palatino Linotype" w:cs="Arial"/>
          <w:i/>
        </w:rPr>
        <w:t>autoproductoras</w:t>
      </w:r>
      <w:proofErr w:type="spellEnd"/>
      <w:r w:rsidRPr="00D0061F">
        <w:rPr>
          <w:rFonts w:ascii="Palatino Linotype" w:hAnsi="Palatino Linotype" w:cs="Arial"/>
          <w:i/>
        </w:rPr>
        <w:t xml:space="preserve"> y </w:t>
      </w:r>
      <w:proofErr w:type="spellStart"/>
      <w:r w:rsidRPr="00D0061F">
        <w:rPr>
          <w:rFonts w:ascii="Palatino Linotype" w:hAnsi="Palatino Linotype" w:cs="Arial"/>
          <w:i/>
        </w:rPr>
        <w:t>autogeneradoras</w:t>
      </w:r>
      <w:proofErr w:type="spellEnd"/>
      <w:r w:rsidRPr="00D0061F">
        <w:rPr>
          <w:rFonts w:ascii="Palatino Linotype" w:hAnsi="Palatino Linotype" w:cs="Arial"/>
          <w:i/>
        </w:rPr>
        <w:t xml:space="preserve"> de energía eléctrica </w:t>
      </w:r>
      <w:r w:rsidRPr="00D0061F">
        <w:rPr>
          <w:rFonts w:ascii="Palatino Linotype" w:hAnsi="Palatino Linotype"/>
          <w:i/>
        </w:rPr>
        <w:t>y sus clientes, cargas y asociados</w:t>
      </w:r>
      <w:r w:rsidRPr="00D0061F">
        <w:rPr>
          <w:rFonts w:ascii="Palatino Linotype" w:hAnsi="Palatino Linotype" w:cs="Arial"/>
          <w:i/>
        </w:rPr>
        <w:t xml:space="preserve"> se calculará </w:t>
      </w:r>
      <w:r w:rsidRPr="00D0061F">
        <w:rPr>
          <w:rFonts w:ascii="Palatino Linotype" w:hAnsi="Palatino Linotype" w:cs="Arial"/>
          <w:i/>
          <w:color w:val="000000" w:themeColor="text1"/>
        </w:rPr>
        <w:t xml:space="preserve">con la misma fórmula y condiciones que la </w:t>
      </w:r>
      <w:r w:rsidRPr="00D0061F">
        <w:rPr>
          <w:rFonts w:ascii="Palatino Linotype" w:hAnsi="Palatino Linotype" w:cs="Arial"/>
          <w:i/>
        </w:rPr>
        <w:t>cuantía de la tasa para grandes generadores de residuos.</w:t>
      </w:r>
      <w:r w:rsidR="00521EC0" w:rsidRPr="00D0061F">
        <w:rPr>
          <w:rFonts w:ascii="Palatino Linotype" w:hAnsi="Palatino Linotype"/>
          <w:i/>
          <w:spacing w:val="-3"/>
          <w:lang w:val="es-ES_tradnl"/>
        </w:rPr>
        <w:t>”</w:t>
      </w:r>
    </w:p>
    <w:p w:rsidR="00521EC0" w:rsidRPr="00414B52" w:rsidRDefault="00521EC0" w:rsidP="00414B52">
      <w:pPr>
        <w:shd w:val="clear" w:color="auto" w:fill="FFFFFF"/>
        <w:spacing w:after="120" w:line="276" w:lineRule="auto"/>
        <w:rPr>
          <w:rFonts w:ascii="Palatino Linotype" w:hAnsi="Palatino Linotype"/>
          <w:spacing w:val="-3"/>
          <w:sz w:val="22"/>
          <w:szCs w:val="22"/>
          <w:lang w:val="es-ES_tradnl"/>
        </w:rPr>
      </w:pPr>
      <w:r w:rsidRPr="00414B52">
        <w:rPr>
          <w:rFonts w:ascii="Palatino Linotype" w:hAnsi="Palatino Linotype"/>
          <w:b/>
          <w:spacing w:val="-3"/>
          <w:sz w:val="22"/>
          <w:szCs w:val="22"/>
          <w:lang w:val="es-ES_tradnl"/>
        </w:rPr>
        <w:t xml:space="preserve">Artículo 4.- </w:t>
      </w:r>
      <w:r w:rsidRPr="00414B52">
        <w:rPr>
          <w:rFonts w:ascii="Palatino Linotype" w:hAnsi="Palatino Linotype"/>
          <w:spacing w:val="-3"/>
          <w:sz w:val="22"/>
          <w:szCs w:val="22"/>
          <w:lang w:val="es-ES_tradnl"/>
        </w:rPr>
        <w:t xml:space="preserve">Sustitúyase el artículo </w:t>
      </w:r>
      <w:proofErr w:type="spellStart"/>
      <w:r w:rsidRPr="00414B52">
        <w:rPr>
          <w:rFonts w:ascii="Palatino Linotype" w:hAnsi="Palatino Linotype"/>
          <w:spacing w:val="-3"/>
          <w:sz w:val="22"/>
          <w:szCs w:val="22"/>
          <w:lang w:val="es-ES_tradnl"/>
        </w:rPr>
        <w:t>III.83</w:t>
      </w:r>
      <w:proofErr w:type="spellEnd"/>
      <w:r w:rsidRPr="00414B52">
        <w:rPr>
          <w:rFonts w:ascii="Palatino Linotype" w:hAnsi="Palatino Linotype"/>
          <w:spacing w:val="-3"/>
          <w:sz w:val="22"/>
          <w:szCs w:val="22"/>
          <w:lang w:val="es-ES_tradnl"/>
        </w:rPr>
        <w:t xml:space="preserve"> del Código Municipal para el Distrito Metropolitano de Quito, por el siguiente:</w:t>
      </w:r>
    </w:p>
    <w:p w:rsidR="00521EC0" w:rsidRPr="00414B52" w:rsidRDefault="00521EC0" w:rsidP="00414B52">
      <w:pPr>
        <w:shd w:val="clear" w:color="auto" w:fill="FFFFFF"/>
        <w:spacing w:after="120" w:line="276" w:lineRule="auto"/>
        <w:ind w:left="708"/>
        <w:jc w:val="both"/>
        <w:rPr>
          <w:rFonts w:ascii="Palatino Linotype" w:hAnsi="Palatino Linotype"/>
          <w:i/>
          <w:sz w:val="22"/>
          <w:szCs w:val="22"/>
        </w:rPr>
      </w:pPr>
      <w:r w:rsidRPr="00414B52">
        <w:rPr>
          <w:rFonts w:ascii="Palatino Linotype" w:hAnsi="Palatino Linotype"/>
          <w:i/>
          <w:sz w:val="22"/>
          <w:szCs w:val="22"/>
        </w:rPr>
        <w:t>“</w:t>
      </w:r>
      <w:r w:rsidR="00414B52" w:rsidRPr="00414B52">
        <w:rPr>
          <w:rFonts w:ascii="Palatino Linotype" w:hAnsi="Palatino Linotype"/>
          <w:b/>
          <w:i/>
          <w:spacing w:val="-5"/>
          <w:sz w:val="22"/>
          <w:szCs w:val="22"/>
          <w:lang w:val="es-ES_tradnl"/>
        </w:rPr>
        <w:t xml:space="preserve">Artículo </w:t>
      </w:r>
      <w:proofErr w:type="spellStart"/>
      <w:r w:rsidR="00414B52" w:rsidRPr="00414B52">
        <w:rPr>
          <w:rFonts w:ascii="Palatino Linotype" w:hAnsi="Palatino Linotype"/>
          <w:b/>
          <w:i/>
          <w:spacing w:val="-5"/>
          <w:sz w:val="22"/>
          <w:szCs w:val="22"/>
          <w:lang w:val="es-ES_tradnl"/>
        </w:rPr>
        <w:t>III.8</w:t>
      </w:r>
      <w:r w:rsidR="00414B52">
        <w:rPr>
          <w:rFonts w:ascii="Palatino Linotype" w:hAnsi="Palatino Linotype"/>
          <w:b/>
          <w:i/>
          <w:spacing w:val="-5"/>
          <w:sz w:val="22"/>
          <w:szCs w:val="22"/>
          <w:lang w:val="es-ES_tradnl"/>
        </w:rPr>
        <w:t>3</w:t>
      </w:r>
      <w:proofErr w:type="spellEnd"/>
      <w:r w:rsidR="00414B52" w:rsidRPr="00414B52">
        <w:rPr>
          <w:rFonts w:ascii="Palatino Linotype" w:hAnsi="Palatino Linotype"/>
          <w:b/>
          <w:i/>
          <w:spacing w:val="-5"/>
          <w:sz w:val="22"/>
          <w:szCs w:val="22"/>
          <w:lang w:val="es-ES_tradnl"/>
        </w:rPr>
        <w:t xml:space="preserve">.- </w:t>
      </w:r>
      <w:r w:rsidRPr="00414B52">
        <w:rPr>
          <w:rFonts w:ascii="Palatino Linotype" w:hAnsi="Palatino Linotype"/>
          <w:b/>
          <w:i/>
          <w:sz w:val="22"/>
          <w:szCs w:val="22"/>
        </w:rPr>
        <w:t xml:space="preserve">Recaudación de la </w:t>
      </w:r>
      <w:r w:rsidRPr="00414B52">
        <w:rPr>
          <w:rStyle w:val="hit"/>
          <w:rFonts w:ascii="Palatino Linotype" w:hAnsi="Palatino Linotype"/>
          <w:b/>
          <w:i/>
          <w:sz w:val="22"/>
          <w:szCs w:val="22"/>
        </w:rPr>
        <w:t>Tasa</w:t>
      </w:r>
      <w:r w:rsidRPr="00414B52">
        <w:rPr>
          <w:rFonts w:ascii="Palatino Linotype" w:hAnsi="Palatino Linotype"/>
          <w:b/>
          <w:i/>
          <w:sz w:val="22"/>
          <w:szCs w:val="22"/>
        </w:rPr>
        <w:t xml:space="preserve"> para la Gestión Integral de Residuos Sólidos</w:t>
      </w:r>
      <w:r w:rsidRPr="00414B52">
        <w:rPr>
          <w:rFonts w:ascii="Palatino Linotype" w:hAnsi="Palatino Linotype"/>
          <w:i/>
          <w:sz w:val="22"/>
          <w:szCs w:val="22"/>
        </w:rPr>
        <w:t xml:space="preserve">.- El gestor de recaudación cobrará la </w:t>
      </w:r>
      <w:proofErr w:type="spellStart"/>
      <w:r w:rsidRPr="00414B52">
        <w:rPr>
          <w:rFonts w:ascii="Palatino Linotype" w:hAnsi="Palatino Linotype"/>
          <w:i/>
          <w:sz w:val="22"/>
          <w:szCs w:val="22"/>
        </w:rPr>
        <w:t>TGIRS</w:t>
      </w:r>
      <w:proofErr w:type="spellEnd"/>
      <w:r w:rsidRPr="00414B52">
        <w:rPr>
          <w:rFonts w:ascii="Palatino Linotype" w:hAnsi="Palatino Linotype"/>
          <w:i/>
          <w:sz w:val="22"/>
          <w:szCs w:val="22"/>
        </w:rPr>
        <w:t xml:space="preserve"> de manera mensual o con la periodicidad que le sea expresamente indicada por la o las empresas públicas metropolitanas encargadas de la gestión integral de residuos sólidos, a quien se le pagará el valor acordado</w:t>
      </w:r>
      <w:r w:rsidR="00DB006B" w:rsidRPr="00414B52">
        <w:rPr>
          <w:rFonts w:ascii="Palatino Linotype" w:hAnsi="Palatino Linotype"/>
          <w:i/>
          <w:sz w:val="22"/>
          <w:szCs w:val="22"/>
        </w:rPr>
        <w:t xml:space="preserve"> y autorizado</w:t>
      </w:r>
      <w:r w:rsidRPr="00414B52">
        <w:rPr>
          <w:rFonts w:ascii="Palatino Linotype" w:hAnsi="Palatino Linotype"/>
          <w:i/>
          <w:sz w:val="22"/>
          <w:szCs w:val="22"/>
        </w:rPr>
        <w:t xml:space="preserve"> por el costo de la gestión de la recaudación de la tasa, de conformidad con lo que establezca el convenio o contrato de prestaci</w:t>
      </w:r>
      <w:r w:rsidR="00414B52" w:rsidRPr="00414B52">
        <w:rPr>
          <w:rFonts w:ascii="Palatino Linotype" w:hAnsi="Palatino Linotype"/>
          <w:i/>
          <w:sz w:val="22"/>
          <w:szCs w:val="22"/>
        </w:rPr>
        <w:t>ón de servicios de recaudación.”</w:t>
      </w:r>
    </w:p>
    <w:p w:rsidR="00521EC0" w:rsidRPr="00004F99" w:rsidRDefault="00521EC0" w:rsidP="00414B52">
      <w:pPr>
        <w:shd w:val="clear" w:color="auto" w:fill="FFFFFF"/>
        <w:spacing w:after="120" w:line="276" w:lineRule="auto"/>
        <w:jc w:val="both"/>
        <w:rPr>
          <w:rFonts w:ascii="Palatino Linotype" w:hAnsi="Palatino Linotype"/>
          <w:sz w:val="22"/>
          <w:szCs w:val="22"/>
          <w:lang w:val="es-EC"/>
        </w:rPr>
      </w:pPr>
      <w:r w:rsidRPr="00004F99">
        <w:rPr>
          <w:rFonts w:ascii="Palatino Linotype" w:hAnsi="Palatino Linotype"/>
          <w:b/>
          <w:spacing w:val="-3"/>
          <w:sz w:val="22"/>
          <w:szCs w:val="22"/>
          <w:lang w:val="es-ES_tradnl"/>
        </w:rPr>
        <w:t xml:space="preserve">Artículo 5.- </w:t>
      </w:r>
      <w:proofErr w:type="spellStart"/>
      <w:r w:rsidR="00EC33F5" w:rsidRPr="00004F99">
        <w:rPr>
          <w:rFonts w:ascii="Palatino Linotype" w:hAnsi="Palatino Linotype"/>
          <w:spacing w:val="-3"/>
          <w:sz w:val="22"/>
          <w:szCs w:val="22"/>
          <w:lang w:val="es-ES_tradnl"/>
        </w:rPr>
        <w:t>Derógase</w:t>
      </w:r>
      <w:proofErr w:type="spellEnd"/>
      <w:r w:rsidR="00EC33F5" w:rsidRPr="00004F99">
        <w:rPr>
          <w:rFonts w:ascii="Palatino Linotype" w:hAnsi="Palatino Linotype"/>
          <w:spacing w:val="-3"/>
          <w:sz w:val="22"/>
          <w:szCs w:val="22"/>
          <w:lang w:val="es-ES_tradnl"/>
        </w:rPr>
        <w:t xml:space="preserve"> </w:t>
      </w:r>
      <w:r w:rsidRPr="00004F99">
        <w:rPr>
          <w:rFonts w:ascii="Palatino Linotype" w:hAnsi="Palatino Linotype"/>
          <w:spacing w:val="-3"/>
          <w:sz w:val="22"/>
          <w:szCs w:val="22"/>
          <w:lang w:val="es-ES_tradnl"/>
        </w:rPr>
        <w:t xml:space="preserve">el artículo </w:t>
      </w:r>
      <w:proofErr w:type="spellStart"/>
      <w:r w:rsidRPr="00004F99">
        <w:rPr>
          <w:rFonts w:ascii="Palatino Linotype" w:hAnsi="Palatino Linotype"/>
          <w:spacing w:val="-3"/>
          <w:sz w:val="22"/>
          <w:szCs w:val="22"/>
          <w:lang w:val="es-ES_tradnl"/>
        </w:rPr>
        <w:t>III.85</w:t>
      </w:r>
      <w:proofErr w:type="spellEnd"/>
      <w:r w:rsidRPr="00004F99">
        <w:rPr>
          <w:rFonts w:ascii="Palatino Linotype" w:hAnsi="Palatino Linotype"/>
          <w:spacing w:val="-3"/>
          <w:sz w:val="22"/>
          <w:szCs w:val="22"/>
          <w:lang w:val="es-ES_tradnl"/>
        </w:rPr>
        <w:t xml:space="preserve"> del Código Municipal para el Distrito Metropolitano de Quito</w:t>
      </w:r>
      <w:r w:rsidR="007278C0" w:rsidRPr="00004F99">
        <w:rPr>
          <w:rFonts w:ascii="Palatino Linotype" w:hAnsi="Palatino Linotype"/>
          <w:spacing w:val="-3"/>
          <w:sz w:val="22"/>
          <w:szCs w:val="22"/>
          <w:lang w:val="es-ES_tradnl"/>
        </w:rPr>
        <w:t>, reformado mediante artículo 10 de la Ordenanza Metropolitana No. 402</w:t>
      </w:r>
      <w:r w:rsidR="00EC33F5" w:rsidRPr="00004F99">
        <w:rPr>
          <w:rFonts w:ascii="Palatino Linotype" w:hAnsi="Palatino Linotype"/>
          <w:spacing w:val="-3"/>
          <w:sz w:val="22"/>
          <w:szCs w:val="22"/>
          <w:lang w:val="es-ES_tradnl"/>
        </w:rPr>
        <w:t>.</w:t>
      </w:r>
    </w:p>
    <w:p w:rsidR="00521EC0" w:rsidRPr="00004F99" w:rsidRDefault="00521EC0" w:rsidP="00414B52">
      <w:pPr>
        <w:shd w:val="clear" w:color="auto" w:fill="FFFFFF"/>
        <w:spacing w:after="120" w:line="276" w:lineRule="auto"/>
        <w:jc w:val="both"/>
        <w:rPr>
          <w:rFonts w:ascii="Palatino Linotype" w:hAnsi="Palatino Linotype"/>
          <w:sz w:val="22"/>
          <w:szCs w:val="22"/>
        </w:rPr>
      </w:pPr>
      <w:r w:rsidRPr="00004F99">
        <w:rPr>
          <w:rFonts w:ascii="Palatino Linotype" w:hAnsi="Palatino Linotype"/>
          <w:b/>
          <w:spacing w:val="-3"/>
          <w:sz w:val="22"/>
          <w:szCs w:val="22"/>
          <w:lang w:val="es-ES_tradnl"/>
        </w:rPr>
        <w:t xml:space="preserve">Artículo 6.- </w:t>
      </w:r>
      <w:r w:rsidR="00806F62" w:rsidRPr="00004F99">
        <w:rPr>
          <w:rFonts w:ascii="Palatino Linotype" w:hAnsi="Palatino Linotype"/>
          <w:spacing w:val="-3"/>
          <w:sz w:val="22"/>
          <w:szCs w:val="22"/>
          <w:lang w:val="es-ES_tradnl"/>
        </w:rPr>
        <w:t xml:space="preserve">Inclúyase como </w:t>
      </w:r>
      <w:r w:rsidRPr="00004F99">
        <w:rPr>
          <w:rFonts w:ascii="Palatino Linotype" w:hAnsi="Palatino Linotype"/>
          <w:spacing w:val="-5"/>
          <w:sz w:val="22"/>
          <w:szCs w:val="22"/>
          <w:lang w:val="es-ES_tradnl"/>
        </w:rPr>
        <w:t xml:space="preserve">Art. III. 85 del </w:t>
      </w:r>
      <w:r w:rsidRPr="00004F99">
        <w:rPr>
          <w:rFonts w:ascii="Palatino Linotype" w:hAnsi="Palatino Linotype"/>
          <w:spacing w:val="-4"/>
          <w:sz w:val="22"/>
          <w:szCs w:val="22"/>
          <w:lang w:val="es-ES_tradnl"/>
        </w:rPr>
        <w:t xml:space="preserve">Código Municipal para el Distrito Metropolitano de Quito, </w:t>
      </w:r>
      <w:r w:rsidR="00806F62" w:rsidRPr="00004F99">
        <w:rPr>
          <w:rFonts w:ascii="Palatino Linotype" w:hAnsi="Palatino Linotype"/>
          <w:spacing w:val="-4"/>
          <w:sz w:val="22"/>
          <w:szCs w:val="22"/>
          <w:lang w:val="es-ES_tradnl"/>
        </w:rPr>
        <w:t xml:space="preserve">el </w:t>
      </w:r>
      <w:r w:rsidRPr="00004F99">
        <w:rPr>
          <w:rFonts w:ascii="Palatino Linotype" w:hAnsi="Palatino Linotype"/>
          <w:sz w:val="22"/>
          <w:szCs w:val="22"/>
          <w:lang w:val="es-ES_tradnl"/>
        </w:rPr>
        <w:t>siguiente artículo:</w:t>
      </w:r>
    </w:p>
    <w:p w:rsidR="00521EC0" w:rsidRPr="003D344A" w:rsidRDefault="00521EC0" w:rsidP="003D344A">
      <w:pPr>
        <w:spacing w:after="120" w:line="276" w:lineRule="auto"/>
        <w:ind w:left="708"/>
        <w:jc w:val="both"/>
        <w:rPr>
          <w:rFonts w:ascii="Palatino Linotype" w:hAnsi="Palatino Linotype"/>
          <w:i/>
          <w:sz w:val="22"/>
          <w:szCs w:val="22"/>
          <w:lang w:val="es-ES_tradnl"/>
        </w:rPr>
      </w:pPr>
      <w:r w:rsidRPr="00004F99">
        <w:rPr>
          <w:rFonts w:ascii="Palatino Linotype" w:hAnsi="Palatino Linotype"/>
          <w:i/>
          <w:sz w:val="22"/>
          <w:szCs w:val="22"/>
          <w:lang w:val="es-ES_tradnl"/>
        </w:rPr>
        <w:t>“</w:t>
      </w:r>
      <w:r w:rsidRPr="00004F99">
        <w:rPr>
          <w:rFonts w:ascii="Palatino Linotype" w:hAnsi="Palatino Linotype"/>
          <w:b/>
          <w:i/>
          <w:sz w:val="22"/>
          <w:szCs w:val="22"/>
          <w:lang w:val="es-ES_tradnl"/>
        </w:rPr>
        <w:t xml:space="preserve">Art. </w:t>
      </w:r>
      <w:proofErr w:type="spellStart"/>
      <w:r w:rsidRPr="00004F99">
        <w:rPr>
          <w:rFonts w:ascii="Palatino Linotype" w:hAnsi="Palatino Linotype"/>
          <w:b/>
          <w:i/>
          <w:sz w:val="22"/>
          <w:szCs w:val="22"/>
          <w:lang w:val="es-ES_tradnl"/>
        </w:rPr>
        <w:t>III.8</w:t>
      </w:r>
      <w:r w:rsidR="00806F62" w:rsidRPr="00004F99">
        <w:rPr>
          <w:rFonts w:ascii="Palatino Linotype" w:hAnsi="Palatino Linotype"/>
          <w:b/>
          <w:i/>
          <w:sz w:val="22"/>
          <w:szCs w:val="22"/>
          <w:lang w:val="es-ES_tradnl"/>
        </w:rPr>
        <w:t>5</w:t>
      </w:r>
      <w:proofErr w:type="spellEnd"/>
      <w:r w:rsidRPr="00004F99">
        <w:rPr>
          <w:rFonts w:ascii="Palatino Linotype" w:hAnsi="Palatino Linotype"/>
          <w:b/>
          <w:i/>
          <w:sz w:val="22"/>
          <w:szCs w:val="22"/>
          <w:lang w:val="es-ES_tradnl"/>
        </w:rPr>
        <w:t>.-</w:t>
      </w:r>
      <w:r w:rsidRPr="003D344A">
        <w:rPr>
          <w:rFonts w:ascii="Palatino Linotype" w:hAnsi="Palatino Linotype"/>
          <w:i/>
          <w:sz w:val="22"/>
          <w:szCs w:val="22"/>
          <w:lang w:val="es-ES_tradnl"/>
        </w:rPr>
        <w:t xml:space="preserve"> En el caso de que el sujeto pasivo del tributo no cumpla oportunamente con el </w:t>
      </w:r>
      <w:r w:rsidRPr="003D344A">
        <w:rPr>
          <w:rFonts w:ascii="Palatino Linotype" w:hAnsi="Palatino Linotype"/>
          <w:i/>
          <w:sz w:val="22"/>
          <w:szCs w:val="22"/>
          <w:lang w:val="es-ES_tradnl"/>
        </w:rPr>
        <w:lastRenderedPageBreak/>
        <w:t>importe tributario, se faculta a la o las Empresas Públicas Metropolitanas encargadas de la operación del Sistema de Gestión Integral de Residuos Sólidos, a cobrar dicho importe impago más sus respectivos intereses de mora</w:t>
      </w:r>
      <w:r w:rsidR="000F3CE9" w:rsidRPr="003D344A">
        <w:rPr>
          <w:rFonts w:ascii="Palatino Linotype" w:hAnsi="Palatino Linotype"/>
          <w:i/>
          <w:sz w:val="22"/>
          <w:szCs w:val="22"/>
          <w:lang w:val="es-ES_tradnl"/>
        </w:rPr>
        <w:t xml:space="preserve"> y costos de cobranza</w:t>
      </w:r>
      <w:r w:rsidRPr="003D344A">
        <w:rPr>
          <w:rFonts w:ascii="Palatino Linotype" w:hAnsi="Palatino Linotype"/>
          <w:i/>
          <w:sz w:val="22"/>
          <w:szCs w:val="22"/>
          <w:lang w:val="es-ES_tradnl"/>
        </w:rPr>
        <w:t>, calculados desde la fecha de vencimiento, cargados en la factura de consumo del mes siguiente."</w:t>
      </w:r>
    </w:p>
    <w:p w:rsidR="00521EC0" w:rsidRPr="003D344A" w:rsidRDefault="00521EC0" w:rsidP="003D344A">
      <w:pPr>
        <w:spacing w:after="120" w:line="276" w:lineRule="auto"/>
        <w:rPr>
          <w:rFonts w:ascii="Palatino Linotype" w:hAnsi="Palatino Linotype"/>
          <w:sz w:val="22"/>
          <w:szCs w:val="22"/>
          <w:lang w:val="es-ES_tradnl"/>
        </w:rPr>
      </w:pPr>
      <w:r w:rsidRPr="003D344A">
        <w:rPr>
          <w:rFonts w:ascii="Palatino Linotype" w:hAnsi="Palatino Linotype"/>
          <w:b/>
          <w:sz w:val="22"/>
          <w:szCs w:val="22"/>
          <w:lang w:val="es-ES_tradnl"/>
        </w:rPr>
        <w:t>Artículo 7.-</w:t>
      </w:r>
      <w:r w:rsidR="00806F62">
        <w:rPr>
          <w:rFonts w:ascii="Palatino Linotype" w:hAnsi="Palatino Linotype"/>
          <w:sz w:val="22"/>
          <w:szCs w:val="22"/>
          <w:lang w:val="es-ES_tradnl"/>
        </w:rPr>
        <w:t xml:space="preserve"> </w:t>
      </w:r>
      <w:r w:rsidR="00806F62" w:rsidRPr="00004F99">
        <w:rPr>
          <w:rFonts w:ascii="Palatino Linotype" w:hAnsi="Palatino Linotype"/>
          <w:sz w:val="22"/>
          <w:szCs w:val="22"/>
          <w:lang w:val="es-ES_tradnl"/>
        </w:rPr>
        <w:t xml:space="preserve">Al final del Art. </w:t>
      </w:r>
      <w:proofErr w:type="spellStart"/>
      <w:r w:rsidR="00806F62" w:rsidRPr="00004F99">
        <w:rPr>
          <w:rFonts w:ascii="Palatino Linotype" w:hAnsi="Palatino Linotype"/>
          <w:sz w:val="22"/>
          <w:szCs w:val="22"/>
          <w:lang w:val="es-ES_tradnl"/>
        </w:rPr>
        <w:t>III.85</w:t>
      </w:r>
      <w:proofErr w:type="spellEnd"/>
      <w:r w:rsidRPr="00004F99">
        <w:rPr>
          <w:rFonts w:ascii="Palatino Linotype" w:hAnsi="Palatino Linotype"/>
          <w:sz w:val="22"/>
          <w:szCs w:val="22"/>
          <w:lang w:val="es-ES_tradnl"/>
        </w:rPr>
        <w:t xml:space="preserve"> del</w:t>
      </w:r>
      <w:r w:rsidRPr="003D344A">
        <w:rPr>
          <w:rFonts w:ascii="Palatino Linotype" w:hAnsi="Palatino Linotype"/>
          <w:sz w:val="22"/>
          <w:szCs w:val="22"/>
          <w:lang w:val="es-ES_tradnl"/>
        </w:rPr>
        <w:t xml:space="preserve"> </w:t>
      </w:r>
      <w:r w:rsidRPr="003D344A">
        <w:rPr>
          <w:rFonts w:ascii="Palatino Linotype" w:hAnsi="Palatino Linotype"/>
          <w:spacing w:val="-4"/>
          <w:sz w:val="22"/>
          <w:szCs w:val="22"/>
          <w:lang w:val="es-ES_tradnl"/>
        </w:rPr>
        <w:t>Código Municipal para el Distrito Metropolitano de Quito</w:t>
      </w:r>
      <w:r w:rsidRPr="003D344A">
        <w:rPr>
          <w:rFonts w:ascii="Palatino Linotype" w:hAnsi="Palatino Linotype"/>
          <w:sz w:val="22"/>
          <w:szCs w:val="22"/>
          <w:lang w:val="es-ES_tradnl"/>
        </w:rPr>
        <w:t xml:space="preserve">, inclúyanse las siguientes disposiciones: </w:t>
      </w:r>
    </w:p>
    <w:p w:rsidR="00111972" w:rsidRPr="00764D43" w:rsidRDefault="00521EC0" w:rsidP="003D344A">
      <w:pPr>
        <w:pStyle w:val="NormalWeb"/>
        <w:spacing w:before="0" w:beforeAutospacing="0" w:after="120" w:afterAutospacing="0" w:line="276" w:lineRule="auto"/>
        <w:ind w:left="709"/>
        <w:jc w:val="both"/>
        <w:rPr>
          <w:rFonts w:ascii="Palatino Linotype" w:hAnsi="Palatino Linotype"/>
          <w:i/>
          <w:spacing w:val="-8"/>
          <w:sz w:val="22"/>
          <w:szCs w:val="22"/>
          <w:lang w:val="es-ES_tradnl"/>
        </w:rPr>
      </w:pPr>
      <w:r w:rsidRPr="00414B52">
        <w:rPr>
          <w:rFonts w:ascii="Palatino Linotype" w:hAnsi="Palatino Linotype"/>
          <w:spacing w:val="-8"/>
          <w:sz w:val="22"/>
          <w:szCs w:val="22"/>
          <w:lang w:val="es-ES_tradnl"/>
        </w:rPr>
        <w:t>“</w:t>
      </w:r>
      <w:r w:rsidRPr="003D344A">
        <w:rPr>
          <w:rFonts w:ascii="Palatino Linotype" w:hAnsi="Palatino Linotype"/>
          <w:b/>
          <w:i/>
          <w:sz w:val="22"/>
          <w:szCs w:val="22"/>
        </w:rPr>
        <w:t xml:space="preserve">Disposición General.- </w:t>
      </w:r>
      <w:r w:rsidRPr="003D344A">
        <w:rPr>
          <w:rFonts w:ascii="Palatino Linotype" w:hAnsi="Palatino Linotype"/>
          <w:i/>
          <w:sz w:val="22"/>
          <w:szCs w:val="22"/>
        </w:rPr>
        <w:t xml:space="preserve">La cuantía de la </w:t>
      </w:r>
      <w:proofErr w:type="spellStart"/>
      <w:r w:rsidRPr="003D344A">
        <w:rPr>
          <w:rFonts w:ascii="Palatino Linotype" w:hAnsi="Palatino Linotype"/>
          <w:i/>
          <w:sz w:val="22"/>
          <w:szCs w:val="22"/>
        </w:rPr>
        <w:t>TGIRS</w:t>
      </w:r>
      <w:proofErr w:type="spellEnd"/>
      <w:r w:rsidRPr="003D344A">
        <w:rPr>
          <w:rFonts w:ascii="Palatino Linotype" w:hAnsi="Palatino Linotype"/>
          <w:i/>
          <w:sz w:val="22"/>
          <w:szCs w:val="22"/>
        </w:rPr>
        <w:t xml:space="preserve"> mediante el consumo exclusivo de energía eléctrica, se empleará mientras se autorice la suscripción de los instrumentos contemplados en la Disposición General Tercera de la Ley Orgánica de Servicio Público de Energía Eléctrica y/o  sea financieramente viable para cubrir los costos de operación de la </w:t>
      </w:r>
      <w:proofErr w:type="spellStart"/>
      <w:r w:rsidRPr="003D344A">
        <w:rPr>
          <w:rFonts w:ascii="Palatino Linotype" w:hAnsi="Palatino Linotype"/>
          <w:i/>
          <w:sz w:val="22"/>
          <w:szCs w:val="22"/>
        </w:rPr>
        <w:t>GIRS</w:t>
      </w:r>
      <w:proofErr w:type="spellEnd"/>
      <w:r w:rsidRPr="003D344A">
        <w:rPr>
          <w:rFonts w:ascii="Palatino Linotype" w:hAnsi="Palatino Linotype"/>
          <w:i/>
          <w:sz w:val="22"/>
          <w:szCs w:val="22"/>
        </w:rPr>
        <w:t>.</w:t>
      </w:r>
      <w:r w:rsidRPr="00764D43">
        <w:rPr>
          <w:rFonts w:ascii="Palatino Linotype" w:hAnsi="Palatino Linotype"/>
          <w:i/>
          <w:spacing w:val="-8"/>
          <w:sz w:val="22"/>
          <w:szCs w:val="22"/>
          <w:lang w:val="es-ES_tradnl"/>
        </w:rPr>
        <w:t xml:space="preserve"> </w:t>
      </w:r>
    </w:p>
    <w:p w:rsidR="00CD5010" w:rsidRPr="00764D43" w:rsidRDefault="00CD5010" w:rsidP="00764D43">
      <w:pPr>
        <w:pStyle w:val="NormalWeb"/>
        <w:spacing w:before="0" w:beforeAutospacing="0" w:after="120" w:afterAutospacing="0" w:line="276" w:lineRule="auto"/>
        <w:ind w:left="708"/>
        <w:jc w:val="both"/>
        <w:rPr>
          <w:rFonts w:ascii="Palatino Linotype" w:hAnsi="Palatino Linotype"/>
          <w:i/>
          <w:spacing w:val="-8"/>
          <w:sz w:val="22"/>
          <w:szCs w:val="22"/>
          <w:lang w:val="es-ES_tradnl"/>
        </w:rPr>
      </w:pPr>
      <w:r w:rsidRPr="00764D43">
        <w:rPr>
          <w:rFonts w:ascii="Palatino Linotype" w:eastAsiaTheme="minorHAnsi" w:hAnsi="Palatino Linotype" w:cs="Cambria Math"/>
          <w:i/>
          <w:sz w:val="22"/>
          <w:szCs w:val="22"/>
          <w:lang w:eastAsia="en-US"/>
        </w:rPr>
        <w:t>La determinación del uso de la base de cálculo</w:t>
      </w:r>
      <w:r w:rsidR="00F5699D" w:rsidRPr="00764D43">
        <w:rPr>
          <w:rFonts w:ascii="Palatino Linotype" w:eastAsiaTheme="minorHAnsi" w:hAnsi="Palatino Linotype" w:cs="Cambria Math"/>
          <w:i/>
          <w:sz w:val="22"/>
          <w:szCs w:val="22"/>
          <w:lang w:eastAsia="en-US"/>
        </w:rPr>
        <w:t xml:space="preserve"> – fórmula mixta,</w:t>
      </w:r>
      <w:r w:rsidRPr="00764D43">
        <w:rPr>
          <w:rFonts w:ascii="Palatino Linotype" w:eastAsiaTheme="minorHAnsi" w:hAnsi="Palatino Linotype" w:cs="Cambria Math"/>
          <w:i/>
          <w:sz w:val="22"/>
          <w:szCs w:val="22"/>
          <w:lang w:eastAsia="en-US"/>
        </w:rPr>
        <w:t xml:space="preserve"> mediante el consumo de energía eléctrica y/o de agua potable y alcantarillado</w:t>
      </w:r>
      <w:r w:rsidR="00F5699D" w:rsidRPr="00764D43">
        <w:rPr>
          <w:rFonts w:ascii="Palatino Linotype" w:eastAsiaTheme="minorHAnsi" w:hAnsi="Palatino Linotype" w:cs="Cambria Math"/>
          <w:i/>
          <w:sz w:val="22"/>
          <w:szCs w:val="22"/>
          <w:lang w:eastAsia="en-US"/>
        </w:rPr>
        <w:t>,</w:t>
      </w:r>
      <w:r w:rsidRPr="00764D43">
        <w:rPr>
          <w:rFonts w:ascii="Palatino Linotype" w:eastAsiaTheme="minorHAnsi" w:hAnsi="Palatino Linotype" w:cs="Cambria Math"/>
          <w:i/>
          <w:sz w:val="22"/>
          <w:szCs w:val="22"/>
          <w:lang w:eastAsia="en-US"/>
        </w:rPr>
        <w:t xml:space="preserve"> será establecida por las empresas públicas encargadas de la gestión integral de los residuos sólidos, de manera diferenciada, de acuerdo a los sectores de usuarios, aplicando la siguiente fórmula, </w:t>
      </w:r>
      <w:r w:rsidRPr="00764D43">
        <w:rPr>
          <w:rFonts w:ascii="Palatino Linotype" w:hAnsi="Palatino Linotype"/>
          <w:i/>
          <w:spacing w:val="-8"/>
          <w:sz w:val="22"/>
          <w:szCs w:val="22"/>
          <w:lang w:val="es-ES_tradnl"/>
        </w:rPr>
        <w:t>tomando en consideración que no existirá doble base de cálculo para establecer la cuantía de la tasa</w:t>
      </w:r>
      <w:r w:rsidR="00F5699D" w:rsidRPr="00764D43">
        <w:rPr>
          <w:rFonts w:ascii="Palatino Linotype" w:hAnsi="Palatino Linotype"/>
          <w:i/>
          <w:spacing w:val="-8"/>
          <w:sz w:val="22"/>
          <w:szCs w:val="22"/>
          <w:lang w:val="es-ES_tradnl"/>
        </w:rPr>
        <w:t>:</w:t>
      </w:r>
    </w:p>
    <w:p w:rsidR="00377948" w:rsidRPr="00764D43" w:rsidRDefault="00377948" w:rsidP="00764D43">
      <w:pPr>
        <w:shd w:val="clear" w:color="auto" w:fill="FFFFFF"/>
        <w:spacing w:after="120" w:line="276" w:lineRule="auto"/>
        <w:ind w:left="708" w:right="5"/>
        <w:jc w:val="both"/>
        <w:rPr>
          <w:rFonts w:ascii="Palatino Linotype" w:hAnsi="Palatino Linotype"/>
          <w:i/>
          <w:spacing w:val="-5"/>
          <w:sz w:val="22"/>
          <w:szCs w:val="22"/>
        </w:rPr>
      </w:pPr>
      <w:r w:rsidRPr="00764D43">
        <w:rPr>
          <w:rFonts w:ascii="Palatino Linotype" w:hAnsi="Palatino Linotype"/>
          <w:b/>
          <w:i/>
          <w:spacing w:val="-5"/>
          <w:sz w:val="22"/>
          <w:szCs w:val="22"/>
        </w:rPr>
        <w:t>Sector doméstico – residencial</w:t>
      </w:r>
      <w:r w:rsidRPr="00764D43">
        <w:rPr>
          <w:rFonts w:ascii="Palatino Linotype" w:hAnsi="Palatino Linotype"/>
          <w:i/>
          <w:spacing w:val="-5"/>
          <w:sz w:val="22"/>
          <w:szCs w:val="22"/>
        </w:rPr>
        <w:t>, mediante consumo de agua potable y alcantarillado:</w:t>
      </w:r>
    </w:p>
    <w:p w:rsidR="00377948" w:rsidRPr="00764D43" w:rsidRDefault="00377948" w:rsidP="00764D43">
      <w:pPr>
        <w:pStyle w:val="Default"/>
        <w:spacing w:after="120" w:line="276" w:lineRule="auto"/>
        <w:ind w:left="708"/>
        <w:jc w:val="center"/>
        <w:rPr>
          <w:rFonts w:ascii="Palatino Linotype" w:hAnsi="Palatino Linotype"/>
          <w:b/>
          <w:bCs/>
          <w:i/>
          <w:sz w:val="22"/>
          <w:szCs w:val="22"/>
          <w:lang w:val="es-EC"/>
        </w:rPr>
      </w:pPr>
      <w:proofErr w:type="spellStart"/>
      <w:r w:rsidRPr="00764D43">
        <w:rPr>
          <w:rFonts w:ascii="Palatino Linotype" w:hAnsi="Palatino Linotype"/>
          <w:b/>
          <w:bCs/>
          <w:i/>
          <w:sz w:val="22"/>
          <w:szCs w:val="22"/>
          <w:lang w:val="es-EC"/>
        </w:rPr>
        <w:t>TGIRS</w:t>
      </w:r>
      <w:proofErr w:type="spellEnd"/>
      <w:r w:rsidRPr="00764D43">
        <w:rPr>
          <w:rFonts w:ascii="Palatino Linotype" w:hAnsi="Palatino Linotype"/>
          <w:b/>
          <w:bCs/>
          <w:i/>
          <w:sz w:val="22"/>
          <w:szCs w:val="22"/>
          <w:lang w:val="es-EC"/>
        </w:rPr>
        <w:t xml:space="preserve"> = (</w:t>
      </w:r>
      <w:proofErr w:type="spellStart"/>
      <w:r w:rsidRPr="00764D43">
        <w:rPr>
          <w:rFonts w:ascii="Palatino Linotype" w:hAnsi="Palatino Linotype"/>
          <w:b/>
          <w:bCs/>
          <w:i/>
          <w:sz w:val="22"/>
          <w:szCs w:val="22"/>
          <w:lang w:val="es-EC"/>
        </w:rPr>
        <w:t>MTE</w:t>
      </w:r>
      <w:proofErr w:type="spellEnd"/>
      <w:r w:rsidRPr="00764D43">
        <w:rPr>
          <w:rFonts w:ascii="Palatino Linotype" w:hAnsi="Palatino Linotype"/>
          <w:b/>
          <w:bCs/>
          <w:i/>
          <w:sz w:val="22"/>
          <w:szCs w:val="22"/>
          <w:lang w:val="es-EC"/>
        </w:rPr>
        <w:t xml:space="preserve"> x A, B o C) </w:t>
      </w:r>
    </w:p>
    <w:p w:rsidR="00377948" w:rsidRPr="00764D43" w:rsidRDefault="00377948" w:rsidP="00764D43">
      <w:pPr>
        <w:pStyle w:val="Default"/>
        <w:spacing w:after="120" w:line="276" w:lineRule="auto"/>
        <w:ind w:left="708" w:firstLine="708"/>
        <w:jc w:val="both"/>
        <w:rPr>
          <w:rFonts w:ascii="Palatino Linotype" w:hAnsi="Palatino Linotype"/>
          <w:i/>
          <w:color w:val="auto"/>
          <w:sz w:val="22"/>
          <w:szCs w:val="22"/>
        </w:rPr>
      </w:pPr>
      <w:r w:rsidRPr="00764D43">
        <w:rPr>
          <w:rFonts w:ascii="Palatino Linotype" w:hAnsi="Palatino Linotype" w:cs="Arial"/>
          <w:i/>
          <w:sz w:val="22"/>
          <w:szCs w:val="22"/>
        </w:rPr>
        <w:t xml:space="preserve">• </w:t>
      </w:r>
      <w:proofErr w:type="spellStart"/>
      <w:r w:rsidRPr="00764D43">
        <w:rPr>
          <w:rFonts w:ascii="Palatino Linotype" w:hAnsi="Palatino Linotype"/>
          <w:b/>
          <w:bCs/>
          <w:i/>
          <w:sz w:val="22"/>
          <w:szCs w:val="22"/>
        </w:rPr>
        <w:t>TGIRS</w:t>
      </w:r>
      <w:proofErr w:type="spellEnd"/>
      <w:r w:rsidRPr="00764D43">
        <w:rPr>
          <w:rFonts w:ascii="Palatino Linotype" w:hAnsi="Palatino Linotype"/>
          <w:b/>
          <w:bCs/>
          <w:i/>
          <w:sz w:val="22"/>
          <w:szCs w:val="22"/>
        </w:rPr>
        <w:t xml:space="preserve">: </w:t>
      </w:r>
      <w:r w:rsidRPr="00764D43">
        <w:rPr>
          <w:rFonts w:ascii="Palatino Linotype" w:hAnsi="Palatino Linotype"/>
          <w:i/>
          <w:color w:val="auto"/>
          <w:sz w:val="22"/>
          <w:szCs w:val="22"/>
        </w:rPr>
        <w:t>Tasa para la Gestión Integral de Residuos Sólidos.</w:t>
      </w:r>
    </w:p>
    <w:p w:rsidR="00377948" w:rsidRPr="00764D43" w:rsidRDefault="00377948" w:rsidP="00764D43">
      <w:pPr>
        <w:pStyle w:val="Sinespaciado"/>
        <w:spacing w:after="120" w:line="276" w:lineRule="auto"/>
        <w:ind w:left="1416"/>
        <w:jc w:val="both"/>
        <w:rPr>
          <w:rFonts w:ascii="Palatino Linotype" w:hAnsi="Palatino Linotype" w:cs="Arial"/>
          <w:i/>
        </w:rPr>
      </w:pPr>
      <w:r w:rsidRPr="00764D43">
        <w:rPr>
          <w:rFonts w:ascii="Palatino Linotype" w:hAnsi="Palatino Linotype" w:cs="Arial"/>
          <w:b/>
          <w:bCs/>
          <w:i/>
        </w:rPr>
        <w:t xml:space="preserve">• </w:t>
      </w:r>
      <w:proofErr w:type="spellStart"/>
      <w:r w:rsidRPr="00764D43">
        <w:rPr>
          <w:rFonts w:ascii="Palatino Linotype" w:hAnsi="Palatino Linotype" w:cs="Arial"/>
          <w:b/>
          <w:bCs/>
          <w:i/>
        </w:rPr>
        <w:t>MTE</w:t>
      </w:r>
      <w:proofErr w:type="spellEnd"/>
      <w:r w:rsidRPr="00764D43">
        <w:rPr>
          <w:rFonts w:ascii="Palatino Linotype" w:hAnsi="Palatino Linotype" w:cs="Arial"/>
          <w:b/>
          <w:bCs/>
          <w:i/>
        </w:rPr>
        <w:t>:</w:t>
      </w:r>
      <w:r w:rsidRPr="00764D43">
        <w:rPr>
          <w:rFonts w:ascii="Palatino Linotype" w:hAnsi="Palatino Linotype" w:cs="Arial"/>
          <w:bCs/>
          <w:i/>
        </w:rPr>
        <w:t xml:space="preserve"> </w:t>
      </w:r>
      <w:r w:rsidRPr="00764D43">
        <w:rPr>
          <w:rFonts w:ascii="Palatino Linotype" w:hAnsi="Palatino Linotype" w:cs="Arial"/>
          <w:i/>
        </w:rPr>
        <w:t>Monto total en dólares de consumo de agua y alcantarillado, calculado en base a la tarifa del servicio de agua potable y alcantarillado vigente a junio 2017.</w:t>
      </w:r>
    </w:p>
    <w:p w:rsidR="00F5699D" w:rsidRPr="00764D43" w:rsidRDefault="00377948" w:rsidP="00764D43">
      <w:pPr>
        <w:pStyle w:val="Default"/>
        <w:spacing w:after="120" w:line="276" w:lineRule="auto"/>
        <w:ind w:left="1416"/>
        <w:jc w:val="both"/>
        <w:rPr>
          <w:rFonts w:ascii="Palatino Linotype" w:hAnsi="Palatino Linotype"/>
          <w:i/>
          <w:sz w:val="22"/>
          <w:szCs w:val="22"/>
        </w:rPr>
      </w:pPr>
      <w:r w:rsidRPr="00764D43">
        <w:rPr>
          <w:rFonts w:ascii="Palatino Linotype" w:hAnsi="Palatino Linotype" w:cs="Arial"/>
          <w:i/>
          <w:sz w:val="22"/>
          <w:szCs w:val="22"/>
        </w:rPr>
        <w:t xml:space="preserve">• </w:t>
      </w:r>
      <w:r w:rsidRPr="00764D43">
        <w:rPr>
          <w:rFonts w:ascii="Palatino Linotype" w:hAnsi="Palatino Linotype" w:cs="Arial"/>
          <w:b/>
          <w:i/>
          <w:sz w:val="22"/>
          <w:szCs w:val="22"/>
        </w:rPr>
        <w:t>FACTOR A</w:t>
      </w:r>
      <w:r w:rsidRPr="00764D43">
        <w:rPr>
          <w:rFonts w:ascii="Palatino Linotype" w:hAnsi="Palatino Linotype"/>
          <w:b/>
          <w:bCs/>
          <w:i/>
          <w:sz w:val="22"/>
          <w:szCs w:val="22"/>
        </w:rPr>
        <w:t xml:space="preserve">: </w:t>
      </w:r>
      <w:r w:rsidRPr="00764D43">
        <w:rPr>
          <w:rFonts w:ascii="Palatino Linotype" w:hAnsi="Palatino Linotype"/>
          <w:i/>
          <w:sz w:val="22"/>
          <w:szCs w:val="22"/>
        </w:rPr>
        <w:t xml:space="preserve">porcentaje aplicable sobre el </w:t>
      </w:r>
      <w:proofErr w:type="spellStart"/>
      <w:r w:rsidRPr="00764D43">
        <w:rPr>
          <w:rFonts w:ascii="Palatino Linotype" w:hAnsi="Palatino Linotype"/>
          <w:i/>
          <w:sz w:val="22"/>
          <w:szCs w:val="22"/>
        </w:rPr>
        <w:t>MTE</w:t>
      </w:r>
      <w:proofErr w:type="spellEnd"/>
      <w:r w:rsidRPr="00764D43">
        <w:rPr>
          <w:rFonts w:ascii="Palatino Linotype" w:hAnsi="Palatino Linotype"/>
          <w:i/>
          <w:sz w:val="22"/>
          <w:szCs w:val="22"/>
        </w:rPr>
        <w:t xml:space="preserve">, para </w:t>
      </w:r>
      <w:r w:rsidR="00F5699D" w:rsidRPr="00764D43">
        <w:rPr>
          <w:rFonts w:ascii="Palatino Linotype" w:hAnsi="Palatino Linotype"/>
          <w:i/>
          <w:sz w:val="22"/>
          <w:szCs w:val="22"/>
        </w:rPr>
        <w:t xml:space="preserve">el primer rango de </w:t>
      </w:r>
      <w:r w:rsidRPr="00764D43">
        <w:rPr>
          <w:rFonts w:ascii="Palatino Linotype" w:hAnsi="Palatino Linotype"/>
          <w:i/>
          <w:sz w:val="22"/>
          <w:szCs w:val="22"/>
        </w:rPr>
        <w:t xml:space="preserve">consumo </w:t>
      </w:r>
      <w:r w:rsidR="00F5699D" w:rsidRPr="00764D43">
        <w:rPr>
          <w:rFonts w:ascii="Palatino Linotype" w:hAnsi="Palatino Linotype"/>
          <w:i/>
          <w:sz w:val="22"/>
          <w:szCs w:val="22"/>
        </w:rPr>
        <w:t xml:space="preserve">de agua potable y alcantarillado establecido por la empresa pública metropolitana, encargada de la prestación del servicio de agua potable. </w:t>
      </w:r>
    </w:p>
    <w:p w:rsidR="00F5699D" w:rsidRPr="00764D43" w:rsidRDefault="00377948" w:rsidP="00764D43">
      <w:pPr>
        <w:pStyle w:val="Default"/>
        <w:spacing w:after="120" w:line="276" w:lineRule="auto"/>
        <w:ind w:left="1416"/>
        <w:jc w:val="both"/>
        <w:rPr>
          <w:rFonts w:ascii="Palatino Linotype" w:hAnsi="Palatino Linotype"/>
          <w:i/>
          <w:sz w:val="22"/>
          <w:szCs w:val="22"/>
        </w:rPr>
      </w:pPr>
      <w:r w:rsidRPr="00764D43">
        <w:rPr>
          <w:rFonts w:ascii="Palatino Linotype" w:hAnsi="Palatino Linotype" w:cs="Arial"/>
          <w:i/>
          <w:sz w:val="22"/>
          <w:szCs w:val="22"/>
        </w:rPr>
        <w:t xml:space="preserve">• </w:t>
      </w:r>
      <w:r w:rsidRPr="00764D43">
        <w:rPr>
          <w:rFonts w:ascii="Palatino Linotype" w:hAnsi="Palatino Linotype" w:cs="Arial"/>
          <w:b/>
          <w:i/>
          <w:sz w:val="22"/>
          <w:szCs w:val="22"/>
        </w:rPr>
        <w:t>FACTOR B</w:t>
      </w:r>
      <w:r w:rsidRPr="00764D43">
        <w:rPr>
          <w:rFonts w:ascii="Palatino Linotype" w:hAnsi="Palatino Linotype"/>
          <w:b/>
          <w:bCs/>
          <w:i/>
          <w:sz w:val="22"/>
          <w:szCs w:val="22"/>
        </w:rPr>
        <w:t xml:space="preserve">: </w:t>
      </w:r>
      <w:r w:rsidRPr="00764D43">
        <w:rPr>
          <w:rFonts w:ascii="Palatino Linotype" w:hAnsi="Palatino Linotype"/>
          <w:i/>
          <w:sz w:val="22"/>
          <w:szCs w:val="22"/>
        </w:rPr>
        <w:t xml:space="preserve">porcentaje aplicable sobre el </w:t>
      </w:r>
      <w:proofErr w:type="spellStart"/>
      <w:r w:rsidRPr="00764D43">
        <w:rPr>
          <w:rFonts w:ascii="Palatino Linotype" w:hAnsi="Palatino Linotype"/>
          <w:i/>
          <w:sz w:val="22"/>
          <w:szCs w:val="22"/>
        </w:rPr>
        <w:t>MTE</w:t>
      </w:r>
      <w:proofErr w:type="spellEnd"/>
      <w:r w:rsidRPr="00764D43">
        <w:rPr>
          <w:rFonts w:ascii="Palatino Linotype" w:hAnsi="Palatino Linotype"/>
          <w:i/>
          <w:sz w:val="22"/>
          <w:szCs w:val="22"/>
        </w:rPr>
        <w:t>,</w:t>
      </w:r>
      <w:r w:rsidR="00F5699D" w:rsidRPr="00764D43">
        <w:rPr>
          <w:rFonts w:ascii="Palatino Linotype" w:hAnsi="Palatino Linotype"/>
          <w:i/>
          <w:sz w:val="22"/>
          <w:szCs w:val="22"/>
        </w:rPr>
        <w:t xml:space="preserve"> para el segundo rango de consumo de agua potable y alcantarillado establecido por la empresa pública metropolitana, encargada de la prestación del servicio de agua potable. </w:t>
      </w:r>
    </w:p>
    <w:p w:rsidR="00377948" w:rsidRPr="00764D43" w:rsidRDefault="00377948" w:rsidP="00764D43">
      <w:pPr>
        <w:pStyle w:val="Default"/>
        <w:spacing w:after="120" w:line="276" w:lineRule="auto"/>
        <w:ind w:left="1416"/>
        <w:jc w:val="both"/>
        <w:rPr>
          <w:rFonts w:ascii="Palatino Linotype" w:hAnsi="Palatino Linotype"/>
          <w:bCs/>
          <w:i/>
          <w:sz w:val="22"/>
          <w:szCs w:val="22"/>
        </w:rPr>
      </w:pPr>
      <w:r w:rsidRPr="00764D43">
        <w:rPr>
          <w:rFonts w:ascii="Palatino Linotype" w:hAnsi="Palatino Linotype"/>
          <w:i/>
          <w:sz w:val="22"/>
          <w:szCs w:val="22"/>
        </w:rPr>
        <w:t xml:space="preserve"> </w:t>
      </w:r>
      <w:r w:rsidRPr="00764D43">
        <w:rPr>
          <w:rFonts w:ascii="Palatino Linotype" w:hAnsi="Palatino Linotype" w:cs="Arial"/>
          <w:i/>
          <w:sz w:val="22"/>
          <w:szCs w:val="22"/>
        </w:rPr>
        <w:t xml:space="preserve">• </w:t>
      </w:r>
      <w:r w:rsidRPr="00764D43">
        <w:rPr>
          <w:rFonts w:ascii="Palatino Linotype" w:hAnsi="Palatino Linotype" w:cs="Arial"/>
          <w:b/>
          <w:i/>
          <w:sz w:val="22"/>
          <w:szCs w:val="22"/>
        </w:rPr>
        <w:t>FACTOR C</w:t>
      </w:r>
      <w:r w:rsidRPr="00764D43">
        <w:rPr>
          <w:rFonts w:ascii="Palatino Linotype" w:hAnsi="Palatino Linotype"/>
          <w:i/>
          <w:sz w:val="22"/>
          <w:szCs w:val="22"/>
        </w:rPr>
        <w:t xml:space="preserve"> porcentaje aplicable sobre el </w:t>
      </w:r>
      <w:proofErr w:type="spellStart"/>
      <w:r w:rsidRPr="00764D43">
        <w:rPr>
          <w:rFonts w:ascii="Palatino Linotype" w:hAnsi="Palatino Linotype"/>
          <w:i/>
          <w:sz w:val="22"/>
          <w:szCs w:val="22"/>
        </w:rPr>
        <w:t>MTE</w:t>
      </w:r>
      <w:proofErr w:type="spellEnd"/>
      <w:r w:rsidRPr="00764D43">
        <w:rPr>
          <w:rFonts w:ascii="Palatino Linotype" w:hAnsi="Palatino Linotype"/>
          <w:i/>
          <w:sz w:val="22"/>
          <w:szCs w:val="22"/>
        </w:rPr>
        <w:t xml:space="preserve">, </w:t>
      </w:r>
      <w:r w:rsidR="00F5699D" w:rsidRPr="00764D43">
        <w:rPr>
          <w:rFonts w:ascii="Palatino Linotype" w:hAnsi="Palatino Linotype"/>
          <w:i/>
          <w:sz w:val="22"/>
          <w:szCs w:val="22"/>
        </w:rPr>
        <w:t xml:space="preserve">para el tercer rango de consumo de agua potable y alcantarillado establecido por la empresa pública metropolitana, encargada de la prestación del servicio de agua potable, </w:t>
      </w:r>
      <w:r w:rsidRPr="00764D43">
        <w:rPr>
          <w:rFonts w:ascii="Palatino Linotype" w:hAnsi="Palatino Linotype"/>
          <w:bCs/>
          <w:i/>
          <w:sz w:val="22"/>
          <w:szCs w:val="22"/>
        </w:rPr>
        <w:t xml:space="preserve">conforme el siguiente cuadro: </w:t>
      </w:r>
    </w:p>
    <w:tbl>
      <w:tblPr>
        <w:tblpPr w:leftFromText="141" w:rightFromText="141" w:vertAnchor="text" w:horzAnchor="margin" w:tblpXSpec="center" w:tblpY="26"/>
        <w:tblW w:w="5760" w:type="dxa"/>
        <w:tblCellMar>
          <w:left w:w="70" w:type="dxa"/>
          <w:right w:w="70" w:type="dxa"/>
        </w:tblCellMar>
        <w:tblLook w:val="04A0" w:firstRow="1" w:lastRow="0" w:firstColumn="1" w:lastColumn="0" w:noHBand="0" w:noVBand="1"/>
      </w:tblPr>
      <w:tblGrid>
        <w:gridCol w:w="2040"/>
        <w:gridCol w:w="1240"/>
        <w:gridCol w:w="1240"/>
        <w:gridCol w:w="1240"/>
      </w:tblGrid>
      <w:tr w:rsidR="00377948" w:rsidRPr="00764D43" w:rsidTr="00764D43">
        <w:trPr>
          <w:trHeight w:val="288"/>
        </w:trPr>
        <w:tc>
          <w:tcPr>
            <w:tcW w:w="204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377948" w:rsidRPr="00764D43" w:rsidRDefault="00897FB4" w:rsidP="00414B52">
            <w:pPr>
              <w:spacing w:after="120" w:line="276" w:lineRule="auto"/>
              <w:jc w:val="center"/>
              <w:rPr>
                <w:rFonts w:ascii="Palatino Linotype" w:hAnsi="Palatino Linotype" w:cs="Times New Roman"/>
                <w:i/>
                <w:lang w:eastAsia="es-EC"/>
              </w:rPr>
            </w:pPr>
            <w:r w:rsidRPr="00764D43">
              <w:rPr>
                <w:rFonts w:ascii="Palatino Linotype" w:hAnsi="Palatino Linotype" w:cs="Times New Roman"/>
                <w:i/>
                <w:lang w:eastAsia="es-EC"/>
              </w:rPr>
              <w:lastRenderedPageBreak/>
              <w:t>AÑ</w:t>
            </w:r>
            <w:r w:rsidR="00377948" w:rsidRPr="00764D43">
              <w:rPr>
                <w:rFonts w:ascii="Palatino Linotype" w:hAnsi="Palatino Linotype" w:cs="Times New Roman"/>
                <w:i/>
                <w:lang w:eastAsia="es-EC"/>
              </w:rPr>
              <w:t>O</w:t>
            </w:r>
          </w:p>
        </w:tc>
        <w:tc>
          <w:tcPr>
            <w:tcW w:w="1240" w:type="dxa"/>
            <w:tcBorders>
              <w:top w:val="single" w:sz="4" w:space="0" w:color="auto"/>
              <w:left w:val="nil"/>
              <w:bottom w:val="single" w:sz="4" w:space="0" w:color="auto"/>
              <w:right w:val="single" w:sz="4" w:space="0" w:color="auto"/>
            </w:tcBorders>
            <w:shd w:val="clear" w:color="000000" w:fill="002060"/>
            <w:noWrap/>
            <w:vAlign w:val="bottom"/>
            <w:hideMark/>
          </w:tcPr>
          <w:p w:rsidR="00377948" w:rsidRPr="00764D43" w:rsidRDefault="00377948" w:rsidP="00494258">
            <w:pPr>
              <w:spacing w:after="120" w:line="276" w:lineRule="auto"/>
              <w:jc w:val="center"/>
              <w:rPr>
                <w:rFonts w:ascii="Palatino Linotype" w:hAnsi="Palatino Linotype" w:cs="Times New Roman"/>
                <w:i/>
                <w:lang w:eastAsia="es-EC"/>
              </w:rPr>
            </w:pPr>
            <w:r w:rsidRPr="00764D43">
              <w:rPr>
                <w:rFonts w:ascii="Palatino Linotype" w:hAnsi="Palatino Linotype" w:cs="Times New Roman"/>
                <w:i/>
                <w:lang w:eastAsia="es-EC"/>
              </w:rPr>
              <w:t>FACTOR (</w:t>
            </w:r>
            <w:r w:rsidR="00494258">
              <w:rPr>
                <w:rFonts w:ascii="Palatino Linotype" w:hAnsi="Palatino Linotype" w:cs="Times New Roman"/>
                <w:i/>
                <w:lang w:eastAsia="es-EC"/>
              </w:rPr>
              <w:t>A</w:t>
            </w:r>
            <w:r w:rsidRPr="00764D43">
              <w:rPr>
                <w:rFonts w:ascii="Palatino Linotype" w:hAnsi="Palatino Linotype" w:cs="Times New Roman"/>
                <w:i/>
                <w:lang w:eastAsia="es-EC"/>
              </w:rPr>
              <w:t>)</w:t>
            </w:r>
          </w:p>
        </w:tc>
        <w:tc>
          <w:tcPr>
            <w:tcW w:w="1240" w:type="dxa"/>
            <w:tcBorders>
              <w:top w:val="single" w:sz="4" w:space="0" w:color="auto"/>
              <w:left w:val="nil"/>
              <w:bottom w:val="single" w:sz="4" w:space="0" w:color="auto"/>
              <w:right w:val="single" w:sz="4" w:space="0" w:color="auto"/>
            </w:tcBorders>
            <w:shd w:val="clear" w:color="000000" w:fill="002060"/>
            <w:noWrap/>
            <w:vAlign w:val="bottom"/>
            <w:hideMark/>
          </w:tcPr>
          <w:p w:rsidR="00377948" w:rsidRPr="00764D43" w:rsidRDefault="00377948" w:rsidP="00414B52">
            <w:pPr>
              <w:spacing w:after="120" w:line="276" w:lineRule="auto"/>
              <w:jc w:val="center"/>
              <w:rPr>
                <w:rFonts w:ascii="Palatino Linotype" w:hAnsi="Palatino Linotype" w:cs="Times New Roman"/>
                <w:i/>
                <w:lang w:eastAsia="es-EC"/>
              </w:rPr>
            </w:pPr>
            <w:r w:rsidRPr="00764D43">
              <w:rPr>
                <w:rFonts w:ascii="Palatino Linotype" w:hAnsi="Palatino Linotype" w:cs="Times New Roman"/>
                <w:i/>
                <w:lang w:eastAsia="es-EC"/>
              </w:rPr>
              <w:t>F</w:t>
            </w:r>
            <w:r w:rsidR="00494258">
              <w:rPr>
                <w:rFonts w:ascii="Palatino Linotype" w:hAnsi="Palatino Linotype" w:cs="Times New Roman"/>
                <w:i/>
                <w:lang w:eastAsia="es-EC"/>
              </w:rPr>
              <w:t>ACTOR (B</w:t>
            </w:r>
            <w:r w:rsidRPr="00764D43">
              <w:rPr>
                <w:rFonts w:ascii="Palatino Linotype" w:hAnsi="Palatino Linotype" w:cs="Times New Roman"/>
                <w:i/>
                <w:lang w:eastAsia="es-EC"/>
              </w:rPr>
              <w:t>)</w:t>
            </w:r>
          </w:p>
        </w:tc>
        <w:tc>
          <w:tcPr>
            <w:tcW w:w="1240" w:type="dxa"/>
            <w:tcBorders>
              <w:top w:val="single" w:sz="4" w:space="0" w:color="auto"/>
              <w:left w:val="nil"/>
              <w:bottom w:val="single" w:sz="4" w:space="0" w:color="auto"/>
              <w:right w:val="single" w:sz="4" w:space="0" w:color="auto"/>
            </w:tcBorders>
            <w:shd w:val="clear" w:color="000000" w:fill="002060"/>
            <w:noWrap/>
            <w:vAlign w:val="bottom"/>
            <w:hideMark/>
          </w:tcPr>
          <w:p w:rsidR="00377948" w:rsidRPr="00764D43" w:rsidRDefault="00494258" w:rsidP="00414B52">
            <w:pPr>
              <w:spacing w:after="120" w:line="276" w:lineRule="auto"/>
              <w:jc w:val="center"/>
              <w:rPr>
                <w:rFonts w:ascii="Palatino Linotype" w:hAnsi="Palatino Linotype" w:cs="Times New Roman"/>
                <w:i/>
                <w:lang w:eastAsia="es-EC"/>
              </w:rPr>
            </w:pPr>
            <w:r>
              <w:rPr>
                <w:rFonts w:ascii="Palatino Linotype" w:hAnsi="Palatino Linotype" w:cs="Times New Roman"/>
                <w:i/>
                <w:lang w:eastAsia="es-EC"/>
              </w:rPr>
              <w:t>FACTOR (C</w:t>
            </w:r>
            <w:r w:rsidR="00377948" w:rsidRPr="00764D43">
              <w:rPr>
                <w:rFonts w:ascii="Palatino Linotype" w:hAnsi="Palatino Linotype" w:cs="Times New Roman"/>
                <w:i/>
                <w:lang w:eastAsia="es-EC"/>
              </w:rPr>
              <w:t>)</w:t>
            </w:r>
          </w:p>
        </w:tc>
      </w:tr>
      <w:tr w:rsidR="00377948" w:rsidRPr="00764D43" w:rsidTr="00764D43">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377948" w:rsidRPr="00764D43" w:rsidRDefault="00377948" w:rsidP="00414B52">
            <w:pPr>
              <w:spacing w:after="120" w:line="276" w:lineRule="auto"/>
              <w:jc w:val="center"/>
              <w:rPr>
                <w:rFonts w:ascii="Palatino Linotype" w:hAnsi="Palatino Linotype" w:cs="Times New Roman"/>
                <w:i/>
                <w:color w:val="000000"/>
                <w:lang w:eastAsia="es-EC"/>
              </w:rPr>
            </w:pPr>
            <w:r w:rsidRPr="00764D43">
              <w:rPr>
                <w:rFonts w:ascii="Palatino Linotype" w:hAnsi="Palatino Linotype" w:cs="Times New Roman"/>
                <w:i/>
                <w:color w:val="000000"/>
                <w:lang w:eastAsia="es-EC"/>
              </w:rPr>
              <w:t>2017</w:t>
            </w:r>
          </w:p>
        </w:tc>
        <w:tc>
          <w:tcPr>
            <w:tcW w:w="1240" w:type="dxa"/>
            <w:tcBorders>
              <w:top w:val="nil"/>
              <w:left w:val="nil"/>
              <w:bottom w:val="single" w:sz="4" w:space="0" w:color="auto"/>
              <w:right w:val="single" w:sz="4" w:space="0" w:color="auto"/>
            </w:tcBorders>
            <w:shd w:val="clear" w:color="auto" w:fill="auto"/>
            <w:noWrap/>
            <w:vAlign w:val="bottom"/>
            <w:hideMark/>
          </w:tcPr>
          <w:p w:rsidR="00377948" w:rsidRPr="00764D43" w:rsidRDefault="00377948" w:rsidP="00414B52">
            <w:pPr>
              <w:spacing w:after="120" w:line="276" w:lineRule="auto"/>
              <w:jc w:val="center"/>
              <w:rPr>
                <w:rFonts w:ascii="Palatino Linotype" w:hAnsi="Palatino Linotype" w:cs="Times New Roman"/>
                <w:i/>
                <w:color w:val="000000"/>
                <w:lang w:eastAsia="es-EC"/>
              </w:rPr>
            </w:pPr>
            <w:r w:rsidRPr="00764D43">
              <w:rPr>
                <w:rFonts w:ascii="Palatino Linotype" w:hAnsi="Palatino Linotype" w:cs="Times New Roman"/>
                <w:i/>
                <w:color w:val="000000"/>
                <w:lang w:eastAsia="es-EC"/>
              </w:rPr>
              <w:t>39,7%</w:t>
            </w:r>
          </w:p>
        </w:tc>
        <w:tc>
          <w:tcPr>
            <w:tcW w:w="1240" w:type="dxa"/>
            <w:tcBorders>
              <w:top w:val="nil"/>
              <w:left w:val="nil"/>
              <w:bottom w:val="single" w:sz="4" w:space="0" w:color="auto"/>
              <w:right w:val="single" w:sz="4" w:space="0" w:color="auto"/>
            </w:tcBorders>
            <w:shd w:val="clear" w:color="auto" w:fill="auto"/>
            <w:noWrap/>
            <w:vAlign w:val="bottom"/>
            <w:hideMark/>
          </w:tcPr>
          <w:p w:rsidR="00377948" w:rsidRPr="00764D43" w:rsidRDefault="00377948" w:rsidP="00414B52">
            <w:pPr>
              <w:spacing w:after="120" w:line="276" w:lineRule="auto"/>
              <w:jc w:val="center"/>
              <w:rPr>
                <w:rFonts w:ascii="Palatino Linotype" w:hAnsi="Palatino Linotype" w:cs="Times New Roman"/>
                <w:i/>
                <w:color w:val="000000"/>
                <w:lang w:eastAsia="es-EC"/>
              </w:rPr>
            </w:pPr>
            <w:r w:rsidRPr="00764D43">
              <w:rPr>
                <w:rFonts w:ascii="Palatino Linotype" w:hAnsi="Palatino Linotype" w:cs="Times New Roman"/>
                <w:i/>
                <w:color w:val="000000"/>
                <w:lang w:eastAsia="es-EC"/>
              </w:rPr>
              <w:t>40,5%</w:t>
            </w:r>
          </w:p>
        </w:tc>
        <w:tc>
          <w:tcPr>
            <w:tcW w:w="1240" w:type="dxa"/>
            <w:tcBorders>
              <w:top w:val="nil"/>
              <w:left w:val="nil"/>
              <w:bottom w:val="single" w:sz="4" w:space="0" w:color="auto"/>
              <w:right w:val="single" w:sz="4" w:space="0" w:color="auto"/>
            </w:tcBorders>
            <w:shd w:val="clear" w:color="auto" w:fill="auto"/>
            <w:noWrap/>
            <w:vAlign w:val="bottom"/>
            <w:hideMark/>
          </w:tcPr>
          <w:p w:rsidR="00377948" w:rsidRPr="00764D43" w:rsidRDefault="00377948" w:rsidP="00414B52">
            <w:pPr>
              <w:spacing w:after="120" w:line="276" w:lineRule="auto"/>
              <w:jc w:val="center"/>
              <w:rPr>
                <w:rFonts w:ascii="Palatino Linotype" w:hAnsi="Palatino Linotype" w:cs="Times New Roman"/>
                <w:i/>
                <w:color w:val="000000"/>
                <w:lang w:eastAsia="es-EC"/>
              </w:rPr>
            </w:pPr>
            <w:r w:rsidRPr="00764D43">
              <w:rPr>
                <w:rFonts w:ascii="Palatino Linotype" w:hAnsi="Palatino Linotype" w:cs="Times New Roman"/>
                <w:i/>
                <w:color w:val="000000"/>
                <w:lang w:eastAsia="es-EC"/>
              </w:rPr>
              <w:t>43,5%</w:t>
            </w:r>
          </w:p>
        </w:tc>
      </w:tr>
      <w:tr w:rsidR="00377948" w:rsidRPr="00764D43" w:rsidTr="00764D43">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377948" w:rsidRPr="00764D43" w:rsidRDefault="00377948" w:rsidP="00414B52">
            <w:pPr>
              <w:spacing w:after="120" w:line="276" w:lineRule="auto"/>
              <w:jc w:val="center"/>
              <w:rPr>
                <w:rFonts w:ascii="Palatino Linotype" w:hAnsi="Palatino Linotype" w:cs="Times New Roman"/>
                <w:i/>
                <w:color w:val="000000"/>
                <w:lang w:eastAsia="es-EC"/>
              </w:rPr>
            </w:pPr>
            <w:r w:rsidRPr="00764D43">
              <w:rPr>
                <w:rFonts w:ascii="Palatino Linotype" w:hAnsi="Palatino Linotype" w:cs="Times New Roman"/>
                <w:i/>
                <w:color w:val="000000"/>
                <w:lang w:eastAsia="es-EC"/>
              </w:rPr>
              <w:t>2018</w:t>
            </w:r>
          </w:p>
        </w:tc>
        <w:tc>
          <w:tcPr>
            <w:tcW w:w="1240" w:type="dxa"/>
            <w:tcBorders>
              <w:top w:val="nil"/>
              <w:left w:val="nil"/>
              <w:bottom w:val="single" w:sz="4" w:space="0" w:color="auto"/>
              <w:right w:val="single" w:sz="4" w:space="0" w:color="auto"/>
            </w:tcBorders>
            <w:shd w:val="clear" w:color="auto" w:fill="auto"/>
            <w:noWrap/>
            <w:vAlign w:val="bottom"/>
            <w:hideMark/>
          </w:tcPr>
          <w:p w:rsidR="00377948" w:rsidRPr="00764D43" w:rsidRDefault="00377948" w:rsidP="00414B52">
            <w:pPr>
              <w:spacing w:after="120" w:line="276" w:lineRule="auto"/>
              <w:jc w:val="center"/>
              <w:rPr>
                <w:rFonts w:ascii="Palatino Linotype" w:hAnsi="Palatino Linotype" w:cs="Times New Roman"/>
                <w:i/>
                <w:color w:val="000000"/>
                <w:lang w:eastAsia="es-EC"/>
              </w:rPr>
            </w:pPr>
            <w:r w:rsidRPr="00764D43">
              <w:rPr>
                <w:rFonts w:ascii="Palatino Linotype" w:hAnsi="Palatino Linotype" w:cs="Times New Roman"/>
                <w:i/>
                <w:color w:val="000000"/>
                <w:lang w:eastAsia="es-EC"/>
              </w:rPr>
              <w:t>39,7%</w:t>
            </w:r>
          </w:p>
        </w:tc>
        <w:tc>
          <w:tcPr>
            <w:tcW w:w="1240" w:type="dxa"/>
            <w:tcBorders>
              <w:top w:val="nil"/>
              <w:left w:val="nil"/>
              <w:bottom w:val="single" w:sz="4" w:space="0" w:color="auto"/>
              <w:right w:val="single" w:sz="4" w:space="0" w:color="auto"/>
            </w:tcBorders>
            <w:shd w:val="clear" w:color="auto" w:fill="auto"/>
            <w:noWrap/>
            <w:vAlign w:val="bottom"/>
            <w:hideMark/>
          </w:tcPr>
          <w:p w:rsidR="00377948" w:rsidRPr="00764D43" w:rsidRDefault="00377948" w:rsidP="00414B52">
            <w:pPr>
              <w:spacing w:after="120" w:line="276" w:lineRule="auto"/>
              <w:jc w:val="center"/>
              <w:rPr>
                <w:rFonts w:ascii="Palatino Linotype" w:hAnsi="Palatino Linotype" w:cs="Times New Roman"/>
                <w:i/>
                <w:color w:val="000000"/>
                <w:lang w:eastAsia="es-EC"/>
              </w:rPr>
            </w:pPr>
            <w:r w:rsidRPr="00764D43">
              <w:rPr>
                <w:rFonts w:ascii="Palatino Linotype" w:hAnsi="Palatino Linotype" w:cs="Times New Roman"/>
                <w:i/>
                <w:color w:val="000000"/>
                <w:lang w:eastAsia="es-EC"/>
              </w:rPr>
              <w:t>42,0%</w:t>
            </w:r>
          </w:p>
        </w:tc>
        <w:tc>
          <w:tcPr>
            <w:tcW w:w="1240" w:type="dxa"/>
            <w:tcBorders>
              <w:top w:val="nil"/>
              <w:left w:val="nil"/>
              <w:bottom w:val="single" w:sz="4" w:space="0" w:color="auto"/>
              <w:right w:val="single" w:sz="4" w:space="0" w:color="auto"/>
            </w:tcBorders>
            <w:shd w:val="clear" w:color="auto" w:fill="auto"/>
            <w:noWrap/>
            <w:vAlign w:val="bottom"/>
            <w:hideMark/>
          </w:tcPr>
          <w:p w:rsidR="00377948" w:rsidRPr="00764D43" w:rsidRDefault="00377948" w:rsidP="00414B52">
            <w:pPr>
              <w:spacing w:after="120" w:line="276" w:lineRule="auto"/>
              <w:jc w:val="center"/>
              <w:rPr>
                <w:rFonts w:ascii="Palatino Linotype" w:hAnsi="Palatino Linotype" w:cs="Times New Roman"/>
                <w:i/>
                <w:color w:val="000000"/>
                <w:lang w:eastAsia="es-EC"/>
              </w:rPr>
            </w:pPr>
            <w:r w:rsidRPr="00764D43">
              <w:rPr>
                <w:rFonts w:ascii="Palatino Linotype" w:hAnsi="Palatino Linotype" w:cs="Times New Roman"/>
                <w:i/>
                <w:color w:val="000000"/>
                <w:lang w:eastAsia="es-EC"/>
              </w:rPr>
              <w:t>44,1%</w:t>
            </w:r>
          </w:p>
        </w:tc>
      </w:tr>
      <w:tr w:rsidR="00377948" w:rsidRPr="00764D43" w:rsidTr="00764D43">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377948" w:rsidRPr="00764D43" w:rsidRDefault="00377948" w:rsidP="00414B52">
            <w:pPr>
              <w:spacing w:after="120" w:line="276" w:lineRule="auto"/>
              <w:jc w:val="center"/>
              <w:rPr>
                <w:rFonts w:ascii="Palatino Linotype" w:hAnsi="Palatino Linotype" w:cs="Times New Roman"/>
                <w:i/>
                <w:color w:val="000000"/>
                <w:lang w:eastAsia="es-EC"/>
              </w:rPr>
            </w:pPr>
            <w:r w:rsidRPr="00764D43">
              <w:rPr>
                <w:rFonts w:ascii="Palatino Linotype" w:hAnsi="Palatino Linotype" w:cs="Times New Roman"/>
                <w:i/>
                <w:color w:val="000000"/>
                <w:lang w:eastAsia="es-EC"/>
              </w:rPr>
              <w:t>2019</w:t>
            </w:r>
          </w:p>
        </w:tc>
        <w:tc>
          <w:tcPr>
            <w:tcW w:w="1240" w:type="dxa"/>
            <w:tcBorders>
              <w:top w:val="nil"/>
              <w:left w:val="nil"/>
              <w:bottom w:val="single" w:sz="4" w:space="0" w:color="auto"/>
              <w:right w:val="single" w:sz="4" w:space="0" w:color="auto"/>
            </w:tcBorders>
            <w:shd w:val="clear" w:color="auto" w:fill="auto"/>
            <w:noWrap/>
            <w:vAlign w:val="bottom"/>
            <w:hideMark/>
          </w:tcPr>
          <w:p w:rsidR="00377948" w:rsidRPr="00764D43" w:rsidRDefault="00377948" w:rsidP="00414B52">
            <w:pPr>
              <w:spacing w:after="120" w:line="276" w:lineRule="auto"/>
              <w:jc w:val="center"/>
              <w:rPr>
                <w:rFonts w:ascii="Palatino Linotype" w:hAnsi="Palatino Linotype" w:cs="Times New Roman"/>
                <w:i/>
                <w:color w:val="000000"/>
                <w:lang w:eastAsia="es-EC"/>
              </w:rPr>
            </w:pPr>
            <w:r w:rsidRPr="00764D43">
              <w:rPr>
                <w:rFonts w:ascii="Palatino Linotype" w:hAnsi="Palatino Linotype" w:cs="Times New Roman"/>
                <w:i/>
                <w:color w:val="000000"/>
                <w:lang w:eastAsia="es-EC"/>
              </w:rPr>
              <w:t>41,4%</w:t>
            </w:r>
          </w:p>
        </w:tc>
        <w:tc>
          <w:tcPr>
            <w:tcW w:w="1240" w:type="dxa"/>
            <w:tcBorders>
              <w:top w:val="nil"/>
              <w:left w:val="nil"/>
              <w:bottom w:val="single" w:sz="4" w:space="0" w:color="auto"/>
              <w:right w:val="single" w:sz="4" w:space="0" w:color="auto"/>
            </w:tcBorders>
            <w:shd w:val="clear" w:color="auto" w:fill="auto"/>
            <w:noWrap/>
            <w:vAlign w:val="bottom"/>
            <w:hideMark/>
          </w:tcPr>
          <w:p w:rsidR="00377948" w:rsidRPr="00764D43" w:rsidRDefault="00377948" w:rsidP="00414B52">
            <w:pPr>
              <w:spacing w:after="120" w:line="276" w:lineRule="auto"/>
              <w:jc w:val="center"/>
              <w:rPr>
                <w:rFonts w:ascii="Palatino Linotype" w:hAnsi="Palatino Linotype" w:cs="Times New Roman"/>
                <w:i/>
                <w:color w:val="000000"/>
                <w:lang w:eastAsia="es-EC"/>
              </w:rPr>
            </w:pPr>
            <w:r w:rsidRPr="00764D43">
              <w:rPr>
                <w:rFonts w:ascii="Palatino Linotype" w:hAnsi="Palatino Linotype" w:cs="Times New Roman"/>
                <w:i/>
                <w:color w:val="000000"/>
                <w:lang w:eastAsia="es-EC"/>
              </w:rPr>
              <w:t>43,5%</w:t>
            </w:r>
          </w:p>
        </w:tc>
        <w:tc>
          <w:tcPr>
            <w:tcW w:w="1240" w:type="dxa"/>
            <w:tcBorders>
              <w:top w:val="nil"/>
              <w:left w:val="nil"/>
              <w:bottom w:val="single" w:sz="4" w:space="0" w:color="auto"/>
              <w:right w:val="single" w:sz="4" w:space="0" w:color="auto"/>
            </w:tcBorders>
            <w:shd w:val="clear" w:color="auto" w:fill="auto"/>
            <w:noWrap/>
            <w:vAlign w:val="bottom"/>
            <w:hideMark/>
          </w:tcPr>
          <w:p w:rsidR="00377948" w:rsidRPr="00764D43" w:rsidRDefault="00377948" w:rsidP="00414B52">
            <w:pPr>
              <w:spacing w:after="120" w:line="276" w:lineRule="auto"/>
              <w:jc w:val="center"/>
              <w:rPr>
                <w:rFonts w:ascii="Palatino Linotype" w:hAnsi="Palatino Linotype" w:cs="Times New Roman"/>
                <w:i/>
                <w:color w:val="000000"/>
                <w:lang w:eastAsia="es-EC"/>
              </w:rPr>
            </w:pPr>
            <w:r w:rsidRPr="00764D43">
              <w:rPr>
                <w:rFonts w:ascii="Palatino Linotype" w:hAnsi="Palatino Linotype" w:cs="Times New Roman"/>
                <w:i/>
                <w:color w:val="000000"/>
                <w:lang w:eastAsia="es-EC"/>
              </w:rPr>
              <w:t>45,6%</w:t>
            </w:r>
          </w:p>
        </w:tc>
      </w:tr>
      <w:tr w:rsidR="00377948" w:rsidRPr="00764D43" w:rsidTr="00764D43">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377948" w:rsidRPr="00764D43" w:rsidRDefault="00377948" w:rsidP="00414B52">
            <w:pPr>
              <w:spacing w:after="120" w:line="276" w:lineRule="auto"/>
              <w:jc w:val="center"/>
              <w:rPr>
                <w:rFonts w:ascii="Palatino Linotype" w:hAnsi="Palatino Linotype" w:cs="Times New Roman"/>
                <w:i/>
                <w:color w:val="000000"/>
                <w:lang w:eastAsia="es-EC"/>
              </w:rPr>
            </w:pPr>
            <w:r w:rsidRPr="00764D43">
              <w:rPr>
                <w:rFonts w:ascii="Palatino Linotype" w:hAnsi="Palatino Linotype" w:cs="Times New Roman"/>
                <w:i/>
                <w:color w:val="000000"/>
                <w:lang w:eastAsia="es-EC"/>
              </w:rPr>
              <w:t>2020</w:t>
            </w:r>
          </w:p>
        </w:tc>
        <w:tc>
          <w:tcPr>
            <w:tcW w:w="1240" w:type="dxa"/>
            <w:tcBorders>
              <w:top w:val="nil"/>
              <w:left w:val="nil"/>
              <w:bottom w:val="single" w:sz="4" w:space="0" w:color="auto"/>
              <w:right w:val="single" w:sz="4" w:space="0" w:color="auto"/>
            </w:tcBorders>
            <w:shd w:val="clear" w:color="auto" w:fill="auto"/>
            <w:noWrap/>
            <w:vAlign w:val="bottom"/>
            <w:hideMark/>
          </w:tcPr>
          <w:p w:rsidR="00377948" w:rsidRPr="00764D43" w:rsidRDefault="00377948" w:rsidP="00414B52">
            <w:pPr>
              <w:spacing w:after="120" w:line="276" w:lineRule="auto"/>
              <w:jc w:val="center"/>
              <w:rPr>
                <w:rFonts w:ascii="Palatino Linotype" w:hAnsi="Palatino Linotype" w:cs="Times New Roman"/>
                <w:i/>
                <w:color w:val="000000"/>
                <w:lang w:eastAsia="es-EC"/>
              </w:rPr>
            </w:pPr>
            <w:r w:rsidRPr="00764D43">
              <w:rPr>
                <w:rFonts w:ascii="Palatino Linotype" w:hAnsi="Palatino Linotype" w:cs="Times New Roman"/>
                <w:i/>
                <w:color w:val="000000"/>
                <w:lang w:eastAsia="es-EC"/>
              </w:rPr>
              <w:t>43,0%</w:t>
            </w:r>
          </w:p>
        </w:tc>
        <w:tc>
          <w:tcPr>
            <w:tcW w:w="1240" w:type="dxa"/>
            <w:tcBorders>
              <w:top w:val="nil"/>
              <w:left w:val="nil"/>
              <w:bottom w:val="single" w:sz="4" w:space="0" w:color="auto"/>
              <w:right w:val="single" w:sz="4" w:space="0" w:color="auto"/>
            </w:tcBorders>
            <w:shd w:val="clear" w:color="auto" w:fill="auto"/>
            <w:noWrap/>
            <w:vAlign w:val="bottom"/>
            <w:hideMark/>
          </w:tcPr>
          <w:p w:rsidR="00377948" w:rsidRPr="00764D43" w:rsidRDefault="00377948" w:rsidP="00414B52">
            <w:pPr>
              <w:spacing w:after="120" w:line="276" w:lineRule="auto"/>
              <w:jc w:val="center"/>
              <w:rPr>
                <w:rFonts w:ascii="Palatino Linotype" w:hAnsi="Palatino Linotype" w:cs="Times New Roman"/>
                <w:i/>
                <w:color w:val="000000"/>
                <w:lang w:eastAsia="es-EC"/>
              </w:rPr>
            </w:pPr>
            <w:r w:rsidRPr="00764D43">
              <w:rPr>
                <w:rFonts w:ascii="Palatino Linotype" w:hAnsi="Palatino Linotype" w:cs="Times New Roman"/>
                <w:i/>
                <w:color w:val="000000"/>
                <w:lang w:eastAsia="es-EC"/>
              </w:rPr>
              <w:t>45,0%</w:t>
            </w:r>
          </w:p>
        </w:tc>
        <w:tc>
          <w:tcPr>
            <w:tcW w:w="1240" w:type="dxa"/>
            <w:tcBorders>
              <w:top w:val="nil"/>
              <w:left w:val="nil"/>
              <w:bottom w:val="single" w:sz="4" w:space="0" w:color="auto"/>
              <w:right w:val="single" w:sz="4" w:space="0" w:color="auto"/>
            </w:tcBorders>
            <w:shd w:val="clear" w:color="auto" w:fill="auto"/>
            <w:noWrap/>
            <w:vAlign w:val="bottom"/>
            <w:hideMark/>
          </w:tcPr>
          <w:p w:rsidR="00377948" w:rsidRPr="00764D43" w:rsidRDefault="00377948" w:rsidP="00414B52">
            <w:pPr>
              <w:spacing w:after="120" w:line="276" w:lineRule="auto"/>
              <w:jc w:val="center"/>
              <w:rPr>
                <w:rFonts w:ascii="Palatino Linotype" w:hAnsi="Palatino Linotype" w:cs="Times New Roman"/>
                <w:i/>
                <w:color w:val="000000"/>
                <w:lang w:eastAsia="es-EC"/>
              </w:rPr>
            </w:pPr>
            <w:r w:rsidRPr="00764D43">
              <w:rPr>
                <w:rFonts w:ascii="Palatino Linotype" w:hAnsi="Palatino Linotype" w:cs="Times New Roman"/>
                <w:i/>
                <w:color w:val="000000"/>
                <w:lang w:eastAsia="es-EC"/>
              </w:rPr>
              <w:t>47,1%</w:t>
            </w:r>
          </w:p>
        </w:tc>
      </w:tr>
      <w:tr w:rsidR="00377948" w:rsidRPr="00764D43" w:rsidTr="00764D43">
        <w:trPr>
          <w:trHeight w:val="288"/>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377948" w:rsidRPr="00764D43" w:rsidRDefault="00377948" w:rsidP="00414B52">
            <w:pPr>
              <w:spacing w:after="120" w:line="276" w:lineRule="auto"/>
              <w:jc w:val="center"/>
              <w:rPr>
                <w:rFonts w:ascii="Palatino Linotype" w:hAnsi="Palatino Linotype" w:cs="Times New Roman"/>
                <w:i/>
                <w:color w:val="000000"/>
                <w:lang w:eastAsia="es-EC"/>
              </w:rPr>
            </w:pPr>
            <w:r w:rsidRPr="00764D43">
              <w:rPr>
                <w:rFonts w:ascii="Palatino Linotype" w:hAnsi="Palatino Linotype" w:cs="Times New Roman"/>
                <w:i/>
                <w:color w:val="000000"/>
                <w:lang w:eastAsia="es-EC"/>
              </w:rPr>
              <w:t>2021</w:t>
            </w:r>
          </w:p>
        </w:tc>
        <w:tc>
          <w:tcPr>
            <w:tcW w:w="1240" w:type="dxa"/>
            <w:tcBorders>
              <w:top w:val="nil"/>
              <w:left w:val="nil"/>
              <w:bottom w:val="single" w:sz="4" w:space="0" w:color="auto"/>
              <w:right w:val="single" w:sz="4" w:space="0" w:color="auto"/>
            </w:tcBorders>
            <w:shd w:val="clear" w:color="auto" w:fill="auto"/>
            <w:noWrap/>
            <w:vAlign w:val="bottom"/>
            <w:hideMark/>
          </w:tcPr>
          <w:p w:rsidR="00377948" w:rsidRPr="00764D43" w:rsidRDefault="00377948" w:rsidP="00414B52">
            <w:pPr>
              <w:spacing w:after="120" w:line="276" w:lineRule="auto"/>
              <w:jc w:val="center"/>
              <w:rPr>
                <w:rFonts w:ascii="Palatino Linotype" w:hAnsi="Palatino Linotype" w:cs="Times New Roman"/>
                <w:i/>
                <w:color w:val="000000"/>
                <w:lang w:eastAsia="es-EC"/>
              </w:rPr>
            </w:pPr>
            <w:r w:rsidRPr="00764D43">
              <w:rPr>
                <w:rFonts w:ascii="Palatino Linotype" w:hAnsi="Palatino Linotype" w:cs="Times New Roman"/>
                <w:i/>
                <w:color w:val="000000"/>
                <w:lang w:eastAsia="es-EC"/>
              </w:rPr>
              <w:t>44,7%</w:t>
            </w:r>
          </w:p>
        </w:tc>
        <w:tc>
          <w:tcPr>
            <w:tcW w:w="1240" w:type="dxa"/>
            <w:tcBorders>
              <w:top w:val="nil"/>
              <w:left w:val="nil"/>
              <w:bottom w:val="single" w:sz="4" w:space="0" w:color="auto"/>
              <w:right w:val="single" w:sz="4" w:space="0" w:color="auto"/>
            </w:tcBorders>
            <w:shd w:val="clear" w:color="auto" w:fill="auto"/>
            <w:noWrap/>
            <w:vAlign w:val="bottom"/>
            <w:hideMark/>
          </w:tcPr>
          <w:p w:rsidR="00377948" w:rsidRPr="00764D43" w:rsidRDefault="00377948" w:rsidP="00414B52">
            <w:pPr>
              <w:spacing w:after="120" w:line="276" w:lineRule="auto"/>
              <w:jc w:val="center"/>
              <w:rPr>
                <w:rFonts w:ascii="Palatino Linotype" w:hAnsi="Palatino Linotype" w:cs="Times New Roman"/>
                <w:i/>
                <w:color w:val="000000"/>
                <w:lang w:eastAsia="es-EC"/>
              </w:rPr>
            </w:pPr>
            <w:r w:rsidRPr="00764D43">
              <w:rPr>
                <w:rFonts w:ascii="Palatino Linotype" w:hAnsi="Palatino Linotype" w:cs="Times New Roman"/>
                <w:i/>
                <w:color w:val="000000"/>
                <w:lang w:eastAsia="es-EC"/>
              </w:rPr>
              <w:t>46,7%</w:t>
            </w:r>
          </w:p>
        </w:tc>
        <w:tc>
          <w:tcPr>
            <w:tcW w:w="1240" w:type="dxa"/>
            <w:tcBorders>
              <w:top w:val="nil"/>
              <w:left w:val="nil"/>
              <w:bottom w:val="single" w:sz="4" w:space="0" w:color="auto"/>
              <w:right w:val="single" w:sz="4" w:space="0" w:color="auto"/>
            </w:tcBorders>
            <w:shd w:val="clear" w:color="auto" w:fill="auto"/>
            <w:noWrap/>
            <w:vAlign w:val="bottom"/>
            <w:hideMark/>
          </w:tcPr>
          <w:p w:rsidR="00377948" w:rsidRPr="00764D43" w:rsidRDefault="00377948" w:rsidP="00414B52">
            <w:pPr>
              <w:spacing w:after="120" w:line="276" w:lineRule="auto"/>
              <w:jc w:val="center"/>
              <w:rPr>
                <w:rFonts w:ascii="Palatino Linotype" w:hAnsi="Palatino Linotype" w:cs="Times New Roman"/>
                <w:i/>
                <w:color w:val="000000"/>
                <w:lang w:eastAsia="es-EC"/>
              </w:rPr>
            </w:pPr>
            <w:r w:rsidRPr="00764D43">
              <w:rPr>
                <w:rFonts w:ascii="Palatino Linotype" w:hAnsi="Palatino Linotype" w:cs="Times New Roman"/>
                <w:i/>
                <w:color w:val="000000"/>
                <w:lang w:eastAsia="es-EC"/>
              </w:rPr>
              <w:t>48,7%</w:t>
            </w:r>
          </w:p>
        </w:tc>
      </w:tr>
    </w:tbl>
    <w:p w:rsidR="00377948" w:rsidRPr="00764D43" w:rsidRDefault="00377948" w:rsidP="00764D43">
      <w:pPr>
        <w:spacing w:after="120" w:line="276" w:lineRule="auto"/>
        <w:ind w:left="708"/>
        <w:jc w:val="center"/>
        <w:rPr>
          <w:rFonts w:ascii="Palatino Linotype" w:hAnsi="Palatino Linotype"/>
          <w:i/>
          <w:sz w:val="22"/>
          <w:szCs w:val="22"/>
        </w:rPr>
      </w:pPr>
    </w:p>
    <w:p w:rsidR="00377948" w:rsidRPr="00764D43" w:rsidRDefault="00377948" w:rsidP="00764D43">
      <w:pPr>
        <w:pStyle w:val="Default"/>
        <w:spacing w:after="120" w:line="276" w:lineRule="auto"/>
        <w:ind w:left="708"/>
        <w:jc w:val="both"/>
        <w:rPr>
          <w:rFonts w:ascii="Palatino Linotype" w:hAnsi="Palatino Linotype"/>
          <w:i/>
          <w:sz w:val="22"/>
          <w:szCs w:val="22"/>
        </w:rPr>
      </w:pPr>
    </w:p>
    <w:p w:rsidR="00377948" w:rsidRPr="00764D43" w:rsidRDefault="00377948" w:rsidP="00764D43">
      <w:pPr>
        <w:pStyle w:val="Default"/>
        <w:spacing w:after="120" w:line="276" w:lineRule="auto"/>
        <w:ind w:left="708"/>
        <w:jc w:val="both"/>
        <w:rPr>
          <w:rFonts w:ascii="Palatino Linotype" w:hAnsi="Palatino Linotype"/>
          <w:i/>
          <w:sz w:val="22"/>
          <w:szCs w:val="22"/>
        </w:rPr>
      </w:pPr>
    </w:p>
    <w:p w:rsidR="00377948" w:rsidRPr="00764D43" w:rsidRDefault="00377948" w:rsidP="00764D43">
      <w:pPr>
        <w:pStyle w:val="Default"/>
        <w:spacing w:after="120" w:line="276" w:lineRule="auto"/>
        <w:ind w:left="708"/>
        <w:jc w:val="both"/>
        <w:rPr>
          <w:rFonts w:ascii="Palatino Linotype" w:hAnsi="Palatino Linotype"/>
          <w:i/>
          <w:sz w:val="22"/>
          <w:szCs w:val="22"/>
        </w:rPr>
      </w:pPr>
    </w:p>
    <w:p w:rsidR="00377948" w:rsidRPr="00764D43" w:rsidRDefault="00377948" w:rsidP="00764D43">
      <w:pPr>
        <w:pStyle w:val="Default"/>
        <w:spacing w:after="120" w:line="276" w:lineRule="auto"/>
        <w:ind w:left="708"/>
        <w:jc w:val="both"/>
        <w:rPr>
          <w:rFonts w:ascii="Palatino Linotype" w:hAnsi="Palatino Linotype"/>
          <w:i/>
          <w:sz w:val="22"/>
          <w:szCs w:val="22"/>
        </w:rPr>
      </w:pPr>
    </w:p>
    <w:p w:rsidR="00377948" w:rsidRPr="00764D43" w:rsidRDefault="00377948" w:rsidP="00764D43">
      <w:pPr>
        <w:pStyle w:val="Default"/>
        <w:spacing w:after="120" w:line="276" w:lineRule="auto"/>
        <w:ind w:left="708"/>
        <w:jc w:val="both"/>
        <w:rPr>
          <w:rFonts w:ascii="Palatino Linotype" w:hAnsi="Palatino Linotype"/>
          <w:i/>
          <w:sz w:val="22"/>
          <w:szCs w:val="22"/>
        </w:rPr>
      </w:pPr>
    </w:p>
    <w:p w:rsidR="00494258" w:rsidRDefault="00494258" w:rsidP="00764D43">
      <w:pPr>
        <w:pStyle w:val="Default"/>
        <w:spacing w:after="120" w:line="276" w:lineRule="auto"/>
        <w:ind w:left="708"/>
        <w:jc w:val="both"/>
        <w:rPr>
          <w:rFonts w:ascii="Palatino Linotype" w:hAnsi="Palatino Linotype"/>
          <w:i/>
          <w:sz w:val="22"/>
          <w:szCs w:val="22"/>
        </w:rPr>
      </w:pPr>
    </w:p>
    <w:p w:rsidR="00377948" w:rsidRPr="00764D43" w:rsidRDefault="00377948" w:rsidP="00764D43">
      <w:pPr>
        <w:pStyle w:val="Default"/>
        <w:spacing w:after="120" w:line="276" w:lineRule="auto"/>
        <w:ind w:left="708"/>
        <w:jc w:val="both"/>
        <w:rPr>
          <w:rFonts w:ascii="Palatino Linotype" w:hAnsi="Palatino Linotype"/>
          <w:i/>
          <w:sz w:val="22"/>
          <w:szCs w:val="22"/>
        </w:rPr>
      </w:pPr>
      <w:r w:rsidRPr="00764D43">
        <w:rPr>
          <w:rFonts w:ascii="Palatino Linotype" w:hAnsi="Palatino Linotype"/>
          <w:i/>
          <w:sz w:val="22"/>
          <w:szCs w:val="22"/>
        </w:rPr>
        <w:t>A partir del</w:t>
      </w:r>
      <w:r w:rsidR="00494258">
        <w:rPr>
          <w:rFonts w:ascii="Palatino Linotype" w:hAnsi="Palatino Linotype"/>
          <w:i/>
          <w:sz w:val="22"/>
          <w:szCs w:val="22"/>
        </w:rPr>
        <w:t xml:space="preserve"> año 2022, estos Factores (</w:t>
      </w:r>
      <w:proofErr w:type="spellStart"/>
      <w:r w:rsidR="00494258">
        <w:rPr>
          <w:rFonts w:ascii="Palatino Linotype" w:hAnsi="Palatino Linotype"/>
          <w:i/>
          <w:sz w:val="22"/>
          <w:szCs w:val="22"/>
        </w:rPr>
        <w:t>A,B,C</w:t>
      </w:r>
      <w:proofErr w:type="spellEnd"/>
      <w:r w:rsidRPr="00764D43">
        <w:rPr>
          <w:rFonts w:ascii="Palatino Linotype" w:hAnsi="Palatino Linotype"/>
          <w:i/>
          <w:sz w:val="22"/>
          <w:szCs w:val="22"/>
        </w:rPr>
        <w:t xml:space="preserve">)  deberán ser revisados e incrementados en función de la inflación, entendida como </w:t>
      </w:r>
      <w:r w:rsidRPr="00764D43">
        <w:rPr>
          <w:rFonts w:ascii="Palatino Linotype" w:hAnsi="Palatino Linotype" w:cs="Cambria Math"/>
          <w:i/>
          <w:sz w:val="22"/>
          <w:szCs w:val="22"/>
        </w:rPr>
        <w:t>la variación porcentual anual a diciembre del año inmediato anterior, del índice de Precios al Consumidor a nivel nacional difundido por el Instituto Nacional de Estadísticas y Censos.</w:t>
      </w:r>
    </w:p>
    <w:p w:rsidR="002E7CEB" w:rsidRPr="00764D43" w:rsidRDefault="00377948" w:rsidP="00764D43">
      <w:pPr>
        <w:shd w:val="clear" w:color="auto" w:fill="FFFFFF"/>
        <w:spacing w:after="120" w:line="276" w:lineRule="auto"/>
        <w:ind w:left="708" w:right="5"/>
        <w:jc w:val="both"/>
        <w:rPr>
          <w:rFonts w:ascii="Palatino Linotype" w:hAnsi="Palatino Linotype"/>
          <w:i/>
          <w:spacing w:val="-5"/>
          <w:sz w:val="22"/>
          <w:szCs w:val="22"/>
          <w:lang w:val="es-ES_tradnl"/>
        </w:rPr>
      </w:pPr>
      <w:r w:rsidRPr="00764D43">
        <w:rPr>
          <w:rFonts w:ascii="Palatino Linotype" w:hAnsi="Palatino Linotype"/>
          <w:b/>
          <w:i/>
          <w:spacing w:val="-5"/>
          <w:sz w:val="22"/>
          <w:szCs w:val="22"/>
        </w:rPr>
        <w:t>Sector comercial, industrial y otros,</w:t>
      </w:r>
      <w:r w:rsidRPr="00764D43">
        <w:rPr>
          <w:rFonts w:ascii="Palatino Linotype" w:hAnsi="Palatino Linotype"/>
          <w:i/>
          <w:spacing w:val="-5"/>
          <w:sz w:val="22"/>
          <w:szCs w:val="22"/>
        </w:rPr>
        <w:t xml:space="preserve"> mediante consumo de energía eléctrica, </w:t>
      </w:r>
      <w:r w:rsidR="002E7CEB" w:rsidRPr="00764D43">
        <w:rPr>
          <w:rFonts w:ascii="Palatino Linotype" w:hAnsi="Palatino Linotype"/>
          <w:i/>
          <w:spacing w:val="-5"/>
          <w:sz w:val="22"/>
          <w:szCs w:val="22"/>
        </w:rPr>
        <w:t xml:space="preserve">cuya cuantía será calculada de conformidad con la fórmula contemplada en el </w:t>
      </w:r>
      <w:r w:rsidR="00D0061F">
        <w:rPr>
          <w:rFonts w:ascii="Palatino Linotype" w:hAnsi="Palatino Linotype"/>
          <w:i/>
          <w:spacing w:val="-6"/>
          <w:sz w:val="22"/>
          <w:szCs w:val="22"/>
          <w:lang w:val="es-ES_tradnl"/>
        </w:rPr>
        <w:t>a</w:t>
      </w:r>
      <w:r w:rsidR="002E7CEB" w:rsidRPr="00764D43">
        <w:rPr>
          <w:rFonts w:ascii="Palatino Linotype" w:hAnsi="Palatino Linotype"/>
          <w:i/>
          <w:spacing w:val="-6"/>
          <w:sz w:val="22"/>
          <w:szCs w:val="22"/>
          <w:lang w:val="es-ES_tradnl"/>
        </w:rPr>
        <w:t>rtículo 3 de la presente Ordenanza Reformatoria, que sustituye al</w:t>
      </w:r>
      <w:r w:rsidR="002E7CEB" w:rsidRPr="00764D43">
        <w:rPr>
          <w:rFonts w:ascii="Palatino Linotype" w:hAnsi="Palatino Linotype"/>
          <w:b/>
          <w:i/>
          <w:spacing w:val="-6"/>
          <w:sz w:val="22"/>
          <w:szCs w:val="22"/>
          <w:lang w:val="es-ES_tradnl"/>
        </w:rPr>
        <w:t xml:space="preserve"> </w:t>
      </w:r>
      <w:r w:rsidR="002E7CEB" w:rsidRPr="00764D43">
        <w:rPr>
          <w:rFonts w:ascii="Palatino Linotype" w:hAnsi="Palatino Linotype"/>
          <w:i/>
          <w:spacing w:val="-3"/>
          <w:sz w:val="22"/>
          <w:szCs w:val="22"/>
          <w:lang w:val="es-ES_tradnl"/>
        </w:rPr>
        <w:t xml:space="preserve">artículo </w:t>
      </w:r>
      <w:proofErr w:type="spellStart"/>
      <w:r w:rsidR="002E7CEB" w:rsidRPr="00764D43">
        <w:rPr>
          <w:rFonts w:ascii="Palatino Linotype" w:hAnsi="Palatino Linotype"/>
          <w:i/>
          <w:spacing w:val="-3"/>
          <w:sz w:val="22"/>
          <w:szCs w:val="22"/>
          <w:lang w:val="es-ES_tradnl"/>
        </w:rPr>
        <w:t>III.82</w:t>
      </w:r>
      <w:proofErr w:type="spellEnd"/>
      <w:r w:rsidR="002E7CEB" w:rsidRPr="00764D43">
        <w:rPr>
          <w:rFonts w:ascii="Palatino Linotype" w:hAnsi="Palatino Linotype"/>
          <w:i/>
          <w:spacing w:val="-3"/>
          <w:sz w:val="22"/>
          <w:szCs w:val="22"/>
          <w:lang w:val="es-ES_tradnl"/>
        </w:rPr>
        <w:t xml:space="preserve"> del Código Municipal para el </w:t>
      </w:r>
      <w:r w:rsidR="002E7CEB" w:rsidRPr="00764D43">
        <w:rPr>
          <w:rFonts w:ascii="Palatino Linotype" w:hAnsi="Palatino Linotype"/>
          <w:i/>
          <w:spacing w:val="-5"/>
          <w:sz w:val="22"/>
          <w:szCs w:val="22"/>
          <w:lang w:val="es-ES_tradnl"/>
        </w:rPr>
        <w:t>Distrito Metropol</w:t>
      </w:r>
      <w:r w:rsidR="00F5699D" w:rsidRPr="00764D43">
        <w:rPr>
          <w:rFonts w:ascii="Palatino Linotype" w:hAnsi="Palatino Linotype"/>
          <w:i/>
          <w:spacing w:val="-5"/>
          <w:sz w:val="22"/>
          <w:szCs w:val="22"/>
          <w:lang w:val="es-ES_tradnl"/>
        </w:rPr>
        <w:t>itano de Quito”.</w:t>
      </w:r>
    </w:p>
    <w:p w:rsidR="000F3CE9" w:rsidRPr="00414B52" w:rsidRDefault="000F3CE9" w:rsidP="00414B52">
      <w:pPr>
        <w:pStyle w:val="NormalWeb"/>
        <w:spacing w:before="0" w:beforeAutospacing="0" w:after="120" w:afterAutospacing="0" w:line="276" w:lineRule="auto"/>
        <w:jc w:val="both"/>
        <w:rPr>
          <w:rFonts w:ascii="Palatino Linotype" w:eastAsiaTheme="minorEastAsia" w:hAnsi="Palatino Linotype" w:cstheme="minorBidi"/>
          <w:b/>
          <w:kern w:val="24"/>
          <w:sz w:val="22"/>
          <w:szCs w:val="22"/>
        </w:rPr>
      </w:pPr>
      <w:r w:rsidRPr="00414B52">
        <w:rPr>
          <w:rFonts w:ascii="Palatino Linotype" w:eastAsiaTheme="minorEastAsia" w:hAnsi="Palatino Linotype" w:cstheme="minorBidi"/>
          <w:b/>
          <w:kern w:val="24"/>
          <w:sz w:val="22"/>
          <w:szCs w:val="22"/>
        </w:rPr>
        <w:t xml:space="preserve">Disposiciones </w:t>
      </w:r>
      <w:r w:rsidR="00AC7622">
        <w:rPr>
          <w:rFonts w:ascii="Palatino Linotype" w:eastAsiaTheme="minorEastAsia" w:hAnsi="Palatino Linotype" w:cstheme="minorBidi"/>
          <w:b/>
          <w:kern w:val="24"/>
          <w:sz w:val="22"/>
          <w:szCs w:val="22"/>
        </w:rPr>
        <w:t>t</w:t>
      </w:r>
      <w:r w:rsidRPr="00414B52">
        <w:rPr>
          <w:rFonts w:ascii="Palatino Linotype" w:eastAsiaTheme="minorEastAsia" w:hAnsi="Palatino Linotype" w:cstheme="minorBidi"/>
          <w:b/>
          <w:kern w:val="24"/>
          <w:sz w:val="22"/>
          <w:szCs w:val="22"/>
        </w:rPr>
        <w:t>ransitorias.-</w:t>
      </w:r>
    </w:p>
    <w:p w:rsidR="008B62A7" w:rsidRPr="00414B52" w:rsidRDefault="008B62A7" w:rsidP="00414B52">
      <w:pPr>
        <w:pStyle w:val="NormalWeb"/>
        <w:spacing w:before="0" w:beforeAutospacing="0" w:after="120" w:afterAutospacing="0" w:line="276" w:lineRule="auto"/>
        <w:jc w:val="both"/>
        <w:rPr>
          <w:rFonts w:ascii="Palatino Linotype" w:hAnsi="Palatino Linotype" w:cs="Arial"/>
          <w:color w:val="000000" w:themeColor="text1"/>
          <w:sz w:val="22"/>
          <w:szCs w:val="22"/>
        </w:rPr>
      </w:pPr>
      <w:r w:rsidRPr="00414B52">
        <w:rPr>
          <w:rFonts w:ascii="Palatino Linotype" w:eastAsiaTheme="minorEastAsia" w:hAnsi="Palatino Linotype" w:cstheme="minorBidi"/>
          <w:b/>
          <w:kern w:val="24"/>
          <w:sz w:val="22"/>
          <w:szCs w:val="22"/>
        </w:rPr>
        <w:t>Primera</w:t>
      </w:r>
      <w:r w:rsidR="000F3CE9" w:rsidRPr="00414B52">
        <w:rPr>
          <w:rFonts w:ascii="Palatino Linotype" w:eastAsiaTheme="minorEastAsia" w:hAnsi="Palatino Linotype" w:cstheme="minorBidi"/>
          <w:b/>
          <w:kern w:val="24"/>
          <w:sz w:val="22"/>
          <w:szCs w:val="22"/>
        </w:rPr>
        <w:t>.-</w:t>
      </w:r>
      <w:r w:rsidRPr="00414B52">
        <w:rPr>
          <w:rFonts w:ascii="Palatino Linotype" w:eastAsiaTheme="minorEastAsia" w:hAnsi="Palatino Linotype" w:cstheme="minorBidi"/>
          <w:color w:val="FF0000"/>
          <w:kern w:val="24"/>
          <w:sz w:val="22"/>
          <w:szCs w:val="22"/>
        </w:rPr>
        <w:t xml:space="preserve"> </w:t>
      </w:r>
      <w:r w:rsidR="00806F62">
        <w:rPr>
          <w:rFonts w:ascii="Palatino Linotype" w:hAnsi="Palatino Linotype" w:cs="Arial"/>
          <w:color w:val="000000" w:themeColor="text1"/>
          <w:sz w:val="22"/>
          <w:szCs w:val="22"/>
        </w:rPr>
        <w:t>En un plazo no mayor a</w:t>
      </w:r>
      <w:r w:rsidR="00A43B77" w:rsidRPr="00414B52">
        <w:rPr>
          <w:rFonts w:ascii="Palatino Linotype" w:hAnsi="Palatino Linotype" w:cs="Arial"/>
          <w:color w:val="000000" w:themeColor="text1"/>
          <w:sz w:val="22"/>
          <w:szCs w:val="22"/>
        </w:rPr>
        <w:t xml:space="preserve"> </w:t>
      </w:r>
      <w:r w:rsidR="000F3CE9" w:rsidRPr="00414B52">
        <w:rPr>
          <w:rFonts w:ascii="Palatino Linotype" w:hAnsi="Palatino Linotype" w:cs="Arial"/>
          <w:color w:val="000000" w:themeColor="text1"/>
          <w:sz w:val="22"/>
          <w:szCs w:val="22"/>
        </w:rPr>
        <w:t>quince (</w:t>
      </w:r>
      <w:r w:rsidR="00A43B77" w:rsidRPr="00414B52">
        <w:rPr>
          <w:rFonts w:ascii="Palatino Linotype" w:hAnsi="Palatino Linotype" w:cs="Arial"/>
          <w:color w:val="000000" w:themeColor="text1"/>
          <w:sz w:val="22"/>
          <w:szCs w:val="22"/>
        </w:rPr>
        <w:t>15</w:t>
      </w:r>
      <w:r w:rsidR="000F3CE9" w:rsidRPr="00414B52">
        <w:rPr>
          <w:rFonts w:ascii="Palatino Linotype" w:hAnsi="Palatino Linotype" w:cs="Arial"/>
          <w:color w:val="000000" w:themeColor="text1"/>
          <w:sz w:val="22"/>
          <w:szCs w:val="22"/>
        </w:rPr>
        <w:t>)</w:t>
      </w:r>
      <w:r w:rsidR="00A43B77" w:rsidRPr="00414B52">
        <w:rPr>
          <w:rFonts w:ascii="Palatino Linotype" w:hAnsi="Palatino Linotype" w:cs="Arial"/>
          <w:color w:val="000000" w:themeColor="text1"/>
          <w:sz w:val="22"/>
          <w:szCs w:val="22"/>
        </w:rPr>
        <w:t xml:space="preserve"> días las empresas encargadas de la gestión integral de residuos sólidos deberán presentar </w:t>
      </w:r>
      <w:r w:rsidR="00004F99" w:rsidRPr="00414B52">
        <w:rPr>
          <w:rFonts w:ascii="Palatino Linotype" w:hAnsi="Palatino Linotype" w:cs="Arial"/>
          <w:color w:val="000000" w:themeColor="text1"/>
          <w:sz w:val="22"/>
          <w:szCs w:val="22"/>
        </w:rPr>
        <w:t>para aprobación de</w:t>
      </w:r>
      <w:r w:rsidR="00004F99">
        <w:rPr>
          <w:rFonts w:ascii="Palatino Linotype" w:hAnsi="Palatino Linotype" w:cs="Arial"/>
          <w:color w:val="000000" w:themeColor="text1"/>
          <w:sz w:val="22"/>
          <w:szCs w:val="22"/>
        </w:rPr>
        <w:t>l</w:t>
      </w:r>
      <w:r w:rsidR="00004F99" w:rsidRPr="00414B52">
        <w:rPr>
          <w:rFonts w:ascii="Palatino Linotype" w:hAnsi="Palatino Linotype" w:cs="Arial"/>
          <w:color w:val="000000" w:themeColor="text1"/>
          <w:sz w:val="22"/>
          <w:szCs w:val="22"/>
        </w:rPr>
        <w:t xml:space="preserve"> Concejo Metropolitano </w:t>
      </w:r>
      <w:r w:rsidR="00A43B77" w:rsidRPr="00414B52">
        <w:rPr>
          <w:rFonts w:ascii="Palatino Linotype" w:hAnsi="Palatino Linotype" w:cs="Arial"/>
          <w:color w:val="000000" w:themeColor="text1"/>
          <w:sz w:val="22"/>
          <w:szCs w:val="22"/>
        </w:rPr>
        <w:t>el informe técnico para la determinación del costo operativ</w:t>
      </w:r>
      <w:r w:rsidR="00764D43">
        <w:rPr>
          <w:rFonts w:ascii="Palatino Linotype" w:hAnsi="Palatino Linotype" w:cs="Arial"/>
          <w:color w:val="000000" w:themeColor="text1"/>
          <w:sz w:val="22"/>
          <w:szCs w:val="22"/>
        </w:rPr>
        <w:t>o por tonelada por servicio de g</w:t>
      </w:r>
      <w:r w:rsidR="00A43B77" w:rsidRPr="00414B52">
        <w:rPr>
          <w:rFonts w:ascii="Palatino Linotype" w:hAnsi="Palatino Linotype" w:cs="Arial"/>
          <w:color w:val="000000" w:themeColor="text1"/>
          <w:sz w:val="22"/>
          <w:szCs w:val="22"/>
        </w:rPr>
        <w:t xml:space="preserve">estión integrada de residuos sólidos (Costo/ton), y </w:t>
      </w:r>
      <w:r w:rsidR="00445957">
        <w:rPr>
          <w:rFonts w:ascii="Palatino Linotype" w:hAnsi="Palatino Linotype" w:cs="Arial"/>
          <w:color w:val="000000" w:themeColor="text1"/>
          <w:sz w:val="22"/>
          <w:szCs w:val="22"/>
        </w:rPr>
        <w:t xml:space="preserve">la </w:t>
      </w:r>
      <w:r w:rsidR="00A92D45">
        <w:rPr>
          <w:rFonts w:ascii="Palatino Linotype" w:hAnsi="Palatino Linotype" w:cs="Arial"/>
          <w:color w:val="000000" w:themeColor="text1"/>
          <w:sz w:val="22"/>
          <w:szCs w:val="22"/>
        </w:rPr>
        <w:t>determinación</w:t>
      </w:r>
      <w:r w:rsidR="00A43B77" w:rsidRPr="00414B52">
        <w:rPr>
          <w:rFonts w:ascii="Palatino Linotype" w:hAnsi="Palatino Linotype" w:cs="Arial"/>
          <w:color w:val="000000" w:themeColor="text1"/>
          <w:sz w:val="22"/>
          <w:szCs w:val="22"/>
        </w:rPr>
        <w:t xml:space="preserve"> del umbral</w:t>
      </w:r>
      <w:r w:rsidR="00A92D45">
        <w:rPr>
          <w:rFonts w:ascii="Palatino Linotype" w:hAnsi="Palatino Linotype" w:cs="Arial"/>
          <w:color w:val="000000" w:themeColor="text1"/>
          <w:sz w:val="22"/>
          <w:szCs w:val="22"/>
        </w:rPr>
        <w:t xml:space="preserve"> de producción de desechos</w:t>
      </w:r>
      <w:r w:rsidR="00A43B77" w:rsidRPr="00414B52">
        <w:rPr>
          <w:rFonts w:ascii="Palatino Linotype" w:hAnsi="Palatino Linotype" w:cs="Arial"/>
          <w:color w:val="000000" w:themeColor="text1"/>
          <w:sz w:val="22"/>
          <w:szCs w:val="22"/>
        </w:rPr>
        <w:t xml:space="preserve"> para gr</w:t>
      </w:r>
      <w:r w:rsidR="00764D43">
        <w:rPr>
          <w:rFonts w:ascii="Palatino Linotype" w:hAnsi="Palatino Linotype" w:cs="Arial"/>
          <w:color w:val="000000" w:themeColor="text1"/>
          <w:sz w:val="22"/>
          <w:szCs w:val="22"/>
        </w:rPr>
        <w:t>andes generadores de residuos.</w:t>
      </w:r>
      <w:r w:rsidR="00445957">
        <w:rPr>
          <w:rFonts w:ascii="Palatino Linotype" w:hAnsi="Palatino Linotype" w:cs="Arial"/>
          <w:color w:val="000000" w:themeColor="text1"/>
          <w:sz w:val="22"/>
          <w:szCs w:val="22"/>
        </w:rPr>
        <w:t xml:space="preserve"> </w:t>
      </w:r>
    </w:p>
    <w:p w:rsidR="00A43B77" w:rsidRPr="00414B52" w:rsidRDefault="000F3CE9" w:rsidP="00414B52">
      <w:pPr>
        <w:pStyle w:val="NormalWeb"/>
        <w:spacing w:before="0" w:beforeAutospacing="0" w:after="120" w:afterAutospacing="0" w:line="276" w:lineRule="auto"/>
        <w:jc w:val="both"/>
        <w:rPr>
          <w:rFonts w:ascii="Palatino Linotype" w:hAnsi="Palatino Linotype" w:cs="Arial"/>
          <w:color w:val="000000" w:themeColor="text1"/>
          <w:sz w:val="22"/>
          <w:szCs w:val="22"/>
        </w:rPr>
      </w:pPr>
      <w:r w:rsidRPr="00414B52">
        <w:rPr>
          <w:rFonts w:ascii="Palatino Linotype" w:hAnsi="Palatino Linotype" w:cs="Arial"/>
          <w:b/>
          <w:color w:val="000000" w:themeColor="text1"/>
          <w:sz w:val="22"/>
          <w:szCs w:val="22"/>
        </w:rPr>
        <w:t>Segunda.-</w:t>
      </w:r>
      <w:r w:rsidR="008B62A7" w:rsidRPr="00414B52">
        <w:rPr>
          <w:rFonts w:ascii="Palatino Linotype" w:hAnsi="Palatino Linotype" w:cs="Arial"/>
          <w:color w:val="000000" w:themeColor="text1"/>
          <w:sz w:val="22"/>
          <w:szCs w:val="22"/>
        </w:rPr>
        <w:t xml:space="preserve"> </w:t>
      </w:r>
      <w:r w:rsidR="00806F62">
        <w:rPr>
          <w:rFonts w:ascii="Palatino Linotype" w:hAnsi="Palatino Linotype" w:cs="Arial"/>
          <w:color w:val="000000" w:themeColor="text1"/>
          <w:sz w:val="22"/>
          <w:szCs w:val="22"/>
        </w:rPr>
        <w:t>En el plazo</w:t>
      </w:r>
      <w:r w:rsidR="00A43B77" w:rsidRPr="00414B52">
        <w:rPr>
          <w:rFonts w:ascii="Palatino Linotype" w:hAnsi="Palatino Linotype" w:cs="Arial"/>
          <w:color w:val="000000" w:themeColor="text1"/>
          <w:sz w:val="22"/>
          <w:szCs w:val="22"/>
        </w:rPr>
        <w:t xml:space="preserve"> de </w:t>
      </w:r>
      <w:r w:rsidR="00466256" w:rsidRPr="00414B52">
        <w:rPr>
          <w:rFonts w:ascii="Palatino Linotype" w:hAnsi="Palatino Linotype" w:cs="Arial"/>
          <w:color w:val="000000" w:themeColor="text1"/>
          <w:sz w:val="22"/>
          <w:szCs w:val="22"/>
        </w:rPr>
        <w:t>ciento ochenta (</w:t>
      </w:r>
      <w:r w:rsidR="00A43B77" w:rsidRPr="00414B52">
        <w:rPr>
          <w:rFonts w:ascii="Palatino Linotype" w:hAnsi="Palatino Linotype" w:cs="Arial"/>
          <w:color w:val="000000" w:themeColor="text1"/>
          <w:sz w:val="22"/>
          <w:szCs w:val="22"/>
        </w:rPr>
        <w:t>180</w:t>
      </w:r>
      <w:r w:rsidR="00466256" w:rsidRPr="00414B52">
        <w:rPr>
          <w:rFonts w:ascii="Palatino Linotype" w:hAnsi="Palatino Linotype" w:cs="Arial"/>
          <w:color w:val="000000" w:themeColor="text1"/>
          <w:sz w:val="22"/>
          <w:szCs w:val="22"/>
        </w:rPr>
        <w:t>)</w:t>
      </w:r>
      <w:r w:rsidR="00A43B77" w:rsidRPr="00414B52">
        <w:rPr>
          <w:rFonts w:ascii="Palatino Linotype" w:hAnsi="Palatino Linotype" w:cs="Arial"/>
          <w:color w:val="000000" w:themeColor="text1"/>
          <w:sz w:val="22"/>
          <w:szCs w:val="22"/>
        </w:rPr>
        <w:t xml:space="preserve"> días, las empresas encargadas de la </w:t>
      </w:r>
      <w:proofErr w:type="spellStart"/>
      <w:r w:rsidR="00A43B77" w:rsidRPr="00414B52">
        <w:rPr>
          <w:rFonts w:ascii="Palatino Linotype" w:hAnsi="Palatino Linotype" w:cs="Arial"/>
          <w:color w:val="000000" w:themeColor="text1"/>
          <w:sz w:val="22"/>
          <w:szCs w:val="22"/>
        </w:rPr>
        <w:t>GIRS</w:t>
      </w:r>
      <w:proofErr w:type="spellEnd"/>
      <w:r w:rsidR="00A43B77" w:rsidRPr="00414B52">
        <w:rPr>
          <w:rFonts w:ascii="Palatino Linotype" w:hAnsi="Palatino Linotype" w:cs="Arial"/>
          <w:color w:val="000000" w:themeColor="text1"/>
          <w:sz w:val="22"/>
          <w:szCs w:val="22"/>
        </w:rPr>
        <w:t xml:space="preserve">, deberán implementar los procedimientos técnicos y tecnológicos necesarios para la aplicación del sistema de determinación </w:t>
      </w:r>
      <w:r w:rsidRPr="00414B52">
        <w:rPr>
          <w:rFonts w:ascii="Palatino Linotype" w:hAnsi="Palatino Linotype" w:cs="Arial"/>
          <w:color w:val="000000" w:themeColor="text1"/>
          <w:sz w:val="22"/>
          <w:szCs w:val="22"/>
        </w:rPr>
        <w:t xml:space="preserve">y cobro </w:t>
      </w:r>
      <w:r w:rsidR="00A43B77" w:rsidRPr="00414B52">
        <w:rPr>
          <w:rFonts w:ascii="Palatino Linotype" w:hAnsi="Palatino Linotype" w:cs="Arial"/>
          <w:color w:val="000000" w:themeColor="text1"/>
          <w:sz w:val="22"/>
          <w:szCs w:val="22"/>
        </w:rPr>
        <w:t>de la</w:t>
      </w:r>
      <w:r w:rsidRPr="00414B52">
        <w:rPr>
          <w:rFonts w:ascii="Palatino Linotype" w:hAnsi="Palatino Linotype" w:cs="Arial"/>
          <w:color w:val="000000" w:themeColor="text1"/>
          <w:sz w:val="22"/>
          <w:szCs w:val="22"/>
        </w:rPr>
        <w:t xml:space="preserve"> </w:t>
      </w:r>
      <w:proofErr w:type="spellStart"/>
      <w:r w:rsidRPr="00414B52">
        <w:rPr>
          <w:rFonts w:ascii="Palatino Linotype" w:hAnsi="Palatino Linotype" w:cs="Arial"/>
          <w:color w:val="000000" w:themeColor="text1"/>
          <w:sz w:val="22"/>
          <w:szCs w:val="22"/>
        </w:rPr>
        <w:t>TGIRS</w:t>
      </w:r>
      <w:proofErr w:type="spellEnd"/>
      <w:r w:rsidR="00A43B77" w:rsidRPr="00414B52">
        <w:rPr>
          <w:rFonts w:ascii="Palatino Linotype" w:hAnsi="Palatino Linotype" w:cs="Arial"/>
          <w:color w:val="000000" w:themeColor="text1"/>
          <w:sz w:val="22"/>
          <w:szCs w:val="22"/>
        </w:rPr>
        <w:t xml:space="preserve"> para grandes generadores de residuos y </w:t>
      </w:r>
      <w:proofErr w:type="spellStart"/>
      <w:r w:rsidR="00A43B77" w:rsidRPr="00414B52">
        <w:rPr>
          <w:rFonts w:ascii="Palatino Linotype" w:hAnsi="Palatino Linotype" w:cs="Arial"/>
          <w:color w:val="000000" w:themeColor="text1"/>
          <w:sz w:val="22"/>
          <w:szCs w:val="22"/>
        </w:rPr>
        <w:t>autoproductores</w:t>
      </w:r>
      <w:proofErr w:type="spellEnd"/>
      <w:r w:rsidR="00A43B77" w:rsidRPr="00414B52">
        <w:rPr>
          <w:rFonts w:ascii="Palatino Linotype" w:hAnsi="Palatino Linotype" w:cs="Arial"/>
          <w:color w:val="000000" w:themeColor="text1"/>
          <w:sz w:val="22"/>
          <w:szCs w:val="22"/>
        </w:rPr>
        <w:t xml:space="preserve"> y </w:t>
      </w:r>
      <w:proofErr w:type="spellStart"/>
      <w:r w:rsidR="00A43B77" w:rsidRPr="00414B52">
        <w:rPr>
          <w:rFonts w:ascii="Palatino Linotype" w:hAnsi="Palatino Linotype" w:cs="Arial"/>
          <w:color w:val="000000" w:themeColor="text1"/>
          <w:sz w:val="22"/>
          <w:szCs w:val="22"/>
        </w:rPr>
        <w:t>autogeneradores</w:t>
      </w:r>
      <w:proofErr w:type="spellEnd"/>
      <w:r w:rsidR="00A43B77" w:rsidRPr="00414B52">
        <w:rPr>
          <w:rFonts w:ascii="Palatino Linotype" w:hAnsi="Palatino Linotype" w:cs="Arial"/>
          <w:color w:val="000000" w:themeColor="text1"/>
          <w:sz w:val="22"/>
          <w:szCs w:val="22"/>
        </w:rPr>
        <w:t xml:space="preserve"> de energía eléctrica, sus clientes y cargas. Una vez realizadas estas modificaciones, deberá emitir el correspondiente certificado de conformidad del nuevo sistema de determinación</w:t>
      </w:r>
      <w:r w:rsidRPr="00414B52">
        <w:rPr>
          <w:rFonts w:ascii="Palatino Linotype" w:hAnsi="Palatino Linotype" w:cs="Arial"/>
          <w:color w:val="000000" w:themeColor="text1"/>
          <w:sz w:val="22"/>
          <w:szCs w:val="22"/>
        </w:rPr>
        <w:t xml:space="preserve"> y cobro</w:t>
      </w:r>
      <w:r w:rsidR="00A43B77" w:rsidRPr="00414B52">
        <w:rPr>
          <w:rFonts w:ascii="Palatino Linotype" w:hAnsi="Palatino Linotype" w:cs="Arial"/>
          <w:color w:val="000000" w:themeColor="text1"/>
          <w:sz w:val="22"/>
          <w:szCs w:val="22"/>
        </w:rPr>
        <w:t xml:space="preserve">. Hasta antes de la emisión del certificado de conformidad del nuevo sistema de </w:t>
      </w:r>
      <w:proofErr w:type="spellStart"/>
      <w:r w:rsidR="00A43B77" w:rsidRPr="00414B52">
        <w:rPr>
          <w:rFonts w:ascii="Palatino Linotype" w:hAnsi="Palatino Linotype" w:cs="Arial"/>
          <w:color w:val="000000" w:themeColor="text1"/>
          <w:sz w:val="22"/>
          <w:szCs w:val="22"/>
        </w:rPr>
        <w:t>TGIRS</w:t>
      </w:r>
      <w:proofErr w:type="spellEnd"/>
      <w:r w:rsidR="00A43B77" w:rsidRPr="00414B52">
        <w:rPr>
          <w:rFonts w:ascii="Palatino Linotype" w:hAnsi="Palatino Linotype" w:cs="Arial"/>
          <w:color w:val="000000" w:themeColor="text1"/>
          <w:sz w:val="22"/>
          <w:szCs w:val="22"/>
        </w:rPr>
        <w:t xml:space="preserve"> para los casos anteriores, la </w:t>
      </w:r>
      <w:proofErr w:type="spellStart"/>
      <w:r w:rsidR="00A43B77" w:rsidRPr="00414B52">
        <w:rPr>
          <w:rFonts w:ascii="Palatino Linotype" w:hAnsi="Palatino Linotype" w:cs="Arial"/>
          <w:color w:val="000000" w:themeColor="text1"/>
          <w:sz w:val="22"/>
          <w:szCs w:val="22"/>
        </w:rPr>
        <w:t>TGIRS</w:t>
      </w:r>
      <w:proofErr w:type="spellEnd"/>
      <w:r w:rsidR="00A43B77" w:rsidRPr="00414B52">
        <w:rPr>
          <w:rFonts w:ascii="Palatino Linotype" w:hAnsi="Palatino Linotype" w:cs="Arial"/>
          <w:color w:val="000000" w:themeColor="text1"/>
          <w:sz w:val="22"/>
          <w:szCs w:val="22"/>
        </w:rPr>
        <w:t xml:space="preserve">  que pagarán los grandes generadores de residuos, se calculará con base en el consumo de energía eléctrica.  </w:t>
      </w:r>
      <w:r w:rsidR="00A43B77" w:rsidRPr="00414B52">
        <w:rPr>
          <w:rFonts w:ascii="Palatino Linotype" w:hAnsi="Palatino Linotype" w:cs="Arial"/>
          <w:color w:val="000000" w:themeColor="text1"/>
          <w:sz w:val="22"/>
          <w:szCs w:val="22"/>
        </w:rPr>
        <w:lastRenderedPageBreak/>
        <w:t xml:space="preserve">Las empresas </w:t>
      </w:r>
      <w:proofErr w:type="spellStart"/>
      <w:r w:rsidR="00A43B77" w:rsidRPr="00414B52">
        <w:rPr>
          <w:rFonts w:ascii="Palatino Linotype" w:hAnsi="Palatino Linotype" w:cs="Arial"/>
          <w:color w:val="000000" w:themeColor="text1"/>
          <w:sz w:val="22"/>
          <w:szCs w:val="22"/>
        </w:rPr>
        <w:t>autoproductoras</w:t>
      </w:r>
      <w:proofErr w:type="spellEnd"/>
      <w:r w:rsidR="00A43B77" w:rsidRPr="00414B52">
        <w:rPr>
          <w:rFonts w:ascii="Palatino Linotype" w:hAnsi="Palatino Linotype" w:cs="Arial"/>
          <w:color w:val="000000" w:themeColor="text1"/>
          <w:sz w:val="22"/>
          <w:szCs w:val="22"/>
        </w:rPr>
        <w:t xml:space="preserve"> y </w:t>
      </w:r>
      <w:proofErr w:type="spellStart"/>
      <w:r w:rsidR="00A43B77" w:rsidRPr="00414B52">
        <w:rPr>
          <w:rFonts w:ascii="Palatino Linotype" w:hAnsi="Palatino Linotype" w:cs="Arial"/>
          <w:color w:val="000000" w:themeColor="text1"/>
          <w:sz w:val="22"/>
          <w:szCs w:val="22"/>
        </w:rPr>
        <w:t>autogeneradoras</w:t>
      </w:r>
      <w:proofErr w:type="spellEnd"/>
      <w:r w:rsidR="00A43B77" w:rsidRPr="00414B52">
        <w:rPr>
          <w:rFonts w:ascii="Palatino Linotype" w:hAnsi="Palatino Linotype" w:cs="Arial"/>
          <w:color w:val="000000" w:themeColor="text1"/>
          <w:sz w:val="22"/>
          <w:szCs w:val="22"/>
        </w:rPr>
        <w:t xml:space="preserve">, sus clientes y cargas,  pagarán la </w:t>
      </w:r>
      <w:proofErr w:type="spellStart"/>
      <w:r w:rsidR="00A43B77" w:rsidRPr="00414B52">
        <w:rPr>
          <w:rFonts w:ascii="Palatino Linotype" w:hAnsi="Palatino Linotype" w:cs="Arial"/>
          <w:color w:val="000000" w:themeColor="text1"/>
          <w:sz w:val="22"/>
          <w:szCs w:val="22"/>
        </w:rPr>
        <w:t>TGIRS</w:t>
      </w:r>
      <w:proofErr w:type="spellEnd"/>
      <w:r w:rsidR="00A43B77" w:rsidRPr="00414B52">
        <w:rPr>
          <w:rFonts w:ascii="Palatino Linotype" w:hAnsi="Palatino Linotype" w:cs="Arial"/>
          <w:color w:val="000000" w:themeColor="text1"/>
          <w:sz w:val="22"/>
          <w:szCs w:val="22"/>
        </w:rPr>
        <w:t xml:space="preserve"> sobre la demanda comercial del cons</w:t>
      </w:r>
      <w:r w:rsidR="00764D43">
        <w:rPr>
          <w:rFonts w:ascii="Palatino Linotype" w:hAnsi="Palatino Linotype" w:cs="Arial"/>
          <w:color w:val="000000" w:themeColor="text1"/>
          <w:sz w:val="22"/>
          <w:szCs w:val="22"/>
        </w:rPr>
        <w:t>umo propio de energía eléctrica</w:t>
      </w:r>
      <w:r w:rsidR="00A43B77" w:rsidRPr="00414B52">
        <w:rPr>
          <w:rFonts w:ascii="Palatino Linotype" w:hAnsi="Palatino Linotype" w:cs="Arial"/>
          <w:color w:val="000000" w:themeColor="text1"/>
          <w:sz w:val="22"/>
          <w:szCs w:val="22"/>
        </w:rPr>
        <w:t>.</w:t>
      </w:r>
    </w:p>
    <w:p w:rsidR="00B94F0A" w:rsidRPr="00764D43" w:rsidRDefault="008B62A7" w:rsidP="00764D43">
      <w:pPr>
        <w:spacing w:after="120" w:line="276" w:lineRule="auto"/>
        <w:jc w:val="both"/>
        <w:rPr>
          <w:rFonts w:ascii="Palatino Linotype" w:hAnsi="Palatino Linotype"/>
          <w:color w:val="FF0000"/>
          <w:sz w:val="22"/>
          <w:szCs w:val="22"/>
        </w:rPr>
      </w:pPr>
      <w:r w:rsidRPr="00764D43">
        <w:rPr>
          <w:rFonts w:ascii="Palatino Linotype" w:hAnsi="Palatino Linotype"/>
          <w:b/>
          <w:sz w:val="22"/>
          <w:szCs w:val="22"/>
        </w:rPr>
        <w:t>Tercera</w:t>
      </w:r>
      <w:r w:rsidR="00B94F0A" w:rsidRPr="00764D43">
        <w:rPr>
          <w:rFonts w:ascii="Palatino Linotype" w:hAnsi="Palatino Linotype"/>
          <w:b/>
          <w:sz w:val="22"/>
          <w:szCs w:val="22"/>
        </w:rPr>
        <w:t xml:space="preserve">.- </w:t>
      </w:r>
      <w:r w:rsidR="00B94F0A" w:rsidRPr="00764D43">
        <w:rPr>
          <w:rFonts w:ascii="Palatino Linotype" w:hAnsi="Palatino Linotype"/>
          <w:sz w:val="22"/>
          <w:szCs w:val="22"/>
        </w:rPr>
        <w:t>En el plazo de</w:t>
      </w:r>
      <w:r w:rsidR="00466256" w:rsidRPr="00764D43">
        <w:rPr>
          <w:rFonts w:ascii="Palatino Linotype" w:hAnsi="Palatino Linotype"/>
          <w:sz w:val="22"/>
          <w:szCs w:val="22"/>
        </w:rPr>
        <w:t xml:space="preserve"> ciento ochenta</w:t>
      </w:r>
      <w:r w:rsidR="00B94F0A" w:rsidRPr="00764D43">
        <w:rPr>
          <w:rFonts w:ascii="Palatino Linotype" w:hAnsi="Palatino Linotype"/>
          <w:sz w:val="22"/>
          <w:szCs w:val="22"/>
        </w:rPr>
        <w:t xml:space="preserve"> </w:t>
      </w:r>
      <w:r w:rsidR="00466256" w:rsidRPr="00764D43">
        <w:rPr>
          <w:rFonts w:ascii="Palatino Linotype" w:hAnsi="Palatino Linotype"/>
          <w:sz w:val="22"/>
          <w:szCs w:val="22"/>
        </w:rPr>
        <w:t>(</w:t>
      </w:r>
      <w:r w:rsidR="00B94F0A" w:rsidRPr="00764D43">
        <w:rPr>
          <w:rFonts w:ascii="Palatino Linotype" w:hAnsi="Palatino Linotype"/>
          <w:sz w:val="22"/>
          <w:szCs w:val="22"/>
        </w:rPr>
        <w:t>180</w:t>
      </w:r>
      <w:r w:rsidR="00466256" w:rsidRPr="00764D43">
        <w:rPr>
          <w:rFonts w:ascii="Palatino Linotype" w:hAnsi="Palatino Linotype"/>
          <w:sz w:val="22"/>
          <w:szCs w:val="22"/>
        </w:rPr>
        <w:t>)</w:t>
      </w:r>
      <w:r w:rsidR="00B94F0A" w:rsidRPr="00764D43">
        <w:rPr>
          <w:rFonts w:ascii="Palatino Linotype" w:hAnsi="Palatino Linotype"/>
          <w:sz w:val="22"/>
          <w:szCs w:val="22"/>
        </w:rPr>
        <w:t xml:space="preserve"> días luego de publicada la presente Ordenanza Metropolitana, la Secretaría de Ambiente del </w:t>
      </w:r>
      <w:proofErr w:type="spellStart"/>
      <w:r w:rsidR="00B94F0A" w:rsidRPr="00764D43">
        <w:rPr>
          <w:rFonts w:ascii="Palatino Linotype" w:hAnsi="Palatino Linotype"/>
          <w:sz w:val="22"/>
          <w:szCs w:val="22"/>
        </w:rPr>
        <w:t>DMQ</w:t>
      </w:r>
      <w:proofErr w:type="spellEnd"/>
      <w:r w:rsidR="00B94F0A" w:rsidRPr="00764D43">
        <w:rPr>
          <w:rFonts w:ascii="Palatino Linotype" w:hAnsi="Palatino Linotype"/>
          <w:sz w:val="22"/>
          <w:szCs w:val="22"/>
        </w:rPr>
        <w:t xml:space="preserve"> y la o las empresas encargadas de la Gestión Integral de Residuos Sólidos, generarán el análisis de los instrumentos que permitan otorgar estímulos, a los grandes productores de residuos, quienes a través de buenas prácticas ambientales, demuestren disminución en la</w:t>
      </w:r>
      <w:r w:rsidR="00764D43" w:rsidRPr="00764D43">
        <w:rPr>
          <w:rFonts w:ascii="Palatino Linotype" w:hAnsi="Palatino Linotype"/>
          <w:sz w:val="22"/>
          <w:szCs w:val="22"/>
        </w:rPr>
        <w:t xml:space="preserve"> generación de residuos sólidos.</w:t>
      </w:r>
    </w:p>
    <w:p w:rsidR="00B94F0A" w:rsidRPr="00414B52" w:rsidRDefault="00B94F0A" w:rsidP="00414B52">
      <w:pPr>
        <w:pStyle w:val="NormalWeb"/>
        <w:spacing w:before="0" w:beforeAutospacing="0" w:after="120" w:afterAutospacing="0" w:line="276" w:lineRule="auto"/>
        <w:jc w:val="both"/>
        <w:rPr>
          <w:rFonts w:ascii="Palatino Linotype" w:hAnsi="Palatino Linotype"/>
          <w:sz w:val="22"/>
          <w:szCs w:val="22"/>
          <w:lang w:eastAsia="es-EC"/>
        </w:rPr>
      </w:pPr>
      <w:r w:rsidRPr="00414B52">
        <w:rPr>
          <w:rFonts w:ascii="Palatino Linotype" w:hAnsi="Palatino Linotype"/>
          <w:b/>
          <w:spacing w:val="-8"/>
          <w:sz w:val="22"/>
          <w:szCs w:val="22"/>
        </w:rPr>
        <w:t xml:space="preserve">Cuarta.- </w:t>
      </w:r>
      <w:r w:rsidRPr="00414B52">
        <w:rPr>
          <w:rFonts w:ascii="Palatino Linotype" w:eastAsiaTheme="minorEastAsia" w:hAnsi="Palatino Linotype" w:cstheme="minorBidi"/>
          <w:iCs/>
          <w:kern w:val="24"/>
          <w:sz w:val="22"/>
          <w:szCs w:val="22"/>
        </w:rPr>
        <w:t xml:space="preserve">En el plazo máximo de noventa (90) días, se iniciarán todas las acciones legales, administrativas y financieras que sean del caso, tendientes a la fusión entre la </w:t>
      </w:r>
      <w:proofErr w:type="spellStart"/>
      <w:r w:rsidRPr="00414B52">
        <w:rPr>
          <w:rFonts w:ascii="Palatino Linotype" w:eastAsiaTheme="minorEastAsia" w:hAnsi="Palatino Linotype" w:cstheme="minorBidi"/>
          <w:iCs/>
          <w:kern w:val="24"/>
          <w:sz w:val="22"/>
          <w:szCs w:val="22"/>
        </w:rPr>
        <w:t>EMASEO</w:t>
      </w:r>
      <w:proofErr w:type="spellEnd"/>
      <w:r w:rsidRPr="00414B52">
        <w:rPr>
          <w:rFonts w:ascii="Palatino Linotype" w:eastAsiaTheme="minorEastAsia" w:hAnsi="Palatino Linotype" w:cstheme="minorBidi"/>
          <w:iCs/>
          <w:kern w:val="24"/>
          <w:sz w:val="22"/>
          <w:szCs w:val="22"/>
        </w:rPr>
        <w:t xml:space="preserve"> </w:t>
      </w:r>
      <w:proofErr w:type="spellStart"/>
      <w:r w:rsidRPr="00414B52">
        <w:rPr>
          <w:rFonts w:ascii="Palatino Linotype" w:eastAsiaTheme="minorEastAsia" w:hAnsi="Palatino Linotype" w:cstheme="minorBidi"/>
          <w:iCs/>
          <w:kern w:val="24"/>
          <w:sz w:val="22"/>
          <w:szCs w:val="22"/>
        </w:rPr>
        <w:t>EP</w:t>
      </w:r>
      <w:proofErr w:type="spellEnd"/>
      <w:r w:rsidRPr="00414B52">
        <w:rPr>
          <w:rFonts w:ascii="Palatino Linotype" w:eastAsiaTheme="minorEastAsia" w:hAnsi="Palatino Linotype" w:cstheme="minorBidi"/>
          <w:iCs/>
          <w:kern w:val="24"/>
          <w:sz w:val="22"/>
          <w:szCs w:val="22"/>
        </w:rPr>
        <w:t xml:space="preserve"> y la </w:t>
      </w:r>
      <w:proofErr w:type="spellStart"/>
      <w:r w:rsidRPr="00414B52">
        <w:rPr>
          <w:rFonts w:ascii="Palatino Linotype" w:eastAsiaTheme="minorEastAsia" w:hAnsi="Palatino Linotype" w:cstheme="minorBidi"/>
          <w:iCs/>
          <w:kern w:val="24"/>
          <w:sz w:val="22"/>
          <w:szCs w:val="22"/>
        </w:rPr>
        <w:t>EMGIRS</w:t>
      </w:r>
      <w:proofErr w:type="spellEnd"/>
      <w:r w:rsidRPr="00414B52">
        <w:rPr>
          <w:rFonts w:ascii="Palatino Linotype" w:eastAsiaTheme="minorEastAsia" w:hAnsi="Palatino Linotype" w:cstheme="minorBidi"/>
          <w:iCs/>
          <w:kern w:val="24"/>
          <w:sz w:val="22"/>
          <w:szCs w:val="22"/>
        </w:rPr>
        <w:t xml:space="preserve"> </w:t>
      </w:r>
      <w:proofErr w:type="spellStart"/>
      <w:r w:rsidRPr="00414B52">
        <w:rPr>
          <w:rFonts w:ascii="Palatino Linotype" w:eastAsiaTheme="minorEastAsia" w:hAnsi="Palatino Linotype" w:cstheme="minorBidi"/>
          <w:iCs/>
          <w:kern w:val="24"/>
          <w:sz w:val="22"/>
          <w:szCs w:val="22"/>
        </w:rPr>
        <w:t>EP</w:t>
      </w:r>
      <w:proofErr w:type="spellEnd"/>
      <w:r w:rsidRPr="00414B52">
        <w:rPr>
          <w:rFonts w:ascii="Palatino Linotype" w:eastAsiaTheme="minorEastAsia" w:hAnsi="Palatino Linotype" w:cstheme="minorBidi"/>
          <w:iCs/>
          <w:kern w:val="24"/>
          <w:sz w:val="22"/>
          <w:szCs w:val="22"/>
        </w:rPr>
        <w:t xml:space="preserve">; con lo cual, la </w:t>
      </w:r>
      <w:proofErr w:type="spellStart"/>
      <w:r w:rsidRPr="00414B52">
        <w:rPr>
          <w:rFonts w:ascii="Palatino Linotype" w:eastAsiaTheme="minorEastAsia" w:hAnsi="Palatino Linotype" w:cstheme="minorBidi"/>
          <w:iCs/>
          <w:kern w:val="24"/>
          <w:sz w:val="22"/>
          <w:szCs w:val="22"/>
        </w:rPr>
        <w:t>GIRS</w:t>
      </w:r>
      <w:proofErr w:type="spellEnd"/>
      <w:r w:rsidRPr="00414B52">
        <w:rPr>
          <w:rFonts w:ascii="Palatino Linotype" w:eastAsiaTheme="minorEastAsia" w:hAnsi="Palatino Linotype" w:cstheme="minorBidi"/>
          <w:iCs/>
          <w:kern w:val="24"/>
          <w:sz w:val="22"/>
          <w:szCs w:val="22"/>
        </w:rPr>
        <w:t xml:space="preserve"> se ejecutará a través de una sola organización empresarial pública. Hasta que este proceso se consolide, los ingresos provenientes de la recaudación de la Tasa de Gestión Integral de Residuos Sólidos, continuarán distribuyéndose de la siguiente manera: 81% para la </w:t>
      </w:r>
      <w:proofErr w:type="spellStart"/>
      <w:r w:rsidRPr="00414B52">
        <w:rPr>
          <w:rFonts w:ascii="Palatino Linotype" w:eastAsiaTheme="minorEastAsia" w:hAnsi="Palatino Linotype" w:cstheme="minorBidi"/>
          <w:iCs/>
          <w:kern w:val="24"/>
          <w:sz w:val="22"/>
          <w:szCs w:val="22"/>
        </w:rPr>
        <w:t>EM</w:t>
      </w:r>
      <w:r w:rsidR="00764D43">
        <w:rPr>
          <w:rFonts w:ascii="Palatino Linotype" w:eastAsiaTheme="minorEastAsia" w:hAnsi="Palatino Linotype" w:cstheme="minorBidi"/>
          <w:iCs/>
          <w:kern w:val="24"/>
          <w:sz w:val="22"/>
          <w:szCs w:val="22"/>
        </w:rPr>
        <w:t>ASEO</w:t>
      </w:r>
      <w:proofErr w:type="spellEnd"/>
      <w:r w:rsidR="00764D43">
        <w:rPr>
          <w:rFonts w:ascii="Palatino Linotype" w:eastAsiaTheme="minorEastAsia" w:hAnsi="Palatino Linotype" w:cstheme="minorBidi"/>
          <w:iCs/>
          <w:kern w:val="24"/>
          <w:sz w:val="22"/>
          <w:szCs w:val="22"/>
        </w:rPr>
        <w:t xml:space="preserve"> </w:t>
      </w:r>
      <w:proofErr w:type="spellStart"/>
      <w:r w:rsidR="00764D43">
        <w:rPr>
          <w:rFonts w:ascii="Palatino Linotype" w:eastAsiaTheme="minorEastAsia" w:hAnsi="Palatino Linotype" w:cstheme="minorBidi"/>
          <w:iCs/>
          <w:kern w:val="24"/>
          <w:sz w:val="22"/>
          <w:szCs w:val="22"/>
        </w:rPr>
        <w:t>EP</w:t>
      </w:r>
      <w:proofErr w:type="spellEnd"/>
      <w:r w:rsidR="00764D43">
        <w:rPr>
          <w:rFonts w:ascii="Palatino Linotype" w:eastAsiaTheme="minorEastAsia" w:hAnsi="Palatino Linotype" w:cstheme="minorBidi"/>
          <w:iCs/>
          <w:kern w:val="24"/>
          <w:sz w:val="22"/>
          <w:szCs w:val="22"/>
        </w:rPr>
        <w:t xml:space="preserve"> y 19% para la </w:t>
      </w:r>
      <w:proofErr w:type="spellStart"/>
      <w:r w:rsidR="00764D43">
        <w:rPr>
          <w:rFonts w:ascii="Palatino Linotype" w:eastAsiaTheme="minorEastAsia" w:hAnsi="Palatino Linotype" w:cstheme="minorBidi"/>
          <w:iCs/>
          <w:kern w:val="24"/>
          <w:sz w:val="22"/>
          <w:szCs w:val="22"/>
        </w:rPr>
        <w:t>EMGIRS</w:t>
      </w:r>
      <w:proofErr w:type="spellEnd"/>
      <w:r w:rsidR="00764D43">
        <w:rPr>
          <w:rFonts w:ascii="Palatino Linotype" w:eastAsiaTheme="minorEastAsia" w:hAnsi="Palatino Linotype" w:cstheme="minorBidi"/>
          <w:iCs/>
          <w:kern w:val="24"/>
          <w:sz w:val="22"/>
          <w:szCs w:val="22"/>
        </w:rPr>
        <w:t xml:space="preserve"> </w:t>
      </w:r>
      <w:proofErr w:type="spellStart"/>
      <w:r w:rsidR="00764D43">
        <w:rPr>
          <w:rFonts w:ascii="Palatino Linotype" w:eastAsiaTheme="minorEastAsia" w:hAnsi="Palatino Linotype" w:cstheme="minorBidi"/>
          <w:iCs/>
          <w:kern w:val="24"/>
          <w:sz w:val="22"/>
          <w:szCs w:val="22"/>
        </w:rPr>
        <w:t>EP</w:t>
      </w:r>
      <w:proofErr w:type="spellEnd"/>
      <w:r w:rsidRPr="00414B52">
        <w:rPr>
          <w:rFonts w:ascii="Palatino Linotype" w:eastAsiaTheme="minorEastAsia" w:hAnsi="Palatino Linotype" w:cstheme="minorBidi"/>
          <w:kern w:val="24"/>
          <w:sz w:val="22"/>
          <w:szCs w:val="22"/>
        </w:rPr>
        <w:t>.</w:t>
      </w:r>
    </w:p>
    <w:p w:rsidR="00CD5010" w:rsidRPr="00414B52" w:rsidRDefault="00617BAD" w:rsidP="00414B52">
      <w:pPr>
        <w:spacing w:after="120" w:line="276" w:lineRule="auto"/>
        <w:jc w:val="both"/>
        <w:rPr>
          <w:rFonts w:ascii="Palatino Linotype" w:hAnsi="Palatino Linotype"/>
          <w:spacing w:val="-6"/>
          <w:sz w:val="22"/>
          <w:szCs w:val="22"/>
          <w:lang w:val="es-ES_tradnl"/>
        </w:rPr>
      </w:pPr>
      <w:r w:rsidRPr="00414B52">
        <w:rPr>
          <w:rFonts w:ascii="Palatino Linotype" w:hAnsi="Palatino Linotype"/>
          <w:b/>
          <w:sz w:val="22"/>
          <w:szCs w:val="22"/>
          <w:lang w:eastAsia="es-EC"/>
        </w:rPr>
        <w:t>Disposición Reformatoria.-</w:t>
      </w:r>
      <w:r w:rsidRPr="00414B52">
        <w:rPr>
          <w:rFonts w:ascii="Palatino Linotype" w:hAnsi="Palatino Linotype"/>
          <w:sz w:val="22"/>
          <w:szCs w:val="22"/>
          <w:lang w:eastAsia="es-EC"/>
        </w:rPr>
        <w:t xml:space="preserve"> Por medio de la presente Ordenanza Metropolitana se reforma el Libro III “De los Tributos Municipales, </w:t>
      </w:r>
      <w:r w:rsidR="00CD5010" w:rsidRPr="00414B52">
        <w:rPr>
          <w:rFonts w:ascii="Palatino Linotype" w:hAnsi="Palatino Linotype"/>
          <w:spacing w:val="-6"/>
          <w:sz w:val="22"/>
          <w:szCs w:val="22"/>
          <w:lang w:val="es-ES_tradnl"/>
        </w:rPr>
        <w:t>Título II “De las Tasas”, Capítulo I “De las Tasas de Recolección y Tratamiento de Residuos Sólidos”</w:t>
      </w:r>
      <w:r w:rsidR="00F5699D" w:rsidRPr="00414B52">
        <w:rPr>
          <w:rFonts w:ascii="Palatino Linotype" w:hAnsi="Palatino Linotype"/>
          <w:spacing w:val="-6"/>
          <w:sz w:val="22"/>
          <w:szCs w:val="22"/>
          <w:lang w:val="es-ES_tradnl"/>
        </w:rPr>
        <w:t xml:space="preserve">, artículos </w:t>
      </w:r>
      <w:proofErr w:type="spellStart"/>
      <w:r w:rsidR="00F5699D" w:rsidRPr="00414B52">
        <w:rPr>
          <w:rFonts w:ascii="Palatino Linotype" w:hAnsi="Palatino Linotype"/>
          <w:spacing w:val="-6"/>
          <w:sz w:val="22"/>
          <w:szCs w:val="22"/>
          <w:lang w:val="es-ES_tradnl"/>
        </w:rPr>
        <w:t>III.81</w:t>
      </w:r>
      <w:proofErr w:type="spellEnd"/>
      <w:r w:rsidR="00F5699D" w:rsidRPr="00414B52">
        <w:rPr>
          <w:rFonts w:ascii="Palatino Linotype" w:hAnsi="Palatino Linotype"/>
          <w:spacing w:val="-6"/>
          <w:sz w:val="22"/>
          <w:szCs w:val="22"/>
          <w:lang w:val="es-ES_tradnl"/>
        </w:rPr>
        <w:t xml:space="preserve">, </w:t>
      </w:r>
      <w:r w:rsidR="00CD5010" w:rsidRPr="00414B52">
        <w:rPr>
          <w:rFonts w:ascii="Palatino Linotype" w:hAnsi="Palatino Linotype"/>
          <w:spacing w:val="-6"/>
          <w:sz w:val="22"/>
          <w:szCs w:val="22"/>
          <w:lang w:val="es-ES_tradnl"/>
        </w:rPr>
        <w:t xml:space="preserve"> </w:t>
      </w:r>
      <w:proofErr w:type="spellStart"/>
      <w:r w:rsidR="00F5699D" w:rsidRPr="00414B52">
        <w:rPr>
          <w:rFonts w:ascii="Palatino Linotype" w:hAnsi="Palatino Linotype"/>
          <w:spacing w:val="-6"/>
          <w:sz w:val="22"/>
          <w:szCs w:val="22"/>
          <w:lang w:val="es-ES_tradnl"/>
        </w:rPr>
        <w:t>III.82</w:t>
      </w:r>
      <w:proofErr w:type="spellEnd"/>
      <w:r w:rsidR="00F5699D" w:rsidRPr="00414B52">
        <w:rPr>
          <w:rFonts w:ascii="Palatino Linotype" w:hAnsi="Palatino Linotype"/>
          <w:spacing w:val="-6"/>
          <w:sz w:val="22"/>
          <w:szCs w:val="22"/>
          <w:lang w:val="es-ES_tradnl"/>
        </w:rPr>
        <w:t xml:space="preserve">, </w:t>
      </w:r>
      <w:proofErr w:type="spellStart"/>
      <w:r w:rsidR="00F5699D" w:rsidRPr="00414B52">
        <w:rPr>
          <w:rFonts w:ascii="Palatino Linotype" w:hAnsi="Palatino Linotype"/>
          <w:spacing w:val="-6"/>
          <w:sz w:val="22"/>
          <w:szCs w:val="22"/>
          <w:lang w:val="es-ES_tradnl"/>
        </w:rPr>
        <w:t>III.83</w:t>
      </w:r>
      <w:proofErr w:type="spellEnd"/>
      <w:r w:rsidR="00F5699D" w:rsidRPr="00414B52">
        <w:rPr>
          <w:rFonts w:ascii="Palatino Linotype" w:hAnsi="Palatino Linotype"/>
          <w:spacing w:val="-6"/>
          <w:sz w:val="22"/>
          <w:szCs w:val="22"/>
          <w:lang w:val="es-ES_tradnl"/>
        </w:rPr>
        <w:t xml:space="preserve"> y </w:t>
      </w:r>
      <w:proofErr w:type="spellStart"/>
      <w:r w:rsidR="00F5699D" w:rsidRPr="00414B52">
        <w:rPr>
          <w:rFonts w:ascii="Palatino Linotype" w:hAnsi="Palatino Linotype"/>
          <w:spacing w:val="-6"/>
          <w:sz w:val="22"/>
          <w:szCs w:val="22"/>
          <w:lang w:val="es-ES_tradnl"/>
        </w:rPr>
        <w:t>III.85</w:t>
      </w:r>
      <w:proofErr w:type="spellEnd"/>
      <w:r w:rsidR="00F5699D" w:rsidRPr="00414B52">
        <w:rPr>
          <w:rFonts w:ascii="Palatino Linotype" w:hAnsi="Palatino Linotype"/>
          <w:spacing w:val="-6"/>
          <w:sz w:val="22"/>
          <w:szCs w:val="22"/>
          <w:lang w:val="es-ES_tradnl"/>
        </w:rPr>
        <w:t xml:space="preserve"> </w:t>
      </w:r>
      <w:r w:rsidR="00CD5010" w:rsidRPr="00414B52">
        <w:rPr>
          <w:rFonts w:ascii="Palatino Linotype" w:hAnsi="Palatino Linotype"/>
          <w:spacing w:val="-6"/>
          <w:sz w:val="22"/>
          <w:szCs w:val="22"/>
          <w:lang w:val="es-ES_tradnl"/>
        </w:rPr>
        <w:t>del Código Municipal para el Distrito Metropolitano de Quito</w:t>
      </w:r>
      <w:r w:rsidR="00F5699D" w:rsidRPr="00414B52">
        <w:rPr>
          <w:rFonts w:ascii="Palatino Linotype" w:hAnsi="Palatino Linotype"/>
          <w:spacing w:val="-6"/>
          <w:sz w:val="22"/>
          <w:szCs w:val="22"/>
          <w:lang w:val="es-ES_tradnl"/>
        </w:rPr>
        <w:t xml:space="preserve">. </w:t>
      </w:r>
    </w:p>
    <w:p w:rsidR="00521EC0" w:rsidRPr="003D344A" w:rsidRDefault="00521EC0" w:rsidP="003D344A">
      <w:pPr>
        <w:spacing w:after="120" w:line="276" w:lineRule="auto"/>
        <w:jc w:val="both"/>
        <w:rPr>
          <w:rFonts w:ascii="Palatino Linotype" w:hAnsi="Palatino Linotype"/>
          <w:sz w:val="22"/>
          <w:szCs w:val="22"/>
        </w:rPr>
      </w:pPr>
      <w:r w:rsidRPr="003D344A">
        <w:rPr>
          <w:rFonts w:ascii="Palatino Linotype" w:hAnsi="Palatino Linotype"/>
          <w:b/>
          <w:sz w:val="22"/>
          <w:szCs w:val="22"/>
          <w:lang w:val="es-ES_tradnl"/>
        </w:rPr>
        <w:t>Disposición Final.-</w:t>
      </w:r>
      <w:r w:rsidR="00043447" w:rsidRPr="003D344A">
        <w:rPr>
          <w:rFonts w:ascii="Palatino Linotype" w:hAnsi="Palatino Linotype"/>
          <w:sz w:val="22"/>
          <w:szCs w:val="22"/>
          <w:lang w:val="es-ES_tradnl"/>
        </w:rPr>
        <w:t>Esta O</w:t>
      </w:r>
      <w:r w:rsidRPr="003D344A">
        <w:rPr>
          <w:rFonts w:ascii="Palatino Linotype" w:hAnsi="Palatino Linotype"/>
          <w:sz w:val="22"/>
          <w:szCs w:val="22"/>
          <w:lang w:val="es-ES_tradnl"/>
        </w:rPr>
        <w:t xml:space="preserve">rdenanza entrará en vigencia a </w:t>
      </w:r>
      <w:r w:rsidR="00673162" w:rsidRPr="003D344A">
        <w:rPr>
          <w:rFonts w:ascii="Palatino Linotype" w:hAnsi="Palatino Linotype"/>
          <w:sz w:val="22"/>
          <w:szCs w:val="22"/>
          <w:lang w:val="es-ES_tradnl"/>
        </w:rPr>
        <w:t xml:space="preserve">partir de su publicación en el Registro </w:t>
      </w:r>
      <w:r w:rsidR="00617BAD" w:rsidRPr="003D344A">
        <w:rPr>
          <w:rFonts w:ascii="Palatino Linotype" w:hAnsi="Palatino Linotype"/>
          <w:sz w:val="22"/>
          <w:szCs w:val="22"/>
          <w:lang w:val="es-ES_tradnl"/>
        </w:rPr>
        <w:t>Oficial</w:t>
      </w:r>
      <w:r w:rsidRPr="003D344A">
        <w:rPr>
          <w:rFonts w:ascii="Palatino Linotype" w:hAnsi="Palatino Linotype"/>
          <w:sz w:val="22"/>
          <w:szCs w:val="22"/>
          <w:lang w:val="es-ES_tradnl"/>
        </w:rPr>
        <w:t>.</w:t>
      </w:r>
    </w:p>
    <w:p w:rsidR="00764D43" w:rsidRPr="00071015" w:rsidRDefault="00764D43" w:rsidP="00764D43">
      <w:pPr>
        <w:pStyle w:val="Cuadrculaclara-nfasis31"/>
        <w:tabs>
          <w:tab w:val="left" w:pos="2410"/>
        </w:tabs>
        <w:suppressAutoHyphens w:val="0"/>
        <w:spacing w:after="120" w:line="276" w:lineRule="auto"/>
        <w:ind w:left="0"/>
        <w:jc w:val="both"/>
        <w:rPr>
          <w:rFonts w:ascii="Palatino Linotype" w:hAnsi="Palatino Linotype"/>
          <w:sz w:val="22"/>
          <w:szCs w:val="22"/>
        </w:rPr>
      </w:pPr>
      <w:r w:rsidRPr="00071015">
        <w:rPr>
          <w:rFonts w:ascii="Palatino Linotype" w:hAnsi="Palatino Linotype"/>
          <w:sz w:val="22"/>
          <w:szCs w:val="22"/>
        </w:rPr>
        <w:t xml:space="preserve">Dada, en la Sala de Sesiones del Concejo Metropolitano de Quito, el </w:t>
      </w:r>
      <w:r>
        <w:rPr>
          <w:rFonts w:ascii="Palatino Linotype" w:hAnsi="Palatino Linotype"/>
          <w:sz w:val="22"/>
          <w:szCs w:val="22"/>
        </w:rPr>
        <w:t>15</w:t>
      </w:r>
      <w:r w:rsidRPr="00071015">
        <w:rPr>
          <w:rFonts w:ascii="Palatino Linotype" w:hAnsi="Palatino Linotype"/>
          <w:sz w:val="22"/>
          <w:szCs w:val="22"/>
        </w:rPr>
        <w:t xml:space="preserve"> de </w:t>
      </w:r>
      <w:r>
        <w:rPr>
          <w:rFonts w:ascii="Palatino Linotype" w:hAnsi="Palatino Linotype"/>
          <w:sz w:val="22"/>
          <w:szCs w:val="22"/>
        </w:rPr>
        <w:t xml:space="preserve">junio </w:t>
      </w:r>
      <w:r w:rsidRPr="00071015">
        <w:rPr>
          <w:rFonts w:ascii="Palatino Linotype" w:hAnsi="Palatino Linotype"/>
          <w:sz w:val="22"/>
          <w:szCs w:val="22"/>
        </w:rPr>
        <w:t>de 2017.</w:t>
      </w:r>
    </w:p>
    <w:p w:rsidR="00764D43" w:rsidRDefault="00764D43" w:rsidP="00764D43">
      <w:pPr>
        <w:pStyle w:val="Textopredeterminado"/>
        <w:shd w:val="clear" w:color="auto" w:fill="FFFFFF"/>
        <w:jc w:val="both"/>
        <w:rPr>
          <w:rFonts w:ascii="Palatino Linotype" w:hAnsi="Palatino Linotype"/>
          <w:color w:val="auto"/>
          <w:sz w:val="22"/>
          <w:szCs w:val="22"/>
          <w:lang w:val="es-ES_tradnl"/>
        </w:rPr>
      </w:pPr>
    </w:p>
    <w:p w:rsidR="00EC33F5" w:rsidRDefault="00EC33F5" w:rsidP="00764D43">
      <w:pPr>
        <w:pStyle w:val="Textopredeterminado"/>
        <w:shd w:val="clear" w:color="auto" w:fill="FFFFFF"/>
        <w:jc w:val="both"/>
        <w:rPr>
          <w:rFonts w:ascii="Palatino Linotype" w:hAnsi="Palatino Linotype"/>
          <w:color w:val="auto"/>
          <w:sz w:val="22"/>
          <w:szCs w:val="22"/>
          <w:lang w:val="es-ES_tradnl"/>
        </w:rPr>
      </w:pPr>
    </w:p>
    <w:p w:rsidR="00764D43" w:rsidRDefault="00764D43" w:rsidP="00764D43">
      <w:pPr>
        <w:pStyle w:val="Textopredeterminado"/>
        <w:shd w:val="clear" w:color="auto" w:fill="FFFFFF"/>
        <w:jc w:val="both"/>
        <w:rPr>
          <w:rFonts w:ascii="Palatino Linotype" w:hAnsi="Palatino Linotype"/>
          <w:color w:val="auto"/>
          <w:sz w:val="22"/>
          <w:szCs w:val="22"/>
          <w:lang w:val="es-ES_tradnl"/>
        </w:rPr>
      </w:pPr>
    </w:p>
    <w:p w:rsidR="00AC7622" w:rsidRPr="00071015" w:rsidRDefault="00AC7622" w:rsidP="00764D43">
      <w:pPr>
        <w:pStyle w:val="Textopredeterminado"/>
        <w:shd w:val="clear" w:color="auto" w:fill="FFFFFF"/>
        <w:jc w:val="both"/>
        <w:rPr>
          <w:rFonts w:ascii="Palatino Linotype" w:hAnsi="Palatino Linotype"/>
          <w:color w:val="auto"/>
          <w:sz w:val="22"/>
          <w:szCs w:val="22"/>
          <w:lang w:val="es-ES_tradnl"/>
        </w:rPr>
      </w:pPr>
    </w:p>
    <w:tbl>
      <w:tblPr>
        <w:tblW w:w="10899" w:type="dxa"/>
        <w:jc w:val="center"/>
        <w:tblLook w:val="04A0" w:firstRow="1" w:lastRow="0" w:firstColumn="1" w:lastColumn="0" w:noHBand="0" w:noVBand="1"/>
      </w:tblPr>
      <w:tblGrid>
        <w:gridCol w:w="5575"/>
        <w:gridCol w:w="5324"/>
      </w:tblGrid>
      <w:tr w:rsidR="00764D43" w:rsidRPr="00071015" w:rsidTr="003C2EA4">
        <w:trPr>
          <w:jc w:val="center"/>
        </w:trPr>
        <w:tc>
          <w:tcPr>
            <w:tcW w:w="5575" w:type="dxa"/>
            <w:hideMark/>
          </w:tcPr>
          <w:p w:rsidR="00764D43" w:rsidRPr="009A6CD8" w:rsidRDefault="00764D43" w:rsidP="003C2EA4">
            <w:pPr>
              <w:pStyle w:val="Textopredeterminado"/>
              <w:jc w:val="center"/>
              <w:rPr>
                <w:rFonts w:ascii="Palatino Linotype" w:hAnsi="Palatino Linotype" w:cs="Arial"/>
                <w:color w:val="auto"/>
                <w:sz w:val="19"/>
                <w:szCs w:val="19"/>
              </w:rPr>
            </w:pPr>
            <w:r w:rsidRPr="009A6CD8">
              <w:rPr>
                <w:rFonts w:ascii="Palatino Linotype" w:hAnsi="Palatino Linotype" w:cs="Arial"/>
                <w:color w:val="auto"/>
                <w:sz w:val="19"/>
                <w:szCs w:val="19"/>
              </w:rPr>
              <w:t>Abg. Eduardo Del Pozo</w:t>
            </w:r>
          </w:p>
          <w:p w:rsidR="00764D43" w:rsidRPr="009A6CD8" w:rsidRDefault="00764D43" w:rsidP="003C2EA4">
            <w:pPr>
              <w:pStyle w:val="Textopredeterminado"/>
              <w:jc w:val="center"/>
              <w:rPr>
                <w:rFonts w:ascii="Palatino Linotype" w:hAnsi="Palatino Linotype" w:cs="Arial"/>
                <w:b/>
                <w:color w:val="auto"/>
                <w:sz w:val="19"/>
                <w:szCs w:val="19"/>
              </w:rPr>
            </w:pPr>
            <w:r w:rsidRPr="009A6CD8">
              <w:rPr>
                <w:rFonts w:ascii="Palatino Linotype" w:hAnsi="Palatino Linotype" w:cs="Arial"/>
                <w:b/>
                <w:color w:val="auto"/>
                <w:sz w:val="19"/>
                <w:szCs w:val="19"/>
              </w:rPr>
              <w:t>Primer Vicepresidente del Concejo Metropolitano de Quito</w:t>
            </w:r>
          </w:p>
        </w:tc>
        <w:tc>
          <w:tcPr>
            <w:tcW w:w="5324" w:type="dxa"/>
            <w:hideMark/>
          </w:tcPr>
          <w:p w:rsidR="00764D43" w:rsidRPr="009A6CD8" w:rsidRDefault="00764D43" w:rsidP="003C2EA4">
            <w:pPr>
              <w:pStyle w:val="Textopredeterminado"/>
              <w:jc w:val="center"/>
              <w:rPr>
                <w:rFonts w:ascii="Palatino Linotype" w:hAnsi="Palatino Linotype" w:cs="Arial"/>
                <w:color w:val="auto"/>
                <w:sz w:val="19"/>
                <w:szCs w:val="19"/>
              </w:rPr>
            </w:pPr>
            <w:r w:rsidRPr="009A6CD8">
              <w:rPr>
                <w:rFonts w:ascii="Palatino Linotype" w:hAnsi="Palatino Linotype" w:cs="Arial"/>
                <w:color w:val="auto"/>
                <w:sz w:val="19"/>
                <w:szCs w:val="19"/>
              </w:rPr>
              <w:t>Abg. Diego Cevallos Salgado</w:t>
            </w:r>
          </w:p>
          <w:p w:rsidR="00764D43" w:rsidRPr="009A6CD8" w:rsidRDefault="00764D43" w:rsidP="003C2EA4">
            <w:pPr>
              <w:pStyle w:val="Textopredeterminado"/>
              <w:jc w:val="center"/>
              <w:rPr>
                <w:rFonts w:ascii="Palatino Linotype" w:hAnsi="Palatino Linotype" w:cs="Arial"/>
                <w:b/>
                <w:color w:val="auto"/>
                <w:sz w:val="19"/>
                <w:szCs w:val="19"/>
              </w:rPr>
            </w:pPr>
            <w:r w:rsidRPr="009A6CD8">
              <w:rPr>
                <w:rFonts w:ascii="Palatino Linotype" w:hAnsi="Palatino Linotype" w:cs="Arial"/>
                <w:b/>
                <w:color w:val="auto"/>
                <w:sz w:val="19"/>
                <w:szCs w:val="19"/>
              </w:rPr>
              <w:t>Secretario General del Concejo Metropolitano de Quito</w:t>
            </w:r>
          </w:p>
          <w:p w:rsidR="00764D43" w:rsidRDefault="00764D43" w:rsidP="003C2EA4">
            <w:pPr>
              <w:pStyle w:val="Textopredeterminado"/>
              <w:rPr>
                <w:rFonts w:ascii="Palatino Linotype" w:hAnsi="Palatino Linotype" w:cs="Arial"/>
                <w:b/>
                <w:color w:val="auto"/>
                <w:sz w:val="19"/>
                <w:szCs w:val="19"/>
              </w:rPr>
            </w:pPr>
          </w:p>
          <w:p w:rsidR="00EC33F5" w:rsidRDefault="00EC33F5" w:rsidP="003C2EA4">
            <w:pPr>
              <w:pStyle w:val="Textopredeterminado"/>
              <w:rPr>
                <w:rFonts w:ascii="Palatino Linotype" w:hAnsi="Palatino Linotype" w:cs="Arial"/>
                <w:b/>
                <w:color w:val="auto"/>
                <w:sz w:val="19"/>
                <w:szCs w:val="19"/>
              </w:rPr>
            </w:pPr>
          </w:p>
          <w:p w:rsidR="00EC33F5" w:rsidRDefault="00EC33F5" w:rsidP="003C2EA4">
            <w:pPr>
              <w:pStyle w:val="Textopredeterminado"/>
              <w:rPr>
                <w:rFonts w:ascii="Palatino Linotype" w:hAnsi="Palatino Linotype" w:cs="Arial"/>
                <w:b/>
                <w:color w:val="auto"/>
                <w:sz w:val="19"/>
                <w:szCs w:val="19"/>
              </w:rPr>
            </w:pPr>
          </w:p>
          <w:p w:rsidR="00EC33F5" w:rsidRDefault="00EC33F5" w:rsidP="003C2EA4">
            <w:pPr>
              <w:pStyle w:val="Textopredeterminado"/>
              <w:rPr>
                <w:rFonts w:ascii="Palatino Linotype" w:hAnsi="Palatino Linotype" w:cs="Arial"/>
                <w:b/>
                <w:color w:val="auto"/>
                <w:sz w:val="19"/>
                <w:szCs w:val="19"/>
              </w:rPr>
            </w:pPr>
          </w:p>
          <w:p w:rsidR="00EC33F5" w:rsidRDefault="00EC33F5" w:rsidP="003C2EA4">
            <w:pPr>
              <w:pStyle w:val="Textopredeterminado"/>
              <w:rPr>
                <w:rFonts w:ascii="Palatino Linotype" w:hAnsi="Palatino Linotype" w:cs="Arial"/>
                <w:b/>
                <w:color w:val="auto"/>
                <w:sz w:val="19"/>
                <w:szCs w:val="19"/>
              </w:rPr>
            </w:pPr>
          </w:p>
          <w:p w:rsidR="00AC7622" w:rsidRDefault="00AC7622" w:rsidP="003C2EA4">
            <w:pPr>
              <w:pStyle w:val="Textopredeterminado"/>
              <w:rPr>
                <w:rFonts w:ascii="Palatino Linotype" w:hAnsi="Palatino Linotype" w:cs="Arial"/>
                <w:b/>
                <w:color w:val="auto"/>
                <w:sz w:val="19"/>
                <w:szCs w:val="19"/>
              </w:rPr>
            </w:pPr>
          </w:p>
          <w:p w:rsidR="00EC33F5" w:rsidRPr="009A6CD8" w:rsidRDefault="00EC33F5" w:rsidP="003C2EA4">
            <w:pPr>
              <w:pStyle w:val="Textopredeterminado"/>
              <w:rPr>
                <w:rFonts w:ascii="Palatino Linotype" w:hAnsi="Palatino Linotype" w:cs="Arial"/>
                <w:b/>
                <w:color w:val="auto"/>
                <w:sz w:val="19"/>
                <w:szCs w:val="19"/>
              </w:rPr>
            </w:pPr>
          </w:p>
        </w:tc>
      </w:tr>
    </w:tbl>
    <w:p w:rsidR="00764D43" w:rsidRPr="00071015" w:rsidRDefault="00764D43" w:rsidP="00764D43">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071015">
        <w:rPr>
          <w:rFonts w:ascii="Palatino Linotype" w:eastAsia="MS Mincho" w:hAnsi="Palatino Linotype" w:cs="Arial"/>
          <w:b/>
          <w:bCs/>
          <w:sz w:val="22"/>
          <w:szCs w:val="22"/>
        </w:rPr>
        <w:lastRenderedPageBreak/>
        <w:t>CERTIFICADO DE DISCUSIÓN</w:t>
      </w:r>
    </w:p>
    <w:p w:rsidR="00764D43" w:rsidRPr="00071015" w:rsidRDefault="00764D43" w:rsidP="00764D43">
      <w:pPr>
        <w:pStyle w:val="Textosinformato"/>
        <w:jc w:val="both"/>
        <w:rPr>
          <w:rFonts w:ascii="Palatino Linotype" w:eastAsia="MS Mincho" w:hAnsi="Palatino Linotype" w:cs="Arial"/>
          <w:sz w:val="22"/>
          <w:szCs w:val="22"/>
        </w:rPr>
      </w:pPr>
    </w:p>
    <w:p w:rsidR="00764D43" w:rsidRPr="00071015" w:rsidRDefault="00764D43" w:rsidP="00764D43">
      <w:pPr>
        <w:pStyle w:val="Textosinformato"/>
        <w:spacing w:line="276" w:lineRule="auto"/>
        <w:jc w:val="both"/>
        <w:rPr>
          <w:rFonts w:ascii="Palatino Linotype" w:eastAsia="MS Mincho" w:hAnsi="Palatino Linotype" w:cs="Arial"/>
          <w:sz w:val="22"/>
          <w:szCs w:val="22"/>
        </w:rPr>
      </w:pPr>
      <w:r w:rsidRPr="00071015">
        <w:rPr>
          <w:rFonts w:ascii="Palatino Linotype" w:eastAsia="MS Mincho" w:hAnsi="Palatino Linotype" w:cs="Arial"/>
          <w:sz w:val="22"/>
          <w:szCs w:val="22"/>
        </w:rPr>
        <w:t xml:space="preserve">El infrascrito Secretario General del Concejo Metropolitano de Quito, certifica que la presente ordenanza fue discutida y aprobada </w:t>
      </w:r>
      <w:r>
        <w:rPr>
          <w:rFonts w:ascii="Palatino Linotype" w:eastAsia="MS Mincho" w:hAnsi="Palatino Linotype" w:cs="Arial"/>
          <w:sz w:val="22"/>
          <w:szCs w:val="22"/>
        </w:rPr>
        <w:t>en dos debates, en sesiones de 9</w:t>
      </w:r>
      <w:r w:rsidRPr="00071015">
        <w:rPr>
          <w:rFonts w:ascii="Palatino Linotype" w:eastAsia="MS Mincho" w:hAnsi="Palatino Linotype" w:cs="Arial"/>
          <w:sz w:val="22"/>
          <w:szCs w:val="22"/>
        </w:rPr>
        <w:t xml:space="preserve"> de </w:t>
      </w:r>
      <w:r>
        <w:rPr>
          <w:rFonts w:ascii="Palatino Linotype" w:eastAsia="MS Mincho" w:hAnsi="Palatino Linotype" w:cs="Arial"/>
          <w:sz w:val="22"/>
          <w:szCs w:val="22"/>
        </w:rPr>
        <w:t xml:space="preserve">marzo </w:t>
      </w:r>
      <w:r w:rsidRPr="00071015">
        <w:rPr>
          <w:rFonts w:ascii="Palatino Linotype" w:eastAsia="MS Mincho" w:hAnsi="Palatino Linotype" w:cs="Arial"/>
          <w:sz w:val="22"/>
          <w:szCs w:val="22"/>
        </w:rPr>
        <w:t xml:space="preserve">y </w:t>
      </w:r>
      <w:r>
        <w:rPr>
          <w:rFonts w:ascii="Palatino Linotype" w:eastAsia="MS Mincho" w:hAnsi="Palatino Linotype" w:cs="Arial"/>
          <w:sz w:val="22"/>
          <w:szCs w:val="22"/>
        </w:rPr>
        <w:t>15</w:t>
      </w:r>
      <w:r w:rsidRPr="00071015">
        <w:rPr>
          <w:rFonts w:ascii="Palatino Linotype" w:eastAsia="MS Mincho" w:hAnsi="Palatino Linotype" w:cs="Arial"/>
          <w:sz w:val="22"/>
          <w:szCs w:val="22"/>
        </w:rPr>
        <w:t xml:space="preserve"> de </w:t>
      </w:r>
      <w:r>
        <w:rPr>
          <w:rFonts w:ascii="Palatino Linotype" w:eastAsia="MS Mincho" w:hAnsi="Palatino Linotype" w:cs="Arial"/>
          <w:sz w:val="22"/>
          <w:szCs w:val="22"/>
        </w:rPr>
        <w:t xml:space="preserve">junio  </w:t>
      </w:r>
      <w:r w:rsidRPr="00071015">
        <w:rPr>
          <w:rFonts w:ascii="Palatino Linotype" w:eastAsia="MS Mincho" w:hAnsi="Palatino Linotype" w:cs="Arial"/>
          <w:sz w:val="22"/>
          <w:szCs w:val="22"/>
        </w:rPr>
        <w:t>de 2017.- Quito,</w:t>
      </w:r>
    </w:p>
    <w:p w:rsidR="00764D43" w:rsidRPr="00071015" w:rsidRDefault="00764D43" w:rsidP="00764D43">
      <w:pPr>
        <w:pStyle w:val="Textosinformato"/>
        <w:jc w:val="center"/>
        <w:rPr>
          <w:rFonts w:ascii="Palatino Linotype" w:eastAsia="MS Mincho" w:hAnsi="Palatino Linotype" w:cs="Arial"/>
          <w:sz w:val="22"/>
          <w:szCs w:val="22"/>
        </w:rPr>
      </w:pPr>
    </w:p>
    <w:p w:rsidR="00764D43" w:rsidRPr="00071015" w:rsidRDefault="00764D43" w:rsidP="00764D43">
      <w:pPr>
        <w:pStyle w:val="Textosinformato"/>
        <w:jc w:val="center"/>
        <w:rPr>
          <w:rFonts w:ascii="Palatino Linotype" w:eastAsia="MS Mincho" w:hAnsi="Palatino Linotype" w:cs="Arial"/>
          <w:sz w:val="22"/>
          <w:szCs w:val="22"/>
        </w:rPr>
      </w:pPr>
    </w:p>
    <w:p w:rsidR="00764D43" w:rsidRPr="00071015" w:rsidRDefault="00764D43" w:rsidP="00764D43">
      <w:pPr>
        <w:pStyle w:val="Textosinformato"/>
        <w:jc w:val="center"/>
        <w:rPr>
          <w:rFonts w:ascii="Palatino Linotype" w:eastAsia="MS Mincho" w:hAnsi="Palatino Linotype" w:cs="Arial"/>
          <w:sz w:val="22"/>
          <w:szCs w:val="22"/>
        </w:rPr>
      </w:pPr>
    </w:p>
    <w:p w:rsidR="00764D43" w:rsidRPr="00071015" w:rsidRDefault="00764D43" w:rsidP="00764D43">
      <w:pPr>
        <w:pStyle w:val="Textosinformato"/>
        <w:jc w:val="center"/>
        <w:rPr>
          <w:rFonts w:ascii="Palatino Linotype" w:eastAsia="MS Mincho" w:hAnsi="Palatino Linotype" w:cs="Arial"/>
          <w:sz w:val="22"/>
          <w:szCs w:val="22"/>
        </w:rPr>
      </w:pPr>
      <w:r w:rsidRPr="00071015">
        <w:rPr>
          <w:rFonts w:ascii="Palatino Linotype" w:eastAsia="MS Mincho" w:hAnsi="Palatino Linotype" w:cs="Arial"/>
          <w:sz w:val="22"/>
          <w:szCs w:val="22"/>
        </w:rPr>
        <w:t>Abg. Diego Cevallos Salgado</w:t>
      </w:r>
    </w:p>
    <w:p w:rsidR="00764D43" w:rsidRPr="00071015" w:rsidRDefault="00764D43" w:rsidP="00764D43">
      <w:pPr>
        <w:pStyle w:val="Textosinformato"/>
        <w:jc w:val="center"/>
        <w:rPr>
          <w:rFonts w:ascii="Palatino Linotype" w:eastAsia="MS Mincho" w:hAnsi="Palatino Linotype" w:cs="Arial"/>
          <w:b/>
          <w:bCs/>
          <w:sz w:val="22"/>
          <w:szCs w:val="22"/>
        </w:rPr>
      </w:pPr>
      <w:r w:rsidRPr="00071015">
        <w:rPr>
          <w:rFonts w:ascii="Palatino Linotype" w:eastAsia="MS Mincho" w:hAnsi="Palatino Linotype" w:cs="Arial"/>
          <w:b/>
          <w:bCs/>
          <w:sz w:val="22"/>
          <w:szCs w:val="22"/>
        </w:rPr>
        <w:t>SECRETARIO GENERAL DEL CONCEJO METROPOLITANO DE QUITO</w:t>
      </w:r>
    </w:p>
    <w:p w:rsidR="00764D43" w:rsidRPr="00071015" w:rsidRDefault="00764D43" w:rsidP="00764D43">
      <w:pPr>
        <w:pStyle w:val="Textosinformato"/>
        <w:jc w:val="center"/>
        <w:rPr>
          <w:rFonts w:ascii="Palatino Linotype" w:eastAsia="MS Mincho" w:hAnsi="Palatino Linotype" w:cs="Arial"/>
          <w:sz w:val="22"/>
          <w:szCs w:val="22"/>
        </w:rPr>
      </w:pPr>
    </w:p>
    <w:p w:rsidR="00764D43" w:rsidRPr="00071015" w:rsidRDefault="00764D43" w:rsidP="00764D43">
      <w:pPr>
        <w:pStyle w:val="Textosinformato"/>
        <w:jc w:val="center"/>
        <w:rPr>
          <w:rFonts w:ascii="Palatino Linotype" w:eastAsia="MS Mincho" w:hAnsi="Palatino Linotype" w:cs="Arial"/>
          <w:sz w:val="22"/>
          <w:szCs w:val="22"/>
        </w:rPr>
      </w:pPr>
      <w:r w:rsidRPr="00071015">
        <w:rPr>
          <w:rFonts w:ascii="Palatino Linotype" w:eastAsia="MS Mincho" w:hAnsi="Palatino Linotype" w:cs="Arial"/>
          <w:b/>
          <w:bCs/>
          <w:sz w:val="22"/>
          <w:szCs w:val="22"/>
        </w:rPr>
        <w:t>ALCALDÍA DEL DISTRITO METROPOLITANO.-</w:t>
      </w:r>
      <w:r w:rsidRPr="00071015">
        <w:rPr>
          <w:rFonts w:ascii="Palatino Linotype" w:eastAsia="MS Mincho" w:hAnsi="Palatino Linotype" w:cs="Arial"/>
          <w:sz w:val="22"/>
          <w:szCs w:val="22"/>
        </w:rPr>
        <w:t xml:space="preserve">  Distrito Metropolitano de Quito,</w:t>
      </w:r>
    </w:p>
    <w:p w:rsidR="00764D43" w:rsidRPr="00071015" w:rsidRDefault="00764D43" w:rsidP="00764D43">
      <w:pPr>
        <w:pStyle w:val="Textosinformato"/>
        <w:jc w:val="center"/>
        <w:rPr>
          <w:rFonts w:ascii="Palatino Linotype" w:eastAsia="MS Mincho" w:hAnsi="Palatino Linotype" w:cs="Arial"/>
          <w:b/>
          <w:sz w:val="22"/>
          <w:szCs w:val="22"/>
        </w:rPr>
      </w:pPr>
    </w:p>
    <w:p w:rsidR="00764D43" w:rsidRPr="00071015" w:rsidRDefault="00764D43" w:rsidP="00764D43">
      <w:pPr>
        <w:pStyle w:val="Textosinformato"/>
        <w:jc w:val="center"/>
        <w:rPr>
          <w:rFonts w:ascii="Palatino Linotype" w:eastAsia="MS Mincho" w:hAnsi="Palatino Linotype" w:cs="Arial"/>
          <w:b/>
          <w:sz w:val="22"/>
          <w:szCs w:val="22"/>
        </w:rPr>
      </w:pPr>
      <w:r w:rsidRPr="00071015">
        <w:rPr>
          <w:rFonts w:ascii="Palatino Linotype" w:eastAsia="MS Mincho" w:hAnsi="Palatino Linotype" w:cs="Arial"/>
          <w:b/>
          <w:sz w:val="22"/>
          <w:szCs w:val="22"/>
        </w:rPr>
        <w:t>EJECÚTESE:</w:t>
      </w:r>
    </w:p>
    <w:p w:rsidR="00764D43" w:rsidRDefault="00764D43" w:rsidP="00764D43">
      <w:pPr>
        <w:pStyle w:val="Textosinformato"/>
        <w:jc w:val="center"/>
        <w:rPr>
          <w:rFonts w:ascii="Palatino Linotype" w:eastAsia="MS Mincho" w:hAnsi="Palatino Linotype" w:cs="Arial"/>
          <w:sz w:val="22"/>
          <w:szCs w:val="22"/>
        </w:rPr>
      </w:pPr>
    </w:p>
    <w:p w:rsidR="00764D43" w:rsidRDefault="00764D43" w:rsidP="00764D43">
      <w:pPr>
        <w:pStyle w:val="Textosinformato"/>
        <w:jc w:val="center"/>
        <w:rPr>
          <w:rFonts w:ascii="Palatino Linotype" w:eastAsia="MS Mincho" w:hAnsi="Palatino Linotype" w:cs="Arial"/>
          <w:sz w:val="22"/>
          <w:szCs w:val="22"/>
        </w:rPr>
      </w:pPr>
    </w:p>
    <w:p w:rsidR="00764D43" w:rsidRPr="00071015" w:rsidRDefault="00764D43" w:rsidP="00764D43">
      <w:pPr>
        <w:pStyle w:val="Textosinformato"/>
        <w:jc w:val="center"/>
        <w:rPr>
          <w:rFonts w:ascii="Palatino Linotype" w:eastAsia="MS Mincho" w:hAnsi="Palatino Linotype" w:cs="Arial"/>
          <w:sz w:val="22"/>
          <w:szCs w:val="22"/>
        </w:rPr>
      </w:pPr>
    </w:p>
    <w:p w:rsidR="00764D43" w:rsidRPr="00071015" w:rsidRDefault="00764D43" w:rsidP="00764D43">
      <w:pPr>
        <w:pStyle w:val="Textosinformato"/>
        <w:jc w:val="center"/>
        <w:rPr>
          <w:rFonts w:ascii="Palatino Linotype" w:eastAsia="MS Mincho" w:hAnsi="Palatino Linotype" w:cs="Arial"/>
          <w:sz w:val="22"/>
          <w:szCs w:val="22"/>
        </w:rPr>
      </w:pPr>
    </w:p>
    <w:p w:rsidR="00764D43" w:rsidRPr="00071015" w:rsidRDefault="00764D43" w:rsidP="00764D43">
      <w:pPr>
        <w:pStyle w:val="Textosinformato"/>
        <w:jc w:val="center"/>
        <w:rPr>
          <w:rFonts w:ascii="Palatino Linotype" w:eastAsia="MS Mincho" w:hAnsi="Palatino Linotype" w:cs="Arial"/>
          <w:sz w:val="22"/>
          <w:szCs w:val="22"/>
        </w:rPr>
      </w:pPr>
      <w:r w:rsidRPr="00071015">
        <w:rPr>
          <w:rFonts w:ascii="Palatino Linotype" w:eastAsia="MS Mincho" w:hAnsi="Palatino Linotype" w:cs="Arial"/>
          <w:sz w:val="22"/>
          <w:szCs w:val="22"/>
        </w:rPr>
        <w:t>Dr. Mauricio Rodas Espinel</w:t>
      </w:r>
    </w:p>
    <w:p w:rsidR="00764D43" w:rsidRPr="00071015" w:rsidRDefault="00764D43" w:rsidP="00764D43">
      <w:pPr>
        <w:pStyle w:val="Textosinformato"/>
        <w:jc w:val="center"/>
        <w:rPr>
          <w:rFonts w:ascii="Palatino Linotype" w:eastAsia="MS Mincho" w:hAnsi="Palatino Linotype" w:cs="Arial"/>
          <w:b/>
          <w:bCs/>
          <w:sz w:val="22"/>
          <w:szCs w:val="22"/>
        </w:rPr>
      </w:pPr>
      <w:r w:rsidRPr="00071015">
        <w:rPr>
          <w:rFonts w:ascii="Palatino Linotype" w:eastAsia="MS Mincho" w:hAnsi="Palatino Linotype" w:cs="Arial"/>
          <w:b/>
          <w:bCs/>
          <w:sz w:val="22"/>
          <w:szCs w:val="22"/>
        </w:rPr>
        <w:t>ALCALDE DEL DISTRITO METROPOLITANO DE QUITO</w:t>
      </w:r>
    </w:p>
    <w:p w:rsidR="00764D43" w:rsidRPr="00071015" w:rsidRDefault="00764D43" w:rsidP="00764D43">
      <w:pPr>
        <w:pStyle w:val="Textosinformato"/>
        <w:spacing w:line="276" w:lineRule="auto"/>
        <w:jc w:val="both"/>
        <w:rPr>
          <w:rFonts w:ascii="Palatino Linotype" w:eastAsia="MS Mincho" w:hAnsi="Palatino Linotype" w:cs="Arial"/>
          <w:sz w:val="22"/>
          <w:szCs w:val="22"/>
        </w:rPr>
      </w:pPr>
      <w:r w:rsidRPr="00071015">
        <w:rPr>
          <w:rFonts w:ascii="Palatino Linotype" w:eastAsia="MS Mincho" w:hAnsi="Palatino Linotype" w:cs="Arial"/>
          <w:b/>
          <w:bCs/>
          <w:sz w:val="22"/>
          <w:szCs w:val="22"/>
        </w:rPr>
        <w:t>CERTIFICO,</w:t>
      </w:r>
      <w:r w:rsidRPr="00071015">
        <w:rPr>
          <w:rFonts w:ascii="Palatino Linotype" w:eastAsia="MS Mincho" w:hAnsi="Palatino Linotype" w:cs="Arial"/>
          <w:sz w:val="22"/>
          <w:szCs w:val="22"/>
        </w:rPr>
        <w:t xml:space="preserve"> que la presente ordenanza fue sancionada por el Dr. Mauricio Rodas Espinel, Alcalde  del Distrito Metropolitano de Quito, el</w:t>
      </w:r>
    </w:p>
    <w:p w:rsidR="00764D43" w:rsidRPr="00071015" w:rsidRDefault="00764D43" w:rsidP="00764D43">
      <w:pPr>
        <w:pStyle w:val="Textosinformato"/>
        <w:tabs>
          <w:tab w:val="right" w:pos="8504"/>
        </w:tabs>
        <w:spacing w:line="276" w:lineRule="auto"/>
        <w:jc w:val="both"/>
        <w:rPr>
          <w:rFonts w:ascii="Palatino Linotype" w:eastAsia="MS Mincho" w:hAnsi="Palatino Linotype" w:cs="Arial"/>
          <w:sz w:val="22"/>
          <w:szCs w:val="22"/>
        </w:rPr>
      </w:pPr>
      <w:r w:rsidRPr="00071015">
        <w:rPr>
          <w:rFonts w:ascii="Palatino Linotype" w:eastAsia="MS Mincho" w:hAnsi="Palatino Linotype" w:cs="Arial"/>
          <w:sz w:val="22"/>
          <w:szCs w:val="22"/>
        </w:rPr>
        <w:t>.- Distrito Metropolitano de Quito,</w:t>
      </w:r>
    </w:p>
    <w:p w:rsidR="00764D43" w:rsidRPr="00071015" w:rsidRDefault="00764D43" w:rsidP="00764D43">
      <w:pPr>
        <w:pStyle w:val="Textosinformato"/>
        <w:jc w:val="center"/>
        <w:rPr>
          <w:rFonts w:ascii="Palatino Linotype" w:eastAsia="MS Mincho" w:hAnsi="Palatino Linotype" w:cs="Arial"/>
          <w:sz w:val="22"/>
          <w:szCs w:val="22"/>
        </w:rPr>
      </w:pPr>
    </w:p>
    <w:p w:rsidR="00764D43" w:rsidRPr="00071015" w:rsidRDefault="00764D43" w:rsidP="00764D43">
      <w:pPr>
        <w:pStyle w:val="Textosinformato"/>
        <w:jc w:val="center"/>
        <w:rPr>
          <w:rFonts w:ascii="Palatino Linotype" w:eastAsia="MS Mincho" w:hAnsi="Palatino Linotype" w:cs="Arial"/>
          <w:sz w:val="22"/>
          <w:szCs w:val="22"/>
        </w:rPr>
      </w:pPr>
    </w:p>
    <w:p w:rsidR="00764D43" w:rsidRDefault="00764D43" w:rsidP="00764D43">
      <w:pPr>
        <w:pStyle w:val="Textosinformato"/>
        <w:jc w:val="center"/>
        <w:rPr>
          <w:rFonts w:ascii="Palatino Linotype" w:eastAsia="MS Mincho" w:hAnsi="Palatino Linotype" w:cs="Arial"/>
          <w:sz w:val="22"/>
          <w:szCs w:val="22"/>
        </w:rPr>
      </w:pPr>
    </w:p>
    <w:p w:rsidR="00764D43" w:rsidRPr="00071015" w:rsidRDefault="00764D43" w:rsidP="00764D43">
      <w:pPr>
        <w:pStyle w:val="Textosinformato"/>
        <w:jc w:val="center"/>
        <w:rPr>
          <w:rFonts w:ascii="Palatino Linotype" w:eastAsia="MS Mincho" w:hAnsi="Palatino Linotype" w:cs="Arial"/>
          <w:sz w:val="22"/>
          <w:szCs w:val="22"/>
        </w:rPr>
      </w:pPr>
    </w:p>
    <w:p w:rsidR="00764D43" w:rsidRPr="00071015" w:rsidRDefault="00764D43" w:rsidP="00764D43">
      <w:pPr>
        <w:pStyle w:val="Textosinformato"/>
        <w:jc w:val="center"/>
        <w:rPr>
          <w:rFonts w:ascii="Palatino Linotype" w:eastAsia="MS Mincho" w:hAnsi="Palatino Linotype" w:cs="Arial"/>
          <w:sz w:val="22"/>
          <w:szCs w:val="22"/>
        </w:rPr>
      </w:pPr>
      <w:r w:rsidRPr="00071015">
        <w:rPr>
          <w:rFonts w:ascii="Palatino Linotype" w:eastAsia="MS Mincho" w:hAnsi="Palatino Linotype" w:cs="Arial"/>
          <w:sz w:val="22"/>
          <w:szCs w:val="22"/>
        </w:rPr>
        <w:t>Abg. Diego Cevallos Salgado</w:t>
      </w:r>
    </w:p>
    <w:p w:rsidR="00764D43" w:rsidRPr="00071015" w:rsidRDefault="00764D43" w:rsidP="00764D43">
      <w:pPr>
        <w:pStyle w:val="Textosinformato"/>
        <w:jc w:val="center"/>
        <w:rPr>
          <w:rFonts w:ascii="Palatino Linotype" w:eastAsia="MS Mincho" w:hAnsi="Palatino Linotype" w:cs="Arial"/>
          <w:b/>
          <w:bCs/>
          <w:sz w:val="22"/>
          <w:szCs w:val="22"/>
        </w:rPr>
      </w:pPr>
      <w:r w:rsidRPr="00071015">
        <w:rPr>
          <w:rFonts w:ascii="Palatino Linotype" w:eastAsia="MS Mincho" w:hAnsi="Palatino Linotype" w:cs="Arial"/>
          <w:b/>
          <w:bCs/>
          <w:sz w:val="22"/>
          <w:szCs w:val="22"/>
        </w:rPr>
        <w:t>SECRETARIO GENERAL DEL CONCEJO METROPOLITANO DE QUITO</w:t>
      </w:r>
    </w:p>
    <w:p w:rsidR="00D36E9D" w:rsidRPr="00414B52" w:rsidRDefault="00764D43" w:rsidP="003D344A">
      <w:pPr>
        <w:rPr>
          <w:rFonts w:ascii="Palatino Linotype" w:hAnsi="Palatino Linotype"/>
          <w:sz w:val="22"/>
          <w:szCs w:val="22"/>
          <w:lang w:val="es-EC"/>
        </w:rPr>
      </w:pPr>
      <w:proofErr w:type="spellStart"/>
      <w:r>
        <w:rPr>
          <w:rFonts w:ascii="Palatino Linotype" w:eastAsia="MS Mincho" w:hAnsi="Palatino Linotype"/>
          <w:b/>
          <w:bCs/>
          <w:sz w:val="12"/>
          <w:szCs w:val="12"/>
        </w:rPr>
        <w:t>DSCS</w:t>
      </w:r>
      <w:proofErr w:type="spellEnd"/>
    </w:p>
    <w:sectPr w:rsidR="00D36E9D" w:rsidRPr="00414B52" w:rsidSect="003D344A">
      <w:headerReference w:type="default" r:id="rId15"/>
      <w:footerReference w:type="default" r:id="rId16"/>
      <w:pgSz w:w="12240" w:h="15840"/>
      <w:pgMar w:top="1417" w:right="1325"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265" w:rsidRDefault="00F44265" w:rsidP="00E21DE0">
      <w:r>
        <w:separator/>
      </w:r>
    </w:p>
  </w:endnote>
  <w:endnote w:type="continuationSeparator" w:id="0">
    <w:p w:rsidR="00F44265" w:rsidRDefault="00F44265" w:rsidP="00E2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DE0" w:rsidRDefault="00E21DE0">
    <w:pPr>
      <w:pStyle w:val="Piedepgina"/>
      <w:jc w:val="right"/>
    </w:pPr>
  </w:p>
  <w:p w:rsidR="00E21DE0" w:rsidRDefault="00E21DE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2"/>
        <w:szCs w:val="22"/>
      </w:rPr>
      <w:id w:val="638155963"/>
      <w:docPartObj>
        <w:docPartGallery w:val="Page Numbers (Bottom of Page)"/>
        <w:docPartUnique/>
      </w:docPartObj>
    </w:sdtPr>
    <w:sdtEndPr/>
    <w:sdtContent>
      <w:sdt>
        <w:sdtPr>
          <w:rPr>
            <w:rFonts w:ascii="Palatino Linotype" w:hAnsi="Palatino Linotype"/>
            <w:sz w:val="22"/>
            <w:szCs w:val="22"/>
          </w:rPr>
          <w:id w:val="860082579"/>
          <w:docPartObj>
            <w:docPartGallery w:val="Page Numbers (Top of Page)"/>
            <w:docPartUnique/>
          </w:docPartObj>
        </w:sdtPr>
        <w:sdtEndPr/>
        <w:sdtContent>
          <w:p w:rsidR="00764D43" w:rsidRPr="00764D43" w:rsidRDefault="00764D43">
            <w:pPr>
              <w:pStyle w:val="Piedepgina"/>
              <w:jc w:val="right"/>
              <w:rPr>
                <w:rFonts w:ascii="Palatino Linotype" w:hAnsi="Palatino Linotype"/>
                <w:sz w:val="22"/>
                <w:szCs w:val="22"/>
              </w:rPr>
            </w:pPr>
            <w:r w:rsidRPr="00764D43">
              <w:rPr>
                <w:rFonts w:ascii="Palatino Linotype" w:hAnsi="Palatino Linotype"/>
                <w:sz w:val="22"/>
                <w:szCs w:val="22"/>
              </w:rPr>
              <w:t xml:space="preserve">Página </w:t>
            </w:r>
            <w:r w:rsidRPr="00764D43">
              <w:rPr>
                <w:rFonts w:ascii="Palatino Linotype" w:hAnsi="Palatino Linotype"/>
                <w:b/>
                <w:bCs/>
                <w:sz w:val="22"/>
                <w:szCs w:val="22"/>
              </w:rPr>
              <w:fldChar w:fldCharType="begin"/>
            </w:r>
            <w:r w:rsidRPr="00764D43">
              <w:rPr>
                <w:rFonts w:ascii="Palatino Linotype" w:hAnsi="Palatino Linotype"/>
                <w:b/>
                <w:bCs/>
                <w:sz w:val="22"/>
                <w:szCs w:val="22"/>
              </w:rPr>
              <w:instrText>PAGE</w:instrText>
            </w:r>
            <w:r w:rsidRPr="00764D43">
              <w:rPr>
                <w:rFonts w:ascii="Palatino Linotype" w:hAnsi="Palatino Linotype"/>
                <w:b/>
                <w:bCs/>
                <w:sz w:val="22"/>
                <w:szCs w:val="22"/>
              </w:rPr>
              <w:fldChar w:fldCharType="separate"/>
            </w:r>
            <w:r w:rsidR="0093158F">
              <w:rPr>
                <w:rFonts w:ascii="Palatino Linotype" w:hAnsi="Palatino Linotype"/>
                <w:b/>
                <w:bCs/>
                <w:noProof/>
                <w:sz w:val="22"/>
                <w:szCs w:val="22"/>
              </w:rPr>
              <w:t>7</w:t>
            </w:r>
            <w:r w:rsidRPr="00764D43">
              <w:rPr>
                <w:rFonts w:ascii="Palatino Linotype" w:hAnsi="Palatino Linotype"/>
                <w:b/>
                <w:bCs/>
                <w:sz w:val="22"/>
                <w:szCs w:val="22"/>
              </w:rPr>
              <w:fldChar w:fldCharType="end"/>
            </w:r>
            <w:r w:rsidRPr="00764D43">
              <w:rPr>
                <w:rFonts w:ascii="Palatino Linotype" w:hAnsi="Palatino Linotype"/>
                <w:sz w:val="22"/>
                <w:szCs w:val="22"/>
              </w:rPr>
              <w:t xml:space="preserve"> de </w:t>
            </w:r>
            <w:r>
              <w:rPr>
                <w:rFonts w:ascii="Palatino Linotype" w:hAnsi="Palatino Linotype"/>
                <w:b/>
                <w:bCs/>
                <w:sz w:val="22"/>
                <w:szCs w:val="22"/>
              </w:rPr>
              <w:t>1</w:t>
            </w:r>
            <w:r w:rsidR="00AC7622">
              <w:rPr>
                <w:rFonts w:ascii="Palatino Linotype" w:hAnsi="Palatino Linotype"/>
                <w:b/>
                <w:bCs/>
                <w:sz w:val="22"/>
                <w:szCs w:val="22"/>
              </w:rPr>
              <w:t>5</w:t>
            </w:r>
          </w:p>
        </w:sdtContent>
      </w:sdt>
    </w:sdtContent>
  </w:sdt>
  <w:p w:rsidR="00764D43" w:rsidRDefault="00764D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265" w:rsidRDefault="00F44265" w:rsidP="00E21DE0">
      <w:r>
        <w:separator/>
      </w:r>
    </w:p>
  </w:footnote>
  <w:footnote w:type="continuationSeparator" w:id="0">
    <w:p w:rsidR="00F44265" w:rsidRDefault="00F44265" w:rsidP="00E21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52" w:rsidRDefault="00414B52">
    <w:pPr>
      <w:pStyle w:val="Encabezado"/>
      <w:rPr>
        <w:lang w:val="es-EC"/>
      </w:rPr>
    </w:pPr>
  </w:p>
  <w:p w:rsidR="00414B52" w:rsidRDefault="00414B52">
    <w:pPr>
      <w:pStyle w:val="Encabezado"/>
      <w:rPr>
        <w:lang w:val="es-EC"/>
      </w:rPr>
    </w:pPr>
  </w:p>
  <w:p w:rsidR="00414B52" w:rsidRDefault="00414B52">
    <w:pPr>
      <w:pStyle w:val="Encabezado"/>
      <w:rPr>
        <w:lang w:val="es-EC"/>
      </w:rPr>
    </w:pPr>
  </w:p>
  <w:p w:rsidR="00414B52" w:rsidRDefault="00414B52">
    <w:pPr>
      <w:pStyle w:val="Encabezado"/>
      <w:rPr>
        <w:lang w:val="es-EC"/>
      </w:rPr>
    </w:pPr>
  </w:p>
  <w:p w:rsidR="00414B52" w:rsidRDefault="00414B52">
    <w:pPr>
      <w:pStyle w:val="Encabezado"/>
      <w:rPr>
        <w:lang w:val="es-EC"/>
      </w:rPr>
    </w:pPr>
  </w:p>
  <w:p w:rsidR="00414B52" w:rsidRDefault="00414B52">
    <w:pPr>
      <w:pStyle w:val="Encabezado"/>
      <w:rPr>
        <w:lang w:val="es-EC"/>
      </w:rPr>
    </w:pPr>
  </w:p>
  <w:p w:rsidR="00414B52" w:rsidRDefault="00414B52">
    <w:pPr>
      <w:pStyle w:val="Encabezado"/>
      <w:rPr>
        <w:lang w:val="es-EC"/>
      </w:rPr>
    </w:pPr>
  </w:p>
  <w:p w:rsidR="00414B52" w:rsidRDefault="00414B52" w:rsidP="00414B52">
    <w:pPr>
      <w:spacing w:after="120" w:line="276" w:lineRule="auto"/>
      <w:jc w:val="center"/>
      <w:rPr>
        <w:rFonts w:ascii="Palatino Linotype" w:hAnsi="Palatino Linotype"/>
        <w:b/>
        <w:sz w:val="22"/>
        <w:szCs w:val="22"/>
      </w:rPr>
    </w:pPr>
  </w:p>
  <w:p w:rsidR="00414B52" w:rsidRPr="00414B52" w:rsidRDefault="00414B52" w:rsidP="00414B52">
    <w:pPr>
      <w:spacing w:after="120" w:line="276" w:lineRule="auto"/>
      <w:jc w:val="center"/>
      <w:rPr>
        <w:rFonts w:ascii="Palatino Linotype" w:hAnsi="Palatino Linotype"/>
        <w:b/>
        <w:sz w:val="22"/>
        <w:szCs w:val="22"/>
      </w:rPr>
    </w:pPr>
    <w:r>
      <w:rPr>
        <w:rFonts w:ascii="Palatino Linotype" w:hAnsi="Palatino Linotype"/>
        <w:b/>
        <w:sz w:val="22"/>
        <w:szCs w:val="22"/>
      </w:rPr>
      <w:t>ORDENANZA METROPOLITANA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43" w:rsidRDefault="00764D43">
    <w:pPr>
      <w:pStyle w:val="Encabezado"/>
      <w:rPr>
        <w:lang w:val="es-EC"/>
      </w:rPr>
    </w:pPr>
  </w:p>
  <w:p w:rsidR="00764D43" w:rsidRDefault="00764D43">
    <w:pPr>
      <w:pStyle w:val="Encabezado"/>
      <w:rPr>
        <w:lang w:val="es-EC"/>
      </w:rPr>
    </w:pPr>
  </w:p>
  <w:p w:rsidR="00764D43" w:rsidRDefault="00764D43">
    <w:pPr>
      <w:pStyle w:val="Encabezado"/>
      <w:rPr>
        <w:lang w:val="es-EC"/>
      </w:rPr>
    </w:pPr>
  </w:p>
  <w:p w:rsidR="00764D43" w:rsidRDefault="00764D43">
    <w:pPr>
      <w:pStyle w:val="Encabezado"/>
      <w:rPr>
        <w:lang w:val="es-EC"/>
      </w:rPr>
    </w:pPr>
  </w:p>
  <w:p w:rsidR="00764D43" w:rsidRDefault="00764D43">
    <w:pPr>
      <w:pStyle w:val="Encabezado"/>
      <w:rPr>
        <w:lang w:val="es-EC"/>
      </w:rPr>
    </w:pPr>
  </w:p>
  <w:p w:rsidR="00764D43" w:rsidRDefault="00764D43">
    <w:pPr>
      <w:pStyle w:val="Encabezado"/>
      <w:rPr>
        <w:lang w:val="es-EC"/>
      </w:rPr>
    </w:pPr>
  </w:p>
  <w:p w:rsidR="00764D43" w:rsidRDefault="00764D43">
    <w:pPr>
      <w:pStyle w:val="Encabezado"/>
      <w:rPr>
        <w:lang w:val="es-EC"/>
      </w:rPr>
    </w:pPr>
  </w:p>
  <w:p w:rsidR="00764D43" w:rsidRDefault="00764D43" w:rsidP="00414B52">
    <w:pPr>
      <w:spacing w:after="120" w:line="276" w:lineRule="auto"/>
      <w:jc w:val="center"/>
      <w:rPr>
        <w:rFonts w:ascii="Palatino Linotype" w:hAnsi="Palatino Linotype"/>
        <w:b/>
        <w:sz w:val="22"/>
        <w:szCs w:val="22"/>
      </w:rPr>
    </w:pPr>
  </w:p>
  <w:p w:rsidR="00764D43" w:rsidRPr="00414B52" w:rsidRDefault="00764D43" w:rsidP="00414B52">
    <w:pPr>
      <w:spacing w:after="120" w:line="276" w:lineRule="auto"/>
      <w:jc w:val="center"/>
      <w:rPr>
        <w:rFonts w:ascii="Palatino Linotype" w:hAnsi="Palatino Linotype"/>
        <w:b/>
        <w:sz w:val="22"/>
        <w:szCs w:val="22"/>
      </w:rPr>
    </w:pPr>
    <w:r>
      <w:rPr>
        <w:rFonts w:ascii="Palatino Linotype" w:hAnsi="Palatino Linotype"/>
        <w:b/>
        <w:sz w:val="22"/>
        <w:szCs w:val="22"/>
      </w:rPr>
      <w:t>ORDENANZA METROPOLITANA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83562"/>
    <w:multiLevelType w:val="hybridMultilevel"/>
    <w:tmpl w:val="7E888DB2"/>
    <w:lvl w:ilvl="0" w:tplc="FE5CD972">
      <w:start w:val="2"/>
      <w:numFmt w:val="bullet"/>
      <w:lvlText w:val="-"/>
      <w:lvlJc w:val="left"/>
      <w:pPr>
        <w:ind w:left="1068" w:hanging="360"/>
      </w:pPr>
      <w:rPr>
        <w:rFonts w:ascii="Calibri" w:eastAsia="Times New Roman" w:hAnsi="Calibri" w:cs="Arial" w:hint="default"/>
        <w:color w:val="000000"/>
        <w:sz w:val="2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5EDA1D92"/>
    <w:multiLevelType w:val="hybridMultilevel"/>
    <w:tmpl w:val="E63C193E"/>
    <w:lvl w:ilvl="0" w:tplc="AAF27736">
      <w:start w:val="1"/>
      <w:numFmt w:val="lowerLetter"/>
      <w:lvlText w:val="%1)"/>
      <w:lvlJc w:val="left"/>
      <w:pPr>
        <w:ind w:left="1068" w:hanging="360"/>
      </w:pPr>
      <w:rPr>
        <w:rFonts w:hint="default"/>
        <w:b/>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
    <w:nsid w:val="5EEC4F5F"/>
    <w:multiLevelType w:val="hybridMultilevel"/>
    <w:tmpl w:val="4956C7A2"/>
    <w:lvl w:ilvl="0" w:tplc="42505B32">
      <w:start w:val="1"/>
      <w:numFmt w:val="lowerLetter"/>
      <w:lvlText w:val="%1)"/>
      <w:lvlJc w:val="left"/>
      <w:pPr>
        <w:ind w:left="785" w:hanging="360"/>
      </w:pPr>
      <w:rPr>
        <w:rFonts w:hint="default"/>
        <w:b/>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
    <w:nsid w:val="7389197D"/>
    <w:multiLevelType w:val="hybridMultilevel"/>
    <w:tmpl w:val="F4F4C700"/>
    <w:lvl w:ilvl="0" w:tplc="CA76B4F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C0"/>
    <w:rsid w:val="00004F99"/>
    <w:rsid w:val="00043447"/>
    <w:rsid w:val="000E16E8"/>
    <w:rsid w:val="000F3CE9"/>
    <w:rsid w:val="00111972"/>
    <w:rsid w:val="001B3EAD"/>
    <w:rsid w:val="001D6129"/>
    <w:rsid w:val="00223853"/>
    <w:rsid w:val="00236BA2"/>
    <w:rsid w:val="002E7CEB"/>
    <w:rsid w:val="00377948"/>
    <w:rsid w:val="003D2100"/>
    <w:rsid w:val="003D344A"/>
    <w:rsid w:val="003D5B1C"/>
    <w:rsid w:val="00414B52"/>
    <w:rsid w:val="0042116C"/>
    <w:rsid w:val="00440504"/>
    <w:rsid w:val="00445957"/>
    <w:rsid w:val="00466256"/>
    <w:rsid w:val="00494258"/>
    <w:rsid w:val="00514AAC"/>
    <w:rsid w:val="00521EC0"/>
    <w:rsid w:val="00531717"/>
    <w:rsid w:val="00540B5A"/>
    <w:rsid w:val="00590543"/>
    <w:rsid w:val="005F70A3"/>
    <w:rsid w:val="00617BAD"/>
    <w:rsid w:val="00652FF2"/>
    <w:rsid w:val="00673162"/>
    <w:rsid w:val="006A3E02"/>
    <w:rsid w:val="006A60B4"/>
    <w:rsid w:val="006E6E49"/>
    <w:rsid w:val="007278C0"/>
    <w:rsid w:val="00752F94"/>
    <w:rsid w:val="00764D43"/>
    <w:rsid w:val="007764FF"/>
    <w:rsid w:val="00795A52"/>
    <w:rsid w:val="007F67E4"/>
    <w:rsid w:val="00803154"/>
    <w:rsid w:val="00806F62"/>
    <w:rsid w:val="0088122C"/>
    <w:rsid w:val="00883439"/>
    <w:rsid w:val="00897FB4"/>
    <w:rsid w:val="008A3D30"/>
    <w:rsid w:val="008B62A7"/>
    <w:rsid w:val="0092251E"/>
    <w:rsid w:val="00924045"/>
    <w:rsid w:val="0092714A"/>
    <w:rsid w:val="0093158F"/>
    <w:rsid w:val="0097412C"/>
    <w:rsid w:val="0097490B"/>
    <w:rsid w:val="00975700"/>
    <w:rsid w:val="009F0118"/>
    <w:rsid w:val="009F387A"/>
    <w:rsid w:val="00A43B77"/>
    <w:rsid w:val="00A92D45"/>
    <w:rsid w:val="00AA4643"/>
    <w:rsid w:val="00AC7622"/>
    <w:rsid w:val="00AD5F21"/>
    <w:rsid w:val="00AF09CC"/>
    <w:rsid w:val="00AF5558"/>
    <w:rsid w:val="00B40458"/>
    <w:rsid w:val="00B7248D"/>
    <w:rsid w:val="00B94F0A"/>
    <w:rsid w:val="00BD5F34"/>
    <w:rsid w:val="00BE7981"/>
    <w:rsid w:val="00BE7D3F"/>
    <w:rsid w:val="00CD5010"/>
    <w:rsid w:val="00CE4C07"/>
    <w:rsid w:val="00CE5583"/>
    <w:rsid w:val="00D0061F"/>
    <w:rsid w:val="00D27714"/>
    <w:rsid w:val="00D9416E"/>
    <w:rsid w:val="00DA668B"/>
    <w:rsid w:val="00DB006B"/>
    <w:rsid w:val="00DE72CE"/>
    <w:rsid w:val="00E21DE0"/>
    <w:rsid w:val="00E527ED"/>
    <w:rsid w:val="00EC33F5"/>
    <w:rsid w:val="00F13DC3"/>
    <w:rsid w:val="00F44265"/>
    <w:rsid w:val="00F5699D"/>
    <w:rsid w:val="00FA606A"/>
    <w:rsid w:val="00FB0A51"/>
    <w:rsid w:val="00FE001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EC0"/>
    <w:pPr>
      <w:widowControl w:val="0"/>
      <w:autoSpaceDE w:val="0"/>
      <w:autoSpaceDN w:val="0"/>
      <w:adjustRightInd w:val="0"/>
      <w:spacing w:after="0" w:line="240" w:lineRule="auto"/>
    </w:pPr>
    <w:rPr>
      <w:rFonts w:ascii="Arial" w:eastAsia="Times New Roman" w:hAnsi="Arial" w:cs="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rmar">
    <w:name w:val="nrmar"/>
    <w:basedOn w:val="Fuentedeprrafopredeter"/>
    <w:rsid w:val="00521EC0"/>
  </w:style>
  <w:style w:type="character" w:customStyle="1" w:styleId="hit">
    <w:name w:val="hit"/>
    <w:basedOn w:val="Fuentedeprrafopredeter"/>
    <w:rsid w:val="00521EC0"/>
  </w:style>
  <w:style w:type="paragraph" w:customStyle="1" w:styleId="Default">
    <w:name w:val="Default"/>
    <w:rsid w:val="00521EC0"/>
    <w:pPr>
      <w:autoSpaceDE w:val="0"/>
      <w:autoSpaceDN w:val="0"/>
      <w:adjustRightInd w:val="0"/>
      <w:spacing w:after="0" w:line="240" w:lineRule="auto"/>
    </w:pPr>
    <w:rPr>
      <w:rFonts w:ascii="Calibri" w:hAnsi="Calibri" w:cs="Calibri"/>
      <w:color w:val="000000"/>
      <w:sz w:val="24"/>
      <w:szCs w:val="24"/>
      <w:lang w:val="es-ES"/>
    </w:rPr>
  </w:style>
  <w:style w:type="paragraph" w:styleId="NormalWeb">
    <w:name w:val="Normal (Web)"/>
    <w:basedOn w:val="Normal"/>
    <w:uiPriority w:val="99"/>
    <w:unhideWhenUsed/>
    <w:rsid w:val="00521EC0"/>
    <w:pPr>
      <w:widowControl/>
      <w:autoSpaceDE/>
      <w:autoSpaceDN/>
      <w:adjustRightInd/>
      <w:spacing w:before="100" w:beforeAutospacing="1" w:after="100" w:afterAutospacing="1"/>
    </w:pPr>
    <w:rPr>
      <w:rFonts w:ascii="Times New Roman" w:hAnsi="Times New Roman" w:cs="Times New Roman"/>
      <w:sz w:val="24"/>
      <w:szCs w:val="24"/>
    </w:rPr>
  </w:style>
  <w:style w:type="paragraph" w:styleId="Prrafodelista">
    <w:name w:val="List Paragraph"/>
    <w:basedOn w:val="Normal"/>
    <w:uiPriority w:val="34"/>
    <w:qFormat/>
    <w:rsid w:val="00521EC0"/>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1D61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6129"/>
    <w:rPr>
      <w:rFonts w:ascii="Segoe UI" w:eastAsia="Times New Roman" w:hAnsi="Segoe UI" w:cs="Segoe UI"/>
      <w:sz w:val="18"/>
      <w:szCs w:val="18"/>
      <w:lang w:val="es-ES" w:eastAsia="es-ES"/>
    </w:rPr>
  </w:style>
  <w:style w:type="paragraph" w:styleId="Sinespaciado">
    <w:name w:val="No Spacing"/>
    <w:link w:val="SinespaciadoCar"/>
    <w:uiPriority w:val="1"/>
    <w:qFormat/>
    <w:rsid w:val="00DE72CE"/>
    <w:pPr>
      <w:spacing w:after="0" w:line="240" w:lineRule="auto"/>
    </w:pPr>
  </w:style>
  <w:style w:type="character" w:customStyle="1" w:styleId="SinespaciadoCar">
    <w:name w:val="Sin espaciado Car"/>
    <w:basedOn w:val="Fuentedeprrafopredeter"/>
    <w:link w:val="Sinespaciado"/>
    <w:uiPriority w:val="1"/>
    <w:rsid w:val="00DE72CE"/>
  </w:style>
  <w:style w:type="paragraph" w:styleId="Encabezado">
    <w:name w:val="header"/>
    <w:basedOn w:val="Normal"/>
    <w:link w:val="EncabezadoCar"/>
    <w:uiPriority w:val="99"/>
    <w:unhideWhenUsed/>
    <w:rsid w:val="00E21DE0"/>
    <w:pPr>
      <w:tabs>
        <w:tab w:val="center" w:pos="4252"/>
        <w:tab w:val="right" w:pos="8504"/>
      </w:tabs>
    </w:pPr>
  </w:style>
  <w:style w:type="character" w:customStyle="1" w:styleId="EncabezadoCar">
    <w:name w:val="Encabezado Car"/>
    <w:basedOn w:val="Fuentedeprrafopredeter"/>
    <w:link w:val="Encabezado"/>
    <w:uiPriority w:val="99"/>
    <w:rsid w:val="00E21DE0"/>
    <w:rPr>
      <w:rFonts w:ascii="Arial" w:eastAsia="Times New Roman" w:hAnsi="Arial" w:cs="Arial"/>
      <w:sz w:val="20"/>
      <w:szCs w:val="20"/>
      <w:lang w:val="es-ES" w:eastAsia="es-ES"/>
    </w:rPr>
  </w:style>
  <w:style w:type="paragraph" w:styleId="Piedepgina">
    <w:name w:val="footer"/>
    <w:basedOn w:val="Normal"/>
    <w:link w:val="PiedepginaCar"/>
    <w:uiPriority w:val="99"/>
    <w:unhideWhenUsed/>
    <w:rsid w:val="00E21DE0"/>
    <w:pPr>
      <w:tabs>
        <w:tab w:val="center" w:pos="4252"/>
        <w:tab w:val="right" w:pos="8504"/>
      </w:tabs>
    </w:pPr>
  </w:style>
  <w:style w:type="character" w:customStyle="1" w:styleId="PiedepginaCar">
    <w:name w:val="Pie de página Car"/>
    <w:basedOn w:val="Fuentedeprrafopredeter"/>
    <w:link w:val="Piedepgina"/>
    <w:uiPriority w:val="99"/>
    <w:rsid w:val="00E21DE0"/>
    <w:rPr>
      <w:rFonts w:ascii="Arial" w:eastAsia="Times New Roman" w:hAnsi="Arial" w:cs="Arial"/>
      <w:sz w:val="20"/>
      <w:szCs w:val="20"/>
      <w:lang w:val="es-ES" w:eastAsia="es-ES"/>
    </w:rPr>
  </w:style>
  <w:style w:type="paragraph" w:customStyle="1" w:styleId="Cuadrculaclara-nfasis31">
    <w:name w:val="Cuadrícula clara - Énfasis 31"/>
    <w:basedOn w:val="Normal"/>
    <w:link w:val="Cuadrculaclara-nfasis3Car"/>
    <w:uiPriority w:val="34"/>
    <w:qFormat/>
    <w:rsid w:val="00764D43"/>
    <w:pPr>
      <w:widowControl/>
      <w:suppressAutoHyphens/>
      <w:autoSpaceDE/>
      <w:autoSpaceDN/>
      <w:adjustRightInd/>
      <w:spacing w:line="100" w:lineRule="atLeast"/>
      <w:ind w:left="708"/>
    </w:pPr>
    <w:rPr>
      <w:rFonts w:ascii="Times New Roman" w:eastAsia="Arial Unicode MS" w:hAnsi="Times New Roman" w:cs="Times New Roman"/>
      <w:kern w:val="1"/>
      <w:sz w:val="24"/>
      <w:szCs w:val="24"/>
      <w:lang w:val="es-ES_tradnl" w:eastAsia="ar-SA"/>
    </w:rPr>
  </w:style>
  <w:style w:type="character" w:customStyle="1" w:styleId="Cuadrculaclara-nfasis3Car">
    <w:name w:val="Cuadrícula clara - Énfasis 3 Car"/>
    <w:link w:val="Cuadrculaclara-nfasis31"/>
    <w:uiPriority w:val="34"/>
    <w:rsid w:val="00764D43"/>
    <w:rPr>
      <w:rFonts w:ascii="Times New Roman" w:eastAsia="Arial Unicode MS" w:hAnsi="Times New Roman" w:cs="Times New Roman"/>
      <w:kern w:val="1"/>
      <w:sz w:val="24"/>
      <w:szCs w:val="24"/>
      <w:lang w:val="es-ES_tradnl" w:eastAsia="ar-SA"/>
    </w:rPr>
  </w:style>
  <w:style w:type="paragraph" w:customStyle="1" w:styleId="Textopredeterminado">
    <w:name w:val="Texto predeterminado"/>
    <w:basedOn w:val="Normal"/>
    <w:rsid w:val="00764D43"/>
    <w:pPr>
      <w:widowControl/>
      <w:overflowPunct w:val="0"/>
      <w:textAlignment w:val="baseline"/>
    </w:pPr>
    <w:rPr>
      <w:rFonts w:ascii="Times New Roman" w:hAnsi="Times New Roman" w:cs="Times New Roman"/>
      <w:color w:val="000000"/>
      <w:sz w:val="24"/>
      <w:lang w:val="es-EC"/>
    </w:rPr>
  </w:style>
  <w:style w:type="paragraph" w:styleId="Textosinformato">
    <w:name w:val="Plain Text"/>
    <w:basedOn w:val="Normal"/>
    <w:link w:val="TextosinformatoCar"/>
    <w:rsid w:val="00764D43"/>
    <w:pPr>
      <w:widowControl/>
      <w:autoSpaceDE/>
      <w:autoSpaceDN/>
      <w:adjustRightInd/>
    </w:pPr>
    <w:rPr>
      <w:rFonts w:ascii="Courier New" w:hAnsi="Courier New" w:cs="Times New Roman"/>
    </w:rPr>
  </w:style>
  <w:style w:type="character" w:customStyle="1" w:styleId="TextosinformatoCar">
    <w:name w:val="Texto sin formato Car"/>
    <w:basedOn w:val="Fuentedeprrafopredeter"/>
    <w:link w:val="Textosinformato"/>
    <w:rsid w:val="00764D43"/>
    <w:rPr>
      <w:rFonts w:ascii="Courier New" w:eastAsia="Times New Roman" w:hAnsi="Courier New"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EC0"/>
    <w:pPr>
      <w:widowControl w:val="0"/>
      <w:autoSpaceDE w:val="0"/>
      <w:autoSpaceDN w:val="0"/>
      <w:adjustRightInd w:val="0"/>
      <w:spacing w:after="0" w:line="240" w:lineRule="auto"/>
    </w:pPr>
    <w:rPr>
      <w:rFonts w:ascii="Arial" w:eastAsia="Times New Roman" w:hAnsi="Arial" w:cs="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rmar">
    <w:name w:val="nrmar"/>
    <w:basedOn w:val="Fuentedeprrafopredeter"/>
    <w:rsid w:val="00521EC0"/>
  </w:style>
  <w:style w:type="character" w:customStyle="1" w:styleId="hit">
    <w:name w:val="hit"/>
    <w:basedOn w:val="Fuentedeprrafopredeter"/>
    <w:rsid w:val="00521EC0"/>
  </w:style>
  <w:style w:type="paragraph" w:customStyle="1" w:styleId="Default">
    <w:name w:val="Default"/>
    <w:rsid w:val="00521EC0"/>
    <w:pPr>
      <w:autoSpaceDE w:val="0"/>
      <w:autoSpaceDN w:val="0"/>
      <w:adjustRightInd w:val="0"/>
      <w:spacing w:after="0" w:line="240" w:lineRule="auto"/>
    </w:pPr>
    <w:rPr>
      <w:rFonts w:ascii="Calibri" w:hAnsi="Calibri" w:cs="Calibri"/>
      <w:color w:val="000000"/>
      <w:sz w:val="24"/>
      <w:szCs w:val="24"/>
      <w:lang w:val="es-ES"/>
    </w:rPr>
  </w:style>
  <w:style w:type="paragraph" w:styleId="NormalWeb">
    <w:name w:val="Normal (Web)"/>
    <w:basedOn w:val="Normal"/>
    <w:uiPriority w:val="99"/>
    <w:unhideWhenUsed/>
    <w:rsid w:val="00521EC0"/>
    <w:pPr>
      <w:widowControl/>
      <w:autoSpaceDE/>
      <w:autoSpaceDN/>
      <w:adjustRightInd/>
      <w:spacing w:before="100" w:beforeAutospacing="1" w:after="100" w:afterAutospacing="1"/>
    </w:pPr>
    <w:rPr>
      <w:rFonts w:ascii="Times New Roman" w:hAnsi="Times New Roman" w:cs="Times New Roman"/>
      <w:sz w:val="24"/>
      <w:szCs w:val="24"/>
    </w:rPr>
  </w:style>
  <w:style w:type="paragraph" w:styleId="Prrafodelista">
    <w:name w:val="List Paragraph"/>
    <w:basedOn w:val="Normal"/>
    <w:uiPriority w:val="34"/>
    <w:qFormat/>
    <w:rsid w:val="00521EC0"/>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1D61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6129"/>
    <w:rPr>
      <w:rFonts w:ascii="Segoe UI" w:eastAsia="Times New Roman" w:hAnsi="Segoe UI" w:cs="Segoe UI"/>
      <w:sz w:val="18"/>
      <w:szCs w:val="18"/>
      <w:lang w:val="es-ES" w:eastAsia="es-ES"/>
    </w:rPr>
  </w:style>
  <w:style w:type="paragraph" w:styleId="Sinespaciado">
    <w:name w:val="No Spacing"/>
    <w:link w:val="SinespaciadoCar"/>
    <w:uiPriority w:val="1"/>
    <w:qFormat/>
    <w:rsid w:val="00DE72CE"/>
    <w:pPr>
      <w:spacing w:after="0" w:line="240" w:lineRule="auto"/>
    </w:pPr>
  </w:style>
  <w:style w:type="character" w:customStyle="1" w:styleId="SinespaciadoCar">
    <w:name w:val="Sin espaciado Car"/>
    <w:basedOn w:val="Fuentedeprrafopredeter"/>
    <w:link w:val="Sinespaciado"/>
    <w:uiPriority w:val="1"/>
    <w:rsid w:val="00DE72CE"/>
  </w:style>
  <w:style w:type="paragraph" w:styleId="Encabezado">
    <w:name w:val="header"/>
    <w:basedOn w:val="Normal"/>
    <w:link w:val="EncabezadoCar"/>
    <w:uiPriority w:val="99"/>
    <w:unhideWhenUsed/>
    <w:rsid w:val="00E21DE0"/>
    <w:pPr>
      <w:tabs>
        <w:tab w:val="center" w:pos="4252"/>
        <w:tab w:val="right" w:pos="8504"/>
      </w:tabs>
    </w:pPr>
  </w:style>
  <w:style w:type="character" w:customStyle="1" w:styleId="EncabezadoCar">
    <w:name w:val="Encabezado Car"/>
    <w:basedOn w:val="Fuentedeprrafopredeter"/>
    <w:link w:val="Encabezado"/>
    <w:uiPriority w:val="99"/>
    <w:rsid w:val="00E21DE0"/>
    <w:rPr>
      <w:rFonts w:ascii="Arial" w:eastAsia="Times New Roman" w:hAnsi="Arial" w:cs="Arial"/>
      <w:sz w:val="20"/>
      <w:szCs w:val="20"/>
      <w:lang w:val="es-ES" w:eastAsia="es-ES"/>
    </w:rPr>
  </w:style>
  <w:style w:type="paragraph" w:styleId="Piedepgina">
    <w:name w:val="footer"/>
    <w:basedOn w:val="Normal"/>
    <w:link w:val="PiedepginaCar"/>
    <w:uiPriority w:val="99"/>
    <w:unhideWhenUsed/>
    <w:rsid w:val="00E21DE0"/>
    <w:pPr>
      <w:tabs>
        <w:tab w:val="center" w:pos="4252"/>
        <w:tab w:val="right" w:pos="8504"/>
      </w:tabs>
    </w:pPr>
  </w:style>
  <w:style w:type="character" w:customStyle="1" w:styleId="PiedepginaCar">
    <w:name w:val="Pie de página Car"/>
    <w:basedOn w:val="Fuentedeprrafopredeter"/>
    <w:link w:val="Piedepgina"/>
    <w:uiPriority w:val="99"/>
    <w:rsid w:val="00E21DE0"/>
    <w:rPr>
      <w:rFonts w:ascii="Arial" w:eastAsia="Times New Roman" w:hAnsi="Arial" w:cs="Arial"/>
      <w:sz w:val="20"/>
      <w:szCs w:val="20"/>
      <w:lang w:val="es-ES" w:eastAsia="es-ES"/>
    </w:rPr>
  </w:style>
  <w:style w:type="paragraph" w:customStyle="1" w:styleId="Cuadrculaclara-nfasis31">
    <w:name w:val="Cuadrícula clara - Énfasis 31"/>
    <w:basedOn w:val="Normal"/>
    <w:link w:val="Cuadrculaclara-nfasis3Car"/>
    <w:uiPriority w:val="34"/>
    <w:qFormat/>
    <w:rsid w:val="00764D43"/>
    <w:pPr>
      <w:widowControl/>
      <w:suppressAutoHyphens/>
      <w:autoSpaceDE/>
      <w:autoSpaceDN/>
      <w:adjustRightInd/>
      <w:spacing w:line="100" w:lineRule="atLeast"/>
      <w:ind w:left="708"/>
    </w:pPr>
    <w:rPr>
      <w:rFonts w:ascii="Times New Roman" w:eastAsia="Arial Unicode MS" w:hAnsi="Times New Roman" w:cs="Times New Roman"/>
      <w:kern w:val="1"/>
      <w:sz w:val="24"/>
      <w:szCs w:val="24"/>
      <w:lang w:val="es-ES_tradnl" w:eastAsia="ar-SA"/>
    </w:rPr>
  </w:style>
  <w:style w:type="character" w:customStyle="1" w:styleId="Cuadrculaclara-nfasis3Car">
    <w:name w:val="Cuadrícula clara - Énfasis 3 Car"/>
    <w:link w:val="Cuadrculaclara-nfasis31"/>
    <w:uiPriority w:val="34"/>
    <w:rsid w:val="00764D43"/>
    <w:rPr>
      <w:rFonts w:ascii="Times New Roman" w:eastAsia="Arial Unicode MS" w:hAnsi="Times New Roman" w:cs="Times New Roman"/>
      <w:kern w:val="1"/>
      <w:sz w:val="24"/>
      <w:szCs w:val="24"/>
      <w:lang w:val="es-ES_tradnl" w:eastAsia="ar-SA"/>
    </w:rPr>
  </w:style>
  <w:style w:type="paragraph" w:customStyle="1" w:styleId="Textopredeterminado">
    <w:name w:val="Texto predeterminado"/>
    <w:basedOn w:val="Normal"/>
    <w:rsid w:val="00764D43"/>
    <w:pPr>
      <w:widowControl/>
      <w:overflowPunct w:val="0"/>
      <w:textAlignment w:val="baseline"/>
    </w:pPr>
    <w:rPr>
      <w:rFonts w:ascii="Times New Roman" w:hAnsi="Times New Roman" w:cs="Times New Roman"/>
      <w:color w:val="000000"/>
      <w:sz w:val="24"/>
      <w:lang w:val="es-EC"/>
    </w:rPr>
  </w:style>
  <w:style w:type="paragraph" w:styleId="Textosinformato">
    <w:name w:val="Plain Text"/>
    <w:basedOn w:val="Normal"/>
    <w:link w:val="TextosinformatoCar"/>
    <w:rsid w:val="00764D43"/>
    <w:pPr>
      <w:widowControl/>
      <w:autoSpaceDE/>
      <w:autoSpaceDN/>
      <w:adjustRightInd/>
    </w:pPr>
    <w:rPr>
      <w:rFonts w:ascii="Courier New" w:hAnsi="Courier New" w:cs="Times New Roman"/>
    </w:rPr>
  </w:style>
  <w:style w:type="character" w:customStyle="1" w:styleId="TextosinformatoCar">
    <w:name w:val="Texto sin formato Car"/>
    <w:basedOn w:val="Fuentedeprrafopredeter"/>
    <w:link w:val="Textosinformato"/>
    <w:rsid w:val="00764D43"/>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BAE86-694B-44E3-B94F-536FD84A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4905</Words>
  <Characters>26978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Campaña</dc:creator>
  <cp:lastModifiedBy>Diego Sebastian Cevallos Salgado</cp:lastModifiedBy>
  <cp:revision>4</cp:revision>
  <cp:lastPrinted>2017-06-20T15:27:00Z</cp:lastPrinted>
  <dcterms:created xsi:type="dcterms:W3CDTF">2017-06-21T14:54:00Z</dcterms:created>
  <dcterms:modified xsi:type="dcterms:W3CDTF">2017-06-21T17:32:00Z</dcterms:modified>
</cp:coreProperties>
</file>