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AE" w:rsidRPr="00A435AE" w:rsidRDefault="00A435AE" w:rsidP="00A435AE">
      <w:pPr>
        <w:pStyle w:val="Normal1"/>
        <w:spacing w:before="240"/>
        <w:jc w:val="center"/>
        <w:rPr>
          <w:rFonts w:ascii="Palatino Linotype" w:hAnsi="Palatino Linotype"/>
          <w:b/>
          <w:szCs w:val="22"/>
          <w:lang w:val="es-EC"/>
        </w:rPr>
      </w:pPr>
      <w:r>
        <w:rPr>
          <w:rFonts w:ascii="Palatino Linotype" w:hAnsi="Palatino Linotype"/>
          <w:b/>
          <w:szCs w:val="22"/>
          <w:lang w:val="es-EC"/>
        </w:rPr>
        <w:t>EXPOSICIÓN DE MOTIVOS</w:t>
      </w:r>
    </w:p>
    <w:p w:rsidR="00A435AE" w:rsidRPr="00A435AE" w:rsidRDefault="00A435AE" w:rsidP="00A435AE">
      <w:pPr>
        <w:pStyle w:val="Normal1"/>
        <w:spacing w:before="240"/>
        <w:jc w:val="both"/>
        <w:rPr>
          <w:rFonts w:ascii="Palatino Linotype" w:hAnsi="Palatino Linotype"/>
          <w:szCs w:val="22"/>
          <w:lang w:val="es-EC"/>
        </w:rPr>
      </w:pPr>
      <w:r w:rsidRPr="00A435AE">
        <w:rPr>
          <w:rFonts w:ascii="Palatino Linotype" w:hAnsi="Palatino Linotype"/>
          <w:szCs w:val="22"/>
          <w:lang w:val="es-EC"/>
        </w:rPr>
        <w:t xml:space="preserve">El Concejo Metropolitano de Quito expidió la Ordenanza </w:t>
      </w:r>
      <w:r w:rsidR="00B55471">
        <w:rPr>
          <w:rFonts w:ascii="Palatino Linotype" w:hAnsi="Palatino Linotype"/>
          <w:szCs w:val="22"/>
          <w:lang w:val="es-EC"/>
        </w:rPr>
        <w:t xml:space="preserve">Metropolitana </w:t>
      </w:r>
      <w:r w:rsidRPr="00A435AE">
        <w:rPr>
          <w:rFonts w:ascii="Palatino Linotype" w:hAnsi="Palatino Linotype"/>
          <w:szCs w:val="22"/>
          <w:lang w:val="es-EC"/>
        </w:rPr>
        <w:t>No. 221</w:t>
      </w:r>
      <w:r w:rsidR="00B55471">
        <w:rPr>
          <w:rFonts w:ascii="Palatino Linotype" w:hAnsi="Palatino Linotype"/>
          <w:szCs w:val="22"/>
          <w:lang w:val="es-EC"/>
        </w:rPr>
        <w:t>,</w:t>
      </w:r>
      <w:r w:rsidRPr="00A435AE">
        <w:rPr>
          <w:rFonts w:ascii="Palatino Linotype" w:hAnsi="Palatino Linotype"/>
          <w:szCs w:val="22"/>
          <w:lang w:val="es-EC"/>
        </w:rPr>
        <w:t xml:space="preserve"> Reformatoria del Título II del Libro Tercero del Código Municipal, referente a la creación del</w:t>
      </w:r>
      <w:r w:rsidR="009A6B26">
        <w:rPr>
          <w:rFonts w:ascii="Palatino Linotype" w:hAnsi="Palatino Linotype"/>
          <w:szCs w:val="22"/>
          <w:lang w:val="es-EC"/>
        </w:rPr>
        <w:t xml:space="preserve"> Sistema de Estacionamientos del Distrito Metropolitano de </w:t>
      </w:r>
      <w:r w:rsidRPr="00A435AE">
        <w:rPr>
          <w:rFonts w:ascii="Palatino Linotype" w:hAnsi="Palatino Linotype"/>
          <w:szCs w:val="22"/>
          <w:lang w:val="es-EC"/>
        </w:rPr>
        <w:t xml:space="preserve">Quito. El Sistema de Estacionamiento Rotativo Tarifado </w:t>
      </w:r>
      <w:r w:rsidR="009A6B26">
        <w:rPr>
          <w:rFonts w:ascii="Palatino Linotype" w:hAnsi="Palatino Linotype"/>
          <w:szCs w:val="22"/>
          <w:lang w:val="es-EC"/>
        </w:rPr>
        <w:t xml:space="preserve">Quito </w:t>
      </w:r>
      <w:r w:rsidRPr="00A435AE">
        <w:rPr>
          <w:rFonts w:ascii="Palatino Linotype" w:hAnsi="Palatino Linotype"/>
          <w:szCs w:val="22"/>
          <w:lang w:val="es-EC"/>
        </w:rPr>
        <w:t xml:space="preserve">“Zona Azul”, se encuentra distribuido en las áreas de mayor demanda de este servicio que propende </w:t>
      </w:r>
      <w:r w:rsidR="00D06FD1">
        <w:rPr>
          <w:rFonts w:ascii="Palatino Linotype" w:hAnsi="Palatino Linotype"/>
          <w:szCs w:val="22"/>
          <w:lang w:val="es-EC"/>
        </w:rPr>
        <w:t xml:space="preserve">a </w:t>
      </w:r>
      <w:r w:rsidRPr="00A435AE">
        <w:rPr>
          <w:rFonts w:ascii="Palatino Linotype" w:hAnsi="Palatino Linotype"/>
          <w:szCs w:val="22"/>
          <w:lang w:val="es-EC"/>
        </w:rPr>
        <w:t>una circulación vehicular más ágil al interior de la ciudad, así como facilidades de aparcamiento de vehículos.</w:t>
      </w:r>
    </w:p>
    <w:p w:rsidR="00A435AE" w:rsidRPr="00A435AE" w:rsidRDefault="00A435AE" w:rsidP="00A435AE">
      <w:pPr>
        <w:pStyle w:val="Normal1"/>
        <w:spacing w:before="240"/>
        <w:jc w:val="both"/>
        <w:rPr>
          <w:rFonts w:ascii="Palatino Linotype" w:hAnsi="Palatino Linotype"/>
          <w:szCs w:val="22"/>
          <w:lang w:val="es-EC"/>
        </w:rPr>
      </w:pPr>
      <w:r w:rsidRPr="00A435AE">
        <w:rPr>
          <w:rFonts w:ascii="Palatino Linotype" w:hAnsi="Palatino Linotype"/>
          <w:szCs w:val="22"/>
          <w:lang w:val="es-EC"/>
        </w:rPr>
        <w:t>En esta ordenanza se establecen sanciones pecuniarias para el uso inadecuado del espacio público denominado “Zona Azul” con el objetivo de disuadir a los ciudadanos de incurrir en conductas contrarias a la normativa metropolitana vigente. Sin embargo, las multas previstas en la ordenanza, así como la aplicación de un candado (previsto en la Reglamentación) que inmoviliza el automóvil hasta que se cancele la multa, han demostrado estar en conflicto con el principio de proporcionalidad</w:t>
      </w:r>
      <w:r w:rsidR="00F46942">
        <w:rPr>
          <w:rFonts w:ascii="Palatino Linotype" w:hAnsi="Palatino Linotype"/>
          <w:szCs w:val="22"/>
          <w:lang w:val="es-EC"/>
        </w:rPr>
        <w:t xml:space="preserve"> en la imposición de sanciones</w:t>
      </w:r>
      <w:r w:rsidRPr="00A435AE">
        <w:rPr>
          <w:rFonts w:ascii="Palatino Linotype" w:hAnsi="Palatino Linotype"/>
          <w:szCs w:val="22"/>
          <w:lang w:val="es-EC"/>
        </w:rPr>
        <w:t xml:space="preserve">, pues el numeral 6 del </w:t>
      </w:r>
      <w:r w:rsidR="008315DE">
        <w:rPr>
          <w:rFonts w:ascii="Palatino Linotype" w:hAnsi="Palatino Linotype"/>
          <w:szCs w:val="22"/>
          <w:lang w:val="es-EC"/>
        </w:rPr>
        <w:t>a</w:t>
      </w:r>
      <w:r w:rsidRPr="00A435AE">
        <w:rPr>
          <w:rFonts w:ascii="Palatino Linotype" w:hAnsi="Palatino Linotype"/>
          <w:szCs w:val="22"/>
          <w:lang w:val="es-EC"/>
        </w:rPr>
        <w:t>rt</w:t>
      </w:r>
      <w:r w:rsidR="008315DE">
        <w:rPr>
          <w:rFonts w:ascii="Palatino Linotype" w:hAnsi="Palatino Linotype"/>
          <w:szCs w:val="22"/>
          <w:lang w:val="es-EC"/>
        </w:rPr>
        <w:t>ículo</w:t>
      </w:r>
      <w:r w:rsidRPr="00A435AE">
        <w:rPr>
          <w:rFonts w:ascii="Palatino Linotype" w:hAnsi="Palatino Linotype"/>
          <w:szCs w:val="22"/>
          <w:lang w:val="es-EC"/>
        </w:rPr>
        <w:t xml:space="preserve"> 76 de la Constitución de la República del Ecuador dispone: </w:t>
      </w:r>
      <w:r w:rsidRPr="00A435AE">
        <w:rPr>
          <w:rFonts w:ascii="Palatino Linotype" w:hAnsi="Palatino Linotype"/>
          <w:i/>
          <w:szCs w:val="22"/>
          <w:lang w:val="es-EC"/>
        </w:rPr>
        <w:t>“La ley establecerá la debida proporcionalidad entre las infracciones y las sanciones penales, administrativas o de otra naturaleza.”</w:t>
      </w:r>
      <w:r w:rsidRPr="00A435AE">
        <w:rPr>
          <w:rFonts w:ascii="Palatino Linotype" w:hAnsi="Palatino Linotype"/>
          <w:szCs w:val="22"/>
          <w:lang w:val="es-EC"/>
        </w:rPr>
        <w:t xml:space="preserve"> En concordanc</w:t>
      </w:r>
      <w:r w:rsidR="008315DE">
        <w:rPr>
          <w:rFonts w:ascii="Palatino Linotype" w:hAnsi="Palatino Linotype"/>
          <w:szCs w:val="22"/>
          <w:lang w:val="es-EC"/>
        </w:rPr>
        <w:t>ia con dicha norma, el artículo</w:t>
      </w:r>
      <w:r w:rsidRPr="00A435AE">
        <w:rPr>
          <w:rFonts w:ascii="Palatino Linotype" w:hAnsi="Palatino Linotype"/>
          <w:szCs w:val="22"/>
          <w:lang w:val="es-EC"/>
        </w:rPr>
        <w:t xml:space="preserve"> 396 del Código Orgánico de Organización Territorial Autonomía y Descentralización (COOTAD), dice: “</w:t>
      </w:r>
      <w:r w:rsidRPr="00A435AE">
        <w:rPr>
          <w:rFonts w:ascii="Palatino Linotype" w:hAnsi="Palatino Linotype"/>
          <w:i/>
          <w:szCs w:val="22"/>
          <w:lang w:val="es-EC"/>
        </w:rPr>
        <w:t>En</w:t>
      </w:r>
      <w:r w:rsidRPr="00A435AE">
        <w:rPr>
          <w:rFonts w:ascii="Palatino Linotype" w:hAnsi="Palatino Linotype"/>
          <w:szCs w:val="22"/>
          <w:lang w:val="es-EC"/>
        </w:rPr>
        <w:t xml:space="preserve"> </w:t>
      </w:r>
      <w:r w:rsidRPr="00A435AE">
        <w:rPr>
          <w:rFonts w:ascii="Palatino Linotype" w:hAnsi="Palatino Linotype"/>
          <w:i/>
          <w:szCs w:val="22"/>
          <w:lang w:val="es-EC"/>
        </w:rPr>
        <w:t>la normativa del régimen sancionador, así como en la imposición de sanciones se deberá guardar la debida adecuación entre la gravedad del hecho constitutivo de la infracción y la sanción aplicada, considerándose especialmente los siguientes criterios para la graduación de la sanción a aplicar: a) La trascendencia social y el perjuicio causado por la infracción cometida; b) El grado de intencionalidad; c) La reiteración o reincidencia en la comisión de las infracciones; y, d) La cuantía del eventual beneficio obtenido…”</w:t>
      </w:r>
    </w:p>
    <w:p w:rsidR="00A435AE" w:rsidRPr="00A435AE" w:rsidRDefault="00A435AE" w:rsidP="00A435AE">
      <w:pPr>
        <w:pStyle w:val="Normal1"/>
        <w:spacing w:before="240"/>
        <w:jc w:val="both"/>
        <w:rPr>
          <w:rFonts w:ascii="Palatino Linotype" w:hAnsi="Palatino Linotype"/>
          <w:szCs w:val="22"/>
          <w:lang w:val="es-EC"/>
        </w:rPr>
      </w:pPr>
      <w:r w:rsidRPr="00A435AE">
        <w:rPr>
          <w:rFonts w:ascii="Palatino Linotype" w:hAnsi="Palatino Linotype"/>
          <w:szCs w:val="22"/>
          <w:lang w:val="es-EC"/>
        </w:rPr>
        <w:t>Una de las propuestas de</w:t>
      </w:r>
      <w:r w:rsidR="008B2D6C">
        <w:rPr>
          <w:rFonts w:ascii="Palatino Linotype" w:hAnsi="Palatino Linotype"/>
          <w:szCs w:val="22"/>
          <w:lang w:val="es-EC"/>
        </w:rPr>
        <w:t>l</w:t>
      </w:r>
      <w:r w:rsidRPr="00A435AE">
        <w:rPr>
          <w:rFonts w:ascii="Palatino Linotype" w:hAnsi="Palatino Linotype"/>
          <w:szCs w:val="22"/>
          <w:lang w:val="es-EC"/>
        </w:rPr>
        <w:t xml:space="preserve"> Alcald</w:t>
      </w:r>
      <w:r w:rsidR="008B2D6C">
        <w:rPr>
          <w:rFonts w:ascii="Palatino Linotype" w:hAnsi="Palatino Linotype"/>
          <w:szCs w:val="22"/>
          <w:lang w:val="es-EC"/>
        </w:rPr>
        <w:t>e</w:t>
      </w:r>
      <w:r w:rsidRPr="00A435AE">
        <w:rPr>
          <w:rFonts w:ascii="Palatino Linotype" w:hAnsi="Palatino Linotype"/>
          <w:szCs w:val="22"/>
          <w:lang w:val="es-EC"/>
        </w:rPr>
        <w:t xml:space="preserve"> Metropolitan</w:t>
      </w:r>
      <w:r w:rsidR="008B2D6C">
        <w:rPr>
          <w:rFonts w:ascii="Palatino Linotype" w:hAnsi="Palatino Linotype"/>
          <w:szCs w:val="22"/>
          <w:lang w:val="es-EC"/>
        </w:rPr>
        <w:t>o</w:t>
      </w:r>
      <w:r w:rsidRPr="00A435AE">
        <w:rPr>
          <w:rFonts w:ascii="Palatino Linotype" w:hAnsi="Palatino Linotype"/>
          <w:szCs w:val="22"/>
          <w:lang w:val="es-EC"/>
        </w:rPr>
        <w:t xml:space="preserve">, es la de modificar el régimen del Sistema de Estacionamiento Rotativo Tarifado de vehículos “Zona Azul”, de manera que las sanciones por su incumplimiento se ajusten a la normativa nacional, al principio de proporcionalidad y </w:t>
      </w:r>
      <w:r w:rsidR="00F46942">
        <w:rPr>
          <w:rFonts w:ascii="Palatino Linotype" w:hAnsi="Palatino Linotype"/>
          <w:szCs w:val="22"/>
          <w:lang w:val="es-EC"/>
        </w:rPr>
        <w:t xml:space="preserve">a </w:t>
      </w:r>
      <w:r w:rsidRPr="00A435AE">
        <w:rPr>
          <w:rFonts w:ascii="Palatino Linotype" w:hAnsi="Palatino Linotype"/>
          <w:szCs w:val="22"/>
          <w:lang w:val="es-EC"/>
        </w:rPr>
        <w:t>la realidad económica de los usuarios. Por otro lado, la aplicación de un candado que inmoviliza al vehículo, es inoportuna en virtud que la sanción económica se considera suficiente para el tipo de infracción.</w:t>
      </w:r>
    </w:p>
    <w:p w:rsidR="00A435AE" w:rsidRPr="00A435AE" w:rsidRDefault="00A435AE" w:rsidP="00A435AE">
      <w:pPr>
        <w:pStyle w:val="Normal1"/>
        <w:spacing w:before="240"/>
        <w:jc w:val="both"/>
        <w:rPr>
          <w:rFonts w:ascii="Palatino Linotype" w:hAnsi="Palatino Linotype"/>
          <w:szCs w:val="22"/>
          <w:lang w:val="es-EC"/>
        </w:rPr>
      </w:pPr>
      <w:r w:rsidRPr="00A435AE">
        <w:rPr>
          <w:rFonts w:ascii="Palatino Linotype" w:hAnsi="Palatino Linotype"/>
          <w:szCs w:val="22"/>
          <w:lang w:val="es-EC"/>
        </w:rPr>
        <w:lastRenderedPageBreak/>
        <w:t>Adicionalmente, es preciso que el Municipio del Distrito Metropolitano de Quito sea un facilitador de las actividades productivas y cotidianas de los ciudadanos y no una traba. Que se convierta en un ente de colaboración pero firme en el cumplimiento de la normativa metropolitana. Evitar que</w:t>
      </w:r>
      <w:r>
        <w:rPr>
          <w:rFonts w:ascii="Palatino Linotype" w:hAnsi="Palatino Linotype"/>
          <w:szCs w:val="22"/>
          <w:lang w:val="es-EC"/>
        </w:rPr>
        <w:t xml:space="preserve"> </w:t>
      </w:r>
      <w:r w:rsidRPr="00A435AE">
        <w:rPr>
          <w:rFonts w:ascii="Palatino Linotype" w:hAnsi="Palatino Linotype"/>
          <w:szCs w:val="22"/>
          <w:lang w:val="es-EC"/>
        </w:rPr>
        <w:t>los ciudadanos realicen trámites innecesarios, facilitando el cumplimiento de sus obligaciones legales previstas en la normativa vigente, en concordancia con el principio del “buen vivir” previsto constitucionalmente. Se debe considerar en forma adecuada el bien jurídico que se pretende proteger a través de un régimen tarifario justo y de racionalización de sanciones, de manera que observen el principio de proporcionalidad entre las contravenciones administrativas y las sanciones que deban ser establecidas, ajustados</w:t>
      </w:r>
      <w:r w:rsidR="008315DE">
        <w:rPr>
          <w:rFonts w:ascii="Palatino Linotype" w:hAnsi="Palatino Linotype"/>
          <w:szCs w:val="22"/>
          <w:lang w:val="es-EC"/>
        </w:rPr>
        <w:t xml:space="preserve"> al precepto del numeral 6 del a</w:t>
      </w:r>
      <w:r w:rsidRPr="00A435AE">
        <w:rPr>
          <w:rFonts w:ascii="Palatino Linotype" w:hAnsi="Palatino Linotype"/>
          <w:szCs w:val="22"/>
          <w:lang w:val="es-EC"/>
        </w:rPr>
        <w:t>r</w:t>
      </w:r>
      <w:r w:rsidR="008315DE">
        <w:rPr>
          <w:rFonts w:ascii="Palatino Linotype" w:hAnsi="Palatino Linotype"/>
          <w:szCs w:val="22"/>
          <w:lang w:val="es-EC"/>
        </w:rPr>
        <w:t>tículo</w:t>
      </w:r>
      <w:r w:rsidRPr="00A435AE">
        <w:rPr>
          <w:rFonts w:ascii="Palatino Linotype" w:hAnsi="Palatino Linotype"/>
          <w:szCs w:val="22"/>
          <w:lang w:val="es-EC"/>
        </w:rPr>
        <w:t xml:space="preserve"> 76 de las Constitución de la República</w:t>
      </w:r>
      <w:r w:rsidR="000844BA">
        <w:rPr>
          <w:rFonts w:ascii="Palatino Linotype" w:hAnsi="Palatino Linotype"/>
          <w:szCs w:val="22"/>
          <w:lang w:val="es-EC"/>
        </w:rPr>
        <w:t xml:space="preserve"> del Ecuador</w:t>
      </w:r>
      <w:r w:rsidRPr="00A435AE">
        <w:rPr>
          <w:rFonts w:ascii="Palatino Linotype" w:hAnsi="Palatino Linotype"/>
          <w:szCs w:val="22"/>
          <w:lang w:val="es-EC"/>
        </w:rPr>
        <w:t>. La aplicación de este principio constitucional no riñe con el objetivo de creación de una cultura ciudadana de respeto a la normativa y a la ciudad.</w:t>
      </w:r>
      <w:r w:rsidR="00E73EDC">
        <w:rPr>
          <w:rFonts w:ascii="Palatino Linotype" w:hAnsi="Palatino Linotype"/>
          <w:szCs w:val="22"/>
          <w:lang w:val="es-EC"/>
        </w:rPr>
        <w:t xml:space="preserve"> </w:t>
      </w:r>
      <w:r w:rsidRPr="00A435AE">
        <w:rPr>
          <w:rFonts w:ascii="Palatino Linotype" w:hAnsi="Palatino Linotype"/>
          <w:szCs w:val="22"/>
          <w:lang w:val="es-EC"/>
        </w:rPr>
        <w:t>Se debe propender a crear un entorno de respeto y cumplimiento de la normativa por parte de la ciudadanía, sobre la base de valores cívicos.</w:t>
      </w:r>
    </w:p>
    <w:p w:rsidR="00A435AE" w:rsidRPr="00A435AE" w:rsidRDefault="00A435AE" w:rsidP="00A435AE">
      <w:pPr>
        <w:pStyle w:val="Normal1"/>
        <w:spacing w:before="240"/>
        <w:jc w:val="both"/>
        <w:rPr>
          <w:rFonts w:ascii="Palatino Linotype" w:hAnsi="Palatino Linotype"/>
          <w:szCs w:val="22"/>
          <w:lang w:val="es-EC"/>
        </w:rPr>
      </w:pPr>
      <w:r w:rsidRPr="00A435AE">
        <w:rPr>
          <w:rFonts w:ascii="Palatino Linotype" w:hAnsi="Palatino Linotype"/>
          <w:szCs w:val="22"/>
          <w:lang w:val="es-EC"/>
        </w:rPr>
        <w:t>Por tales consideraciones, corresponde al Concejo Metropolitano</w:t>
      </w:r>
      <w:r w:rsidR="000844BA">
        <w:rPr>
          <w:rFonts w:ascii="Palatino Linotype" w:hAnsi="Palatino Linotype"/>
          <w:szCs w:val="22"/>
          <w:lang w:val="es-EC"/>
        </w:rPr>
        <w:t xml:space="preserve"> de Quito</w:t>
      </w:r>
      <w:r w:rsidRPr="00A435AE">
        <w:rPr>
          <w:rFonts w:ascii="Palatino Linotype" w:hAnsi="Palatino Linotype"/>
          <w:szCs w:val="22"/>
          <w:lang w:val="es-EC"/>
        </w:rPr>
        <w:t xml:space="preserve">, conocer y aprobar el proyecto de Ordenanza Reformatoria de la Ordenanza Metropolitana No. 221 de 13 de Agosto de 2007 antes citada, de conformidad con las </w:t>
      </w:r>
      <w:r w:rsidR="008315DE">
        <w:rPr>
          <w:rFonts w:ascii="Palatino Linotype" w:hAnsi="Palatino Linotype"/>
          <w:szCs w:val="22"/>
          <w:lang w:val="es-EC"/>
        </w:rPr>
        <w:t>facultades que le atribuyen el a</w:t>
      </w:r>
      <w:r w:rsidRPr="00A435AE">
        <w:rPr>
          <w:rFonts w:ascii="Palatino Linotype" w:hAnsi="Palatino Linotype"/>
          <w:szCs w:val="22"/>
          <w:lang w:val="es-EC"/>
        </w:rPr>
        <w:t>rt</w:t>
      </w:r>
      <w:r w:rsidR="008315DE">
        <w:rPr>
          <w:rFonts w:ascii="Palatino Linotype" w:hAnsi="Palatino Linotype"/>
          <w:szCs w:val="22"/>
          <w:lang w:val="es-EC"/>
        </w:rPr>
        <w:t>ículo</w:t>
      </w:r>
      <w:r w:rsidRPr="00A435AE">
        <w:rPr>
          <w:rFonts w:ascii="Palatino Linotype" w:hAnsi="Palatino Linotype"/>
          <w:szCs w:val="22"/>
          <w:lang w:val="es-EC"/>
        </w:rPr>
        <w:t xml:space="preserve"> 8, numeral 6 de la Ley Orgánica de Régimen para el </w:t>
      </w:r>
      <w:r w:rsidR="000844BA">
        <w:rPr>
          <w:rFonts w:ascii="Palatino Linotype" w:hAnsi="Palatino Linotype"/>
          <w:szCs w:val="22"/>
          <w:lang w:val="es-EC"/>
        </w:rPr>
        <w:t>Distrito Metropolitano de Quito;</w:t>
      </w:r>
      <w:r w:rsidRPr="00A435AE">
        <w:rPr>
          <w:rFonts w:ascii="Palatino Linotype" w:hAnsi="Palatino Linotype"/>
          <w:szCs w:val="22"/>
          <w:lang w:val="es-EC"/>
        </w:rPr>
        <w:t xml:space="preserve"> y</w:t>
      </w:r>
      <w:r w:rsidR="000844BA">
        <w:rPr>
          <w:rFonts w:ascii="Palatino Linotype" w:hAnsi="Palatino Linotype"/>
          <w:szCs w:val="22"/>
          <w:lang w:val="es-EC"/>
        </w:rPr>
        <w:t>, el</w:t>
      </w:r>
      <w:r w:rsidRPr="00A435AE">
        <w:rPr>
          <w:rFonts w:ascii="Palatino Linotype" w:hAnsi="Palatino Linotype"/>
          <w:szCs w:val="22"/>
          <w:lang w:val="es-EC"/>
        </w:rPr>
        <w:t xml:space="preserve"> </w:t>
      </w:r>
      <w:r w:rsidR="008315DE">
        <w:rPr>
          <w:rFonts w:ascii="Palatino Linotype" w:hAnsi="Palatino Linotype"/>
          <w:szCs w:val="22"/>
          <w:lang w:val="es-EC"/>
        </w:rPr>
        <w:t>a</w:t>
      </w:r>
      <w:r w:rsidRPr="00A435AE">
        <w:rPr>
          <w:rFonts w:ascii="Palatino Linotype" w:hAnsi="Palatino Linotype"/>
          <w:szCs w:val="22"/>
          <w:lang w:val="es-EC"/>
        </w:rPr>
        <w:t>rt</w:t>
      </w:r>
      <w:r w:rsidR="008315DE">
        <w:rPr>
          <w:rFonts w:ascii="Palatino Linotype" w:hAnsi="Palatino Linotype"/>
          <w:szCs w:val="22"/>
          <w:lang w:val="es-EC"/>
        </w:rPr>
        <w:t>ículo</w:t>
      </w:r>
      <w:r w:rsidRPr="00A435AE">
        <w:rPr>
          <w:rFonts w:ascii="Palatino Linotype" w:hAnsi="Palatino Linotype"/>
          <w:szCs w:val="22"/>
          <w:lang w:val="es-EC"/>
        </w:rPr>
        <w:t xml:space="preserve"> 322 del Código Orgánico de de Organización Territorial Autotomía y Descentralización.</w:t>
      </w:r>
    </w:p>
    <w:p w:rsidR="00A435AE" w:rsidRPr="00A435AE" w:rsidRDefault="00A435AE" w:rsidP="00A435AE">
      <w:pPr>
        <w:pStyle w:val="Normal1"/>
        <w:spacing w:before="240"/>
        <w:rPr>
          <w:rFonts w:ascii="Palatino Linotype" w:hAnsi="Palatino Linotype"/>
          <w:szCs w:val="22"/>
          <w:lang w:val="es-EC"/>
        </w:rPr>
      </w:pPr>
    </w:p>
    <w:p w:rsidR="00A365CC" w:rsidRPr="00A435AE" w:rsidRDefault="00A365CC" w:rsidP="00A435AE">
      <w:pPr>
        <w:pStyle w:val="Default"/>
        <w:spacing w:before="240" w:line="276" w:lineRule="auto"/>
        <w:jc w:val="both"/>
        <w:rPr>
          <w:bCs/>
          <w:sz w:val="22"/>
          <w:szCs w:val="22"/>
        </w:rPr>
      </w:pPr>
    </w:p>
    <w:p w:rsidR="002E6A64" w:rsidRDefault="002E6A64" w:rsidP="00A435AE">
      <w:pPr>
        <w:spacing w:before="240" w:after="0"/>
        <w:rPr>
          <w:rFonts w:ascii="Palatino Linotype" w:hAnsi="Palatino Linotype"/>
          <w:b/>
          <w:bCs/>
        </w:rPr>
        <w:sectPr w:rsidR="002E6A64" w:rsidSect="00B51461">
          <w:headerReference w:type="default" r:id="rId8"/>
          <w:footerReference w:type="default" r:id="rId9"/>
          <w:pgSz w:w="12240" w:h="15840"/>
          <w:pgMar w:top="1059" w:right="1701" w:bottom="1135" w:left="1701" w:header="993" w:footer="708" w:gutter="0"/>
          <w:cols w:space="708"/>
          <w:docGrid w:linePitch="360"/>
        </w:sectPr>
      </w:pPr>
    </w:p>
    <w:p w:rsidR="00407C77" w:rsidRDefault="00D71924" w:rsidP="00A435AE">
      <w:pPr>
        <w:pStyle w:val="Default"/>
        <w:spacing w:before="240" w:line="276" w:lineRule="auto"/>
        <w:jc w:val="center"/>
        <w:rPr>
          <w:b/>
          <w:bCs/>
          <w:sz w:val="22"/>
          <w:szCs w:val="22"/>
        </w:rPr>
      </w:pPr>
      <w:r w:rsidRPr="00A435AE">
        <w:rPr>
          <w:b/>
          <w:bCs/>
          <w:sz w:val="22"/>
          <w:szCs w:val="22"/>
        </w:rPr>
        <w:lastRenderedPageBreak/>
        <w:t>EL CONCEJO METROPOLITANO DE QUITO</w:t>
      </w:r>
    </w:p>
    <w:p w:rsidR="0057118C" w:rsidRPr="0057118C" w:rsidRDefault="0057118C" w:rsidP="0057118C">
      <w:pPr>
        <w:pStyle w:val="Default"/>
        <w:spacing w:before="240" w:line="276" w:lineRule="auto"/>
        <w:jc w:val="both"/>
        <w:rPr>
          <w:bCs/>
          <w:sz w:val="22"/>
          <w:szCs w:val="22"/>
        </w:rPr>
      </w:pPr>
      <w:r w:rsidRPr="0057118C">
        <w:rPr>
          <w:bCs/>
          <w:sz w:val="22"/>
          <w:szCs w:val="22"/>
        </w:rPr>
        <w:t xml:space="preserve">Visto el Informe No. IC-O-2014-001, de 27 de mayo de 2014, expedido por la Comisión Especial conformada para analizar y sistematizar </w:t>
      </w:r>
      <w:r w:rsidRPr="0057118C">
        <w:rPr>
          <w:sz w:val="22"/>
          <w:szCs w:val="22"/>
        </w:rPr>
        <w:t>las observaciones presentadas al proyecto de Ordenanza Metropolitana Reformatoria de la Ordenanza Metropolitana No. 221, de 13 de agosto de 2007, Reformatoria del Título II del Libro Tercero del Código Municipal, referente a la creación del Sistema de Estacionamientos del Municipio del Distrito Metropolitano de Quito.</w:t>
      </w:r>
    </w:p>
    <w:p w:rsidR="00D71924" w:rsidRPr="00A435AE" w:rsidRDefault="00D71924" w:rsidP="00A435AE">
      <w:pPr>
        <w:pStyle w:val="Default"/>
        <w:spacing w:before="240" w:line="276" w:lineRule="auto"/>
        <w:jc w:val="center"/>
        <w:rPr>
          <w:b/>
          <w:bCs/>
          <w:sz w:val="22"/>
          <w:szCs w:val="22"/>
        </w:rPr>
      </w:pPr>
      <w:r w:rsidRPr="00A435AE">
        <w:rPr>
          <w:b/>
          <w:bCs/>
          <w:sz w:val="22"/>
          <w:szCs w:val="22"/>
        </w:rPr>
        <w:t>CONSIDERANDO:</w:t>
      </w:r>
    </w:p>
    <w:p w:rsidR="0080757C" w:rsidRPr="00A435AE" w:rsidRDefault="0080757C" w:rsidP="00A435AE">
      <w:pPr>
        <w:pStyle w:val="Default"/>
        <w:spacing w:before="240" w:line="276" w:lineRule="auto"/>
        <w:ind w:left="705" w:hanging="705"/>
        <w:jc w:val="both"/>
        <w:rPr>
          <w:bCs/>
          <w:sz w:val="22"/>
          <w:szCs w:val="22"/>
        </w:rPr>
      </w:pPr>
      <w:r w:rsidRPr="00A435AE">
        <w:rPr>
          <w:b/>
          <w:bCs/>
          <w:sz w:val="22"/>
          <w:szCs w:val="22"/>
        </w:rPr>
        <w:t>Que,</w:t>
      </w:r>
      <w:r w:rsidRPr="00A435AE">
        <w:rPr>
          <w:b/>
          <w:bCs/>
          <w:sz w:val="22"/>
          <w:szCs w:val="22"/>
        </w:rPr>
        <w:tab/>
      </w:r>
      <w:r w:rsidRPr="00A435AE">
        <w:rPr>
          <w:bCs/>
          <w:sz w:val="22"/>
          <w:szCs w:val="22"/>
        </w:rPr>
        <w:t>el artículo 36 de la Constitución de la República del Ecuador (en adelante “Constitución”), expresa: “</w:t>
      </w:r>
      <w:r w:rsidRPr="00A435AE">
        <w:rPr>
          <w:bCs/>
          <w:i/>
          <w:sz w:val="22"/>
          <w:szCs w:val="22"/>
        </w:rPr>
        <w:t>Las personas adultas mayores recibirán atención prioritaria y especializada en los ámbitos públicos y privados, en especial en los campos de inclusión social y económica, y protección contra la violencia. Se consideran personas adultas mayores aquellas personas que hayan cumplido los sesenta y cinco años de edad.”</w:t>
      </w:r>
      <w:r w:rsidRPr="00A435AE">
        <w:rPr>
          <w:bCs/>
          <w:sz w:val="22"/>
          <w:szCs w:val="22"/>
        </w:rPr>
        <w:t>;</w:t>
      </w:r>
    </w:p>
    <w:p w:rsidR="00322EF4" w:rsidRPr="00A435AE" w:rsidRDefault="00322EF4" w:rsidP="00A435AE">
      <w:pPr>
        <w:pStyle w:val="Default"/>
        <w:spacing w:before="240" w:line="276" w:lineRule="auto"/>
        <w:ind w:left="705" w:hanging="705"/>
        <w:jc w:val="both"/>
        <w:rPr>
          <w:bCs/>
          <w:sz w:val="22"/>
          <w:szCs w:val="22"/>
        </w:rPr>
      </w:pPr>
      <w:r w:rsidRPr="00A435AE">
        <w:rPr>
          <w:b/>
          <w:bCs/>
          <w:sz w:val="22"/>
          <w:szCs w:val="22"/>
        </w:rPr>
        <w:t>Que,</w:t>
      </w:r>
      <w:r w:rsidRPr="00A435AE">
        <w:rPr>
          <w:b/>
          <w:bCs/>
          <w:sz w:val="22"/>
          <w:szCs w:val="22"/>
        </w:rPr>
        <w:tab/>
      </w:r>
      <w:r w:rsidRPr="00A435AE">
        <w:rPr>
          <w:bCs/>
          <w:sz w:val="22"/>
          <w:szCs w:val="22"/>
        </w:rPr>
        <w:t>el artículo 47 de la Constitución, señala: “</w:t>
      </w:r>
      <w:r w:rsidR="00A435AE">
        <w:rPr>
          <w:bCs/>
          <w:i/>
          <w:sz w:val="22"/>
          <w:szCs w:val="22"/>
        </w:rPr>
        <w:t>El Estado garantizará políticas de prevención de las discapacidades y, de manera conjunta con la sociedad y la familia, procurará la equiparación de oportunidades para las personas con discapacidad y su integración social</w:t>
      </w:r>
      <w:r w:rsidR="00D06FD1">
        <w:rPr>
          <w:bCs/>
          <w:i/>
          <w:sz w:val="22"/>
          <w:szCs w:val="22"/>
        </w:rPr>
        <w:t>…</w:t>
      </w:r>
      <w:r w:rsidR="00A435AE">
        <w:rPr>
          <w:bCs/>
          <w:i/>
          <w:sz w:val="22"/>
          <w:szCs w:val="22"/>
        </w:rPr>
        <w:t>”</w:t>
      </w:r>
      <w:r w:rsidR="00A435AE">
        <w:rPr>
          <w:bCs/>
          <w:sz w:val="22"/>
          <w:szCs w:val="22"/>
        </w:rPr>
        <w:t>;</w:t>
      </w:r>
    </w:p>
    <w:p w:rsidR="008C793E" w:rsidRPr="00A435AE" w:rsidRDefault="0080757C" w:rsidP="00A435AE">
      <w:pPr>
        <w:pStyle w:val="Default"/>
        <w:spacing w:before="240" w:line="276" w:lineRule="auto"/>
        <w:ind w:left="705" w:hanging="705"/>
        <w:jc w:val="both"/>
        <w:rPr>
          <w:sz w:val="22"/>
          <w:szCs w:val="22"/>
        </w:rPr>
      </w:pPr>
      <w:r w:rsidRPr="00A435AE">
        <w:rPr>
          <w:b/>
          <w:sz w:val="22"/>
          <w:szCs w:val="22"/>
        </w:rPr>
        <w:t>Que,</w:t>
      </w:r>
      <w:r w:rsidRPr="00A435AE">
        <w:rPr>
          <w:sz w:val="22"/>
          <w:szCs w:val="22"/>
        </w:rPr>
        <w:t xml:space="preserve"> </w:t>
      </w:r>
      <w:r w:rsidRPr="00A435AE">
        <w:rPr>
          <w:sz w:val="22"/>
          <w:szCs w:val="22"/>
        </w:rPr>
        <w:tab/>
        <w:t xml:space="preserve">el numeral 6 del artículo 76 de la Constitución, establece que en todo proceso en el que se determinen derechos y obligaciones de cualquier orden, se asegurará el derecho al debido proceso que incluirá dentro sus garantías básicas, </w:t>
      </w:r>
      <w:r w:rsidRPr="00A435AE">
        <w:rPr>
          <w:i/>
          <w:iCs/>
          <w:sz w:val="22"/>
          <w:szCs w:val="22"/>
        </w:rPr>
        <w:t>“la debida proporcionalidad entre las infracciones y las sanciones penales, administrativas o de otra naturaleza”</w:t>
      </w:r>
      <w:r w:rsidR="00A435AE">
        <w:rPr>
          <w:sz w:val="22"/>
          <w:szCs w:val="22"/>
        </w:rPr>
        <w:t>;</w:t>
      </w:r>
    </w:p>
    <w:p w:rsidR="006C6DCC" w:rsidRPr="00A435AE" w:rsidRDefault="00D71924" w:rsidP="00A435AE">
      <w:pPr>
        <w:pStyle w:val="Default"/>
        <w:spacing w:before="240" w:line="276" w:lineRule="auto"/>
        <w:ind w:left="705" w:hanging="705"/>
        <w:jc w:val="both"/>
        <w:rPr>
          <w:b/>
          <w:bCs/>
          <w:sz w:val="22"/>
          <w:szCs w:val="22"/>
        </w:rPr>
      </w:pPr>
      <w:r w:rsidRPr="00A435AE">
        <w:rPr>
          <w:b/>
          <w:bCs/>
          <w:sz w:val="22"/>
          <w:szCs w:val="22"/>
        </w:rPr>
        <w:t xml:space="preserve">Que, </w:t>
      </w:r>
      <w:r w:rsidR="00821A92" w:rsidRPr="00A435AE">
        <w:rPr>
          <w:b/>
          <w:bCs/>
          <w:sz w:val="22"/>
          <w:szCs w:val="22"/>
        </w:rPr>
        <w:tab/>
      </w:r>
      <w:r w:rsidR="006C6DCC" w:rsidRPr="00A435AE">
        <w:rPr>
          <w:bCs/>
          <w:sz w:val="22"/>
          <w:szCs w:val="22"/>
        </w:rPr>
        <w:t>los numerales 1, 2, 3 y 6</w:t>
      </w:r>
      <w:r w:rsidR="006C6DCC" w:rsidRPr="00A435AE">
        <w:rPr>
          <w:b/>
          <w:bCs/>
          <w:sz w:val="22"/>
          <w:szCs w:val="22"/>
        </w:rPr>
        <w:t xml:space="preserve"> </w:t>
      </w:r>
      <w:r w:rsidR="006C6DCC" w:rsidRPr="00A435AE">
        <w:rPr>
          <w:bCs/>
          <w:sz w:val="22"/>
          <w:szCs w:val="22"/>
        </w:rPr>
        <w:t>del  artículo 264 de la Constitución, en relación las competencias exclusivas de los gobiernos municipales</w:t>
      </w:r>
      <w:r w:rsidR="0057118C">
        <w:rPr>
          <w:bCs/>
          <w:sz w:val="22"/>
          <w:szCs w:val="22"/>
        </w:rPr>
        <w:t>,</w:t>
      </w:r>
      <w:r w:rsidR="006C6DCC" w:rsidRPr="00A435AE">
        <w:rPr>
          <w:bCs/>
          <w:sz w:val="22"/>
          <w:szCs w:val="22"/>
        </w:rPr>
        <w:t xml:space="preserve"> </w:t>
      </w:r>
      <w:r w:rsidR="00A22CC4" w:rsidRPr="00A435AE">
        <w:rPr>
          <w:bCs/>
          <w:sz w:val="22"/>
          <w:szCs w:val="22"/>
        </w:rPr>
        <w:t>prescriben</w:t>
      </w:r>
      <w:r w:rsidR="006C6DCC" w:rsidRPr="00A435AE">
        <w:rPr>
          <w:bCs/>
          <w:sz w:val="22"/>
          <w:szCs w:val="22"/>
        </w:rPr>
        <w:t>: “</w:t>
      </w:r>
      <w:r w:rsidR="006C6DCC" w:rsidRPr="00A435AE">
        <w:rPr>
          <w:i/>
          <w:sz w:val="22"/>
          <w:szCs w:val="22"/>
        </w:rPr>
        <w:t xml:space="preserve">1. Planificar el desarrollo cantonal y formular los correspondientes planes de ordenamiento territorial, de manera articulada con la planificación nacional, regional, provincial y parroquial, con el fin de regular el uso y la ocupación del suelo urbano y rural. 2. Ejercer el control sobre el uso y ocupación del suelo en el cantón. 3. Planificar, construir y mantener la vialidad urbana. </w:t>
      </w:r>
      <w:r w:rsidR="006C6DCC" w:rsidRPr="00A435AE">
        <w:rPr>
          <w:i/>
          <w:sz w:val="22"/>
          <w:szCs w:val="22"/>
        </w:rPr>
        <w:lastRenderedPageBreak/>
        <w:t>(…) 6. Planificar, regular y controlar el tránsito y el transporte público dentro de su territorio cantonal. (…)”</w:t>
      </w:r>
      <w:r w:rsidR="000F0249" w:rsidRPr="00A435AE">
        <w:rPr>
          <w:sz w:val="22"/>
          <w:szCs w:val="22"/>
        </w:rPr>
        <w:t>;</w:t>
      </w:r>
    </w:p>
    <w:p w:rsidR="008C793E" w:rsidRPr="00A435AE" w:rsidRDefault="006C6DCC" w:rsidP="00A435AE">
      <w:pPr>
        <w:tabs>
          <w:tab w:val="left" w:pos="567"/>
        </w:tabs>
        <w:spacing w:before="240" w:after="0"/>
        <w:ind w:left="705" w:hanging="705"/>
        <w:jc w:val="both"/>
        <w:rPr>
          <w:rFonts w:ascii="Palatino Linotype" w:eastAsia="Times New Roman" w:hAnsi="Palatino Linotype" w:cs="Times New Roman"/>
          <w:i/>
          <w:color w:val="000000"/>
        </w:rPr>
      </w:pPr>
      <w:r w:rsidRPr="00A435AE">
        <w:rPr>
          <w:rFonts w:ascii="Palatino Linotype" w:hAnsi="Palatino Linotype"/>
          <w:b/>
          <w:bCs/>
        </w:rPr>
        <w:t xml:space="preserve">Que, </w:t>
      </w:r>
      <w:r w:rsidR="00821A92" w:rsidRPr="00A435AE">
        <w:rPr>
          <w:rFonts w:ascii="Palatino Linotype" w:hAnsi="Palatino Linotype"/>
          <w:b/>
          <w:bCs/>
        </w:rPr>
        <w:tab/>
      </w:r>
      <w:r w:rsidR="0057118C">
        <w:rPr>
          <w:rFonts w:ascii="Palatino Linotype" w:hAnsi="Palatino Linotype"/>
          <w:b/>
          <w:bCs/>
        </w:rPr>
        <w:tab/>
      </w:r>
      <w:r w:rsidRPr="00A435AE">
        <w:rPr>
          <w:rFonts w:ascii="Palatino Linotype" w:hAnsi="Palatino Linotype"/>
          <w:bCs/>
        </w:rPr>
        <w:t>el artículo 266 de la Constitución</w:t>
      </w:r>
      <w:r w:rsidR="0080757C" w:rsidRPr="00A435AE">
        <w:rPr>
          <w:rFonts w:ascii="Palatino Linotype" w:hAnsi="Palatino Linotype"/>
          <w:bCs/>
        </w:rPr>
        <w:t>,</w:t>
      </w:r>
      <w:r w:rsidRPr="00A435AE">
        <w:rPr>
          <w:rFonts w:ascii="Palatino Linotype" w:hAnsi="Palatino Linotype"/>
          <w:bCs/>
        </w:rPr>
        <w:t xml:space="preserve"> señala: “</w:t>
      </w:r>
      <w:r w:rsidRPr="00A435AE">
        <w:rPr>
          <w:rFonts w:ascii="Palatino Linotype" w:eastAsia="Times New Roman" w:hAnsi="Palatino Linotype" w:cs="Times New Roman"/>
          <w:i/>
          <w:color w:val="000000"/>
        </w:rPr>
        <w:t>Los gobiernos de los distritos metropolitanos autónomos ejercerán las competencias que corresponden a los gobiernos cantonales y todas las que sean aplicables de los gobiernos provinciales y regionales, sin perjuicio de las adicionales que determine la ley que regule el sistema nacional de competencias. En el ámbito de sus competencias y territorio, y en uso de sus facultades, expedirán ordenanzas distritales.”</w:t>
      </w:r>
      <w:r w:rsidR="000F0249" w:rsidRPr="00A435AE">
        <w:rPr>
          <w:rFonts w:ascii="Palatino Linotype" w:eastAsia="Times New Roman" w:hAnsi="Palatino Linotype" w:cs="Times New Roman"/>
          <w:color w:val="000000"/>
        </w:rPr>
        <w:t>;</w:t>
      </w:r>
    </w:p>
    <w:p w:rsidR="00D71924" w:rsidRDefault="00D71924" w:rsidP="002E6A64">
      <w:pPr>
        <w:pStyle w:val="Default"/>
        <w:spacing w:before="240" w:line="276" w:lineRule="auto"/>
        <w:ind w:left="705" w:hanging="660"/>
        <w:jc w:val="both"/>
        <w:rPr>
          <w:i/>
          <w:iCs/>
          <w:sz w:val="22"/>
          <w:szCs w:val="22"/>
        </w:rPr>
      </w:pPr>
      <w:r w:rsidRPr="00A435AE">
        <w:rPr>
          <w:b/>
          <w:bCs/>
          <w:sz w:val="22"/>
          <w:szCs w:val="22"/>
        </w:rPr>
        <w:t xml:space="preserve">Que, </w:t>
      </w:r>
      <w:r w:rsidR="00821A92" w:rsidRPr="00A435AE">
        <w:rPr>
          <w:b/>
          <w:bCs/>
          <w:sz w:val="22"/>
          <w:szCs w:val="22"/>
        </w:rPr>
        <w:tab/>
      </w:r>
      <w:r w:rsidRPr="00A435AE">
        <w:rPr>
          <w:sz w:val="22"/>
          <w:szCs w:val="22"/>
        </w:rPr>
        <w:t xml:space="preserve">el artículo 396 del Código Orgánico de Organización Territorial, Autonomía y Descentralización </w:t>
      </w:r>
      <w:r w:rsidR="00A22CC4" w:rsidRPr="00A435AE">
        <w:rPr>
          <w:sz w:val="22"/>
          <w:szCs w:val="22"/>
        </w:rPr>
        <w:t>prevé</w:t>
      </w:r>
      <w:r w:rsidRPr="00A435AE">
        <w:rPr>
          <w:sz w:val="22"/>
          <w:szCs w:val="22"/>
        </w:rPr>
        <w:t xml:space="preserve"> que </w:t>
      </w:r>
      <w:r w:rsidRPr="00A435AE">
        <w:rPr>
          <w:i/>
          <w:iCs/>
          <w:sz w:val="22"/>
          <w:szCs w:val="22"/>
        </w:rPr>
        <w:t xml:space="preserve">“en la normativa del régimen sancionador, así como en la imposición de sanciones se deberá guardar la debida adecuación entre la gravedad del hecho constitutivo de la infracción y la sanción aplicada, considerándose especialmente los siguientes criterios para la gradación de la sanción a aplicar: a) La trascendencia social y el perjuicio causado por la infracción cometida; b) El grado de intencionalidad; c) La reiteración o reincidencia en la comisión de las infracciones; y, d) La cuantía del eventual beneficio obtenido”; </w:t>
      </w:r>
    </w:p>
    <w:p w:rsidR="00B10D44" w:rsidRDefault="00B10D44" w:rsidP="00A435AE">
      <w:pPr>
        <w:pStyle w:val="Default"/>
        <w:spacing w:before="240" w:line="276" w:lineRule="auto"/>
        <w:ind w:left="705" w:hanging="705"/>
        <w:jc w:val="both"/>
        <w:rPr>
          <w:bCs/>
          <w:sz w:val="22"/>
          <w:szCs w:val="22"/>
        </w:rPr>
      </w:pPr>
      <w:r>
        <w:rPr>
          <w:b/>
          <w:bCs/>
          <w:sz w:val="22"/>
          <w:szCs w:val="22"/>
        </w:rPr>
        <w:t>Que,</w:t>
      </w:r>
      <w:r>
        <w:rPr>
          <w:b/>
          <w:bCs/>
          <w:sz w:val="22"/>
          <w:szCs w:val="22"/>
        </w:rPr>
        <w:tab/>
      </w:r>
      <w:r>
        <w:rPr>
          <w:bCs/>
          <w:sz w:val="22"/>
          <w:szCs w:val="22"/>
        </w:rPr>
        <w:t>la Ley del Anciano, en sus artículos 14 y 15, se refiere las exoneraciones a favor de los adultos mayores;</w:t>
      </w:r>
    </w:p>
    <w:p w:rsidR="00B10D44" w:rsidRDefault="00B10D44" w:rsidP="00A435AE">
      <w:pPr>
        <w:pStyle w:val="Default"/>
        <w:spacing w:before="240" w:line="276" w:lineRule="auto"/>
        <w:ind w:left="705" w:hanging="705"/>
        <w:jc w:val="both"/>
        <w:rPr>
          <w:bCs/>
          <w:sz w:val="22"/>
          <w:szCs w:val="22"/>
        </w:rPr>
      </w:pPr>
      <w:r>
        <w:rPr>
          <w:b/>
          <w:bCs/>
          <w:sz w:val="22"/>
          <w:szCs w:val="22"/>
        </w:rPr>
        <w:t>Que,</w:t>
      </w:r>
      <w:r>
        <w:rPr>
          <w:b/>
          <w:bCs/>
          <w:sz w:val="22"/>
          <w:szCs w:val="22"/>
        </w:rPr>
        <w:tab/>
      </w:r>
      <w:r>
        <w:rPr>
          <w:bCs/>
          <w:sz w:val="22"/>
          <w:szCs w:val="22"/>
        </w:rPr>
        <w:t xml:space="preserve">el artículo 58 de la Ley </w:t>
      </w:r>
      <w:r w:rsidR="002A53F6">
        <w:rPr>
          <w:bCs/>
          <w:sz w:val="22"/>
          <w:szCs w:val="22"/>
        </w:rPr>
        <w:t xml:space="preserve">Orgánica </w:t>
      </w:r>
      <w:r>
        <w:rPr>
          <w:bCs/>
          <w:sz w:val="22"/>
          <w:szCs w:val="22"/>
        </w:rPr>
        <w:t>de Discapacidades, dispone la asignación de espacios especiales de estacionamientos para personas discapacitadas;</w:t>
      </w:r>
    </w:p>
    <w:p w:rsidR="006C6DCC" w:rsidRPr="00A435AE" w:rsidRDefault="006C6DCC" w:rsidP="00A435AE">
      <w:pPr>
        <w:pStyle w:val="Default"/>
        <w:spacing w:before="240" w:line="276" w:lineRule="auto"/>
        <w:ind w:left="705" w:hanging="705"/>
        <w:jc w:val="both"/>
        <w:rPr>
          <w:sz w:val="22"/>
          <w:szCs w:val="22"/>
        </w:rPr>
      </w:pPr>
      <w:r w:rsidRPr="00A435AE">
        <w:rPr>
          <w:b/>
          <w:bCs/>
          <w:sz w:val="22"/>
          <w:szCs w:val="22"/>
        </w:rPr>
        <w:t>Que,</w:t>
      </w:r>
      <w:r w:rsidR="00A435AE" w:rsidRPr="00A435AE">
        <w:rPr>
          <w:bCs/>
          <w:sz w:val="22"/>
          <w:szCs w:val="22"/>
        </w:rPr>
        <w:tab/>
      </w:r>
      <w:r w:rsidR="00A435AE" w:rsidRPr="00A435AE">
        <w:rPr>
          <w:bCs/>
          <w:sz w:val="22"/>
          <w:szCs w:val="22"/>
        </w:rPr>
        <w:tab/>
      </w:r>
      <w:r w:rsidRPr="00A435AE">
        <w:rPr>
          <w:bCs/>
          <w:sz w:val="22"/>
          <w:szCs w:val="22"/>
        </w:rPr>
        <w:t>la Ordenanza Metropolitana No. 221, sancionada el 13</w:t>
      </w:r>
      <w:r w:rsidR="00A435AE" w:rsidRPr="00A435AE">
        <w:rPr>
          <w:bCs/>
          <w:sz w:val="22"/>
          <w:szCs w:val="22"/>
        </w:rPr>
        <w:t xml:space="preserve"> de agosto de 2007, </w:t>
      </w:r>
      <w:r w:rsidR="00821A92" w:rsidRPr="00A435AE">
        <w:rPr>
          <w:bCs/>
          <w:sz w:val="22"/>
          <w:szCs w:val="22"/>
        </w:rPr>
        <w:t>reformó</w:t>
      </w:r>
      <w:r w:rsidRPr="00A435AE">
        <w:rPr>
          <w:bCs/>
          <w:sz w:val="22"/>
          <w:szCs w:val="22"/>
        </w:rPr>
        <w:t xml:space="preserve"> el Título II del Libro Tercero del Código Municipal, referente a la creación del Sistema de Estacionamientos del Municipio del </w:t>
      </w:r>
      <w:r w:rsidR="000F0249" w:rsidRPr="00A435AE">
        <w:rPr>
          <w:bCs/>
          <w:sz w:val="22"/>
          <w:szCs w:val="22"/>
        </w:rPr>
        <w:t>Distrito Metropolitano de Quito</w:t>
      </w:r>
      <w:r w:rsidR="002937B9" w:rsidRPr="00A435AE">
        <w:rPr>
          <w:bCs/>
          <w:sz w:val="22"/>
          <w:szCs w:val="22"/>
        </w:rPr>
        <w:t>, estableciendo sanciones por el improcedente uso de espacio</w:t>
      </w:r>
      <w:r w:rsidR="00A435AE">
        <w:rPr>
          <w:bCs/>
          <w:sz w:val="22"/>
          <w:szCs w:val="22"/>
        </w:rPr>
        <w:t xml:space="preserve"> público denominado “Zona Azul”;</w:t>
      </w:r>
      <w:r w:rsidR="000F0249" w:rsidRPr="00A435AE">
        <w:rPr>
          <w:bCs/>
          <w:sz w:val="22"/>
          <w:szCs w:val="22"/>
        </w:rPr>
        <w:t xml:space="preserve"> </w:t>
      </w:r>
    </w:p>
    <w:p w:rsidR="00D71924" w:rsidRPr="00A435AE" w:rsidRDefault="00D71924" w:rsidP="00A435AE">
      <w:pPr>
        <w:pStyle w:val="Default"/>
        <w:spacing w:before="240" w:line="276" w:lineRule="auto"/>
        <w:ind w:left="705" w:hanging="705"/>
        <w:jc w:val="both"/>
        <w:rPr>
          <w:sz w:val="22"/>
          <w:szCs w:val="22"/>
        </w:rPr>
      </w:pPr>
      <w:r w:rsidRPr="00A435AE">
        <w:rPr>
          <w:b/>
          <w:bCs/>
          <w:sz w:val="22"/>
          <w:szCs w:val="22"/>
        </w:rPr>
        <w:t xml:space="preserve">Que, </w:t>
      </w:r>
      <w:r w:rsidR="00A435AE" w:rsidRPr="00A435AE">
        <w:rPr>
          <w:b/>
          <w:bCs/>
          <w:sz w:val="22"/>
          <w:szCs w:val="22"/>
        </w:rPr>
        <w:tab/>
      </w:r>
      <w:r w:rsidRPr="00A435AE">
        <w:rPr>
          <w:sz w:val="22"/>
          <w:szCs w:val="22"/>
        </w:rPr>
        <w:t xml:space="preserve">la proporcionalidad entre las contravenciones y las </w:t>
      </w:r>
      <w:r w:rsidR="00515100" w:rsidRPr="00A435AE">
        <w:rPr>
          <w:sz w:val="22"/>
          <w:szCs w:val="22"/>
        </w:rPr>
        <w:t>sanciones</w:t>
      </w:r>
      <w:r w:rsidRPr="00A435AE">
        <w:rPr>
          <w:sz w:val="22"/>
          <w:szCs w:val="22"/>
        </w:rPr>
        <w:t xml:space="preserve"> debe ser establecida por el legislador considerando la importancia del bien jurídico que se pretende proteger; </w:t>
      </w:r>
      <w:r w:rsidR="00A435AE">
        <w:rPr>
          <w:sz w:val="22"/>
          <w:szCs w:val="22"/>
        </w:rPr>
        <w:t>y,</w:t>
      </w:r>
    </w:p>
    <w:p w:rsidR="00D71924" w:rsidRPr="00A435AE" w:rsidRDefault="00D71924" w:rsidP="00A435AE">
      <w:pPr>
        <w:pStyle w:val="Default"/>
        <w:spacing w:before="240" w:line="276" w:lineRule="auto"/>
        <w:ind w:left="705" w:hanging="705"/>
        <w:jc w:val="both"/>
        <w:rPr>
          <w:sz w:val="22"/>
          <w:szCs w:val="22"/>
        </w:rPr>
      </w:pPr>
      <w:r w:rsidRPr="00A435AE">
        <w:rPr>
          <w:b/>
          <w:bCs/>
          <w:sz w:val="22"/>
          <w:szCs w:val="22"/>
        </w:rPr>
        <w:lastRenderedPageBreak/>
        <w:t>Que,</w:t>
      </w:r>
      <w:r w:rsidR="00821A92" w:rsidRPr="00A435AE">
        <w:rPr>
          <w:b/>
          <w:bCs/>
          <w:sz w:val="22"/>
          <w:szCs w:val="22"/>
        </w:rPr>
        <w:tab/>
      </w:r>
      <w:r w:rsidR="00A435AE" w:rsidRPr="00A435AE">
        <w:rPr>
          <w:b/>
          <w:bCs/>
          <w:sz w:val="22"/>
          <w:szCs w:val="22"/>
        </w:rPr>
        <w:tab/>
      </w:r>
      <w:r w:rsidRPr="00A435AE">
        <w:rPr>
          <w:sz w:val="22"/>
          <w:szCs w:val="22"/>
        </w:rPr>
        <w:t>el Municipio del Distrito Metropolitano de Quito debe facilitar el cumplimiento de las obligaciones de los ciudadanos con la Municipalidad, así</w:t>
      </w:r>
      <w:r w:rsidR="00764376" w:rsidRPr="00A435AE">
        <w:rPr>
          <w:sz w:val="22"/>
          <w:szCs w:val="22"/>
        </w:rPr>
        <w:t xml:space="preserve"> como los pagos por servicios </w:t>
      </w:r>
      <w:r w:rsidR="00A435AE">
        <w:rPr>
          <w:sz w:val="22"/>
          <w:szCs w:val="22"/>
        </w:rPr>
        <w:t>o por concepto de multas.</w:t>
      </w:r>
    </w:p>
    <w:p w:rsidR="00D71924" w:rsidRPr="00A435AE" w:rsidRDefault="00D71924" w:rsidP="00A435AE">
      <w:pPr>
        <w:pStyle w:val="Default"/>
        <w:spacing w:before="240" w:line="276" w:lineRule="auto"/>
        <w:jc w:val="both"/>
        <w:rPr>
          <w:b/>
          <w:bCs/>
          <w:sz w:val="22"/>
          <w:szCs w:val="22"/>
        </w:rPr>
      </w:pPr>
      <w:r w:rsidRPr="00A435AE">
        <w:rPr>
          <w:b/>
          <w:bCs/>
          <w:sz w:val="22"/>
          <w:szCs w:val="22"/>
        </w:rPr>
        <w:t xml:space="preserve">En ejercicio de sus atribuciones legales, contenidas en el </w:t>
      </w:r>
      <w:r w:rsidR="001E25F4" w:rsidRPr="00A435AE">
        <w:rPr>
          <w:b/>
          <w:bCs/>
          <w:sz w:val="22"/>
          <w:szCs w:val="22"/>
        </w:rPr>
        <w:t>artículo 8</w:t>
      </w:r>
      <w:r w:rsidR="0094785B">
        <w:rPr>
          <w:b/>
          <w:bCs/>
          <w:sz w:val="22"/>
          <w:szCs w:val="22"/>
        </w:rPr>
        <w:t xml:space="preserve">, numeral </w:t>
      </w:r>
      <w:r w:rsidR="00CE27A1">
        <w:rPr>
          <w:b/>
          <w:bCs/>
          <w:sz w:val="22"/>
          <w:szCs w:val="22"/>
        </w:rPr>
        <w:t>4</w:t>
      </w:r>
      <w:r w:rsidR="001E25F4" w:rsidRPr="00A435AE">
        <w:rPr>
          <w:b/>
          <w:bCs/>
          <w:sz w:val="22"/>
          <w:szCs w:val="22"/>
        </w:rPr>
        <w:t xml:space="preserve"> de la Ley </w:t>
      </w:r>
      <w:r w:rsidR="00CE27A1">
        <w:rPr>
          <w:b/>
          <w:bCs/>
          <w:sz w:val="22"/>
          <w:szCs w:val="22"/>
        </w:rPr>
        <w:t xml:space="preserve"> </w:t>
      </w:r>
      <w:r w:rsidR="001E25F4" w:rsidRPr="00A435AE">
        <w:rPr>
          <w:b/>
          <w:bCs/>
          <w:sz w:val="22"/>
          <w:szCs w:val="22"/>
        </w:rPr>
        <w:t>de Régimen del Distrito Metropolitano de Quito</w:t>
      </w:r>
      <w:r w:rsidR="0094785B">
        <w:rPr>
          <w:b/>
          <w:bCs/>
          <w:sz w:val="22"/>
          <w:szCs w:val="22"/>
        </w:rPr>
        <w:t>;</w:t>
      </w:r>
      <w:r w:rsidR="001E25F4" w:rsidRPr="00A435AE">
        <w:rPr>
          <w:b/>
          <w:bCs/>
          <w:sz w:val="22"/>
          <w:szCs w:val="22"/>
        </w:rPr>
        <w:t xml:space="preserve"> y</w:t>
      </w:r>
      <w:r w:rsidR="0094785B">
        <w:rPr>
          <w:b/>
          <w:bCs/>
          <w:sz w:val="22"/>
          <w:szCs w:val="22"/>
        </w:rPr>
        <w:t>,</w:t>
      </w:r>
      <w:r w:rsidR="001E25F4" w:rsidRPr="00A435AE">
        <w:rPr>
          <w:b/>
          <w:bCs/>
          <w:sz w:val="22"/>
          <w:szCs w:val="22"/>
        </w:rPr>
        <w:t xml:space="preserve"> </w:t>
      </w:r>
      <w:r w:rsidRPr="00A435AE">
        <w:rPr>
          <w:b/>
          <w:bCs/>
          <w:sz w:val="22"/>
          <w:szCs w:val="22"/>
        </w:rPr>
        <w:t>artículo</w:t>
      </w:r>
      <w:r w:rsidR="001E25F4" w:rsidRPr="00A435AE">
        <w:rPr>
          <w:b/>
          <w:bCs/>
          <w:sz w:val="22"/>
          <w:szCs w:val="22"/>
        </w:rPr>
        <w:t>s</w:t>
      </w:r>
      <w:r w:rsidRPr="00A435AE">
        <w:rPr>
          <w:b/>
          <w:bCs/>
          <w:sz w:val="22"/>
          <w:szCs w:val="22"/>
        </w:rPr>
        <w:t xml:space="preserve"> 57</w:t>
      </w:r>
      <w:r w:rsidR="009A6B26">
        <w:rPr>
          <w:b/>
          <w:bCs/>
          <w:sz w:val="22"/>
          <w:szCs w:val="22"/>
        </w:rPr>
        <w:t>,</w:t>
      </w:r>
      <w:r w:rsidR="0094785B">
        <w:rPr>
          <w:b/>
          <w:bCs/>
          <w:sz w:val="22"/>
          <w:szCs w:val="22"/>
        </w:rPr>
        <w:t xml:space="preserve"> literal a) y </w:t>
      </w:r>
      <w:r w:rsidR="009A6B26">
        <w:rPr>
          <w:b/>
          <w:bCs/>
          <w:sz w:val="22"/>
          <w:szCs w:val="22"/>
        </w:rPr>
        <w:t>87</w:t>
      </w:r>
      <w:r w:rsidR="00100DCA">
        <w:rPr>
          <w:b/>
          <w:bCs/>
          <w:sz w:val="22"/>
          <w:szCs w:val="22"/>
        </w:rPr>
        <w:t>,</w:t>
      </w:r>
      <w:r w:rsidRPr="00A435AE">
        <w:rPr>
          <w:b/>
          <w:bCs/>
          <w:sz w:val="22"/>
          <w:szCs w:val="22"/>
        </w:rPr>
        <w:t xml:space="preserve"> literal a) del Código Orgánico de Organización Territorial, Autonomía y Descentralización</w:t>
      </w:r>
      <w:r w:rsidR="001E25F4" w:rsidRPr="00A435AE">
        <w:rPr>
          <w:b/>
          <w:bCs/>
          <w:sz w:val="22"/>
          <w:szCs w:val="22"/>
        </w:rPr>
        <w:t>,</w:t>
      </w:r>
    </w:p>
    <w:p w:rsidR="00D71924" w:rsidRPr="00A435AE" w:rsidRDefault="00D71924" w:rsidP="00A435AE">
      <w:pPr>
        <w:pStyle w:val="Default"/>
        <w:spacing w:before="240" w:line="276" w:lineRule="auto"/>
        <w:jc w:val="center"/>
        <w:rPr>
          <w:b/>
          <w:bCs/>
          <w:sz w:val="22"/>
          <w:szCs w:val="22"/>
        </w:rPr>
      </w:pPr>
      <w:r w:rsidRPr="00A435AE">
        <w:rPr>
          <w:b/>
          <w:bCs/>
          <w:sz w:val="22"/>
          <w:szCs w:val="22"/>
        </w:rPr>
        <w:t>EXPIDE</w:t>
      </w:r>
      <w:r w:rsidR="000A1808" w:rsidRPr="00A435AE">
        <w:rPr>
          <w:b/>
          <w:bCs/>
          <w:sz w:val="22"/>
          <w:szCs w:val="22"/>
        </w:rPr>
        <w:t xml:space="preserve"> la siguiente</w:t>
      </w:r>
      <w:r w:rsidRPr="00A435AE">
        <w:rPr>
          <w:b/>
          <w:bCs/>
          <w:sz w:val="22"/>
          <w:szCs w:val="22"/>
        </w:rPr>
        <w:t>:</w:t>
      </w:r>
    </w:p>
    <w:p w:rsidR="00D71924" w:rsidRPr="00A435AE" w:rsidRDefault="00D71924" w:rsidP="00A435AE">
      <w:pPr>
        <w:pStyle w:val="Default"/>
        <w:spacing w:before="240" w:line="276" w:lineRule="auto"/>
        <w:jc w:val="center"/>
        <w:rPr>
          <w:sz w:val="22"/>
          <w:szCs w:val="22"/>
        </w:rPr>
      </w:pPr>
      <w:r w:rsidRPr="00A435AE">
        <w:rPr>
          <w:b/>
          <w:bCs/>
          <w:sz w:val="22"/>
          <w:szCs w:val="22"/>
        </w:rPr>
        <w:t xml:space="preserve">ORDENANZA </w:t>
      </w:r>
      <w:r w:rsidR="00FB25C8">
        <w:rPr>
          <w:b/>
          <w:bCs/>
          <w:sz w:val="22"/>
          <w:szCs w:val="22"/>
        </w:rPr>
        <w:t xml:space="preserve">METROPOLITANA </w:t>
      </w:r>
      <w:r w:rsidRPr="00A435AE">
        <w:rPr>
          <w:b/>
          <w:bCs/>
          <w:sz w:val="22"/>
          <w:szCs w:val="22"/>
        </w:rPr>
        <w:t xml:space="preserve">REFORMATORIA DE LA ORDENANZA METROPOLITANA </w:t>
      </w:r>
      <w:r w:rsidR="00407C77" w:rsidRPr="00A435AE">
        <w:rPr>
          <w:b/>
          <w:bCs/>
          <w:sz w:val="22"/>
          <w:szCs w:val="22"/>
        </w:rPr>
        <w:t xml:space="preserve">No. </w:t>
      </w:r>
      <w:r w:rsidRPr="00A435AE">
        <w:rPr>
          <w:b/>
          <w:bCs/>
          <w:sz w:val="22"/>
          <w:szCs w:val="22"/>
        </w:rPr>
        <w:t>221</w:t>
      </w:r>
      <w:r w:rsidR="00413C87">
        <w:rPr>
          <w:b/>
          <w:bCs/>
          <w:sz w:val="22"/>
          <w:szCs w:val="22"/>
        </w:rPr>
        <w:t>,</w:t>
      </w:r>
      <w:r w:rsidRPr="00A435AE">
        <w:rPr>
          <w:b/>
          <w:bCs/>
          <w:sz w:val="22"/>
          <w:szCs w:val="22"/>
        </w:rPr>
        <w:t xml:space="preserve"> DE 13 DE AGOSTO DE 2007, </w:t>
      </w:r>
      <w:r w:rsidR="00407C77" w:rsidRPr="00A435AE">
        <w:rPr>
          <w:b/>
          <w:bCs/>
          <w:sz w:val="22"/>
          <w:szCs w:val="22"/>
        </w:rPr>
        <w:t>REFORMATORIA DEL TÍTULO II DEL LIBRO TERCERO DEL CÓDIGO MUNICIPAL, REFERENTE A LA CREACIÓN DEL SISTEMA DE ESTACIONAMIENTOS DEL MUNICIPIO DEL DISTR</w:t>
      </w:r>
      <w:r w:rsidR="009A6B26">
        <w:rPr>
          <w:b/>
          <w:bCs/>
          <w:sz w:val="22"/>
          <w:szCs w:val="22"/>
        </w:rPr>
        <w:t>I</w:t>
      </w:r>
      <w:r w:rsidR="00407C77" w:rsidRPr="00A435AE">
        <w:rPr>
          <w:b/>
          <w:bCs/>
          <w:sz w:val="22"/>
          <w:szCs w:val="22"/>
        </w:rPr>
        <w:t>TO METROPOLITANO DE QUITO</w:t>
      </w:r>
    </w:p>
    <w:p w:rsidR="00407C77" w:rsidRPr="00A435AE" w:rsidRDefault="00D71924" w:rsidP="00A435AE">
      <w:pPr>
        <w:spacing w:before="240" w:after="0"/>
        <w:jc w:val="both"/>
        <w:rPr>
          <w:rFonts w:ascii="Palatino Linotype" w:hAnsi="Palatino Linotype"/>
        </w:rPr>
      </w:pPr>
      <w:r w:rsidRPr="00A435AE">
        <w:rPr>
          <w:rFonts w:ascii="Palatino Linotype" w:hAnsi="Palatino Linotype"/>
          <w:b/>
          <w:bCs/>
        </w:rPr>
        <w:t xml:space="preserve">Artículo 1.- </w:t>
      </w:r>
      <w:r w:rsidR="00E73EDC">
        <w:rPr>
          <w:rFonts w:ascii="Palatino Linotype" w:hAnsi="Palatino Linotype"/>
        </w:rPr>
        <w:t>Agrég</w:t>
      </w:r>
      <w:r w:rsidR="009C09FF">
        <w:rPr>
          <w:rFonts w:ascii="Palatino Linotype" w:hAnsi="Palatino Linotype"/>
        </w:rPr>
        <w:t>ue</w:t>
      </w:r>
      <w:r w:rsidR="00EF3E51" w:rsidRPr="00A435AE">
        <w:rPr>
          <w:rFonts w:ascii="Palatino Linotype" w:hAnsi="Palatino Linotype"/>
        </w:rPr>
        <w:t xml:space="preserve">se un </w:t>
      </w:r>
      <w:r w:rsidRPr="00A435AE">
        <w:rPr>
          <w:rFonts w:ascii="Palatino Linotype" w:hAnsi="Palatino Linotype"/>
        </w:rPr>
        <w:t xml:space="preserve">artículo innumerado </w:t>
      </w:r>
      <w:r w:rsidR="00EF3E51" w:rsidRPr="00A435AE">
        <w:rPr>
          <w:rFonts w:ascii="Palatino Linotype" w:hAnsi="Palatino Linotype"/>
        </w:rPr>
        <w:t xml:space="preserve">antes del primer artículo innumerado </w:t>
      </w:r>
      <w:r w:rsidRPr="00A435AE">
        <w:rPr>
          <w:rFonts w:ascii="Palatino Linotype" w:hAnsi="Palatino Linotype"/>
        </w:rPr>
        <w:t xml:space="preserve">de la Sección V de la Ordenanza Metropolitana </w:t>
      </w:r>
      <w:r w:rsidR="00407C77" w:rsidRPr="00A435AE">
        <w:rPr>
          <w:rFonts w:ascii="Palatino Linotype" w:hAnsi="Palatino Linotype"/>
        </w:rPr>
        <w:t xml:space="preserve">No. </w:t>
      </w:r>
      <w:r w:rsidRPr="00A435AE">
        <w:rPr>
          <w:rFonts w:ascii="Palatino Linotype" w:hAnsi="Palatino Linotype"/>
        </w:rPr>
        <w:t>221</w:t>
      </w:r>
      <w:r w:rsidR="00D06FD1">
        <w:rPr>
          <w:rFonts w:ascii="Palatino Linotype" w:hAnsi="Palatino Linotype"/>
        </w:rPr>
        <w:t>,</w:t>
      </w:r>
      <w:r w:rsidRPr="00A435AE">
        <w:rPr>
          <w:rFonts w:ascii="Palatino Linotype" w:hAnsi="Palatino Linotype"/>
        </w:rPr>
        <w:t xml:space="preserve"> de 13 de agosto de 2007, por el siguiente: </w:t>
      </w:r>
    </w:p>
    <w:p w:rsidR="00407C77" w:rsidRPr="00A435AE" w:rsidRDefault="00407C77" w:rsidP="00A435AE">
      <w:pPr>
        <w:spacing w:before="240" w:after="0"/>
        <w:ind w:left="708"/>
        <w:jc w:val="both"/>
        <w:rPr>
          <w:rFonts w:ascii="Palatino Linotype" w:hAnsi="Palatino Linotype"/>
          <w:i/>
          <w:iCs/>
        </w:rPr>
      </w:pPr>
      <w:r w:rsidRPr="00A435AE">
        <w:rPr>
          <w:rFonts w:ascii="Palatino Linotype" w:hAnsi="Palatino Linotype"/>
          <w:i/>
          <w:iCs/>
        </w:rPr>
        <w:t>“Art. … .- Las  personas podrán</w:t>
      </w:r>
      <w:r w:rsidR="00D71924" w:rsidRPr="00A435AE">
        <w:rPr>
          <w:rFonts w:ascii="Palatino Linotype" w:hAnsi="Palatino Linotype"/>
          <w:i/>
          <w:iCs/>
        </w:rPr>
        <w:t xml:space="preserve"> hacer uso del</w:t>
      </w:r>
      <w:bookmarkStart w:id="0" w:name="_GoBack"/>
      <w:bookmarkEnd w:id="0"/>
      <w:r w:rsidR="00D71924" w:rsidRPr="00A435AE">
        <w:rPr>
          <w:rFonts w:ascii="Palatino Linotype" w:hAnsi="Palatino Linotype"/>
          <w:i/>
          <w:iCs/>
        </w:rPr>
        <w:t xml:space="preserve"> “Sistema de Estacionamientos</w:t>
      </w:r>
      <w:r w:rsidR="009A6B26">
        <w:rPr>
          <w:rFonts w:ascii="Palatino Linotype" w:hAnsi="Palatino Linotype"/>
          <w:i/>
          <w:iCs/>
        </w:rPr>
        <w:t xml:space="preserve"> del Distrito Metropolitano</w:t>
      </w:r>
      <w:r w:rsidR="00D71924" w:rsidRPr="00A435AE">
        <w:rPr>
          <w:rFonts w:ascii="Palatino Linotype" w:hAnsi="Palatino Linotype"/>
          <w:i/>
          <w:iCs/>
        </w:rPr>
        <w:t xml:space="preserve"> de Quito”, para lo cual deberá</w:t>
      </w:r>
      <w:r w:rsidRPr="00A435AE">
        <w:rPr>
          <w:rFonts w:ascii="Palatino Linotype" w:hAnsi="Palatino Linotype"/>
          <w:i/>
          <w:iCs/>
        </w:rPr>
        <w:t>n</w:t>
      </w:r>
      <w:r w:rsidR="00D71924" w:rsidRPr="00A435AE">
        <w:rPr>
          <w:rFonts w:ascii="Palatino Linotype" w:hAnsi="Palatino Linotype"/>
          <w:i/>
          <w:iCs/>
        </w:rPr>
        <w:t xml:space="preserve"> pagar la tarifa respectiva conforme lo determine el Reglamento</w:t>
      </w:r>
      <w:r w:rsidR="003A4293">
        <w:rPr>
          <w:rFonts w:ascii="Palatino Linotype" w:hAnsi="Palatino Linotype"/>
          <w:i/>
          <w:iCs/>
        </w:rPr>
        <w:t>.</w:t>
      </w:r>
      <w:r w:rsidR="00322EF4" w:rsidRPr="00A435AE">
        <w:rPr>
          <w:rFonts w:ascii="Palatino Linotype" w:hAnsi="Palatino Linotype"/>
          <w:i/>
          <w:iCs/>
        </w:rPr>
        <w:t xml:space="preserve"> </w:t>
      </w:r>
      <w:r w:rsidR="003A4293">
        <w:rPr>
          <w:rFonts w:ascii="Palatino Linotype" w:hAnsi="Palatino Linotype"/>
          <w:i/>
          <w:iCs/>
        </w:rPr>
        <w:t>E</w:t>
      </w:r>
      <w:r w:rsidR="00427515" w:rsidRPr="00A435AE">
        <w:rPr>
          <w:rFonts w:ascii="Palatino Linotype" w:hAnsi="Palatino Linotype"/>
          <w:i/>
          <w:iCs/>
        </w:rPr>
        <w:t xml:space="preserve">starán exentas del pago de esta tarifa las </w:t>
      </w:r>
      <w:r w:rsidR="00322EF4" w:rsidRPr="00A435AE">
        <w:rPr>
          <w:rFonts w:ascii="Palatino Linotype" w:hAnsi="Palatino Linotype"/>
          <w:i/>
          <w:iCs/>
        </w:rPr>
        <w:t>personas con discapacidad y adultas mayores</w:t>
      </w:r>
      <w:r w:rsidR="00D71924" w:rsidRPr="00A435AE">
        <w:rPr>
          <w:rFonts w:ascii="Palatino Linotype" w:hAnsi="Palatino Linotype"/>
          <w:i/>
          <w:iCs/>
        </w:rPr>
        <w:t xml:space="preserve">. </w:t>
      </w:r>
    </w:p>
    <w:p w:rsidR="00D71924" w:rsidRPr="00A435AE" w:rsidRDefault="009F28B3" w:rsidP="00A435AE">
      <w:pPr>
        <w:spacing w:before="240" w:after="0"/>
        <w:ind w:left="708"/>
        <w:jc w:val="both"/>
        <w:rPr>
          <w:rFonts w:ascii="Palatino Linotype" w:hAnsi="Palatino Linotype"/>
          <w:i/>
          <w:iCs/>
        </w:rPr>
      </w:pPr>
      <w:r w:rsidRPr="00A435AE">
        <w:rPr>
          <w:rFonts w:ascii="Palatino Linotype" w:hAnsi="Palatino Linotype"/>
          <w:i/>
          <w:iCs/>
        </w:rPr>
        <w:t>En caso de que el usuario</w:t>
      </w:r>
      <w:r w:rsidR="00D71924" w:rsidRPr="00A435AE">
        <w:rPr>
          <w:rFonts w:ascii="Palatino Linotype" w:hAnsi="Palatino Linotype"/>
          <w:i/>
          <w:iCs/>
        </w:rPr>
        <w:t xml:space="preserve"> de la </w:t>
      </w:r>
      <w:r w:rsidR="009A6B26">
        <w:rPr>
          <w:rFonts w:ascii="Palatino Linotype" w:hAnsi="Palatino Linotype"/>
          <w:i/>
          <w:iCs/>
        </w:rPr>
        <w:t>“Z</w:t>
      </w:r>
      <w:r w:rsidR="00D71924" w:rsidRPr="00A435AE">
        <w:rPr>
          <w:rFonts w:ascii="Palatino Linotype" w:hAnsi="Palatino Linotype"/>
          <w:i/>
          <w:iCs/>
        </w:rPr>
        <w:t xml:space="preserve">ona </w:t>
      </w:r>
      <w:r w:rsidR="009A6B26">
        <w:rPr>
          <w:rFonts w:ascii="Palatino Linotype" w:hAnsi="Palatino Linotype"/>
          <w:i/>
          <w:iCs/>
        </w:rPr>
        <w:t>A</w:t>
      </w:r>
      <w:r w:rsidR="00D71924" w:rsidRPr="00A435AE">
        <w:rPr>
          <w:rFonts w:ascii="Palatino Linotype" w:hAnsi="Palatino Linotype"/>
          <w:i/>
          <w:iCs/>
        </w:rPr>
        <w:t>zul</w:t>
      </w:r>
      <w:r w:rsidR="009A6B26">
        <w:rPr>
          <w:rFonts w:ascii="Palatino Linotype" w:hAnsi="Palatino Linotype"/>
          <w:i/>
          <w:iCs/>
        </w:rPr>
        <w:t>”</w:t>
      </w:r>
      <w:r w:rsidR="00D71924" w:rsidRPr="00A435AE">
        <w:rPr>
          <w:rFonts w:ascii="Palatino Linotype" w:hAnsi="Palatino Linotype"/>
          <w:i/>
          <w:iCs/>
        </w:rPr>
        <w:t xml:space="preserve"> excediere </w:t>
      </w:r>
      <w:r w:rsidR="000A1808" w:rsidRPr="00A435AE">
        <w:rPr>
          <w:rFonts w:ascii="Palatino Linotype" w:hAnsi="Palatino Linotype"/>
          <w:i/>
          <w:iCs/>
        </w:rPr>
        <w:t>d</w:t>
      </w:r>
      <w:r w:rsidR="00D71924" w:rsidRPr="00A435AE">
        <w:rPr>
          <w:rFonts w:ascii="Palatino Linotype" w:hAnsi="Palatino Linotype"/>
          <w:i/>
          <w:iCs/>
        </w:rPr>
        <w:t xml:space="preserve">el tiempo de uso </w:t>
      </w:r>
      <w:r w:rsidR="003A4293">
        <w:rPr>
          <w:rFonts w:ascii="Palatino Linotype" w:hAnsi="Palatino Linotype"/>
          <w:i/>
          <w:iCs/>
        </w:rPr>
        <w:t xml:space="preserve">permitido </w:t>
      </w:r>
      <w:r w:rsidR="00D71924" w:rsidRPr="00A435AE">
        <w:rPr>
          <w:rFonts w:ascii="Palatino Linotype" w:hAnsi="Palatino Linotype"/>
          <w:i/>
          <w:iCs/>
        </w:rPr>
        <w:t>previsto en el Reglamento, con un límite de tolerancia de 10 minutos, se aplicará un</w:t>
      </w:r>
      <w:r w:rsidR="00FF4392" w:rsidRPr="00A435AE">
        <w:rPr>
          <w:rFonts w:ascii="Palatino Linotype" w:hAnsi="Palatino Linotype"/>
          <w:i/>
          <w:iCs/>
        </w:rPr>
        <w:t>a</w:t>
      </w:r>
      <w:r w:rsidR="00D71924" w:rsidRPr="00A435AE">
        <w:rPr>
          <w:rFonts w:ascii="Palatino Linotype" w:hAnsi="Palatino Linotype"/>
          <w:i/>
          <w:iCs/>
        </w:rPr>
        <w:t xml:space="preserve"> </w:t>
      </w:r>
      <w:r w:rsidR="00B962ED" w:rsidRPr="00A435AE">
        <w:rPr>
          <w:rFonts w:ascii="Palatino Linotype" w:hAnsi="Palatino Linotype"/>
          <w:i/>
          <w:iCs/>
        </w:rPr>
        <w:t>sanción administrativa</w:t>
      </w:r>
      <w:r w:rsidR="00D71924" w:rsidRPr="00A435AE">
        <w:rPr>
          <w:rFonts w:ascii="Palatino Linotype" w:hAnsi="Palatino Linotype"/>
          <w:i/>
          <w:iCs/>
        </w:rPr>
        <w:t xml:space="preserve"> equivalente al 5% de</w:t>
      </w:r>
      <w:r w:rsidR="009A6B26">
        <w:rPr>
          <w:rFonts w:ascii="Palatino Linotype" w:hAnsi="Palatino Linotype"/>
          <w:i/>
          <w:iCs/>
        </w:rPr>
        <w:t xml:space="preserve"> </w:t>
      </w:r>
      <w:r w:rsidR="000A5E90">
        <w:rPr>
          <w:rFonts w:ascii="Palatino Linotype" w:hAnsi="Palatino Linotype"/>
          <w:i/>
          <w:iCs/>
        </w:rPr>
        <w:t>un</w:t>
      </w:r>
      <w:r w:rsidR="000A5E90" w:rsidRPr="00A435AE">
        <w:rPr>
          <w:rFonts w:ascii="Palatino Linotype" w:hAnsi="Palatino Linotype"/>
          <w:i/>
          <w:iCs/>
        </w:rPr>
        <w:t xml:space="preserve"> </w:t>
      </w:r>
      <w:r w:rsidR="000A5E90">
        <w:rPr>
          <w:rFonts w:ascii="Palatino Linotype" w:hAnsi="Palatino Linotype"/>
          <w:i/>
          <w:iCs/>
        </w:rPr>
        <w:t xml:space="preserve">salario básico </w:t>
      </w:r>
      <w:r w:rsidR="009A6B26">
        <w:rPr>
          <w:rFonts w:ascii="Palatino Linotype" w:hAnsi="Palatino Linotype"/>
          <w:i/>
          <w:iCs/>
        </w:rPr>
        <w:t>unificad</w:t>
      </w:r>
      <w:r w:rsidR="0057118C">
        <w:rPr>
          <w:rFonts w:ascii="Palatino Linotype" w:hAnsi="Palatino Linotype"/>
          <w:i/>
          <w:iCs/>
        </w:rPr>
        <w:t>o</w:t>
      </w:r>
      <w:r w:rsidR="000A5E90">
        <w:rPr>
          <w:rFonts w:ascii="Palatino Linotype" w:hAnsi="Palatino Linotype"/>
          <w:i/>
          <w:iCs/>
        </w:rPr>
        <w:t xml:space="preserve">, </w:t>
      </w:r>
      <w:r w:rsidR="00427515" w:rsidRPr="00A435AE">
        <w:rPr>
          <w:rFonts w:ascii="Palatino Linotype" w:hAnsi="Palatino Linotype"/>
          <w:i/>
          <w:iCs/>
        </w:rPr>
        <w:t>si el pago se efectuare dentro de los 30 días siguientes en los establecimientos autorizados para el efecto. Si el usuario no efectuare el pago dentro del plazo antes previsto, la sanción administrativa será  equivalente al 8% de</w:t>
      </w:r>
      <w:r w:rsidR="009A6B26">
        <w:rPr>
          <w:rFonts w:ascii="Palatino Linotype" w:hAnsi="Palatino Linotype"/>
          <w:i/>
          <w:iCs/>
        </w:rPr>
        <w:t xml:space="preserve"> </w:t>
      </w:r>
      <w:r w:rsidR="000A5E90">
        <w:rPr>
          <w:rFonts w:ascii="Palatino Linotype" w:hAnsi="Palatino Linotype"/>
          <w:i/>
          <w:iCs/>
        </w:rPr>
        <w:t>un salario básico unificado</w:t>
      </w:r>
      <w:r w:rsidR="009A6B26">
        <w:rPr>
          <w:rFonts w:ascii="Palatino Linotype" w:hAnsi="Palatino Linotype"/>
          <w:i/>
          <w:iCs/>
        </w:rPr>
        <w:t>, que será cobrada junto con la matrícula anual.</w:t>
      </w:r>
      <w:r w:rsidR="00D71924" w:rsidRPr="00A435AE">
        <w:rPr>
          <w:rFonts w:ascii="Palatino Linotype" w:hAnsi="Palatino Linotype"/>
          <w:i/>
          <w:iCs/>
        </w:rPr>
        <w:t>”</w:t>
      </w:r>
    </w:p>
    <w:p w:rsidR="00427515" w:rsidRPr="00A435AE" w:rsidRDefault="00D71924" w:rsidP="00A435AE">
      <w:pPr>
        <w:pStyle w:val="Default"/>
        <w:spacing w:before="240" w:line="276" w:lineRule="auto"/>
        <w:jc w:val="both"/>
        <w:rPr>
          <w:bCs/>
          <w:sz w:val="22"/>
          <w:szCs w:val="22"/>
        </w:rPr>
      </w:pPr>
      <w:r w:rsidRPr="00A435AE">
        <w:rPr>
          <w:b/>
          <w:bCs/>
          <w:sz w:val="22"/>
          <w:szCs w:val="22"/>
        </w:rPr>
        <w:t xml:space="preserve">Artículo </w:t>
      </w:r>
      <w:r w:rsidR="00EF3E51" w:rsidRPr="00A435AE">
        <w:rPr>
          <w:b/>
          <w:bCs/>
          <w:sz w:val="22"/>
          <w:szCs w:val="22"/>
        </w:rPr>
        <w:t>2</w:t>
      </w:r>
      <w:r w:rsidRPr="00A435AE">
        <w:rPr>
          <w:b/>
          <w:bCs/>
          <w:sz w:val="22"/>
          <w:szCs w:val="22"/>
        </w:rPr>
        <w:t xml:space="preserve">.- </w:t>
      </w:r>
      <w:r w:rsidR="00427515" w:rsidRPr="00A435AE">
        <w:rPr>
          <w:bCs/>
          <w:sz w:val="22"/>
          <w:szCs w:val="22"/>
        </w:rPr>
        <w:t>En el</w:t>
      </w:r>
      <w:r w:rsidR="00054C12">
        <w:rPr>
          <w:bCs/>
          <w:sz w:val="22"/>
          <w:szCs w:val="22"/>
        </w:rPr>
        <w:t xml:space="preserve"> </w:t>
      </w:r>
      <w:r w:rsidR="00427515" w:rsidRPr="00A435AE">
        <w:rPr>
          <w:bCs/>
          <w:sz w:val="22"/>
          <w:szCs w:val="22"/>
        </w:rPr>
        <w:t xml:space="preserve">artículo innumerado primero de la Sección V de la Ordenanza Metropolitana No. 221, </w:t>
      </w:r>
      <w:proofErr w:type="spellStart"/>
      <w:r w:rsidR="00427515" w:rsidRPr="00A435AE">
        <w:rPr>
          <w:bCs/>
          <w:sz w:val="22"/>
          <w:szCs w:val="22"/>
        </w:rPr>
        <w:t>elimínase</w:t>
      </w:r>
      <w:proofErr w:type="spellEnd"/>
      <w:r w:rsidR="00427515" w:rsidRPr="00A435AE">
        <w:rPr>
          <w:bCs/>
          <w:sz w:val="22"/>
          <w:szCs w:val="22"/>
        </w:rPr>
        <w:t xml:space="preserve"> los literales b) y c)</w:t>
      </w:r>
      <w:r w:rsidR="00A435AE" w:rsidRPr="00A435AE">
        <w:rPr>
          <w:bCs/>
          <w:sz w:val="22"/>
          <w:szCs w:val="22"/>
        </w:rPr>
        <w:t>.</w:t>
      </w:r>
    </w:p>
    <w:p w:rsidR="00EF3E51" w:rsidRPr="00A435AE" w:rsidRDefault="00EF3E51" w:rsidP="00A435AE">
      <w:pPr>
        <w:spacing w:before="240" w:after="0"/>
        <w:jc w:val="both"/>
        <w:rPr>
          <w:rFonts w:ascii="Palatino Linotype" w:hAnsi="Palatino Linotype"/>
        </w:rPr>
      </w:pPr>
      <w:r w:rsidRPr="00A435AE">
        <w:rPr>
          <w:rFonts w:ascii="Palatino Linotype" w:hAnsi="Palatino Linotype"/>
          <w:b/>
          <w:bCs/>
        </w:rPr>
        <w:lastRenderedPageBreak/>
        <w:t xml:space="preserve">Artículo 3.- </w:t>
      </w:r>
      <w:r w:rsidR="00E73EDC">
        <w:rPr>
          <w:rFonts w:ascii="Palatino Linotype" w:hAnsi="Palatino Linotype"/>
        </w:rPr>
        <w:t>Agrég</w:t>
      </w:r>
      <w:r w:rsidR="009C09FF">
        <w:rPr>
          <w:rFonts w:ascii="Palatino Linotype" w:hAnsi="Palatino Linotype"/>
        </w:rPr>
        <w:t>ue</w:t>
      </w:r>
      <w:r w:rsidRPr="00A435AE">
        <w:rPr>
          <w:rFonts w:ascii="Palatino Linotype" w:hAnsi="Palatino Linotype"/>
        </w:rPr>
        <w:t xml:space="preserve">se a continuación del último artículo innumerado de la Sección V de </w:t>
      </w:r>
      <w:r w:rsidR="00D06FD1">
        <w:rPr>
          <w:rFonts w:ascii="Palatino Linotype" w:hAnsi="Palatino Linotype"/>
        </w:rPr>
        <w:t xml:space="preserve">la Ordenanza Metropolitana No. </w:t>
      </w:r>
      <w:r w:rsidRPr="00A435AE">
        <w:rPr>
          <w:rFonts w:ascii="Palatino Linotype" w:hAnsi="Palatino Linotype"/>
        </w:rPr>
        <w:t xml:space="preserve">221, el siguiente artículo: </w:t>
      </w:r>
    </w:p>
    <w:p w:rsidR="00EF3E51" w:rsidRPr="00A435AE" w:rsidRDefault="00EF3E51" w:rsidP="00A435AE">
      <w:pPr>
        <w:pStyle w:val="Default"/>
        <w:spacing w:before="240" w:line="276" w:lineRule="auto"/>
        <w:ind w:left="708"/>
        <w:jc w:val="both"/>
        <w:rPr>
          <w:i/>
          <w:iCs/>
          <w:sz w:val="22"/>
          <w:szCs w:val="22"/>
        </w:rPr>
      </w:pPr>
      <w:r w:rsidRPr="00A435AE">
        <w:rPr>
          <w:i/>
          <w:iCs/>
          <w:sz w:val="22"/>
          <w:szCs w:val="22"/>
        </w:rPr>
        <w:t xml:space="preserve">“Art. … .- En caso de exceso en el tiempo de uso </w:t>
      </w:r>
      <w:r w:rsidR="003A4293">
        <w:rPr>
          <w:i/>
          <w:iCs/>
          <w:sz w:val="22"/>
          <w:szCs w:val="22"/>
        </w:rPr>
        <w:t xml:space="preserve">permitido </w:t>
      </w:r>
      <w:r w:rsidRPr="00A435AE">
        <w:rPr>
          <w:i/>
          <w:iCs/>
          <w:sz w:val="22"/>
          <w:szCs w:val="22"/>
        </w:rPr>
        <w:t xml:space="preserve">de la </w:t>
      </w:r>
      <w:r w:rsidR="005E7850">
        <w:rPr>
          <w:i/>
          <w:iCs/>
          <w:sz w:val="22"/>
          <w:szCs w:val="22"/>
        </w:rPr>
        <w:t>“</w:t>
      </w:r>
      <w:r w:rsidRPr="00A435AE">
        <w:rPr>
          <w:i/>
          <w:iCs/>
          <w:sz w:val="22"/>
          <w:szCs w:val="22"/>
        </w:rPr>
        <w:t>Zona Azul</w:t>
      </w:r>
      <w:r w:rsidR="005E7850">
        <w:rPr>
          <w:i/>
          <w:iCs/>
          <w:sz w:val="22"/>
          <w:szCs w:val="22"/>
        </w:rPr>
        <w:t>”</w:t>
      </w:r>
      <w:r w:rsidRPr="00A435AE">
        <w:rPr>
          <w:i/>
          <w:iCs/>
          <w:sz w:val="22"/>
          <w:szCs w:val="22"/>
        </w:rPr>
        <w:t xml:space="preserve">, el vehículo no será retirado o inmovilizado por la Policía Metropolitana, toda vez que la falta administrativa se resuelve con el pago de la </w:t>
      </w:r>
      <w:r w:rsidR="003A4293">
        <w:rPr>
          <w:i/>
          <w:iCs/>
          <w:sz w:val="22"/>
          <w:szCs w:val="22"/>
        </w:rPr>
        <w:t xml:space="preserve">sanción administrativa </w:t>
      </w:r>
      <w:r w:rsidRPr="00A435AE">
        <w:rPr>
          <w:i/>
          <w:iCs/>
          <w:sz w:val="22"/>
          <w:szCs w:val="22"/>
        </w:rPr>
        <w:t xml:space="preserve">prevista en esta Ordenanza.” </w:t>
      </w:r>
    </w:p>
    <w:p w:rsidR="0057118C" w:rsidRPr="007C73EB" w:rsidRDefault="0057118C" w:rsidP="0057118C">
      <w:pPr>
        <w:spacing w:before="240" w:after="0" w:line="260" w:lineRule="atLeast"/>
        <w:ind w:right="21"/>
        <w:jc w:val="both"/>
        <w:rPr>
          <w:rFonts w:ascii="Calibri" w:eastAsia="Times New Roman" w:hAnsi="Calibri" w:cs="Calibri"/>
          <w:color w:val="000000"/>
        </w:rPr>
      </w:pPr>
      <w:r w:rsidRPr="007C73EB">
        <w:rPr>
          <w:rFonts w:ascii="Palatino Linotype" w:eastAsia="Times New Roman" w:hAnsi="Palatino Linotype" w:cs="Calibri"/>
          <w:b/>
          <w:bCs/>
          <w:color w:val="000000"/>
        </w:rPr>
        <w:t>Disposición final.-</w:t>
      </w:r>
      <w:r w:rsidRPr="007C73EB">
        <w:rPr>
          <w:rFonts w:ascii="Palatino Linotype" w:eastAsia="Times New Roman" w:hAnsi="Palatino Linotype" w:cs="Calibri"/>
          <w:color w:val="000000"/>
        </w:rPr>
        <w:t xml:space="preserve"> La presente ordenanza entrará en vigencia a partir de su sanción, sin perjuicio de su publicación en la </w:t>
      </w:r>
      <w:r>
        <w:rPr>
          <w:rFonts w:ascii="Palatino Linotype" w:eastAsia="Times New Roman" w:hAnsi="Palatino Linotype" w:cs="Calibri"/>
          <w:color w:val="000000"/>
        </w:rPr>
        <w:t>Gaceta Oficial y el dominio web de la Municipalidad</w:t>
      </w:r>
      <w:r w:rsidRPr="007C73EB">
        <w:rPr>
          <w:rFonts w:ascii="Palatino Linotype" w:eastAsia="Times New Roman" w:hAnsi="Palatino Linotype" w:cs="Calibri"/>
          <w:color w:val="000000"/>
        </w:rPr>
        <w:t>.</w:t>
      </w:r>
    </w:p>
    <w:p w:rsidR="00A435AE" w:rsidRPr="003843CA" w:rsidRDefault="00A435AE" w:rsidP="00A435AE">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B51461">
        <w:rPr>
          <w:rFonts w:ascii="Palatino Linotype" w:hAnsi="Palatino Linotype" w:cs="Arial"/>
        </w:rPr>
        <w:t>30</w:t>
      </w:r>
      <w:r w:rsidR="00B51461" w:rsidRPr="003843CA">
        <w:rPr>
          <w:rFonts w:ascii="Palatino Linotype" w:hAnsi="Palatino Linotype" w:cs="Arial"/>
        </w:rPr>
        <w:t xml:space="preserve"> </w:t>
      </w:r>
      <w:r w:rsidRPr="003843CA">
        <w:rPr>
          <w:rFonts w:ascii="Palatino Linotype" w:hAnsi="Palatino Linotype" w:cs="Arial"/>
        </w:rPr>
        <w:t xml:space="preserve">de </w:t>
      </w:r>
      <w:r w:rsidR="00B51461">
        <w:rPr>
          <w:rFonts w:ascii="Palatino Linotype" w:hAnsi="Palatino Linotype" w:cs="Arial"/>
        </w:rPr>
        <w:t>mayo</w:t>
      </w:r>
      <w:r>
        <w:rPr>
          <w:rFonts w:ascii="Palatino Linotype" w:hAnsi="Palatino Linotype" w:cs="Arial"/>
        </w:rPr>
        <w:t xml:space="preserve">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E73EDC" w:rsidRDefault="00E73EDC" w:rsidP="00A435AE">
      <w:pPr>
        <w:pStyle w:val="Textopredeterminado"/>
        <w:shd w:val="clear" w:color="auto" w:fill="FFFFFF"/>
        <w:jc w:val="both"/>
        <w:rPr>
          <w:rFonts w:ascii="Palatino Linotype" w:hAnsi="Palatino Linotype" w:cs="Arial"/>
          <w:sz w:val="22"/>
          <w:szCs w:val="22"/>
          <w:lang w:val="es-EC"/>
        </w:rPr>
      </w:pPr>
    </w:p>
    <w:p w:rsidR="002E6A64" w:rsidRDefault="002E6A64" w:rsidP="00A435AE">
      <w:pPr>
        <w:pStyle w:val="Textopredeterminado"/>
        <w:shd w:val="clear" w:color="auto" w:fill="FFFFFF"/>
        <w:jc w:val="both"/>
        <w:rPr>
          <w:rFonts w:ascii="Palatino Linotype" w:hAnsi="Palatino Linotype" w:cs="Arial"/>
          <w:sz w:val="22"/>
          <w:szCs w:val="22"/>
          <w:lang w:val="es-EC"/>
        </w:rPr>
      </w:pPr>
    </w:p>
    <w:p w:rsidR="0057118C" w:rsidRDefault="0057118C" w:rsidP="00A435AE">
      <w:pPr>
        <w:pStyle w:val="Textopredeterminado"/>
        <w:shd w:val="clear" w:color="auto" w:fill="FFFFFF"/>
        <w:jc w:val="both"/>
        <w:rPr>
          <w:rFonts w:ascii="Palatino Linotype" w:hAnsi="Palatino Linotype" w:cs="Arial"/>
          <w:sz w:val="22"/>
          <w:szCs w:val="22"/>
          <w:lang w:val="es-EC"/>
        </w:rPr>
      </w:pPr>
    </w:p>
    <w:p w:rsidR="002E6A64" w:rsidRPr="00B51461" w:rsidRDefault="002E6A64" w:rsidP="00A435AE">
      <w:pPr>
        <w:pStyle w:val="Textopredeterminado"/>
        <w:shd w:val="clear" w:color="auto" w:fill="FFFFFF"/>
        <w:jc w:val="both"/>
        <w:rPr>
          <w:rFonts w:ascii="Palatino Linotype" w:hAnsi="Palatino Linotype" w:cs="Arial"/>
          <w:sz w:val="22"/>
          <w:szCs w:val="22"/>
          <w:lang w:val="es-EC"/>
        </w:rPr>
      </w:pPr>
    </w:p>
    <w:p w:rsidR="00A435AE" w:rsidRPr="003843CA" w:rsidRDefault="00A435AE" w:rsidP="00A435AE">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A435AE" w:rsidRPr="00680EAC" w:rsidTr="009A6B26">
        <w:trPr>
          <w:jc w:val="center"/>
        </w:trPr>
        <w:tc>
          <w:tcPr>
            <w:tcW w:w="5575" w:type="dxa"/>
            <w:hideMark/>
          </w:tcPr>
          <w:p w:rsidR="00A435AE" w:rsidRPr="00CE454E" w:rsidRDefault="00A435AE" w:rsidP="009A6B26">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Abg. Daniela Chacón Arias</w:t>
            </w:r>
          </w:p>
          <w:p w:rsidR="00A435AE" w:rsidRPr="00CE454E" w:rsidRDefault="00A435AE" w:rsidP="009A6B26">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Primera Vicepresidenta del Concejo Metropolitano de Quito</w:t>
            </w:r>
          </w:p>
        </w:tc>
        <w:tc>
          <w:tcPr>
            <w:tcW w:w="5324" w:type="dxa"/>
            <w:hideMark/>
          </w:tcPr>
          <w:p w:rsidR="00A435AE" w:rsidRPr="00CE454E" w:rsidRDefault="00A435AE" w:rsidP="009A6B26">
            <w:pPr>
              <w:pStyle w:val="Textopredeterminado"/>
              <w:jc w:val="center"/>
              <w:rPr>
                <w:rFonts w:ascii="Palatino Linotype" w:hAnsi="Palatino Linotype" w:cs="Arial"/>
                <w:sz w:val="19"/>
                <w:szCs w:val="19"/>
                <w:lang w:val="es-EC"/>
              </w:rPr>
            </w:pPr>
            <w:r w:rsidRPr="00CE454E">
              <w:rPr>
                <w:rFonts w:ascii="Palatino Linotype" w:hAnsi="Palatino Linotype" w:cs="Arial"/>
                <w:sz w:val="19"/>
                <w:szCs w:val="19"/>
                <w:lang w:val="es-EC"/>
              </w:rPr>
              <w:t>Dr. Mauricio Bustamante Holguín</w:t>
            </w:r>
          </w:p>
          <w:p w:rsidR="00A435AE" w:rsidRPr="00CE454E" w:rsidRDefault="00A435AE" w:rsidP="009A6B26">
            <w:pPr>
              <w:pStyle w:val="Textopredeterminado"/>
              <w:jc w:val="center"/>
              <w:rPr>
                <w:rFonts w:ascii="Palatino Linotype" w:hAnsi="Palatino Linotype" w:cs="Arial"/>
                <w:b/>
                <w:sz w:val="19"/>
                <w:szCs w:val="19"/>
                <w:lang w:val="es-EC"/>
              </w:rPr>
            </w:pPr>
            <w:r w:rsidRPr="00CE454E">
              <w:rPr>
                <w:rFonts w:ascii="Palatino Linotype" w:hAnsi="Palatino Linotype" w:cs="Arial"/>
                <w:b/>
                <w:sz w:val="19"/>
                <w:szCs w:val="19"/>
                <w:lang w:val="es-EC"/>
              </w:rPr>
              <w:t>Secretario General del Concejo Metropolitano de Quito</w:t>
            </w:r>
          </w:p>
          <w:p w:rsidR="00A435AE" w:rsidRPr="00CE454E" w:rsidRDefault="00A435AE" w:rsidP="009A6B26">
            <w:pPr>
              <w:pStyle w:val="Textopredeterminado"/>
              <w:jc w:val="center"/>
              <w:rPr>
                <w:rFonts w:ascii="Palatino Linotype" w:hAnsi="Palatino Linotype" w:cs="Arial"/>
                <w:b/>
                <w:sz w:val="19"/>
                <w:szCs w:val="19"/>
                <w:lang w:val="es-EC"/>
              </w:rPr>
            </w:pPr>
          </w:p>
        </w:tc>
      </w:tr>
    </w:tbl>
    <w:p w:rsidR="00A435AE" w:rsidRPr="003843CA" w:rsidRDefault="00A435AE" w:rsidP="00A435A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CERTIFICADO DE DISCUSIÓN</w:t>
      </w:r>
    </w:p>
    <w:p w:rsidR="00A435AE" w:rsidRPr="003843CA" w:rsidRDefault="00A435AE" w:rsidP="00A435AE">
      <w:pPr>
        <w:pStyle w:val="Textosinformato"/>
        <w:jc w:val="both"/>
        <w:rPr>
          <w:rFonts w:ascii="Palatino Linotype" w:eastAsia="MS Mincho" w:hAnsi="Palatino Linotype" w:cs="Arial"/>
          <w:sz w:val="22"/>
          <w:szCs w:val="22"/>
        </w:rPr>
      </w:pPr>
    </w:p>
    <w:p w:rsidR="00A435AE" w:rsidRPr="003843CA" w:rsidRDefault="00A435AE" w:rsidP="00A435AE">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B51461">
        <w:rPr>
          <w:rFonts w:ascii="Palatino Linotype" w:eastAsia="MS Mincho" w:hAnsi="Palatino Linotype" w:cs="Arial"/>
          <w:sz w:val="22"/>
          <w:szCs w:val="22"/>
        </w:rPr>
        <w:t>23</w:t>
      </w:r>
      <w:r>
        <w:rPr>
          <w:rFonts w:ascii="Palatino Linotype" w:eastAsia="MS Mincho" w:hAnsi="Palatino Linotype" w:cs="Arial"/>
          <w:sz w:val="22"/>
          <w:szCs w:val="22"/>
        </w:rPr>
        <w:t xml:space="preserve"> y </w:t>
      </w:r>
      <w:r w:rsidR="00B51461">
        <w:rPr>
          <w:rFonts w:ascii="Palatino Linotype" w:eastAsia="MS Mincho" w:hAnsi="Palatino Linotype" w:cs="Arial"/>
          <w:sz w:val="22"/>
          <w:szCs w:val="22"/>
        </w:rPr>
        <w:t>30</w:t>
      </w:r>
      <w:r w:rsidRPr="003843CA">
        <w:rPr>
          <w:rFonts w:ascii="Palatino Linotype" w:eastAsia="MS Mincho" w:hAnsi="Palatino Linotype" w:cs="Arial"/>
          <w:sz w:val="22"/>
          <w:szCs w:val="22"/>
        </w:rPr>
        <w:t xml:space="preserve"> de </w:t>
      </w:r>
      <w:r w:rsidR="00B51461">
        <w:rPr>
          <w:rFonts w:ascii="Palatino Linotype" w:eastAsia="MS Mincho" w:hAnsi="Palatino Linotype" w:cs="Arial"/>
          <w:sz w:val="22"/>
          <w:szCs w:val="22"/>
        </w:rPr>
        <w:t xml:space="preserve">mayo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A435AE" w:rsidRDefault="00A435AE" w:rsidP="00A435AE">
      <w:pPr>
        <w:pStyle w:val="Textosinformato"/>
        <w:jc w:val="both"/>
        <w:rPr>
          <w:rFonts w:ascii="Palatino Linotype" w:eastAsia="MS Mincho" w:hAnsi="Palatino Linotype" w:cs="Arial"/>
          <w:sz w:val="22"/>
          <w:szCs w:val="22"/>
        </w:rPr>
      </w:pPr>
    </w:p>
    <w:p w:rsidR="00A435AE" w:rsidRDefault="00A435AE" w:rsidP="00A435AE">
      <w:pPr>
        <w:pStyle w:val="Textosinformato"/>
        <w:jc w:val="both"/>
        <w:rPr>
          <w:rFonts w:ascii="Palatino Linotype" w:eastAsia="MS Mincho" w:hAnsi="Palatino Linotype" w:cs="Arial"/>
          <w:sz w:val="22"/>
          <w:szCs w:val="22"/>
        </w:rPr>
      </w:pPr>
    </w:p>
    <w:p w:rsidR="00A435AE" w:rsidRPr="003843CA" w:rsidRDefault="00A435AE" w:rsidP="00A435AE">
      <w:pPr>
        <w:pStyle w:val="Textosinformato"/>
        <w:jc w:val="both"/>
        <w:rPr>
          <w:rFonts w:ascii="Palatino Linotype" w:eastAsia="MS Mincho" w:hAnsi="Palatino Linotype" w:cs="Arial"/>
          <w:sz w:val="22"/>
          <w:szCs w:val="22"/>
        </w:rPr>
      </w:pPr>
    </w:p>
    <w:p w:rsidR="00A435AE" w:rsidRDefault="00A435AE" w:rsidP="00A435AE">
      <w:pPr>
        <w:pStyle w:val="Textosinformato"/>
        <w:jc w:val="both"/>
        <w:rPr>
          <w:rFonts w:ascii="Palatino Linotype" w:eastAsia="MS Mincho" w:hAnsi="Palatino Linotype" w:cs="Arial"/>
          <w:sz w:val="22"/>
          <w:szCs w:val="22"/>
        </w:rPr>
      </w:pPr>
    </w:p>
    <w:p w:rsidR="0057118C" w:rsidRDefault="0057118C" w:rsidP="00A435AE">
      <w:pPr>
        <w:pStyle w:val="Textosinformato"/>
        <w:jc w:val="both"/>
        <w:rPr>
          <w:rFonts w:ascii="Palatino Linotype" w:eastAsia="MS Mincho" w:hAnsi="Palatino Linotype" w:cs="Arial"/>
          <w:sz w:val="22"/>
          <w:szCs w:val="22"/>
        </w:rPr>
      </w:pPr>
    </w:p>
    <w:p w:rsidR="00A435AE" w:rsidRPr="003843CA" w:rsidRDefault="00A435AE" w:rsidP="00A435AE">
      <w:pPr>
        <w:pStyle w:val="Textosinformato"/>
        <w:jc w:val="both"/>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A435AE" w:rsidRDefault="00A435AE" w:rsidP="00A435A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A435AE" w:rsidRDefault="00A435AE" w:rsidP="00A435AE">
      <w:pPr>
        <w:pStyle w:val="Textosinformato"/>
        <w:jc w:val="center"/>
        <w:rPr>
          <w:rFonts w:ascii="Palatino Linotype" w:eastAsia="MS Mincho" w:hAnsi="Palatino Linotype" w:cs="Arial"/>
          <w:sz w:val="22"/>
          <w:szCs w:val="22"/>
        </w:rPr>
      </w:pPr>
    </w:p>
    <w:p w:rsidR="0057118C" w:rsidRDefault="0057118C" w:rsidP="00A435AE">
      <w:pPr>
        <w:pStyle w:val="Textosinformato"/>
        <w:jc w:val="center"/>
        <w:rPr>
          <w:rFonts w:ascii="Palatino Linotype" w:eastAsia="MS Mincho" w:hAnsi="Palatino Linotype" w:cs="Arial"/>
          <w:sz w:val="22"/>
          <w:szCs w:val="22"/>
        </w:rPr>
      </w:pPr>
    </w:p>
    <w:p w:rsidR="0057118C" w:rsidRDefault="0057118C"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lastRenderedPageBreak/>
        <w:t>ALCALDÍA DEL DISTRITO METROPOLITANO.-</w:t>
      </w:r>
      <w:r w:rsidRPr="003843CA">
        <w:rPr>
          <w:rFonts w:ascii="Palatino Linotype" w:eastAsia="MS Mincho" w:hAnsi="Palatino Linotype" w:cs="Arial"/>
          <w:sz w:val="22"/>
          <w:szCs w:val="22"/>
        </w:rPr>
        <w:t xml:space="preserve">  Distrito Metropolitano de Quito,</w:t>
      </w:r>
    </w:p>
    <w:p w:rsidR="00A435AE" w:rsidRDefault="00A435AE" w:rsidP="00A435AE">
      <w:pPr>
        <w:pStyle w:val="Textosinformato"/>
        <w:jc w:val="center"/>
        <w:rPr>
          <w:rFonts w:ascii="Palatino Linotype" w:eastAsia="MS Mincho" w:hAnsi="Palatino Linotype" w:cs="Arial"/>
          <w:b/>
          <w:sz w:val="22"/>
          <w:szCs w:val="22"/>
        </w:rPr>
      </w:pPr>
    </w:p>
    <w:p w:rsidR="00A435AE" w:rsidRPr="003843CA" w:rsidRDefault="00A435AE" w:rsidP="00A435AE">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A435AE" w:rsidRDefault="00A435AE" w:rsidP="00A435AE">
      <w:pPr>
        <w:pStyle w:val="Textosinformato"/>
        <w:jc w:val="center"/>
        <w:rPr>
          <w:rFonts w:ascii="Palatino Linotype" w:eastAsia="MS Mincho" w:hAnsi="Palatino Linotype" w:cs="Arial"/>
          <w:sz w:val="22"/>
          <w:szCs w:val="22"/>
        </w:rPr>
      </w:pPr>
    </w:p>
    <w:p w:rsidR="00116E2E" w:rsidRDefault="00116E2E"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p>
    <w:p w:rsidR="00A435AE" w:rsidRDefault="00A435AE" w:rsidP="00A435AE">
      <w:pPr>
        <w:pStyle w:val="Textosinformato"/>
        <w:jc w:val="center"/>
        <w:rPr>
          <w:rFonts w:ascii="Palatino Linotype" w:eastAsia="MS Mincho" w:hAnsi="Palatino Linotype" w:cs="Arial"/>
          <w:sz w:val="22"/>
          <w:szCs w:val="22"/>
        </w:rPr>
      </w:pPr>
    </w:p>
    <w:p w:rsidR="00B51461" w:rsidRPr="003843CA" w:rsidRDefault="00B51461"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A435AE" w:rsidRDefault="00A435AE" w:rsidP="00A435AE">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57118C" w:rsidRPr="003843CA" w:rsidRDefault="0057118C" w:rsidP="00A435AE">
      <w:pPr>
        <w:pStyle w:val="Textosinformato"/>
        <w:jc w:val="center"/>
        <w:rPr>
          <w:rFonts w:ascii="Palatino Linotype" w:eastAsia="MS Mincho" w:hAnsi="Palatino Linotype" w:cs="Arial"/>
          <w:b/>
          <w:bCs/>
          <w:sz w:val="22"/>
          <w:szCs w:val="22"/>
        </w:rPr>
      </w:pPr>
    </w:p>
    <w:p w:rsidR="00A435AE" w:rsidRDefault="00A435AE" w:rsidP="00A435AE">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r w:rsidR="0057118C">
        <w:rPr>
          <w:rFonts w:ascii="Palatino Linotype" w:eastAsia="MS Mincho" w:hAnsi="Palatino Linotype" w:cs="Arial"/>
          <w:sz w:val="22"/>
          <w:szCs w:val="22"/>
        </w:rPr>
        <w:t xml:space="preserve"> 30 de mayo de 2014.</w:t>
      </w:r>
    </w:p>
    <w:p w:rsidR="00A435AE" w:rsidRPr="003843CA" w:rsidRDefault="00A435AE" w:rsidP="00A435AE">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r w:rsidR="0057118C">
        <w:rPr>
          <w:rFonts w:ascii="Palatino Linotype" w:eastAsia="MS Mincho" w:hAnsi="Palatino Linotype" w:cs="Arial"/>
          <w:sz w:val="22"/>
          <w:szCs w:val="22"/>
        </w:rPr>
        <w:t xml:space="preserve"> 30 de mayo de 2014.</w:t>
      </w:r>
    </w:p>
    <w:p w:rsidR="00A435AE" w:rsidRPr="003843CA" w:rsidRDefault="00A435AE" w:rsidP="00A435AE">
      <w:pPr>
        <w:pStyle w:val="Textosinformato"/>
        <w:jc w:val="center"/>
        <w:rPr>
          <w:rFonts w:ascii="Palatino Linotype" w:eastAsia="MS Mincho" w:hAnsi="Palatino Linotype" w:cs="Arial"/>
          <w:sz w:val="22"/>
          <w:szCs w:val="22"/>
        </w:rPr>
      </w:pPr>
    </w:p>
    <w:p w:rsidR="00A435AE" w:rsidRDefault="00A435AE" w:rsidP="00A435AE">
      <w:pPr>
        <w:pStyle w:val="Textosinformato"/>
        <w:jc w:val="center"/>
        <w:rPr>
          <w:rFonts w:ascii="Palatino Linotype" w:eastAsia="MS Mincho" w:hAnsi="Palatino Linotype" w:cs="Arial"/>
          <w:sz w:val="22"/>
          <w:szCs w:val="22"/>
        </w:rPr>
      </w:pPr>
    </w:p>
    <w:p w:rsidR="0057118C" w:rsidRDefault="0057118C" w:rsidP="00A435AE">
      <w:pPr>
        <w:pStyle w:val="Textosinformato"/>
        <w:jc w:val="center"/>
        <w:rPr>
          <w:rFonts w:ascii="Palatino Linotype" w:eastAsia="MS Mincho" w:hAnsi="Palatino Linotype" w:cs="Arial"/>
          <w:sz w:val="22"/>
          <w:szCs w:val="22"/>
        </w:rPr>
      </w:pPr>
    </w:p>
    <w:p w:rsidR="00116E2E" w:rsidRPr="003843CA" w:rsidRDefault="00116E2E" w:rsidP="00A435AE">
      <w:pPr>
        <w:pStyle w:val="Textosinformato"/>
        <w:jc w:val="center"/>
        <w:rPr>
          <w:rFonts w:ascii="Palatino Linotype" w:eastAsia="MS Mincho" w:hAnsi="Palatino Linotype" w:cs="Arial"/>
          <w:sz w:val="22"/>
          <w:szCs w:val="22"/>
        </w:rPr>
      </w:pPr>
    </w:p>
    <w:p w:rsidR="00A435AE" w:rsidRDefault="00A435AE"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p>
    <w:p w:rsidR="00A435AE" w:rsidRPr="003843CA" w:rsidRDefault="00A435AE" w:rsidP="00A435AE">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A435AE" w:rsidRPr="003843CA" w:rsidRDefault="00A435AE" w:rsidP="00A435AE">
      <w:pPr>
        <w:pStyle w:val="Textosinformato"/>
        <w:jc w:val="center"/>
        <w:rPr>
          <w:rFonts w:ascii="Palatino Linotype" w:eastAsia="MS Mincho" w:hAnsi="Palatino Linotype" w:cs="Arial"/>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9F28B3" w:rsidRPr="00EF7F2C" w:rsidRDefault="00EF7F2C" w:rsidP="00A435AE">
      <w:pPr>
        <w:pStyle w:val="Sinespaciado"/>
        <w:spacing w:before="240" w:line="276" w:lineRule="auto"/>
        <w:rPr>
          <w:rFonts w:ascii="Palatino Linotype" w:hAnsi="Palatino Linotype"/>
          <w:sz w:val="16"/>
          <w:szCs w:val="16"/>
          <w:lang w:val="es-ES"/>
        </w:rPr>
      </w:pPr>
      <w:r w:rsidRPr="00EF7F2C">
        <w:rPr>
          <w:rFonts w:ascii="Palatino Linotype" w:hAnsi="Palatino Linotype"/>
          <w:sz w:val="16"/>
          <w:szCs w:val="16"/>
          <w:lang w:val="es-ES"/>
        </w:rPr>
        <w:t>DSCS</w:t>
      </w:r>
    </w:p>
    <w:sectPr w:rsidR="009F28B3" w:rsidRPr="00EF7F2C" w:rsidSect="002E6A64">
      <w:headerReference w:type="default" r:id="rId10"/>
      <w:footerReference w:type="default" r:id="rId11"/>
      <w:pgSz w:w="12240" w:h="15840"/>
      <w:pgMar w:top="1059" w:right="1701" w:bottom="1135" w:left="1701" w:header="993"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F39" w:rsidRDefault="00894F39" w:rsidP="00407C77">
      <w:pPr>
        <w:spacing w:after="0" w:line="240" w:lineRule="auto"/>
      </w:pPr>
      <w:r>
        <w:separator/>
      </w:r>
    </w:p>
  </w:endnote>
  <w:endnote w:type="continuationSeparator" w:id="0">
    <w:p w:rsidR="00894F39" w:rsidRDefault="00894F39" w:rsidP="0040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8E5" w:rsidRDefault="00C668E5">
    <w:pPr>
      <w:pStyle w:val="Piedepgina"/>
      <w:jc w:val="right"/>
    </w:pPr>
  </w:p>
  <w:p w:rsidR="00C668E5" w:rsidRDefault="00C668E5" w:rsidP="009F28B3">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799"/>
      <w:docPartObj>
        <w:docPartGallery w:val="Page Numbers (Bottom of Page)"/>
        <w:docPartUnique/>
      </w:docPartObj>
    </w:sdtPr>
    <w:sdtEndPr>
      <w:rPr>
        <w:rFonts w:ascii="Palatino Linotype" w:hAnsi="Palatino Linotype"/>
      </w:rPr>
    </w:sdtEndPr>
    <w:sdtContent>
      <w:sdt>
        <w:sdtPr>
          <w:id w:val="216747587"/>
          <w:docPartObj>
            <w:docPartGallery w:val="Page Numbers (Top of Page)"/>
            <w:docPartUnique/>
          </w:docPartObj>
        </w:sdtPr>
        <w:sdtEndPr>
          <w:rPr>
            <w:rFonts w:ascii="Palatino Linotype" w:hAnsi="Palatino Linotype"/>
          </w:rPr>
        </w:sdtEndPr>
        <w:sdtContent>
          <w:p w:rsidR="002E6A64" w:rsidRPr="002E6A64" w:rsidRDefault="002E6A64">
            <w:pPr>
              <w:pStyle w:val="Piedepgina"/>
              <w:jc w:val="right"/>
              <w:rPr>
                <w:rFonts w:ascii="Palatino Linotype" w:hAnsi="Palatino Linotype"/>
              </w:rPr>
            </w:pPr>
            <w:r w:rsidRPr="002E6A64">
              <w:rPr>
                <w:rFonts w:ascii="Palatino Linotype" w:hAnsi="Palatino Linotype"/>
              </w:rPr>
              <w:t xml:space="preserve">Página </w:t>
            </w:r>
            <w:r w:rsidR="00384B77" w:rsidRPr="002E6A64">
              <w:rPr>
                <w:rFonts w:ascii="Palatino Linotype" w:hAnsi="Palatino Linotype"/>
                <w:b/>
              </w:rPr>
              <w:fldChar w:fldCharType="begin"/>
            </w:r>
            <w:r w:rsidRPr="002E6A64">
              <w:rPr>
                <w:rFonts w:ascii="Palatino Linotype" w:hAnsi="Palatino Linotype"/>
                <w:b/>
              </w:rPr>
              <w:instrText>PAGE</w:instrText>
            </w:r>
            <w:r w:rsidR="00384B77" w:rsidRPr="002E6A64">
              <w:rPr>
                <w:rFonts w:ascii="Palatino Linotype" w:hAnsi="Palatino Linotype"/>
                <w:b/>
              </w:rPr>
              <w:fldChar w:fldCharType="separate"/>
            </w:r>
            <w:r w:rsidR="00C27762">
              <w:rPr>
                <w:rFonts w:ascii="Palatino Linotype" w:hAnsi="Palatino Linotype"/>
                <w:b/>
                <w:noProof/>
              </w:rPr>
              <w:t>5</w:t>
            </w:r>
            <w:r w:rsidR="00384B77" w:rsidRPr="002E6A64">
              <w:rPr>
                <w:rFonts w:ascii="Palatino Linotype" w:hAnsi="Palatino Linotype"/>
                <w:b/>
              </w:rPr>
              <w:fldChar w:fldCharType="end"/>
            </w:r>
            <w:r w:rsidRPr="002E6A64">
              <w:rPr>
                <w:rFonts w:ascii="Palatino Linotype" w:hAnsi="Palatino Linotype"/>
              </w:rPr>
              <w:t xml:space="preserve"> de </w:t>
            </w:r>
            <w:r>
              <w:rPr>
                <w:rFonts w:ascii="Palatino Linotype" w:hAnsi="Palatino Linotype"/>
                <w:b/>
              </w:rPr>
              <w:t>5</w:t>
            </w:r>
          </w:p>
        </w:sdtContent>
      </w:sdt>
    </w:sdtContent>
  </w:sdt>
  <w:p w:rsidR="002E6A64" w:rsidRDefault="002E6A64" w:rsidP="009F28B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F39" w:rsidRDefault="00894F39" w:rsidP="00407C77">
      <w:pPr>
        <w:spacing w:after="0" w:line="240" w:lineRule="auto"/>
      </w:pPr>
      <w:r>
        <w:separator/>
      </w:r>
    </w:p>
  </w:footnote>
  <w:footnote w:type="continuationSeparator" w:id="0">
    <w:p w:rsidR="00894F39" w:rsidRDefault="00894F39" w:rsidP="00407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C668E5" w:rsidRPr="00F46942" w:rsidRDefault="00C668E5" w:rsidP="00407C77">
    <w:pPr>
      <w:pStyle w:val="Default"/>
      <w:jc w:val="center"/>
      <w:rPr>
        <w:sz w:val="22"/>
        <w:szCs w:val="22"/>
      </w:rPr>
    </w:pPr>
    <w:r w:rsidRPr="00F46942">
      <w:rPr>
        <w:b/>
        <w:bCs/>
        <w:sz w:val="22"/>
        <w:szCs w:val="22"/>
      </w:rPr>
      <w:t>ORDENANZA METROPOLITANA No.</w:t>
    </w:r>
    <w:r w:rsidR="00F46942">
      <w:rPr>
        <w:b/>
        <w:bCs/>
        <w:sz w:val="22"/>
        <w:szCs w:val="22"/>
      </w:rPr>
      <w:t xml:space="preserve"> 002</w:t>
    </w:r>
  </w:p>
  <w:p w:rsidR="00C668E5" w:rsidRDefault="00C668E5" w:rsidP="00407C77">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Default="002E6A64" w:rsidP="00407C77">
    <w:pPr>
      <w:pStyle w:val="Default"/>
      <w:jc w:val="center"/>
      <w:rPr>
        <w:rFonts w:ascii="Garamond" w:hAnsi="Garamond"/>
        <w:b/>
        <w:bCs/>
        <w:sz w:val="26"/>
        <w:szCs w:val="26"/>
      </w:rPr>
    </w:pPr>
  </w:p>
  <w:p w:rsidR="002E6A64" w:rsidRPr="0057118C" w:rsidRDefault="002E6A64" w:rsidP="00407C77">
    <w:pPr>
      <w:pStyle w:val="Default"/>
      <w:jc w:val="center"/>
      <w:rPr>
        <w:sz w:val="22"/>
        <w:szCs w:val="22"/>
      </w:rPr>
    </w:pPr>
    <w:r w:rsidRPr="0057118C">
      <w:rPr>
        <w:b/>
        <w:bCs/>
        <w:sz w:val="22"/>
        <w:szCs w:val="22"/>
      </w:rPr>
      <w:t>ORDENANZA METROPOLITANA No.</w:t>
    </w:r>
    <w:r w:rsidR="0057118C">
      <w:rPr>
        <w:b/>
        <w:bCs/>
        <w:sz w:val="22"/>
        <w:szCs w:val="22"/>
      </w:rPr>
      <w:t xml:space="preserve"> 002</w:t>
    </w:r>
  </w:p>
  <w:p w:rsidR="002E6A64" w:rsidRDefault="002E6A64" w:rsidP="00407C77">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71924"/>
    <w:rsid w:val="000056BF"/>
    <w:rsid w:val="00027023"/>
    <w:rsid w:val="00040AAA"/>
    <w:rsid w:val="00054C12"/>
    <w:rsid w:val="000844BA"/>
    <w:rsid w:val="000A1808"/>
    <w:rsid w:val="000A330B"/>
    <w:rsid w:val="000A5E90"/>
    <w:rsid w:val="000C543F"/>
    <w:rsid w:val="000F0249"/>
    <w:rsid w:val="000F7A46"/>
    <w:rsid w:val="00100DCA"/>
    <w:rsid w:val="00116E2E"/>
    <w:rsid w:val="00124316"/>
    <w:rsid w:val="0016205B"/>
    <w:rsid w:val="00164CA6"/>
    <w:rsid w:val="001A1D56"/>
    <w:rsid w:val="001E25F4"/>
    <w:rsid w:val="001E46D7"/>
    <w:rsid w:val="00210D83"/>
    <w:rsid w:val="00212190"/>
    <w:rsid w:val="002125C2"/>
    <w:rsid w:val="00230544"/>
    <w:rsid w:val="00241188"/>
    <w:rsid w:val="002632F2"/>
    <w:rsid w:val="00272BEB"/>
    <w:rsid w:val="002937B9"/>
    <w:rsid w:val="002945A0"/>
    <w:rsid w:val="002A43DF"/>
    <w:rsid w:val="002A53F6"/>
    <w:rsid w:val="002E6A64"/>
    <w:rsid w:val="00307943"/>
    <w:rsid w:val="00313A2C"/>
    <w:rsid w:val="00322EF4"/>
    <w:rsid w:val="00357146"/>
    <w:rsid w:val="00384B77"/>
    <w:rsid w:val="003A4293"/>
    <w:rsid w:val="003B5A58"/>
    <w:rsid w:val="003C3E03"/>
    <w:rsid w:val="00401CF5"/>
    <w:rsid w:val="00407C77"/>
    <w:rsid w:val="004105C8"/>
    <w:rsid w:val="00413C87"/>
    <w:rsid w:val="00427515"/>
    <w:rsid w:val="0044646C"/>
    <w:rsid w:val="0046032E"/>
    <w:rsid w:val="0046340F"/>
    <w:rsid w:val="00483A93"/>
    <w:rsid w:val="004A33F9"/>
    <w:rsid w:val="00515100"/>
    <w:rsid w:val="00515B69"/>
    <w:rsid w:val="00550F12"/>
    <w:rsid w:val="00557DCE"/>
    <w:rsid w:val="005604BD"/>
    <w:rsid w:val="00566AE1"/>
    <w:rsid w:val="0057118C"/>
    <w:rsid w:val="00577944"/>
    <w:rsid w:val="005E7850"/>
    <w:rsid w:val="00602078"/>
    <w:rsid w:val="006236FA"/>
    <w:rsid w:val="00641554"/>
    <w:rsid w:val="006A3716"/>
    <w:rsid w:val="006B4FF3"/>
    <w:rsid w:val="006C6DCC"/>
    <w:rsid w:val="007045AF"/>
    <w:rsid w:val="00712FF5"/>
    <w:rsid w:val="00725C98"/>
    <w:rsid w:val="00764376"/>
    <w:rsid w:val="00783BAE"/>
    <w:rsid w:val="007A0AD8"/>
    <w:rsid w:val="008038ED"/>
    <w:rsid w:val="0080757C"/>
    <w:rsid w:val="00821A92"/>
    <w:rsid w:val="008315DE"/>
    <w:rsid w:val="00894F39"/>
    <w:rsid w:val="00896AFD"/>
    <w:rsid w:val="008A5DFE"/>
    <w:rsid w:val="008B2950"/>
    <w:rsid w:val="008B2D6C"/>
    <w:rsid w:val="008C2E05"/>
    <w:rsid w:val="008C793E"/>
    <w:rsid w:val="008D7858"/>
    <w:rsid w:val="008F3C71"/>
    <w:rsid w:val="0091580B"/>
    <w:rsid w:val="00920BD9"/>
    <w:rsid w:val="0094554F"/>
    <w:rsid w:val="0094785B"/>
    <w:rsid w:val="00971FA5"/>
    <w:rsid w:val="009A4E18"/>
    <w:rsid w:val="009A6B26"/>
    <w:rsid w:val="009B3E92"/>
    <w:rsid w:val="009B770B"/>
    <w:rsid w:val="009C09FF"/>
    <w:rsid w:val="009D01E0"/>
    <w:rsid w:val="009F28B3"/>
    <w:rsid w:val="00A22CC4"/>
    <w:rsid w:val="00A30F3F"/>
    <w:rsid w:val="00A365CC"/>
    <w:rsid w:val="00A435AE"/>
    <w:rsid w:val="00A722B2"/>
    <w:rsid w:val="00A75D95"/>
    <w:rsid w:val="00A77375"/>
    <w:rsid w:val="00A77DC7"/>
    <w:rsid w:val="00A81060"/>
    <w:rsid w:val="00AC188A"/>
    <w:rsid w:val="00AD2295"/>
    <w:rsid w:val="00AF7175"/>
    <w:rsid w:val="00B10D44"/>
    <w:rsid w:val="00B17379"/>
    <w:rsid w:val="00B368A1"/>
    <w:rsid w:val="00B51461"/>
    <w:rsid w:val="00B517CF"/>
    <w:rsid w:val="00B54F57"/>
    <w:rsid w:val="00B55471"/>
    <w:rsid w:val="00B962ED"/>
    <w:rsid w:val="00B96E08"/>
    <w:rsid w:val="00B971BA"/>
    <w:rsid w:val="00BA3102"/>
    <w:rsid w:val="00BB40CA"/>
    <w:rsid w:val="00BC569A"/>
    <w:rsid w:val="00BC6794"/>
    <w:rsid w:val="00BD5236"/>
    <w:rsid w:val="00BD7F78"/>
    <w:rsid w:val="00C0526E"/>
    <w:rsid w:val="00C14F30"/>
    <w:rsid w:val="00C27762"/>
    <w:rsid w:val="00C54859"/>
    <w:rsid w:val="00C55C09"/>
    <w:rsid w:val="00C643D7"/>
    <w:rsid w:val="00C668E5"/>
    <w:rsid w:val="00C83735"/>
    <w:rsid w:val="00CB5A89"/>
    <w:rsid w:val="00CC140C"/>
    <w:rsid w:val="00CE27A1"/>
    <w:rsid w:val="00CF6183"/>
    <w:rsid w:val="00D04A40"/>
    <w:rsid w:val="00D06FD1"/>
    <w:rsid w:val="00D07F01"/>
    <w:rsid w:val="00D177B9"/>
    <w:rsid w:val="00D47E46"/>
    <w:rsid w:val="00D60270"/>
    <w:rsid w:val="00D71924"/>
    <w:rsid w:val="00D97512"/>
    <w:rsid w:val="00DB127A"/>
    <w:rsid w:val="00DF0839"/>
    <w:rsid w:val="00E47B63"/>
    <w:rsid w:val="00E73EDC"/>
    <w:rsid w:val="00EF050F"/>
    <w:rsid w:val="00EF3E51"/>
    <w:rsid w:val="00EF7F2C"/>
    <w:rsid w:val="00F00A96"/>
    <w:rsid w:val="00F46942"/>
    <w:rsid w:val="00FA186B"/>
    <w:rsid w:val="00FB25C8"/>
    <w:rsid w:val="00FB76FB"/>
    <w:rsid w:val="00FD1373"/>
    <w:rsid w:val="00FE4E20"/>
    <w:rsid w:val="00FF439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924"/>
    <w:pPr>
      <w:autoSpaceDE w:val="0"/>
      <w:autoSpaceDN w:val="0"/>
      <w:adjustRightInd w:val="0"/>
      <w:spacing w:after="0" w:line="240" w:lineRule="auto"/>
    </w:pPr>
    <w:rPr>
      <w:rFonts w:ascii="Palatino Linotype" w:hAnsi="Palatino Linotype" w:cs="Palatino Linotype"/>
      <w:color w:val="000000"/>
      <w:sz w:val="24"/>
      <w:szCs w:val="24"/>
    </w:rPr>
  </w:style>
  <w:style w:type="paragraph" w:styleId="Sinespaciado">
    <w:name w:val="No Spacing"/>
    <w:uiPriority w:val="1"/>
    <w:qFormat/>
    <w:rsid w:val="00D71924"/>
    <w:pPr>
      <w:spacing w:after="0" w:line="240" w:lineRule="auto"/>
    </w:pPr>
  </w:style>
  <w:style w:type="paragraph" w:styleId="Encabezado">
    <w:name w:val="header"/>
    <w:basedOn w:val="Normal"/>
    <w:link w:val="EncabezadoCar"/>
    <w:uiPriority w:val="99"/>
    <w:unhideWhenUsed/>
    <w:rsid w:val="00407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C77"/>
  </w:style>
  <w:style w:type="paragraph" w:styleId="Piedepgina">
    <w:name w:val="footer"/>
    <w:basedOn w:val="Normal"/>
    <w:link w:val="PiedepginaCar"/>
    <w:uiPriority w:val="99"/>
    <w:unhideWhenUsed/>
    <w:rsid w:val="00407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77"/>
  </w:style>
  <w:style w:type="character" w:styleId="Refdecomentario">
    <w:name w:val="annotation reference"/>
    <w:basedOn w:val="Fuentedeprrafopredeter"/>
    <w:uiPriority w:val="99"/>
    <w:semiHidden/>
    <w:unhideWhenUsed/>
    <w:rsid w:val="000C543F"/>
    <w:rPr>
      <w:sz w:val="16"/>
      <w:szCs w:val="16"/>
    </w:rPr>
  </w:style>
  <w:style w:type="paragraph" w:styleId="Textocomentario">
    <w:name w:val="annotation text"/>
    <w:basedOn w:val="Normal"/>
    <w:link w:val="TextocomentarioCar"/>
    <w:uiPriority w:val="99"/>
    <w:semiHidden/>
    <w:unhideWhenUsed/>
    <w:rsid w:val="000C5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43F"/>
    <w:rPr>
      <w:sz w:val="20"/>
      <w:szCs w:val="20"/>
    </w:rPr>
  </w:style>
  <w:style w:type="paragraph" w:styleId="Asuntodelcomentario">
    <w:name w:val="annotation subject"/>
    <w:basedOn w:val="Textocomentario"/>
    <w:next w:val="Textocomentario"/>
    <w:link w:val="AsuntodelcomentarioCar"/>
    <w:uiPriority w:val="99"/>
    <w:semiHidden/>
    <w:unhideWhenUsed/>
    <w:rsid w:val="000C543F"/>
    <w:rPr>
      <w:b/>
      <w:bCs/>
    </w:rPr>
  </w:style>
  <w:style w:type="character" w:customStyle="1" w:styleId="AsuntodelcomentarioCar">
    <w:name w:val="Asunto del comentario Car"/>
    <w:basedOn w:val="TextocomentarioCar"/>
    <w:link w:val="Asuntodelcomentario"/>
    <w:uiPriority w:val="99"/>
    <w:semiHidden/>
    <w:rsid w:val="000C543F"/>
    <w:rPr>
      <w:b/>
      <w:bCs/>
      <w:sz w:val="20"/>
      <w:szCs w:val="20"/>
    </w:rPr>
  </w:style>
  <w:style w:type="paragraph" w:styleId="Textodeglobo">
    <w:name w:val="Balloon Text"/>
    <w:basedOn w:val="Normal"/>
    <w:link w:val="TextodegloboCar"/>
    <w:uiPriority w:val="99"/>
    <w:semiHidden/>
    <w:unhideWhenUsed/>
    <w:rsid w:val="000C5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43F"/>
    <w:rPr>
      <w:rFonts w:ascii="Tahoma" w:hAnsi="Tahoma" w:cs="Tahoma"/>
      <w:sz w:val="16"/>
      <w:szCs w:val="16"/>
    </w:rPr>
  </w:style>
  <w:style w:type="paragraph" w:customStyle="1" w:styleId="Normal1">
    <w:name w:val="Normal1"/>
    <w:rsid w:val="00A435AE"/>
    <w:pPr>
      <w:spacing w:after="0"/>
    </w:pPr>
    <w:rPr>
      <w:rFonts w:ascii="Arial" w:eastAsia="Arial" w:hAnsi="Arial" w:cs="Arial"/>
      <w:color w:val="000000"/>
      <w:szCs w:val="20"/>
      <w:lang w:val="en-US" w:eastAsia="en-US"/>
    </w:rPr>
  </w:style>
  <w:style w:type="paragraph" w:customStyle="1" w:styleId="Textopredeterminado">
    <w:name w:val="Texto predeterminado"/>
    <w:basedOn w:val="Normal"/>
    <w:rsid w:val="00A435AE"/>
    <w:pPr>
      <w:spacing w:after="0" w:line="240" w:lineRule="auto"/>
    </w:pPr>
    <w:rPr>
      <w:rFonts w:ascii="Times New Roman" w:eastAsia="Times New Roman" w:hAnsi="Times New Roman" w:cs="Times New Roman"/>
      <w:snapToGrid w:val="0"/>
      <w:sz w:val="24"/>
      <w:szCs w:val="20"/>
      <w:lang w:val="en-US" w:eastAsia="es-ES"/>
    </w:rPr>
  </w:style>
  <w:style w:type="paragraph" w:styleId="Textosinformato">
    <w:name w:val="Plain Text"/>
    <w:basedOn w:val="Normal"/>
    <w:link w:val="TextosinformatoCar"/>
    <w:rsid w:val="00A435AE"/>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435AE"/>
    <w:rPr>
      <w:rFonts w:ascii="Courier New" w:eastAsia="Times New Roman" w:hAnsi="Courier New"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71924"/>
    <w:pPr>
      <w:autoSpaceDE w:val="0"/>
      <w:autoSpaceDN w:val="0"/>
      <w:adjustRightInd w:val="0"/>
      <w:spacing w:after="0" w:line="240" w:lineRule="auto"/>
    </w:pPr>
    <w:rPr>
      <w:rFonts w:ascii="Palatino Linotype" w:hAnsi="Palatino Linotype" w:cs="Palatino Linotype"/>
      <w:color w:val="000000"/>
      <w:sz w:val="24"/>
      <w:szCs w:val="24"/>
    </w:rPr>
  </w:style>
  <w:style w:type="paragraph" w:styleId="Sinespaciado">
    <w:name w:val="No Spacing"/>
    <w:uiPriority w:val="1"/>
    <w:qFormat/>
    <w:rsid w:val="00D71924"/>
    <w:pPr>
      <w:spacing w:after="0" w:line="240" w:lineRule="auto"/>
    </w:pPr>
  </w:style>
  <w:style w:type="paragraph" w:styleId="Encabezado">
    <w:name w:val="header"/>
    <w:basedOn w:val="Normal"/>
    <w:link w:val="EncabezadoCar"/>
    <w:uiPriority w:val="99"/>
    <w:semiHidden/>
    <w:unhideWhenUsed/>
    <w:rsid w:val="00407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07C77"/>
  </w:style>
  <w:style w:type="paragraph" w:styleId="Piedepgina">
    <w:name w:val="footer"/>
    <w:basedOn w:val="Normal"/>
    <w:link w:val="PiedepginaCar"/>
    <w:uiPriority w:val="99"/>
    <w:unhideWhenUsed/>
    <w:rsid w:val="00407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C77"/>
  </w:style>
  <w:style w:type="character" w:styleId="Refdecomentario">
    <w:name w:val="annotation reference"/>
    <w:basedOn w:val="Fuentedeprrafopredeter"/>
    <w:uiPriority w:val="99"/>
    <w:semiHidden/>
    <w:unhideWhenUsed/>
    <w:rsid w:val="000C543F"/>
    <w:rPr>
      <w:sz w:val="16"/>
      <w:szCs w:val="16"/>
    </w:rPr>
  </w:style>
  <w:style w:type="paragraph" w:styleId="Textocomentario">
    <w:name w:val="annotation text"/>
    <w:basedOn w:val="Normal"/>
    <w:link w:val="TextocomentarioCar"/>
    <w:uiPriority w:val="99"/>
    <w:semiHidden/>
    <w:unhideWhenUsed/>
    <w:rsid w:val="000C543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543F"/>
    <w:rPr>
      <w:sz w:val="20"/>
      <w:szCs w:val="20"/>
    </w:rPr>
  </w:style>
  <w:style w:type="paragraph" w:styleId="Asuntodelcomentario">
    <w:name w:val="annotation subject"/>
    <w:basedOn w:val="Textocomentario"/>
    <w:next w:val="Textocomentario"/>
    <w:link w:val="AsuntodelcomentarioCar"/>
    <w:uiPriority w:val="99"/>
    <w:semiHidden/>
    <w:unhideWhenUsed/>
    <w:rsid w:val="000C543F"/>
    <w:rPr>
      <w:b/>
      <w:bCs/>
    </w:rPr>
  </w:style>
  <w:style w:type="character" w:customStyle="1" w:styleId="AsuntodelcomentarioCar">
    <w:name w:val="Asunto del comentario Car"/>
    <w:basedOn w:val="TextocomentarioCar"/>
    <w:link w:val="Asuntodelcomentario"/>
    <w:uiPriority w:val="99"/>
    <w:semiHidden/>
    <w:rsid w:val="000C543F"/>
    <w:rPr>
      <w:b/>
      <w:bCs/>
      <w:sz w:val="20"/>
      <w:szCs w:val="20"/>
    </w:rPr>
  </w:style>
  <w:style w:type="paragraph" w:styleId="Textodeglobo">
    <w:name w:val="Balloon Text"/>
    <w:basedOn w:val="Normal"/>
    <w:link w:val="TextodegloboCar"/>
    <w:uiPriority w:val="99"/>
    <w:semiHidden/>
    <w:unhideWhenUsed/>
    <w:rsid w:val="000C54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5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CE3E-4097-4DAA-A53F-74794C65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frojas</dc:creator>
  <cp:lastModifiedBy>gvallejo</cp:lastModifiedBy>
  <cp:revision>6</cp:revision>
  <cp:lastPrinted>2014-06-02T17:59:00Z</cp:lastPrinted>
  <dcterms:created xsi:type="dcterms:W3CDTF">2014-06-02T17:47:00Z</dcterms:created>
  <dcterms:modified xsi:type="dcterms:W3CDTF">2014-06-02T17:59:00Z</dcterms:modified>
</cp:coreProperties>
</file>