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8F" w:rsidRDefault="00E9318F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E9318F" w:rsidRDefault="00E9318F" w:rsidP="00E9318F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</w:t>
      </w:r>
      <w:r w:rsidR="000473F4">
        <w:rPr>
          <w:rFonts w:ascii="Palatino Linotype" w:hAnsi="Palatino Linotype" w:cs="Arial"/>
          <w:b w:val="0"/>
          <w:sz w:val="22"/>
          <w:szCs w:val="22"/>
        </w:rPr>
        <w:t>,</w:t>
      </w:r>
      <w:r>
        <w:rPr>
          <w:rFonts w:ascii="Palatino Linotype" w:hAnsi="Palatino Linotype" w:cs="Arial"/>
          <w:b w:val="0"/>
          <w:sz w:val="22"/>
          <w:szCs w:val="22"/>
        </w:rPr>
        <w:t xml:space="preserve"> en su artículo 30</w:t>
      </w:r>
      <w:r w:rsidR="000473F4">
        <w:rPr>
          <w:rFonts w:ascii="Palatino Linotype" w:hAnsi="Palatino Linotype" w:cs="Arial"/>
          <w:b w:val="0"/>
          <w:sz w:val="22"/>
          <w:szCs w:val="22"/>
        </w:rPr>
        <w:t>,</w:t>
      </w:r>
      <w:r>
        <w:rPr>
          <w:rFonts w:ascii="Palatino Linotype" w:hAnsi="Palatino Linotype" w:cs="Arial"/>
          <w:b w:val="0"/>
          <w:sz w:val="22"/>
          <w:szCs w:val="22"/>
        </w:rPr>
        <w:t xml:space="preserve">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>”; y, a su vez, establece que los gobiernos autónomos descentralizados municipales tienen la competencia exclusiva para planificar el desarrollo cantonal, así co</w:t>
      </w:r>
      <w:r w:rsidR="00346000">
        <w:rPr>
          <w:rFonts w:ascii="Palatino Linotype" w:hAnsi="Palatino Linotype" w:cs="Arial"/>
          <w:b w:val="0"/>
          <w:sz w:val="22"/>
          <w:szCs w:val="22"/>
        </w:rPr>
        <w:t>mo</w:t>
      </w:r>
      <w:r>
        <w:rPr>
          <w:rFonts w:ascii="Palatino Linotype" w:hAnsi="Palatino Linotype" w:cs="Arial"/>
          <w:b w:val="0"/>
          <w:sz w:val="22"/>
          <w:szCs w:val="22"/>
        </w:rPr>
        <w:t xml:space="preserve"> para ejercer el control sobre el uso y ocupación del suelo en el cantón</w:t>
      </w:r>
      <w:r w:rsidR="000473F4">
        <w:rPr>
          <w:rFonts w:ascii="Palatino Linotype" w:hAnsi="Palatino Linotype" w:cs="Arial"/>
          <w:b w:val="0"/>
          <w:sz w:val="22"/>
          <w:szCs w:val="22"/>
        </w:rPr>
        <w:t xml:space="preserve"> (artículo 264, numerales 1 y 2)</w:t>
      </w:r>
      <w:r>
        <w:rPr>
          <w:rFonts w:ascii="Palatino Linotype" w:hAnsi="Palatino Linotype" w:cs="Arial"/>
          <w:b w:val="0"/>
          <w:sz w:val="22"/>
          <w:szCs w:val="22"/>
        </w:rPr>
        <w:t xml:space="preserve">. </w:t>
      </w:r>
    </w:p>
    <w:p w:rsidR="00E9318F" w:rsidRPr="00E9318F" w:rsidRDefault="000473F4" w:rsidP="00E9318F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E9318F" w:rsidRDefault="00E9318F" w:rsidP="00E9318F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El asentamiento humano de hecho y consolidado denominado </w:t>
      </w:r>
      <w:r w:rsidR="00AE1EDC">
        <w:rPr>
          <w:rFonts w:ascii="Palatino Linotype" w:hAnsi="Palatino Linotype" w:cs="Arial"/>
          <w:b w:val="0"/>
          <w:sz w:val="22"/>
          <w:szCs w:val="22"/>
        </w:rPr>
        <w:t>Comité Central Pro-Mejoras del Barrio “Bellavista”, Quinta Etapa</w:t>
      </w:r>
      <w:r>
        <w:rPr>
          <w:rFonts w:ascii="Palatino Linotype" w:hAnsi="Palatino Linotype" w:cs="Arial"/>
          <w:b w:val="0"/>
          <w:sz w:val="22"/>
          <w:szCs w:val="22"/>
        </w:rPr>
        <w:t xml:space="preserve">, ubicado en </w:t>
      </w:r>
      <w:r w:rsidR="00AE1EDC">
        <w:rPr>
          <w:rFonts w:ascii="Palatino Linotype" w:hAnsi="Palatino Linotype" w:cs="Arial"/>
          <w:b w:val="0"/>
          <w:sz w:val="22"/>
          <w:szCs w:val="22"/>
        </w:rPr>
        <w:t>la parroquia Calderón</w:t>
      </w:r>
      <w:r>
        <w:rPr>
          <w:rFonts w:ascii="Palatino Linotype" w:hAnsi="Palatino Linotype" w:cs="Arial"/>
          <w:b w:val="0"/>
          <w:sz w:val="22"/>
          <w:szCs w:val="22"/>
        </w:rPr>
        <w:t xml:space="preserve">, cuenta con </w:t>
      </w:r>
      <w:r w:rsidR="00AE1EDC">
        <w:rPr>
          <w:rFonts w:ascii="Palatino Linotype" w:hAnsi="Palatino Linotype" w:cs="Arial"/>
          <w:b w:val="0"/>
          <w:sz w:val="22"/>
          <w:szCs w:val="22"/>
        </w:rPr>
        <w:t>70</w:t>
      </w:r>
      <w:r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AE1EDC">
        <w:rPr>
          <w:rFonts w:ascii="Palatino Linotype" w:hAnsi="Palatino Linotype" w:cs="Arial"/>
          <w:b w:val="0"/>
          <w:sz w:val="22"/>
          <w:szCs w:val="22"/>
        </w:rPr>
        <w:t>12</w:t>
      </w:r>
      <w:r>
        <w:rPr>
          <w:rFonts w:ascii="Palatino Linotype" w:hAnsi="Palatino Linotype" w:cs="Arial"/>
          <w:b w:val="0"/>
          <w:sz w:val="22"/>
          <w:szCs w:val="22"/>
        </w:rPr>
        <w:t xml:space="preserve"> lotes y </w:t>
      </w:r>
      <w:r w:rsidR="00AE1EDC">
        <w:rPr>
          <w:rFonts w:ascii="Palatino Linotype" w:hAnsi="Palatino Linotype" w:cs="Arial"/>
          <w:b w:val="0"/>
          <w:sz w:val="22"/>
          <w:szCs w:val="22"/>
        </w:rPr>
        <w:t>48</w:t>
      </w:r>
      <w:r>
        <w:rPr>
          <w:rFonts w:ascii="Palatino Linotype" w:hAnsi="Palatino Linotype" w:cs="Arial"/>
          <w:b w:val="0"/>
          <w:sz w:val="22"/>
          <w:szCs w:val="22"/>
        </w:rPr>
        <w:t xml:space="preserve"> habitantes.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0473F4" w:rsidRDefault="000473F4" w:rsidP="00E9318F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</w:t>
      </w:r>
      <w:r w:rsidR="001354FA">
        <w:rPr>
          <w:rFonts w:ascii="Palatino Linotype" w:hAnsi="Palatino Linotype" w:cs="Arial"/>
          <w:b w:val="0"/>
          <w:sz w:val="22"/>
          <w:szCs w:val="22"/>
        </w:rPr>
        <w:t xml:space="preserve">la normativa tendiente a la regularización del asentamiento humano de hecho y consolidado denominado </w:t>
      </w:r>
      <w:r w:rsidR="00AE1EDC">
        <w:rPr>
          <w:rFonts w:ascii="Palatino Linotype" w:hAnsi="Palatino Linotype" w:cs="Arial"/>
          <w:b w:val="0"/>
          <w:sz w:val="22"/>
          <w:szCs w:val="22"/>
        </w:rPr>
        <w:t>Comité Central Pro-Mejoras del Barrio “Bellavista”, Quinta Etapa</w:t>
      </w:r>
      <w:r w:rsidR="001354FA">
        <w:rPr>
          <w:rFonts w:ascii="Palatino Linotype" w:hAnsi="Palatino Linotype" w:cs="Arial"/>
          <w:b w:val="0"/>
          <w:sz w:val="22"/>
          <w:szCs w:val="22"/>
        </w:rPr>
        <w:t xml:space="preserve">, a fin de garantizar a los beneficiarios el ejercicio de su derecho a la vivienda y </w:t>
      </w:r>
      <w:r w:rsidR="001C6A75">
        <w:rPr>
          <w:rFonts w:ascii="Palatino Linotype" w:hAnsi="Palatino Linotype" w:cs="Arial"/>
          <w:b w:val="0"/>
          <w:sz w:val="22"/>
          <w:szCs w:val="22"/>
        </w:rPr>
        <w:t>e</w:t>
      </w:r>
      <w:r w:rsidR="001354FA">
        <w:rPr>
          <w:rFonts w:ascii="Palatino Linotype" w:hAnsi="Palatino Linotype" w:cs="Arial"/>
          <w:b w:val="0"/>
          <w:sz w:val="22"/>
          <w:szCs w:val="22"/>
        </w:rPr>
        <w:t>l acceso a servicios básicos de calidad.</w:t>
      </w:r>
    </w:p>
    <w:p w:rsidR="001354FA" w:rsidRDefault="001354FA" w:rsidP="00E9318F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</w:p>
    <w:p w:rsidR="001354FA" w:rsidRDefault="001354FA" w:rsidP="00E9318F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</w:p>
    <w:p w:rsidR="001354FA" w:rsidRDefault="001354FA" w:rsidP="00E9318F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  <w:sectPr w:rsidR="001354FA" w:rsidSect="00D82C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Default="00C52450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F62924" w:rsidRPr="00F62924" w:rsidRDefault="00F62924" w:rsidP="00F62924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Visto el Informe No. IC-O-2014-0</w:t>
      </w:r>
      <w:r w:rsidR="00AE1EDC">
        <w:rPr>
          <w:rFonts w:ascii="Palatino Linotype" w:hAnsi="Palatino Linotype" w:cs="Arial"/>
          <w:b w:val="0"/>
          <w:sz w:val="22"/>
          <w:szCs w:val="22"/>
        </w:rPr>
        <w:t>77</w:t>
      </w:r>
      <w:r>
        <w:rPr>
          <w:rFonts w:ascii="Palatino Linotype" w:hAnsi="Palatino Linotype" w:cs="Arial"/>
          <w:b w:val="0"/>
          <w:sz w:val="22"/>
          <w:szCs w:val="22"/>
        </w:rPr>
        <w:t xml:space="preserve">, de </w:t>
      </w:r>
      <w:r w:rsidR="00AE1EDC">
        <w:rPr>
          <w:rFonts w:ascii="Palatino Linotype" w:hAnsi="Palatino Linotype" w:cs="Arial"/>
          <w:b w:val="0"/>
          <w:sz w:val="22"/>
          <w:szCs w:val="22"/>
        </w:rPr>
        <w:t>10</w:t>
      </w:r>
      <w:r>
        <w:rPr>
          <w:rFonts w:ascii="Palatino Linotype" w:hAnsi="Palatino Linotype" w:cs="Arial"/>
          <w:b w:val="0"/>
          <w:sz w:val="22"/>
          <w:szCs w:val="22"/>
        </w:rPr>
        <w:t xml:space="preserve"> de </w:t>
      </w:r>
      <w:r w:rsidR="00AE1EDC">
        <w:rPr>
          <w:rFonts w:ascii="Palatino Linotype" w:hAnsi="Palatino Linotype" w:cs="Arial"/>
          <w:b w:val="0"/>
          <w:sz w:val="22"/>
          <w:szCs w:val="22"/>
        </w:rPr>
        <w:t xml:space="preserve">septiembre </w:t>
      </w:r>
      <w:r>
        <w:rPr>
          <w:rFonts w:ascii="Palatino Linotype" w:hAnsi="Palatino Linotype" w:cs="Arial"/>
          <w:b w:val="0"/>
          <w:sz w:val="22"/>
          <w:szCs w:val="22"/>
        </w:rPr>
        <w:t>de 2014, expedido por la Comisión de Ordenamiento Territorial.</w:t>
      </w:r>
    </w:p>
    <w:p w:rsidR="001123C1" w:rsidRPr="001123C1" w:rsidRDefault="001123C1" w:rsidP="001123C1">
      <w:pPr>
        <w:spacing w:after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2A8" w:rsidRDefault="003843CA" w:rsidP="003843C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3843C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3843CA" w:rsidRPr="001842A8" w:rsidRDefault="003843CA" w:rsidP="003843C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3843C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3843C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2A8" w:rsidRDefault="003843CA" w:rsidP="003843C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 xml:space="preserve">x) Regular y </w:t>
      </w:r>
      <w:r w:rsidRPr="001842A8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3843CA" w:rsidRPr="001842A8" w:rsidRDefault="003843CA" w:rsidP="003843C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F62924" w:rsidRDefault="00F62924" w:rsidP="00F62924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486 del COOTAD establece que: “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346000">
        <w:rPr>
          <w:rFonts w:ascii="Palatino Linotype" w:hAnsi="Palatino Linotype" w:cs="Arial"/>
          <w:bCs/>
          <w:i/>
          <w:lang w:val="es-ES_tradnl"/>
        </w:rPr>
        <w:t xml:space="preserve">de </w:t>
      </w:r>
      <w:r w:rsidRPr="001842A8">
        <w:rPr>
          <w:rFonts w:ascii="Palatino Linotype" w:hAnsi="Palatino Linotype" w:cs="Arial"/>
          <w:bCs/>
          <w:i/>
          <w:lang w:val="es-ES_tradnl"/>
        </w:rPr>
        <w:t>legisla</w:t>
      </w:r>
      <w:r w:rsidR="00346000">
        <w:rPr>
          <w:rFonts w:ascii="Palatino Linotype" w:hAnsi="Palatino Linotype" w:cs="Arial"/>
          <w:bCs/>
          <w:i/>
          <w:lang w:val="es-ES_tradnl"/>
        </w:rPr>
        <w:t>ción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 </w:t>
      </w:r>
      <w:r>
        <w:rPr>
          <w:rFonts w:ascii="Palatino Linotype" w:hAnsi="Palatino Linotype" w:cs="Arial"/>
          <w:bCs/>
          <w:i/>
          <w:lang w:val="es-ES_tradnl"/>
        </w:rPr>
        <w:t xml:space="preserve">y fiscalización 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del gobierno descentralizado municipal o metropolitano, se requiera regularizar </w:t>
      </w:r>
      <w:r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</w:t>
      </w:r>
      <w:r w:rsidRPr="001842A8">
        <w:rPr>
          <w:rFonts w:ascii="Palatino Linotype" w:hAnsi="Palatino Linotype" w:cs="Arial"/>
          <w:bCs/>
          <w:i/>
          <w:lang w:val="es-ES_tradnl"/>
        </w:rPr>
        <w:t>ubicados en su circunscripción territorial</w:t>
      </w:r>
      <w:r>
        <w:rPr>
          <w:rFonts w:ascii="Palatino Linotype" w:hAnsi="Palatino Linotype" w:cs="Arial"/>
          <w:bCs/>
          <w:i/>
          <w:lang w:val="es-ES_tradnl"/>
        </w:rPr>
        <w:t xml:space="preserve"> en predios que se encuentran proindiviso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, </w:t>
      </w:r>
      <w:r>
        <w:rPr>
          <w:rFonts w:ascii="Palatino Linotype" w:hAnsi="Palatino Linotype" w:cs="Arial"/>
          <w:bCs/>
          <w:i/>
          <w:lang w:val="es-ES_tradnl"/>
        </w:rPr>
        <w:t xml:space="preserve">la alcaldesa o 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el alcalde, a través de los órganos administrativos de la municipalidad, de oficio o a petición de parte, </w:t>
      </w:r>
      <w:r>
        <w:rPr>
          <w:rFonts w:ascii="Palatino Linotype" w:hAnsi="Palatino Linotype" w:cs="Arial"/>
          <w:bCs/>
          <w:i/>
          <w:lang w:val="es-ES_tradnl"/>
        </w:rPr>
        <w:t xml:space="preserve">estará facultado para </w:t>
      </w:r>
      <w:r w:rsidRPr="001842A8">
        <w:rPr>
          <w:rFonts w:ascii="Palatino Linotype" w:hAnsi="Palatino Linotype" w:cs="Arial"/>
          <w:bCs/>
          <w:i/>
          <w:lang w:val="es-ES_tradnl"/>
        </w:rPr>
        <w:t>ejercer la partición administrativa (…)</w:t>
      </w:r>
      <w:r w:rsidRPr="001842A8">
        <w:rPr>
          <w:rFonts w:ascii="Palatino Linotype" w:hAnsi="Palatino Linotype" w:cs="Arial"/>
          <w:bCs/>
          <w:lang w:val="es-ES_tradnl"/>
        </w:rPr>
        <w:t>”</w:t>
      </w:r>
      <w:r w:rsidRPr="001842A8">
        <w:rPr>
          <w:rFonts w:ascii="Palatino Linotype" w:hAnsi="Palatino Linotype" w:cs="Arial"/>
          <w:b/>
          <w:bCs/>
        </w:rPr>
        <w:t>;</w:t>
      </w:r>
    </w:p>
    <w:p w:rsidR="003843CA" w:rsidRPr="001842A8" w:rsidRDefault="003843CA" w:rsidP="003843C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2A8" w:rsidRDefault="003843CA" w:rsidP="003843C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  <w:t xml:space="preserve">el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3843CA" w:rsidRDefault="003843CA" w:rsidP="003843C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CA4237" w:rsidRPr="003843CA" w:rsidRDefault="00CA4237" w:rsidP="00A33CA9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/>
        </w:rPr>
      </w:pPr>
      <w:r w:rsidRPr="003843CA">
        <w:rPr>
          <w:rFonts w:ascii="Palatino Linotype" w:hAnsi="Palatino Linotype"/>
          <w:b/>
          <w:bCs/>
        </w:rPr>
        <w:t>Que,</w:t>
      </w:r>
      <w:r w:rsidRPr="003843CA">
        <w:rPr>
          <w:rFonts w:ascii="Palatino Linotype" w:hAnsi="Palatino Linotype"/>
        </w:rPr>
        <w:tab/>
        <w:t>la Mesa Institucional d</w:t>
      </w:r>
      <w:r w:rsidR="00BA7F93" w:rsidRPr="003843CA">
        <w:rPr>
          <w:rFonts w:ascii="Palatino Linotype" w:hAnsi="Palatino Linotype"/>
        </w:rPr>
        <w:t xml:space="preserve">e Trabajo, reunida el </w:t>
      </w:r>
      <w:r w:rsidR="00AE1EDC">
        <w:rPr>
          <w:rFonts w:ascii="Palatino Linotype" w:hAnsi="Palatino Linotype"/>
        </w:rPr>
        <w:t>11</w:t>
      </w:r>
      <w:r w:rsidR="00BA7F93" w:rsidRPr="003843CA">
        <w:rPr>
          <w:rFonts w:ascii="Palatino Linotype" w:hAnsi="Palatino Linotype"/>
        </w:rPr>
        <w:t xml:space="preserve"> de </w:t>
      </w:r>
      <w:r w:rsidR="00BB4561">
        <w:rPr>
          <w:rFonts w:ascii="Palatino Linotype" w:hAnsi="Palatino Linotype"/>
        </w:rPr>
        <w:t xml:space="preserve">julio </w:t>
      </w:r>
      <w:r w:rsidR="00554B2F">
        <w:rPr>
          <w:rFonts w:ascii="Palatino Linotype" w:hAnsi="Palatino Linotype"/>
        </w:rPr>
        <w:t xml:space="preserve">de 2014 </w:t>
      </w:r>
      <w:r w:rsidRPr="003843CA">
        <w:rPr>
          <w:rFonts w:ascii="Palatino Linotype" w:hAnsi="Palatino Linotype"/>
        </w:rPr>
        <w:t xml:space="preserve">en la Administración Zonal </w:t>
      </w:r>
      <w:r w:rsidR="00AE1EDC">
        <w:rPr>
          <w:rFonts w:ascii="Palatino Linotype" w:hAnsi="Palatino Linotype"/>
        </w:rPr>
        <w:t>Calderón</w:t>
      </w:r>
      <w:r w:rsidRPr="003843CA">
        <w:rPr>
          <w:rFonts w:ascii="Palatino Linotype" w:hAnsi="Palatino Linotype"/>
        </w:rPr>
        <w:t>, integrada por los siguientes órganos y dependencias: Administración Zona</w:t>
      </w:r>
      <w:r w:rsidR="006E24E6" w:rsidRPr="003843CA">
        <w:rPr>
          <w:rFonts w:ascii="Palatino Linotype" w:hAnsi="Palatino Linotype"/>
        </w:rPr>
        <w:t xml:space="preserve">l </w:t>
      </w:r>
      <w:r w:rsidR="00AE1EDC">
        <w:rPr>
          <w:rFonts w:ascii="Palatino Linotype" w:hAnsi="Palatino Linotype"/>
        </w:rPr>
        <w:t>Calderón</w:t>
      </w:r>
      <w:r w:rsidR="006E24E6" w:rsidRPr="003843CA">
        <w:rPr>
          <w:rFonts w:ascii="Palatino Linotype" w:hAnsi="Palatino Linotype"/>
        </w:rPr>
        <w:t>; Dirección Zonal de Asesoría Jurídica</w:t>
      </w:r>
      <w:r w:rsidRPr="003843CA">
        <w:rPr>
          <w:rFonts w:ascii="Palatino Linotype" w:hAnsi="Palatino Linotype"/>
        </w:rPr>
        <w:t xml:space="preserve">, Jefatura de Catastro y Coordinación de Gestión y Control de la Administración Zonal </w:t>
      </w:r>
      <w:r w:rsidR="00AE1EDC">
        <w:rPr>
          <w:rFonts w:ascii="Palatino Linotype" w:hAnsi="Palatino Linotype"/>
        </w:rPr>
        <w:t>Calderón</w:t>
      </w:r>
      <w:r w:rsidRPr="003843CA">
        <w:rPr>
          <w:rFonts w:ascii="Palatino Linotype" w:hAnsi="Palatino Linotype"/>
        </w:rPr>
        <w:t xml:space="preserve">; Dirección Metropolitana de Catastro; Secretaría de Territorio, Hábitat y Vivienda; y, Unidad Especial Regula Tu Barrio, </w:t>
      </w:r>
      <w:r w:rsidRPr="003843CA">
        <w:rPr>
          <w:rFonts w:ascii="Palatino Linotype" w:hAnsi="Palatino Linotype"/>
          <w:iCs/>
        </w:rPr>
        <w:t xml:space="preserve">emitió el </w:t>
      </w:r>
      <w:r w:rsidR="00BA7F93" w:rsidRPr="003843CA">
        <w:rPr>
          <w:rFonts w:ascii="Palatino Linotype" w:hAnsi="Palatino Linotype" w:cs="Arial"/>
        </w:rPr>
        <w:t>informe No.</w:t>
      </w:r>
      <w:r w:rsidR="003843CA">
        <w:rPr>
          <w:rFonts w:ascii="Palatino Linotype" w:hAnsi="Palatino Linotype" w:cs="Arial"/>
        </w:rPr>
        <w:t xml:space="preserve"> </w:t>
      </w:r>
      <w:r w:rsidR="00F62924">
        <w:rPr>
          <w:rFonts w:ascii="Palatino Linotype" w:hAnsi="Palatino Linotype" w:cs="Arial"/>
        </w:rPr>
        <w:t>0</w:t>
      </w:r>
      <w:r w:rsidR="00AE1EDC">
        <w:rPr>
          <w:rFonts w:ascii="Palatino Linotype" w:hAnsi="Palatino Linotype" w:cs="Arial"/>
        </w:rPr>
        <w:t>03</w:t>
      </w:r>
      <w:r w:rsidR="00554B2F" w:rsidRPr="00BF150D">
        <w:rPr>
          <w:rFonts w:ascii="Palatino Linotype" w:hAnsi="Palatino Linotype" w:cs="Arial"/>
        </w:rPr>
        <w:t>-UERB-</w:t>
      </w:r>
      <w:r w:rsidR="00AE1EDC">
        <w:rPr>
          <w:rFonts w:ascii="Palatino Linotype" w:hAnsi="Palatino Linotype" w:cs="Arial"/>
        </w:rPr>
        <w:t>AZCA</w:t>
      </w:r>
      <w:r w:rsidR="00554B2F" w:rsidRPr="00BF150D">
        <w:rPr>
          <w:rFonts w:ascii="Palatino Linotype" w:hAnsi="Palatino Linotype" w:cs="Arial"/>
        </w:rPr>
        <w:t>-SOLT-</w:t>
      </w:r>
      <w:r w:rsidR="00554B2F" w:rsidRPr="00BF150D">
        <w:rPr>
          <w:rFonts w:ascii="Palatino Linotype" w:hAnsi="Palatino Linotype" w:cs="Arial"/>
        </w:rPr>
        <w:lastRenderedPageBreak/>
        <w:t>2014</w:t>
      </w:r>
      <w:r w:rsidR="00554B2F" w:rsidRPr="00EA4743">
        <w:rPr>
          <w:rFonts w:ascii="Palatino Linotype" w:hAnsi="Palatino Linotype" w:cs="Arial"/>
        </w:rPr>
        <w:t xml:space="preserve">, </w:t>
      </w:r>
      <w:r w:rsidR="00554B2F" w:rsidRPr="00EA4743">
        <w:rPr>
          <w:rFonts w:ascii="Palatino Linotype" w:hAnsi="Palatino Linotype"/>
        </w:rPr>
        <w:t>para la aprobación del Asentamiento Humano de Hecho y Consolidado denominado</w:t>
      </w:r>
      <w:r w:rsidR="00554B2F">
        <w:rPr>
          <w:rFonts w:ascii="Palatino Linotype" w:hAnsi="Palatino Linotype"/>
        </w:rPr>
        <w:t xml:space="preserve"> </w:t>
      </w:r>
      <w:r w:rsidR="00AE1EDC" w:rsidRPr="00AE1EDC">
        <w:rPr>
          <w:rFonts w:ascii="Palatino Linotype" w:hAnsi="Palatino Linotype" w:cs="Arial"/>
        </w:rPr>
        <w:t>Comité Central Pro-Mejoras del Barrio “Bellavista”, Quinta Etapa</w:t>
      </w:r>
      <w:r w:rsidR="00554B2F" w:rsidRPr="00AE1EDC">
        <w:rPr>
          <w:rFonts w:ascii="Palatino Linotype" w:hAnsi="Palatino Linotype"/>
        </w:rPr>
        <w:t>.</w:t>
      </w:r>
    </w:p>
    <w:p w:rsidR="00C17CCD" w:rsidRPr="00183316" w:rsidRDefault="00C17CCD" w:rsidP="00183316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En,  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 en  los artículos 30, 31, 240 y 264 numeral 1 de  la  Constitución  de la República; artículos: 84, literal c), 87, literales: a), </w:t>
      </w:r>
      <w:r w:rsidRPr="00183316">
        <w:rPr>
          <w:rFonts w:ascii="Palatino Linotype" w:hAnsi="Palatino Linotype" w:cs="Arial"/>
          <w:b/>
        </w:rPr>
        <w:t>v), x), 322 del Código Orgánico de Organización Territorial Autonomía y Descentralización; artículos: 2, numeral 1; 8, numeral 1 de la Ley Orgánica de Régimen  para  el  Distrito Metropolitano de  Quito, y artículo 2 de la  Resolución No. A0010 de 19 de marzo de 2010;</w:t>
      </w:r>
    </w:p>
    <w:p w:rsidR="003667C0" w:rsidRPr="00183316" w:rsidRDefault="00C52450" w:rsidP="00183316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183316">
        <w:rPr>
          <w:rFonts w:ascii="Palatino Linotype" w:hAnsi="Palatino Linotype"/>
          <w:b/>
          <w:sz w:val="22"/>
          <w:szCs w:val="22"/>
        </w:rPr>
        <w:t>EXPIDE</w:t>
      </w:r>
      <w:r w:rsidR="00183316">
        <w:rPr>
          <w:rFonts w:ascii="Palatino Linotype" w:hAnsi="Palatino Linotype"/>
          <w:b/>
          <w:sz w:val="22"/>
          <w:szCs w:val="22"/>
        </w:rPr>
        <w:t xml:space="preserve"> LA</w:t>
      </w:r>
      <w:r w:rsidR="0029742A">
        <w:rPr>
          <w:rFonts w:ascii="Palatino Linotype" w:hAnsi="Palatino Linotype"/>
          <w:b/>
          <w:sz w:val="22"/>
          <w:szCs w:val="22"/>
        </w:rPr>
        <w:t xml:space="preserve"> SIGUIENTE</w:t>
      </w:r>
      <w:r w:rsidR="007863C1" w:rsidRPr="00183316">
        <w:rPr>
          <w:rFonts w:ascii="Palatino Linotype" w:hAnsi="Palatino Linotype"/>
          <w:b/>
          <w:sz w:val="22"/>
          <w:szCs w:val="22"/>
        </w:rPr>
        <w:t>:</w:t>
      </w:r>
    </w:p>
    <w:p w:rsidR="00183316" w:rsidRPr="00AE1EDC" w:rsidRDefault="00183316" w:rsidP="00183316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 w:cs="Arial"/>
          <w:b/>
        </w:rPr>
      </w:pPr>
      <w:r w:rsidRPr="00183316">
        <w:rPr>
          <w:rFonts w:ascii="Palatino Linotype" w:hAnsi="Palatino Linotype" w:cs="Arial"/>
          <w:b/>
        </w:rPr>
        <w:t xml:space="preserve">ORDENANZA QUE RECONOCE Y APRUEBA EL ASENTAMIENTO HUMANO DE HECHO Y CONSOLIDADO DENOMINADO </w:t>
      </w:r>
      <w:r w:rsidR="00AE1EDC">
        <w:rPr>
          <w:rFonts w:ascii="Palatino Linotype" w:hAnsi="Palatino Linotype" w:cs="Arial"/>
          <w:b/>
        </w:rPr>
        <w:t>“COMITÉ CENTRAL PRO MEJORAS DEL BARRIO BELLAVISTA”, QUINTA ETAPA</w:t>
      </w:r>
      <w:r w:rsidRPr="00183316">
        <w:rPr>
          <w:rFonts w:ascii="Palatino Linotype" w:hAnsi="Palatino Linotype" w:cs="Arial"/>
          <w:b/>
        </w:rPr>
        <w:t xml:space="preserve">, A FAVOR DE SUS </w:t>
      </w:r>
      <w:r w:rsidRPr="00AE1EDC">
        <w:rPr>
          <w:rFonts w:ascii="Palatino Linotype" w:hAnsi="Palatino Linotype" w:cs="Arial"/>
          <w:b/>
        </w:rPr>
        <w:t xml:space="preserve">COPROPIETARIOS 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AE1EDC">
        <w:rPr>
          <w:rFonts w:ascii="Palatino Linotype" w:hAnsi="Palatino Linotype" w:cs="Arial"/>
          <w:b/>
          <w:bCs/>
          <w:sz w:val="22"/>
          <w:szCs w:val="22"/>
        </w:rPr>
        <w:t xml:space="preserve">Artículo 1.- De los </w:t>
      </w:r>
      <w:r>
        <w:rPr>
          <w:rFonts w:ascii="Palatino Linotype" w:hAnsi="Palatino Linotype" w:cs="Arial"/>
          <w:b/>
          <w:bCs/>
          <w:sz w:val="22"/>
          <w:szCs w:val="22"/>
        </w:rPr>
        <w:t>p</w:t>
      </w:r>
      <w:r w:rsidRPr="00AE1EDC">
        <w:rPr>
          <w:rFonts w:ascii="Palatino Linotype" w:hAnsi="Palatino Linotype" w:cs="Arial"/>
          <w:b/>
          <w:bCs/>
          <w:sz w:val="22"/>
          <w:szCs w:val="22"/>
        </w:rPr>
        <w:t xml:space="preserve">lanos y </w:t>
      </w:r>
      <w:r>
        <w:rPr>
          <w:rFonts w:ascii="Palatino Linotype" w:hAnsi="Palatino Linotype" w:cs="Arial"/>
          <w:b/>
          <w:bCs/>
          <w:sz w:val="22"/>
          <w:szCs w:val="22"/>
        </w:rPr>
        <w:t>d</w:t>
      </w:r>
      <w:r w:rsidRPr="00AE1EDC">
        <w:rPr>
          <w:rFonts w:ascii="Palatino Linotype" w:hAnsi="Palatino Linotype" w:cs="Arial"/>
          <w:b/>
          <w:bCs/>
          <w:sz w:val="22"/>
          <w:szCs w:val="22"/>
        </w:rPr>
        <w:t xml:space="preserve">ocumentos </w:t>
      </w:r>
      <w:r>
        <w:rPr>
          <w:rFonts w:ascii="Palatino Linotype" w:hAnsi="Palatino Linotype" w:cs="Arial"/>
          <w:b/>
          <w:bCs/>
          <w:sz w:val="22"/>
          <w:szCs w:val="22"/>
        </w:rPr>
        <w:t>p</w:t>
      </w:r>
      <w:r w:rsidRPr="00AE1EDC">
        <w:rPr>
          <w:rFonts w:ascii="Palatino Linotype" w:hAnsi="Palatino Linotype" w:cs="Arial"/>
          <w:b/>
          <w:bCs/>
          <w:sz w:val="22"/>
          <w:szCs w:val="22"/>
        </w:rPr>
        <w:t xml:space="preserve">resentados.- </w:t>
      </w:r>
      <w:r w:rsidRPr="00AE1EDC">
        <w:rPr>
          <w:rFonts w:ascii="Palatino Linotype" w:hAnsi="Palatino Linotype" w:cs="Arial"/>
          <w:sz w:val="22"/>
          <w:szCs w:val="22"/>
        </w:rPr>
        <w:t xml:space="preserve">Los planos y documentos presentados son de exclusiva responsabilidad del proyectista y de los copropietarios del </w:t>
      </w:r>
      <w:r w:rsidR="00E25C2F">
        <w:rPr>
          <w:rFonts w:ascii="Palatino Linotype" w:hAnsi="Palatino Linotype" w:cs="Arial"/>
          <w:sz w:val="22"/>
          <w:szCs w:val="22"/>
        </w:rPr>
        <w:t>a</w:t>
      </w:r>
      <w:r w:rsidRPr="00AE1EDC">
        <w:rPr>
          <w:rFonts w:ascii="Palatino Linotype" w:hAnsi="Palatino Linotype" w:cs="Arial"/>
          <w:sz w:val="22"/>
          <w:szCs w:val="22"/>
        </w:rPr>
        <w:t xml:space="preserve">sentamiento </w:t>
      </w:r>
      <w:r w:rsidR="00E25C2F">
        <w:rPr>
          <w:rFonts w:ascii="Palatino Linotype" w:hAnsi="Palatino Linotype" w:cs="Arial"/>
          <w:sz w:val="22"/>
          <w:szCs w:val="22"/>
        </w:rPr>
        <w:t>h</w:t>
      </w:r>
      <w:r w:rsidRPr="00AE1EDC">
        <w:rPr>
          <w:rFonts w:ascii="Palatino Linotype" w:hAnsi="Palatino Linotype" w:cs="Arial"/>
          <w:sz w:val="22"/>
          <w:szCs w:val="22"/>
        </w:rPr>
        <w:t xml:space="preserve">umano de </w:t>
      </w:r>
      <w:r w:rsidR="00E25C2F">
        <w:rPr>
          <w:rFonts w:ascii="Palatino Linotype" w:hAnsi="Palatino Linotype" w:cs="Arial"/>
          <w:sz w:val="22"/>
          <w:szCs w:val="22"/>
        </w:rPr>
        <w:t>h</w:t>
      </w:r>
      <w:r w:rsidRPr="00AE1EDC">
        <w:rPr>
          <w:rFonts w:ascii="Palatino Linotype" w:hAnsi="Palatino Linotype" w:cs="Arial"/>
          <w:sz w:val="22"/>
          <w:szCs w:val="22"/>
        </w:rPr>
        <w:t xml:space="preserve">echo y </w:t>
      </w:r>
      <w:r w:rsidR="00E25C2F">
        <w:rPr>
          <w:rFonts w:ascii="Palatino Linotype" w:hAnsi="Palatino Linotype" w:cs="Arial"/>
          <w:sz w:val="22"/>
          <w:szCs w:val="22"/>
        </w:rPr>
        <w:t>c</w:t>
      </w:r>
      <w:r w:rsidRPr="00AE1EDC">
        <w:rPr>
          <w:rFonts w:ascii="Palatino Linotype" w:hAnsi="Palatino Linotype" w:cs="Arial"/>
          <w:sz w:val="22"/>
          <w:szCs w:val="22"/>
        </w:rPr>
        <w:t xml:space="preserve">onsolidado denominado </w:t>
      </w:r>
      <w:r w:rsidRPr="00E25C2F">
        <w:rPr>
          <w:rFonts w:ascii="Palatino Linotype" w:hAnsi="Palatino Linotype" w:cs="Arial"/>
          <w:sz w:val="22"/>
          <w:szCs w:val="22"/>
        </w:rPr>
        <w:t>“Comité Central Pro Mejoras del Barrio Bellavista</w:t>
      </w:r>
      <w:r w:rsidR="00E25C2F">
        <w:rPr>
          <w:rFonts w:ascii="Palatino Linotype" w:hAnsi="Palatino Linotype" w:cs="Arial"/>
          <w:sz w:val="22"/>
          <w:szCs w:val="22"/>
        </w:rPr>
        <w:t>”,</w:t>
      </w:r>
      <w:r w:rsidRPr="00E25C2F">
        <w:rPr>
          <w:rFonts w:ascii="Palatino Linotype" w:hAnsi="Palatino Linotype" w:cs="Arial"/>
          <w:sz w:val="22"/>
          <w:szCs w:val="22"/>
        </w:rPr>
        <w:t xml:space="preserve"> Quinta Etapa</w:t>
      </w:r>
      <w:r w:rsidRPr="00AE1EDC">
        <w:rPr>
          <w:rFonts w:ascii="Palatino Linotype" w:hAnsi="Palatino Linotype" w:cs="Arial"/>
          <w:b/>
          <w:sz w:val="22"/>
          <w:szCs w:val="22"/>
        </w:rPr>
        <w:t>,</w:t>
      </w:r>
      <w:r w:rsidRPr="00AE1EDC">
        <w:rPr>
          <w:rFonts w:ascii="Palatino Linotype" w:hAnsi="Palatino Linotype" w:cs="Arial"/>
          <w:sz w:val="22"/>
          <w:szCs w:val="22"/>
        </w:rPr>
        <w:t xml:space="preserve"> ubicado en la </w:t>
      </w:r>
      <w:r w:rsidR="00E25C2F">
        <w:rPr>
          <w:rFonts w:ascii="Palatino Linotype" w:hAnsi="Palatino Linotype" w:cs="Arial"/>
          <w:sz w:val="22"/>
          <w:szCs w:val="22"/>
        </w:rPr>
        <w:t>p</w:t>
      </w:r>
      <w:r w:rsidRPr="00AE1EDC">
        <w:rPr>
          <w:rFonts w:ascii="Palatino Linotype" w:hAnsi="Palatino Linotype" w:cs="Arial"/>
          <w:sz w:val="22"/>
          <w:szCs w:val="22"/>
        </w:rPr>
        <w:t>arroquia Calderón</w:t>
      </w:r>
      <w:r w:rsidR="00E25C2F">
        <w:rPr>
          <w:rFonts w:ascii="Palatino Linotype" w:hAnsi="Palatino Linotype" w:cs="Arial"/>
          <w:sz w:val="22"/>
          <w:szCs w:val="22"/>
        </w:rPr>
        <w:t>,</w:t>
      </w:r>
      <w:r w:rsidRPr="00AE1EDC">
        <w:rPr>
          <w:rFonts w:ascii="Palatino Linotype" w:hAnsi="Palatino Linotype" w:cs="Arial"/>
          <w:sz w:val="22"/>
          <w:szCs w:val="22"/>
        </w:rPr>
        <w:t xml:space="preserve"> </w:t>
      </w:r>
      <w:r w:rsidRPr="00AE1EDC">
        <w:rPr>
          <w:rFonts w:ascii="Palatino Linotype" w:hAnsi="Palatino Linotype" w:cs="Arial"/>
          <w:bCs/>
          <w:sz w:val="22"/>
          <w:szCs w:val="22"/>
        </w:rPr>
        <w:t xml:space="preserve">sin </w:t>
      </w:r>
      <w:r w:rsidRPr="00AE1EDC">
        <w:rPr>
          <w:rFonts w:ascii="Palatino Linotype" w:hAnsi="Palatino Linotype" w:cs="Arial"/>
          <w:sz w:val="22"/>
          <w:szCs w:val="22"/>
        </w:rPr>
        <w:t xml:space="preserve">perjuicio de la responsabilidad de quienes revisaron los planos y los documentos legales, excepto </w:t>
      </w:r>
      <w:r w:rsidR="00E25C2F">
        <w:rPr>
          <w:rFonts w:ascii="Palatino Linotype" w:hAnsi="Palatino Linotype" w:cs="Arial"/>
          <w:sz w:val="22"/>
          <w:szCs w:val="22"/>
        </w:rPr>
        <w:t>en</w:t>
      </w:r>
      <w:r w:rsidR="00CF767D">
        <w:rPr>
          <w:rFonts w:ascii="Palatino Linotype" w:hAnsi="Palatino Linotype" w:cs="Arial"/>
          <w:sz w:val="22"/>
          <w:szCs w:val="22"/>
        </w:rPr>
        <w:t xml:space="preserve"> </w:t>
      </w:r>
      <w:r w:rsidR="00E25C2F">
        <w:rPr>
          <w:rFonts w:ascii="Palatino Linotype" w:hAnsi="Palatino Linotype" w:cs="Arial"/>
          <w:sz w:val="22"/>
          <w:szCs w:val="22"/>
        </w:rPr>
        <w:t xml:space="preserve">caso </w:t>
      </w:r>
      <w:r w:rsidRPr="00AE1EDC">
        <w:rPr>
          <w:rFonts w:ascii="Palatino Linotype" w:hAnsi="Palatino Linotype" w:cs="Arial"/>
          <w:sz w:val="22"/>
          <w:szCs w:val="22"/>
        </w:rPr>
        <w:t>que hayan sido inducidos a engaño.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AE1EDC">
        <w:rPr>
          <w:rFonts w:ascii="Palatino Linotype" w:hAnsi="Palatino Linotype" w:cs="Arial"/>
          <w:sz w:val="22"/>
          <w:szCs w:val="22"/>
        </w:rPr>
        <w:t>En caso de comprobarse ocultación o falsedad en planos, datos, documentos</w:t>
      </w:r>
      <w:r w:rsidR="00E25C2F">
        <w:rPr>
          <w:rFonts w:ascii="Palatino Linotype" w:hAnsi="Palatino Linotype" w:cs="Arial"/>
          <w:sz w:val="22"/>
          <w:szCs w:val="22"/>
        </w:rPr>
        <w:t>;</w:t>
      </w:r>
      <w:r w:rsidRPr="00AE1EDC">
        <w:rPr>
          <w:rFonts w:ascii="Palatino Linotype" w:hAnsi="Palatino Linotype" w:cs="Arial"/>
          <w:sz w:val="22"/>
          <w:szCs w:val="22"/>
        </w:rPr>
        <w:t xml:space="preserve"> o</w:t>
      </w:r>
      <w:r w:rsidR="00E25C2F">
        <w:rPr>
          <w:rFonts w:ascii="Palatino Linotype" w:hAnsi="Palatino Linotype" w:cs="Arial"/>
          <w:sz w:val="22"/>
          <w:szCs w:val="22"/>
        </w:rPr>
        <w:t>,</w:t>
      </w:r>
      <w:r w:rsidRPr="00AE1EDC">
        <w:rPr>
          <w:rFonts w:ascii="Palatino Linotype" w:hAnsi="Palatino Linotype" w:cs="Arial"/>
          <w:sz w:val="22"/>
          <w:szCs w:val="22"/>
        </w:rPr>
        <w:t xml:space="preserve"> de existir reclamos de terceros afectados, será de exclusiva responsabilidad del técnico contratado por el barrio y de los copropietarios del predio.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AE1EDC">
        <w:rPr>
          <w:rFonts w:ascii="Palatino Linotype" w:hAnsi="Palatino Linotype" w:cs="Arial"/>
          <w:sz w:val="22"/>
          <w:szCs w:val="22"/>
        </w:rPr>
        <w:t xml:space="preserve">Las dimensiones, superficies de los lotes son las determinadas en el plano aprobatorio, el cual forma parte integrante de esta ordenanza, siendo en el futuro indivisibles. </w:t>
      </w:r>
    </w:p>
    <w:p w:rsidR="00AE1EDC" w:rsidRDefault="00AE1EDC" w:rsidP="00AE1EDC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AE1EDC">
        <w:rPr>
          <w:rFonts w:ascii="Palatino Linotype" w:hAnsi="Palatino Linotype"/>
          <w:sz w:val="22"/>
          <w:szCs w:val="22"/>
        </w:rPr>
        <w:t>Por las condiciones de asentamiento humano de hecho y consolidado, se lo aprueba considerándolo de interés social.</w:t>
      </w:r>
    </w:p>
    <w:p w:rsidR="00AE1EDC" w:rsidRPr="00AE1EDC" w:rsidRDefault="00E25C2F" w:rsidP="00AE1EDC">
      <w:p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Artículo 2.- Especificaciones t</w:t>
      </w:r>
      <w:r w:rsidR="00AE1EDC" w:rsidRPr="00AE1EDC">
        <w:rPr>
          <w:rFonts w:ascii="Palatino Linotype" w:hAnsi="Palatino Linotype" w:cs="Arial"/>
          <w:b/>
          <w:bCs/>
          <w:sz w:val="22"/>
          <w:szCs w:val="22"/>
        </w:rPr>
        <w:t xml:space="preserve">écnicas. </w:t>
      </w:r>
      <w:r>
        <w:rPr>
          <w:rFonts w:ascii="Palatino Linotype" w:hAnsi="Palatino Linotype" w:cs="Arial"/>
          <w:b/>
          <w:bCs/>
          <w:sz w:val="22"/>
          <w:szCs w:val="22"/>
        </w:rPr>
        <w:t>-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t>Zonificación actual:</w:t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ab/>
        <w:t xml:space="preserve">        </w:t>
      </w:r>
      <w:r w:rsidR="00E25C2F">
        <w:rPr>
          <w:rFonts w:ascii="Palatino Linotype" w:hAnsi="Palatino Linotype" w:cs="Arial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>D3 (D203-80)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Lote </w:t>
      </w:r>
      <w:r w:rsid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t>m</w:t>
      </w:r>
      <w:r w:rsidRP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t>ínimo:</w:t>
      </w:r>
      <w:r w:rsidRP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tab/>
      </w:r>
      <w:r w:rsidRP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 xml:space="preserve">        </w:t>
      </w:r>
      <w:r w:rsidR="00E25C2F">
        <w:rPr>
          <w:rFonts w:ascii="Palatino Linotype" w:hAnsi="Palatino Linotype" w:cs="Arial"/>
          <w:color w:val="000000" w:themeColor="text1"/>
          <w:sz w:val="22"/>
          <w:szCs w:val="22"/>
        </w:rPr>
        <w:tab/>
      </w:r>
      <w:r w:rsidR="00E25C2F">
        <w:rPr>
          <w:rFonts w:ascii="Palatino Linotype" w:hAnsi="Palatino Linotype" w:cs="Arial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>200 m</w:t>
      </w:r>
      <w:r w:rsidRPr="00E25C2F">
        <w:rPr>
          <w:rFonts w:ascii="Palatino Linotype" w:hAnsi="Palatino Linotype" w:cs="Arial"/>
          <w:color w:val="000000" w:themeColor="text1"/>
          <w:sz w:val="22"/>
          <w:szCs w:val="22"/>
          <w:vertAlign w:val="superscript"/>
        </w:rPr>
        <w:t>2</w:t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 xml:space="preserve">   </w:t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  <w:vertAlign w:val="superscript"/>
        </w:rPr>
        <w:t xml:space="preserve">               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Forma </w:t>
      </w:r>
      <w:r w:rsid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t>o</w:t>
      </w:r>
      <w:r w:rsidRP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cupación del </w:t>
      </w:r>
      <w:r w:rsid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t>s</w:t>
      </w:r>
      <w:r w:rsidRP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uelo: </w:t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 xml:space="preserve">   </w:t>
      </w:r>
      <w:r w:rsidR="00E25C2F">
        <w:rPr>
          <w:rFonts w:ascii="Palatino Linotype" w:hAnsi="Palatino Linotype" w:cs="Arial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>(D) Sobre línea de fabrica</w:t>
      </w:r>
    </w:p>
    <w:p w:rsidR="00AE1EDC" w:rsidRPr="00AE1EDC" w:rsidRDefault="00AE1EDC" w:rsidP="00AE1EDC">
      <w:pPr>
        <w:spacing w:before="240" w:line="276" w:lineRule="auto"/>
        <w:ind w:left="3540" w:hanging="3540"/>
        <w:jc w:val="both"/>
        <w:rPr>
          <w:rFonts w:ascii="Palatino Linotype" w:hAnsi="Palatino Linotype" w:cs="Arial"/>
          <w:color w:val="000000" w:themeColor="text1"/>
          <w:sz w:val="22"/>
          <w:szCs w:val="22"/>
          <w:highlight w:val="yellow"/>
        </w:rPr>
      </w:pPr>
      <w:r w:rsidRPr="00E25C2F">
        <w:rPr>
          <w:rFonts w:ascii="Palatino Linotype" w:hAnsi="Palatino Linotype" w:cs="Arial"/>
          <w:b/>
          <w:color w:val="000000" w:themeColor="text1"/>
          <w:sz w:val="22"/>
          <w:szCs w:val="22"/>
        </w:rPr>
        <w:lastRenderedPageBreak/>
        <w:t>Uso principal:</w:t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 xml:space="preserve">                           </w:t>
      </w:r>
      <w:r w:rsidR="00E25C2F">
        <w:rPr>
          <w:rFonts w:ascii="Palatino Linotype" w:hAnsi="Palatino Linotype" w:cs="Arial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 xml:space="preserve">(R2) Residencia </w:t>
      </w:r>
      <w:r w:rsidR="00E25C2F">
        <w:rPr>
          <w:rFonts w:ascii="Palatino Linotype" w:hAnsi="Palatino Linotype" w:cs="Arial"/>
          <w:color w:val="000000" w:themeColor="text1"/>
          <w:sz w:val="22"/>
          <w:szCs w:val="22"/>
        </w:rPr>
        <w:t>m</w:t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 xml:space="preserve">ediana </w:t>
      </w:r>
      <w:r w:rsidR="00E25C2F">
        <w:rPr>
          <w:rFonts w:ascii="Palatino Linotype" w:hAnsi="Palatino Linotype" w:cs="Arial"/>
          <w:color w:val="000000" w:themeColor="text1"/>
          <w:sz w:val="22"/>
          <w:szCs w:val="22"/>
        </w:rPr>
        <w:t>d</w:t>
      </w:r>
      <w:r w:rsidRPr="00AE1EDC">
        <w:rPr>
          <w:rFonts w:ascii="Palatino Linotype" w:hAnsi="Palatino Linotype" w:cs="Arial"/>
          <w:color w:val="000000" w:themeColor="text1"/>
          <w:sz w:val="22"/>
          <w:szCs w:val="22"/>
        </w:rPr>
        <w:t>ensidad</w:t>
      </w:r>
    </w:p>
    <w:p w:rsidR="00AE1EDC" w:rsidRPr="00AE1EDC" w:rsidRDefault="00AE1EDC" w:rsidP="00AE1EDC">
      <w:pPr>
        <w:pStyle w:val="Ttulo3"/>
        <w:spacing w:after="0" w:line="276" w:lineRule="auto"/>
        <w:jc w:val="both"/>
        <w:rPr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E25C2F">
        <w:rPr>
          <w:rFonts w:ascii="Palatino Linotype" w:hAnsi="Palatino Linotype"/>
          <w:color w:val="000000" w:themeColor="text1"/>
          <w:sz w:val="22"/>
          <w:szCs w:val="22"/>
        </w:rPr>
        <w:t xml:space="preserve">Número de </w:t>
      </w:r>
      <w:r w:rsidR="00E25C2F" w:rsidRPr="00E25C2F">
        <w:rPr>
          <w:rFonts w:ascii="Palatino Linotype" w:hAnsi="Palatino Linotype"/>
          <w:color w:val="000000" w:themeColor="text1"/>
          <w:sz w:val="22"/>
          <w:szCs w:val="22"/>
        </w:rPr>
        <w:t>l</w:t>
      </w:r>
      <w:r w:rsidRPr="00E25C2F">
        <w:rPr>
          <w:rFonts w:ascii="Palatino Linotype" w:hAnsi="Palatino Linotype"/>
          <w:color w:val="000000" w:themeColor="text1"/>
          <w:sz w:val="22"/>
          <w:szCs w:val="22"/>
        </w:rPr>
        <w:t>otes:</w:t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ab/>
        <w:t>12</w:t>
      </w:r>
    </w:p>
    <w:p w:rsidR="00AE1EDC" w:rsidRPr="00AE1EDC" w:rsidRDefault="00AE1EDC" w:rsidP="00AE1EDC">
      <w:pPr>
        <w:pStyle w:val="Ttulo3"/>
        <w:spacing w:after="0" w:line="276" w:lineRule="auto"/>
        <w:jc w:val="both"/>
        <w:rPr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E25C2F">
        <w:rPr>
          <w:rFonts w:ascii="Palatino Linotype" w:hAnsi="Palatino Linotype"/>
          <w:color w:val="000000" w:themeColor="text1"/>
          <w:sz w:val="22"/>
          <w:szCs w:val="22"/>
        </w:rPr>
        <w:t xml:space="preserve">Área </w:t>
      </w:r>
      <w:r w:rsidR="00E25C2F" w:rsidRPr="00E25C2F">
        <w:rPr>
          <w:rFonts w:ascii="Palatino Linotype" w:hAnsi="Palatino Linotype"/>
          <w:color w:val="000000" w:themeColor="text1"/>
          <w:sz w:val="22"/>
          <w:szCs w:val="22"/>
        </w:rPr>
        <w:t>ú</w:t>
      </w:r>
      <w:r w:rsidRPr="00E25C2F">
        <w:rPr>
          <w:rFonts w:ascii="Palatino Linotype" w:hAnsi="Palatino Linotype"/>
          <w:color w:val="000000" w:themeColor="text1"/>
          <w:sz w:val="22"/>
          <w:szCs w:val="22"/>
        </w:rPr>
        <w:t xml:space="preserve">til de </w:t>
      </w:r>
      <w:r w:rsidR="00E25C2F" w:rsidRPr="00E25C2F">
        <w:rPr>
          <w:rFonts w:ascii="Palatino Linotype" w:hAnsi="Palatino Linotype"/>
          <w:color w:val="000000" w:themeColor="text1"/>
          <w:sz w:val="22"/>
          <w:szCs w:val="22"/>
        </w:rPr>
        <w:t>l</w:t>
      </w:r>
      <w:r w:rsidRPr="00E25C2F">
        <w:rPr>
          <w:rFonts w:ascii="Palatino Linotype" w:hAnsi="Palatino Linotype"/>
          <w:color w:val="000000" w:themeColor="text1"/>
          <w:sz w:val="22"/>
          <w:szCs w:val="22"/>
        </w:rPr>
        <w:t>otes:</w:t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ab/>
        <w:t xml:space="preserve">         </w:t>
      </w:r>
      <w:r w:rsidR="00E25C2F">
        <w:rPr>
          <w:rFonts w:ascii="Palatino Linotype" w:hAnsi="Palatino Linotype"/>
          <w:b w:val="0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>4.709,57 m</w:t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  <w:vertAlign w:val="superscript"/>
        </w:rPr>
        <w:t>2</w:t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 xml:space="preserve">           </w:t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ab/>
        <w:t xml:space="preserve">     </w:t>
      </w:r>
    </w:p>
    <w:p w:rsidR="00AE1EDC" w:rsidRPr="00E25C2F" w:rsidRDefault="00AE1EDC" w:rsidP="00AE1EDC">
      <w:pPr>
        <w:pStyle w:val="Ttulo3"/>
        <w:spacing w:after="0" w:line="276" w:lineRule="auto"/>
        <w:jc w:val="both"/>
        <w:rPr>
          <w:rFonts w:ascii="Palatino Linotype" w:hAnsi="Palatino Linotype"/>
          <w:b w:val="0"/>
          <w:color w:val="000000" w:themeColor="text1"/>
          <w:sz w:val="22"/>
          <w:szCs w:val="22"/>
          <w:vertAlign w:val="superscript"/>
        </w:rPr>
      </w:pPr>
      <w:r w:rsidRPr="00AE1EDC">
        <w:rPr>
          <w:rFonts w:ascii="Palatino Linotype" w:hAnsi="Palatino Linotype"/>
          <w:color w:val="000000" w:themeColor="text1"/>
          <w:sz w:val="22"/>
          <w:szCs w:val="22"/>
        </w:rPr>
        <w:t xml:space="preserve">Área </w:t>
      </w:r>
      <w:r w:rsidR="00E25C2F">
        <w:rPr>
          <w:rFonts w:ascii="Palatino Linotype" w:hAnsi="Palatino Linotype"/>
          <w:color w:val="000000" w:themeColor="text1"/>
          <w:sz w:val="22"/>
          <w:szCs w:val="22"/>
        </w:rPr>
        <w:t>t</w:t>
      </w:r>
      <w:r w:rsidRPr="00AE1EDC">
        <w:rPr>
          <w:rFonts w:ascii="Palatino Linotype" w:hAnsi="Palatino Linotype"/>
          <w:color w:val="000000" w:themeColor="text1"/>
          <w:sz w:val="22"/>
          <w:szCs w:val="22"/>
        </w:rPr>
        <w:t xml:space="preserve">otal de </w:t>
      </w:r>
      <w:r w:rsidR="004C5237">
        <w:rPr>
          <w:rFonts w:ascii="Palatino Linotype" w:hAnsi="Palatino Linotype"/>
          <w:color w:val="000000" w:themeColor="text1"/>
          <w:sz w:val="22"/>
          <w:szCs w:val="22"/>
        </w:rPr>
        <w:t>p</w:t>
      </w:r>
      <w:r w:rsidRPr="00AE1EDC">
        <w:rPr>
          <w:rFonts w:ascii="Palatino Linotype" w:hAnsi="Palatino Linotype"/>
          <w:color w:val="000000" w:themeColor="text1"/>
          <w:sz w:val="22"/>
          <w:szCs w:val="22"/>
        </w:rPr>
        <w:t>redio (</w:t>
      </w:r>
      <w:proofErr w:type="spellStart"/>
      <w:r w:rsidRPr="00AE1EDC">
        <w:rPr>
          <w:rFonts w:ascii="Palatino Linotype" w:hAnsi="Palatino Linotype"/>
          <w:color w:val="000000" w:themeColor="text1"/>
          <w:sz w:val="22"/>
          <w:szCs w:val="22"/>
        </w:rPr>
        <w:t>lev</w:t>
      </w:r>
      <w:proofErr w:type="spellEnd"/>
      <w:r w:rsidRPr="00AE1ED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E25C2F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="00E25C2F">
        <w:rPr>
          <w:rFonts w:ascii="Palatino Linotype" w:hAnsi="Palatino Linotype"/>
          <w:color w:val="000000" w:themeColor="text1"/>
          <w:sz w:val="22"/>
          <w:szCs w:val="22"/>
        </w:rPr>
        <w:t>topog</w:t>
      </w:r>
      <w:proofErr w:type="spellEnd"/>
      <w:r w:rsidR="00E25C2F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Pr="00AE1EDC">
        <w:rPr>
          <w:rFonts w:ascii="Palatino Linotype" w:hAnsi="Palatino Linotype"/>
          <w:color w:val="000000" w:themeColor="text1"/>
          <w:sz w:val="22"/>
          <w:szCs w:val="22"/>
        </w:rPr>
        <w:t>):</w:t>
      </w:r>
      <w:r w:rsidRPr="00AE1EDC">
        <w:rPr>
          <w:rFonts w:ascii="Palatino Linotype" w:hAnsi="Palatino Linotype"/>
          <w:color w:val="000000" w:themeColor="text1"/>
          <w:sz w:val="22"/>
          <w:szCs w:val="22"/>
        </w:rPr>
        <w:tab/>
      </w:r>
      <w:r w:rsidRPr="00E25C2F">
        <w:rPr>
          <w:rFonts w:ascii="Palatino Linotype" w:hAnsi="Palatino Linotype"/>
          <w:b w:val="0"/>
          <w:color w:val="000000" w:themeColor="text1"/>
          <w:sz w:val="22"/>
          <w:szCs w:val="22"/>
        </w:rPr>
        <w:t>4.709,57</w:t>
      </w:r>
      <w:r w:rsidR="00E25C2F">
        <w:rPr>
          <w:rFonts w:ascii="Palatino Linotype" w:hAnsi="Palatino Linotype"/>
          <w:b w:val="0"/>
          <w:color w:val="000000" w:themeColor="text1"/>
          <w:sz w:val="22"/>
          <w:szCs w:val="22"/>
        </w:rPr>
        <w:t xml:space="preserve"> </w:t>
      </w:r>
      <w:r w:rsidRPr="00E25C2F">
        <w:rPr>
          <w:rFonts w:ascii="Palatino Linotype" w:hAnsi="Palatino Linotype"/>
          <w:b w:val="0"/>
          <w:color w:val="000000" w:themeColor="text1"/>
          <w:sz w:val="22"/>
          <w:szCs w:val="22"/>
        </w:rPr>
        <w:t>m</w:t>
      </w:r>
      <w:r w:rsidRPr="00E25C2F">
        <w:rPr>
          <w:rFonts w:ascii="Palatino Linotype" w:hAnsi="Palatino Linotype"/>
          <w:b w:val="0"/>
          <w:color w:val="000000" w:themeColor="text1"/>
          <w:sz w:val="22"/>
          <w:szCs w:val="22"/>
          <w:vertAlign w:val="superscript"/>
        </w:rPr>
        <w:t>2</w:t>
      </w:r>
    </w:p>
    <w:p w:rsidR="00AE1EDC" w:rsidRPr="00AE1EDC" w:rsidRDefault="00AE1EDC" w:rsidP="00AE1EDC">
      <w:pPr>
        <w:pStyle w:val="Ttulo3"/>
        <w:spacing w:after="0" w:line="276" w:lineRule="auto"/>
        <w:jc w:val="both"/>
        <w:rPr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E25C2F">
        <w:rPr>
          <w:rFonts w:ascii="Palatino Linotype" w:hAnsi="Palatino Linotype"/>
          <w:color w:val="000000" w:themeColor="text1"/>
          <w:sz w:val="22"/>
          <w:szCs w:val="22"/>
        </w:rPr>
        <w:t>Área del lote 1:</w:t>
      </w:r>
      <w:r w:rsidR="00E25C2F">
        <w:rPr>
          <w:rFonts w:ascii="Palatino Linotype" w:hAnsi="Palatino Linotype"/>
          <w:color w:val="000000" w:themeColor="text1"/>
          <w:sz w:val="22"/>
          <w:szCs w:val="22"/>
        </w:rPr>
        <w:tab/>
      </w:r>
      <w:r w:rsidR="00E25C2F">
        <w:rPr>
          <w:rFonts w:ascii="Palatino Linotype" w:hAnsi="Palatino Linotype"/>
          <w:color w:val="000000" w:themeColor="text1"/>
          <w:sz w:val="22"/>
          <w:szCs w:val="22"/>
        </w:rPr>
        <w:tab/>
      </w:r>
      <w:r w:rsidR="00E25C2F">
        <w:rPr>
          <w:rFonts w:ascii="Palatino Linotype" w:hAnsi="Palatino Linotype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>2.299,90</w:t>
      </w:r>
      <w:r w:rsidR="00E25C2F">
        <w:rPr>
          <w:rFonts w:ascii="Palatino Linotype" w:hAnsi="Palatino Linotype"/>
          <w:b w:val="0"/>
          <w:color w:val="000000" w:themeColor="text1"/>
          <w:sz w:val="22"/>
          <w:szCs w:val="22"/>
        </w:rPr>
        <w:t xml:space="preserve"> </w:t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  <w:lang w:val="es-MX"/>
        </w:rPr>
        <w:t>m</w:t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  <w:vertAlign w:val="superscript"/>
          <w:lang w:val="es-MX"/>
        </w:rPr>
        <w:t>2</w:t>
      </w:r>
    </w:p>
    <w:p w:rsidR="00AE1EDC" w:rsidRPr="00E25C2F" w:rsidRDefault="00AE1EDC" w:rsidP="00AE1EDC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E25C2F">
        <w:rPr>
          <w:rFonts w:ascii="Palatino Linotype" w:hAnsi="Palatino Linotype" w:cs="Arial"/>
          <w:b/>
          <w:sz w:val="22"/>
          <w:szCs w:val="22"/>
        </w:rPr>
        <w:t>Área del lote 3:</w:t>
      </w:r>
      <w:r w:rsidR="00E25C2F">
        <w:rPr>
          <w:rFonts w:ascii="Palatino Linotype" w:hAnsi="Palatino Linotype" w:cs="Arial"/>
          <w:sz w:val="22"/>
          <w:szCs w:val="22"/>
        </w:rPr>
        <w:t xml:space="preserve"> </w:t>
      </w:r>
      <w:r w:rsidR="00E25C2F">
        <w:rPr>
          <w:rFonts w:ascii="Palatino Linotype" w:hAnsi="Palatino Linotype" w:cs="Arial"/>
          <w:sz w:val="22"/>
          <w:szCs w:val="22"/>
        </w:rPr>
        <w:tab/>
      </w:r>
      <w:r w:rsidR="00E25C2F">
        <w:rPr>
          <w:rFonts w:ascii="Palatino Linotype" w:hAnsi="Palatino Linotype" w:cs="Arial"/>
          <w:sz w:val="22"/>
          <w:szCs w:val="22"/>
        </w:rPr>
        <w:tab/>
      </w:r>
      <w:r w:rsidR="00E25C2F">
        <w:rPr>
          <w:rFonts w:ascii="Palatino Linotype" w:hAnsi="Palatino Linotype" w:cs="Arial"/>
          <w:sz w:val="22"/>
          <w:szCs w:val="22"/>
        </w:rPr>
        <w:tab/>
      </w:r>
      <w:r w:rsidRPr="00E25C2F">
        <w:rPr>
          <w:rFonts w:ascii="Palatino Linotype" w:hAnsi="Palatino Linotype" w:cs="Arial"/>
          <w:sz w:val="22"/>
          <w:szCs w:val="22"/>
        </w:rPr>
        <w:t>2.409,67</w:t>
      </w:r>
      <w:r w:rsidR="00E25C2F">
        <w:rPr>
          <w:rFonts w:ascii="Palatino Linotype" w:hAnsi="Palatino Linotype" w:cs="Arial"/>
          <w:sz w:val="22"/>
          <w:szCs w:val="22"/>
        </w:rPr>
        <w:t xml:space="preserve"> </w:t>
      </w:r>
      <w:r w:rsidRPr="00E25C2F">
        <w:rPr>
          <w:rFonts w:ascii="Palatino Linotype" w:hAnsi="Palatino Linotype" w:cs="Arial"/>
          <w:color w:val="000000" w:themeColor="text1"/>
          <w:sz w:val="22"/>
          <w:szCs w:val="22"/>
          <w:lang w:val="es-MX"/>
        </w:rPr>
        <w:t>m</w:t>
      </w:r>
      <w:r w:rsidRPr="00E25C2F">
        <w:rPr>
          <w:rFonts w:ascii="Palatino Linotype" w:hAnsi="Palatino Linotype" w:cs="Arial"/>
          <w:color w:val="000000" w:themeColor="text1"/>
          <w:sz w:val="22"/>
          <w:szCs w:val="22"/>
          <w:vertAlign w:val="superscript"/>
          <w:lang w:val="es-MX"/>
        </w:rPr>
        <w:t>2</w:t>
      </w:r>
    </w:p>
    <w:p w:rsidR="00AE1EDC" w:rsidRPr="00AE1EDC" w:rsidRDefault="00AE1EDC" w:rsidP="00AE1EDC">
      <w:pPr>
        <w:pStyle w:val="Ttulo3"/>
        <w:spacing w:after="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  <w:highlight w:val="yellow"/>
        </w:rPr>
      </w:pPr>
      <w:r w:rsidRPr="004C5237">
        <w:rPr>
          <w:rFonts w:ascii="Palatino Linotype" w:hAnsi="Palatino Linotype"/>
          <w:color w:val="000000" w:themeColor="text1"/>
          <w:sz w:val="22"/>
          <w:szCs w:val="22"/>
        </w:rPr>
        <w:t xml:space="preserve">Área </w:t>
      </w:r>
      <w:r w:rsidR="00E25C2F" w:rsidRPr="004C5237">
        <w:rPr>
          <w:rFonts w:ascii="Palatino Linotype" w:hAnsi="Palatino Linotype"/>
          <w:color w:val="000000" w:themeColor="text1"/>
          <w:sz w:val="22"/>
          <w:szCs w:val="22"/>
        </w:rPr>
        <w:t>t</w:t>
      </w:r>
      <w:r w:rsidRPr="004C5237">
        <w:rPr>
          <w:rFonts w:ascii="Palatino Linotype" w:hAnsi="Palatino Linotype"/>
          <w:color w:val="000000" w:themeColor="text1"/>
          <w:sz w:val="22"/>
          <w:szCs w:val="22"/>
        </w:rPr>
        <w:t xml:space="preserve">otal de los 2 </w:t>
      </w:r>
      <w:r w:rsidR="00E25C2F" w:rsidRPr="004C5237">
        <w:rPr>
          <w:rFonts w:ascii="Palatino Linotype" w:hAnsi="Palatino Linotype"/>
          <w:color w:val="000000" w:themeColor="text1"/>
          <w:sz w:val="22"/>
          <w:szCs w:val="22"/>
        </w:rPr>
        <w:t>p</w:t>
      </w:r>
      <w:r w:rsidRPr="004C5237">
        <w:rPr>
          <w:rFonts w:ascii="Palatino Linotype" w:hAnsi="Palatino Linotype"/>
          <w:color w:val="000000" w:themeColor="text1"/>
          <w:sz w:val="22"/>
          <w:szCs w:val="22"/>
        </w:rPr>
        <w:t>redios (</w:t>
      </w:r>
      <w:r w:rsidR="00E25C2F" w:rsidRPr="004C5237">
        <w:rPr>
          <w:rFonts w:ascii="Palatino Linotype" w:hAnsi="Palatino Linotype"/>
          <w:color w:val="000000" w:themeColor="text1"/>
          <w:sz w:val="22"/>
          <w:szCs w:val="22"/>
        </w:rPr>
        <w:t>e</w:t>
      </w:r>
      <w:r w:rsidRPr="004C5237">
        <w:rPr>
          <w:rFonts w:ascii="Palatino Linotype" w:hAnsi="Palatino Linotype"/>
          <w:color w:val="000000" w:themeColor="text1"/>
          <w:sz w:val="22"/>
          <w:szCs w:val="22"/>
        </w:rPr>
        <w:t>scrit.):</w:t>
      </w:r>
      <w:r w:rsidRPr="00AE1EDC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E25C2F">
        <w:rPr>
          <w:rFonts w:ascii="Palatino Linotype" w:hAnsi="Palatino Linotype"/>
          <w:color w:val="000000" w:themeColor="text1"/>
          <w:sz w:val="22"/>
          <w:szCs w:val="22"/>
        </w:rPr>
        <w:tab/>
      </w:r>
      <w:r w:rsidRPr="00E25C2F">
        <w:rPr>
          <w:rFonts w:ascii="Palatino Linotype" w:hAnsi="Palatino Linotype"/>
          <w:b w:val="0"/>
          <w:color w:val="000000" w:themeColor="text1"/>
          <w:sz w:val="22"/>
          <w:szCs w:val="22"/>
        </w:rPr>
        <w:t>4.417,00</w:t>
      </w:r>
      <w:r w:rsidRPr="00E25C2F">
        <w:rPr>
          <w:rFonts w:ascii="Palatino Linotype" w:hAnsi="Palatino Linotype"/>
          <w:b w:val="0"/>
          <w:color w:val="000000" w:themeColor="text1"/>
          <w:sz w:val="22"/>
          <w:szCs w:val="22"/>
          <w:lang w:val="es-MX"/>
        </w:rPr>
        <w:t xml:space="preserve"> m</w:t>
      </w:r>
      <w:r w:rsidRPr="00E25C2F">
        <w:rPr>
          <w:rFonts w:ascii="Palatino Linotype" w:hAnsi="Palatino Linotype"/>
          <w:b w:val="0"/>
          <w:color w:val="000000" w:themeColor="text1"/>
          <w:sz w:val="22"/>
          <w:szCs w:val="22"/>
          <w:vertAlign w:val="superscript"/>
          <w:lang w:val="es-MX"/>
        </w:rPr>
        <w:t>2</w:t>
      </w:r>
      <w:r w:rsidRPr="00AE1EDC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 xml:space="preserve">           </w:t>
      </w:r>
    </w:p>
    <w:p w:rsidR="00AE1EDC" w:rsidRPr="00AE1EDC" w:rsidRDefault="00AE1EDC" w:rsidP="00AE1EDC">
      <w:pPr>
        <w:pStyle w:val="Ttulo3"/>
        <w:spacing w:after="0" w:line="276" w:lineRule="auto"/>
        <w:jc w:val="both"/>
        <w:rPr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4C5237">
        <w:rPr>
          <w:rFonts w:ascii="Palatino Linotype" w:hAnsi="Palatino Linotype"/>
          <w:color w:val="000000" w:themeColor="text1"/>
          <w:sz w:val="22"/>
          <w:szCs w:val="22"/>
        </w:rPr>
        <w:t>Área del lote 1:</w:t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 xml:space="preserve">          </w:t>
      </w:r>
      <w:r w:rsidR="008633AB">
        <w:rPr>
          <w:rFonts w:ascii="Palatino Linotype" w:hAnsi="Palatino Linotype"/>
          <w:b w:val="0"/>
          <w:color w:val="000000" w:themeColor="text1"/>
          <w:sz w:val="22"/>
          <w:szCs w:val="22"/>
        </w:rPr>
        <w:tab/>
      </w:r>
      <w:r w:rsidR="008633AB">
        <w:rPr>
          <w:rFonts w:ascii="Palatino Linotype" w:hAnsi="Palatino Linotype"/>
          <w:b w:val="0"/>
          <w:color w:val="000000" w:themeColor="text1"/>
          <w:sz w:val="22"/>
          <w:szCs w:val="22"/>
        </w:rPr>
        <w:tab/>
      </w:r>
      <w:r w:rsidR="008633AB">
        <w:rPr>
          <w:rFonts w:ascii="Palatino Linotype" w:hAnsi="Palatino Linotype"/>
          <w:b w:val="0"/>
          <w:color w:val="000000" w:themeColor="text1"/>
          <w:sz w:val="22"/>
          <w:szCs w:val="22"/>
        </w:rPr>
        <w:tab/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</w:rPr>
        <w:t>2.239,00</w:t>
      </w:r>
      <w:r w:rsidR="008633AB">
        <w:rPr>
          <w:rFonts w:ascii="Palatino Linotype" w:hAnsi="Palatino Linotype"/>
          <w:b w:val="0"/>
          <w:color w:val="000000" w:themeColor="text1"/>
          <w:sz w:val="22"/>
          <w:szCs w:val="22"/>
        </w:rPr>
        <w:t xml:space="preserve"> </w:t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  <w:lang w:val="es-MX"/>
        </w:rPr>
        <w:t>m</w:t>
      </w:r>
      <w:r w:rsidRPr="00AE1EDC">
        <w:rPr>
          <w:rFonts w:ascii="Palatino Linotype" w:hAnsi="Palatino Linotype"/>
          <w:b w:val="0"/>
          <w:color w:val="000000" w:themeColor="text1"/>
          <w:sz w:val="22"/>
          <w:szCs w:val="22"/>
          <w:vertAlign w:val="superscript"/>
          <w:lang w:val="es-MX"/>
        </w:rPr>
        <w:t>2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C5237">
        <w:rPr>
          <w:rFonts w:ascii="Palatino Linotype" w:hAnsi="Palatino Linotype" w:cs="Arial"/>
          <w:b/>
          <w:sz w:val="22"/>
          <w:szCs w:val="22"/>
        </w:rPr>
        <w:t xml:space="preserve">Área del lote 3: </w:t>
      </w:r>
      <w:r w:rsidR="008633AB" w:rsidRPr="004C5237">
        <w:rPr>
          <w:rFonts w:ascii="Palatino Linotype" w:hAnsi="Palatino Linotype" w:cs="Arial"/>
          <w:b/>
          <w:sz w:val="22"/>
          <w:szCs w:val="22"/>
        </w:rPr>
        <w:tab/>
      </w:r>
      <w:r w:rsidR="008633AB">
        <w:rPr>
          <w:rFonts w:ascii="Palatino Linotype" w:hAnsi="Palatino Linotype" w:cs="Arial"/>
          <w:sz w:val="22"/>
          <w:szCs w:val="22"/>
        </w:rPr>
        <w:tab/>
      </w:r>
      <w:r w:rsidR="008633AB">
        <w:rPr>
          <w:rFonts w:ascii="Palatino Linotype" w:hAnsi="Palatino Linotype" w:cs="Arial"/>
          <w:sz w:val="22"/>
          <w:szCs w:val="22"/>
        </w:rPr>
        <w:tab/>
      </w:r>
      <w:r w:rsidRPr="00AE1EDC">
        <w:rPr>
          <w:rFonts w:ascii="Palatino Linotype" w:hAnsi="Palatino Linotype" w:cs="Arial"/>
          <w:sz w:val="22"/>
          <w:szCs w:val="22"/>
        </w:rPr>
        <w:t>2.178,00</w:t>
      </w:r>
      <w:r w:rsidR="008633AB">
        <w:rPr>
          <w:rFonts w:ascii="Palatino Linotype" w:hAnsi="Palatino Linotype" w:cs="Arial"/>
          <w:sz w:val="22"/>
          <w:szCs w:val="22"/>
        </w:rPr>
        <w:t xml:space="preserve"> </w:t>
      </w:r>
      <w:r w:rsidRPr="008633AB">
        <w:rPr>
          <w:rFonts w:ascii="Palatino Linotype" w:hAnsi="Palatino Linotype" w:cs="Arial"/>
          <w:color w:val="000000" w:themeColor="text1"/>
          <w:sz w:val="22"/>
          <w:szCs w:val="22"/>
          <w:lang w:val="es-MX"/>
        </w:rPr>
        <w:t>m</w:t>
      </w:r>
      <w:r w:rsidRPr="008633AB">
        <w:rPr>
          <w:rFonts w:ascii="Palatino Linotype" w:hAnsi="Palatino Linotype" w:cs="Arial"/>
          <w:color w:val="000000" w:themeColor="text1"/>
          <w:sz w:val="22"/>
          <w:szCs w:val="22"/>
          <w:vertAlign w:val="superscript"/>
          <w:lang w:val="es-MX"/>
        </w:rPr>
        <w:t>2</w:t>
      </w:r>
    </w:p>
    <w:p w:rsidR="00AE1EDC" w:rsidRPr="00AE1EDC" w:rsidRDefault="008633AB" w:rsidP="00AE1EDC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83316">
        <w:rPr>
          <w:rFonts w:ascii="Palatino Linotype" w:hAnsi="Palatino Linotype"/>
          <w:sz w:val="22"/>
          <w:szCs w:val="22"/>
          <w:lang w:val="es-EC"/>
        </w:rPr>
        <w:t xml:space="preserve">El número total de lotes es de </w:t>
      </w:r>
      <w:r w:rsidR="00AE1EDC" w:rsidRPr="00AE1EDC">
        <w:rPr>
          <w:rFonts w:ascii="Palatino Linotype" w:hAnsi="Palatino Linotype" w:cs="Arial"/>
          <w:sz w:val="22"/>
          <w:szCs w:val="22"/>
        </w:rPr>
        <w:t>12</w:t>
      </w:r>
      <w:r>
        <w:rPr>
          <w:rFonts w:ascii="Palatino Linotype" w:hAnsi="Palatino Linotype" w:cs="Arial"/>
          <w:sz w:val="22"/>
          <w:szCs w:val="22"/>
        </w:rPr>
        <w:t>,</w:t>
      </w:r>
      <w:r w:rsidR="00AE1EDC" w:rsidRPr="00AE1EDC">
        <w:rPr>
          <w:rFonts w:ascii="Palatino Linotype" w:hAnsi="Palatino Linotype" w:cs="Arial"/>
          <w:sz w:val="22"/>
          <w:szCs w:val="22"/>
        </w:rPr>
        <w:t xml:space="preserve"> signados del uno (1) al doce (12), cuyo detalle es el que consta en los planos aprobatorios </w:t>
      </w:r>
      <w:r w:rsidRPr="005513A0">
        <w:rPr>
          <w:rFonts w:ascii="Palatino Linotype" w:hAnsi="Palatino Linotype"/>
          <w:sz w:val="22"/>
          <w:szCs w:val="22"/>
        </w:rPr>
        <w:t>que forman parte integrante de la presente ordenanza.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AE1EDC">
        <w:rPr>
          <w:rFonts w:ascii="Palatino Linotype" w:hAnsi="Palatino Linotype" w:cs="Arial"/>
          <w:b/>
          <w:bCs/>
          <w:sz w:val="22"/>
          <w:szCs w:val="22"/>
        </w:rPr>
        <w:t xml:space="preserve">Artículo 3.- Zonificación de los </w:t>
      </w:r>
      <w:r w:rsidR="008633AB">
        <w:rPr>
          <w:rFonts w:ascii="Palatino Linotype" w:hAnsi="Palatino Linotype" w:cs="Arial"/>
          <w:b/>
          <w:bCs/>
          <w:sz w:val="22"/>
          <w:szCs w:val="22"/>
        </w:rPr>
        <w:t>n</w:t>
      </w:r>
      <w:r w:rsidRPr="00AE1EDC">
        <w:rPr>
          <w:rFonts w:ascii="Palatino Linotype" w:hAnsi="Palatino Linotype" w:cs="Arial"/>
          <w:b/>
          <w:bCs/>
          <w:sz w:val="22"/>
          <w:szCs w:val="22"/>
        </w:rPr>
        <w:t xml:space="preserve">uevos </w:t>
      </w:r>
      <w:r w:rsidR="008633AB">
        <w:rPr>
          <w:rFonts w:ascii="Palatino Linotype" w:hAnsi="Palatino Linotype" w:cs="Arial"/>
          <w:b/>
          <w:bCs/>
          <w:sz w:val="22"/>
          <w:szCs w:val="22"/>
        </w:rPr>
        <w:t>l</w:t>
      </w:r>
      <w:r w:rsidRPr="00AE1EDC">
        <w:rPr>
          <w:rFonts w:ascii="Palatino Linotype" w:hAnsi="Palatino Linotype" w:cs="Arial"/>
          <w:b/>
          <w:bCs/>
          <w:sz w:val="22"/>
          <w:szCs w:val="22"/>
        </w:rPr>
        <w:t xml:space="preserve">otes.- </w:t>
      </w:r>
      <w:r w:rsidR="008633AB">
        <w:rPr>
          <w:rFonts w:ascii="Palatino Linotype" w:hAnsi="Palatino Linotype" w:cs="Arial"/>
          <w:bCs/>
          <w:sz w:val="22"/>
          <w:szCs w:val="22"/>
        </w:rPr>
        <w:t>L</w:t>
      </w:r>
      <w:r w:rsidR="008633AB" w:rsidRPr="00183316">
        <w:rPr>
          <w:rFonts w:ascii="Palatino Linotype" w:hAnsi="Palatino Linotype" w:cs="Arial"/>
          <w:bCs/>
          <w:sz w:val="22"/>
          <w:szCs w:val="22"/>
        </w:rPr>
        <w:t>os lotes fraccionados mantiene</w:t>
      </w:r>
      <w:r w:rsidR="008633AB">
        <w:rPr>
          <w:rFonts w:ascii="Palatino Linotype" w:hAnsi="Palatino Linotype" w:cs="Arial"/>
          <w:bCs/>
          <w:sz w:val="22"/>
          <w:szCs w:val="22"/>
        </w:rPr>
        <w:t>n</w:t>
      </w:r>
      <w:r w:rsidR="008633AB" w:rsidRPr="00183316">
        <w:rPr>
          <w:rFonts w:ascii="Palatino Linotype" w:hAnsi="Palatino Linotype" w:cs="Arial"/>
          <w:bCs/>
          <w:sz w:val="22"/>
          <w:szCs w:val="22"/>
        </w:rPr>
        <w:t xml:space="preserve"> la</w:t>
      </w:r>
      <w:r w:rsidR="008633AB">
        <w:rPr>
          <w:rFonts w:ascii="Palatino Linotype" w:hAnsi="Palatino Linotype" w:cs="Arial"/>
          <w:bCs/>
          <w:sz w:val="22"/>
          <w:szCs w:val="22"/>
        </w:rPr>
        <w:t xml:space="preserve"> siguiente</w:t>
      </w:r>
      <w:r w:rsidR="008633AB" w:rsidRPr="00183316">
        <w:rPr>
          <w:rFonts w:ascii="Palatino Linotype" w:hAnsi="Palatino Linotype"/>
          <w:sz w:val="22"/>
          <w:szCs w:val="22"/>
          <w:lang w:val="es-EC"/>
        </w:rPr>
        <w:t xml:space="preserve"> zonificación: </w:t>
      </w:r>
      <w:r w:rsidRPr="00AE1EDC">
        <w:rPr>
          <w:rFonts w:ascii="Palatino Linotype" w:hAnsi="Palatino Linotype" w:cs="Arial"/>
          <w:sz w:val="22"/>
          <w:szCs w:val="22"/>
        </w:rPr>
        <w:t>D3 (D203-80), lote mínimo 200</w:t>
      </w:r>
      <w:r w:rsidR="008633AB">
        <w:rPr>
          <w:rFonts w:ascii="Palatino Linotype" w:hAnsi="Palatino Linotype" w:cs="Arial"/>
          <w:sz w:val="22"/>
          <w:szCs w:val="22"/>
        </w:rPr>
        <w:t xml:space="preserve"> </w:t>
      </w:r>
      <w:r w:rsidRPr="00AE1EDC">
        <w:rPr>
          <w:rFonts w:ascii="Palatino Linotype" w:hAnsi="Palatino Linotype" w:cs="Arial"/>
          <w:sz w:val="22"/>
          <w:szCs w:val="22"/>
        </w:rPr>
        <w:t>m</w:t>
      </w:r>
      <w:r w:rsidRPr="008633AB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AE1EDC">
        <w:rPr>
          <w:rFonts w:ascii="Palatino Linotype" w:hAnsi="Palatino Linotype" w:cs="Arial"/>
          <w:sz w:val="22"/>
          <w:szCs w:val="22"/>
        </w:rPr>
        <w:t>, forma de ocupación del suelo</w:t>
      </w:r>
      <w:r w:rsidR="008633AB">
        <w:rPr>
          <w:rFonts w:ascii="Palatino Linotype" w:hAnsi="Palatino Linotype" w:cs="Arial"/>
          <w:sz w:val="22"/>
          <w:szCs w:val="22"/>
        </w:rPr>
        <w:t>:</w:t>
      </w:r>
      <w:r w:rsidRPr="00AE1EDC">
        <w:rPr>
          <w:rFonts w:ascii="Palatino Linotype" w:hAnsi="Palatino Linotype" w:cs="Arial"/>
          <w:sz w:val="22"/>
          <w:szCs w:val="22"/>
        </w:rPr>
        <w:t xml:space="preserve"> (D) Sobre línea de fábrica</w:t>
      </w:r>
      <w:r w:rsidR="008633AB">
        <w:rPr>
          <w:rFonts w:ascii="Palatino Linotype" w:hAnsi="Palatino Linotype" w:cs="Arial"/>
          <w:sz w:val="22"/>
          <w:szCs w:val="22"/>
        </w:rPr>
        <w:t>;</w:t>
      </w:r>
      <w:r w:rsidRPr="00AE1EDC">
        <w:rPr>
          <w:rFonts w:ascii="Palatino Linotype" w:hAnsi="Palatino Linotype" w:cs="Arial"/>
          <w:sz w:val="22"/>
          <w:szCs w:val="22"/>
        </w:rPr>
        <w:t xml:space="preserve"> Uso Principal del suelo</w:t>
      </w:r>
      <w:r w:rsidR="008633AB">
        <w:rPr>
          <w:rFonts w:ascii="Palatino Linotype" w:hAnsi="Palatino Linotype" w:cs="Arial"/>
          <w:sz w:val="22"/>
          <w:szCs w:val="22"/>
        </w:rPr>
        <w:t>:</w:t>
      </w:r>
      <w:r w:rsidRPr="00AE1EDC">
        <w:rPr>
          <w:rFonts w:ascii="Palatino Linotype" w:hAnsi="Palatino Linotype" w:cs="Arial"/>
          <w:sz w:val="22"/>
          <w:szCs w:val="22"/>
        </w:rPr>
        <w:t xml:space="preserve"> (R2) Residencia media densidad.</w:t>
      </w:r>
    </w:p>
    <w:p w:rsidR="00AE1EDC" w:rsidRPr="00AE1EDC" w:rsidRDefault="008633AB" w:rsidP="00AE1EDC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Artículo 4.- Diferencia y/o e</w:t>
      </w:r>
      <w:r w:rsidR="00AE1EDC" w:rsidRPr="00AE1EDC">
        <w:rPr>
          <w:rFonts w:ascii="Palatino Linotype" w:hAnsi="Palatino Linotype" w:cs="Arial"/>
          <w:b/>
          <w:bCs/>
          <w:sz w:val="22"/>
          <w:szCs w:val="22"/>
        </w:rPr>
        <w:t xml:space="preserve">xcedente de área.- </w:t>
      </w:r>
      <w:r w:rsidR="00AE1EDC" w:rsidRPr="00AE1EDC">
        <w:rPr>
          <w:rFonts w:ascii="Palatino Linotype" w:hAnsi="Palatino Linotype" w:cs="Arial"/>
          <w:bCs/>
          <w:sz w:val="22"/>
          <w:szCs w:val="22"/>
        </w:rPr>
        <w:t>Por cuanto dentro del proceso de regularización se detectó la existencia de una variación de área, previo a la protocolizació</w:t>
      </w:r>
      <w:r>
        <w:rPr>
          <w:rFonts w:ascii="Palatino Linotype" w:hAnsi="Palatino Linotype" w:cs="Arial"/>
          <w:bCs/>
          <w:sz w:val="22"/>
          <w:szCs w:val="22"/>
        </w:rPr>
        <w:t>n e inscripción de la presente o</w:t>
      </w:r>
      <w:r w:rsidR="00AE1EDC" w:rsidRPr="00AE1EDC">
        <w:rPr>
          <w:rFonts w:ascii="Palatino Linotype" w:hAnsi="Palatino Linotype" w:cs="Arial"/>
          <w:bCs/>
          <w:sz w:val="22"/>
          <w:szCs w:val="22"/>
        </w:rPr>
        <w:t xml:space="preserve">rdenanza se deberá regularizar </w:t>
      </w:r>
      <w:r w:rsidR="00DA6458">
        <w:rPr>
          <w:rFonts w:ascii="Palatino Linotype" w:hAnsi="Palatino Linotype" w:cs="Arial"/>
          <w:bCs/>
          <w:sz w:val="22"/>
          <w:szCs w:val="22"/>
        </w:rPr>
        <w:t>la misma</w:t>
      </w:r>
      <w:r w:rsidR="00AE1EDC" w:rsidRPr="00AE1EDC">
        <w:rPr>
          <w:rFonts w:ascii="Palatino Linotype" w:hAnsi="Palatino Linotype" w:cs="Arial"/>
          <w:bCs/>
          <w:sz w:val="22"/>
          <w:szCs w:val="22"/>
        </w:rPr>
        <w:t xml:space="preserve">, de conformidad con lo establecido en la </w:t>
      </w:r>
      <w:r>
        <w:rPr>
          <w:rFonts w:ascii="Palatino Linotype" w:hAnsi="Palatino Linotype" w:cs="Arial"/>
          <w:bCs/>
          <w:sz w:val="22"/>
          <w:szCs w:val="22"/>
        </w:rPr>
        <w:t>d</w:t>
      </w:r>
      <w:r w:rsidR="00AE1EDC" w:rsidRPr="00AE1EDC">
        <w:rPr>
          <w:rFonts w:ascii="Palatino Linotype" w:hAnsi="Palatino Linotype" w:cs="Arial"/>
          <w:bCs/>
          <w:sz w:val="22"/>
          <w:szCs w:val="22"/>
        </w:rPr>
        <w:t xml:space="preserve">isposición </w:t>
      </w:r>
      <w:r>
        <w:rPr>
          <w:rFonts w:ascii="Palatino Linotype" w:hAnsi="Palatino Linotype" w:cs="Arial"/>
          <w:bCs/>
          <w:sz w:val="22"/>
          <w:szCs w:val="22"/>
        </w:rPr>
        <w:t>g</w:t>
      </w:r>
      <w:r w:rsidR="00AE1EDC" w:rsidRPr="00AE1EDC">
        <w:rPr>
          <w:rFonts w:ascii="Palatino Linotype" w:hAnsi="Palatino Linotype" w:cs="Arial"/>
          <w:bCs/>
          <w:sz w:val="22"/>
          <w:szCs w:val="22"/>
        </w:rPr>
        <w:t xml:space="preserve">eneral </w:t>
      </w:r>
      <w:r>
        <w:rPr>
          <w:rFonts w:ascii="Palatino Linotype" w:hAnsi="Palatino Linotype" w:cs="Arial"/>
          <w:bCs/>
          <w:sz w:val="22"/>
          <w:szCs w:val="22"/>
        </w:rPr>
        <w:t>s</w:t>
      </w:r>
      <w:r w:rsidR="00AE1EDC" w:rsidRPr="00AE1EDC">
        <w:rPr>
          <w:rFonts w:ascii="Palatino Linotype" w:hAnsi="Palatino Linotype" w:cs="Arial"/>
          <w:bCs/>
          <w:sz w:val="22"/>
          <w:szCs w:val="22"/>
        </w:rPr>
        <w:t xml:space="preserve">egunda de la </w:t>
      </w:r>
      <w:r>
        <w:rPr>
          <w:rFonts w:ascii="Palatino Linotype" w:hAnsi="Palatino Linotype" w:cs="Arial"/>
          <w:bCs/>
          <w:sz w:val="22"/>
          <w:szCs w:val="22"/>
        </w:rPr>
        <w:t>o</w:t>
      </w:r>
      <w:r w:rsidR="00AE1EDC" w:rsidRPr="00AE1EDC">
        <w:rPr>
          <w:rFonts w:ascii="Palatino Linotype" w:hAnsi="Palatino Linotype" w:cs="Arial"/>
          <w:bCs/>
          <w:sz w:val="22"/>
          <w:szCs w:val="22"/>
        </w:rPr>
        <w:t xml:space="preserve">rdenanza </w:t>
      </w:r>
      <w:r>
        <w:rPr>
          <w:rFonts w:ascii="Palatino Linotype" w:hAnsi="Palatino Linotype" w:cs="Arial"/>
          <w:bCs/>
          <w:sz w:val="22"/>
          <w:szCs w:val="22"/>
        </w:rPr>
        <w:t>m</w:t>
      </w:r>
      <w:r w:rsidR="00AE1EDC" w:rsidRPr="00AE1EDC">
        <w:rPr>
          <w:rFonts w:ascii="Palatino Linotype" w:hAnsi="Palatino Linotype" w:cs="Arial"/>
          <w:bCs/>
          <w:sz w:val="22"/>
          <w:szCs w:val="22"/>
        </w:rPr>
        <w:t>etropolitana No. 269, sancionada el 30 de  julio de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E1EDC" w:rsidRPr="00AE1EDC">
        <w:rPr>
          <w:rFonts w:ascii="Palatino Linotype" w:hAnsi="Palatino Linotype" w:cs="Arial"/>
          <w:bCs/>
          <w:sz w:val="22"/>
          <w:szCs w:val="22"/>
        </w:rPr>
        <w:t>2012.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AE1EDC">
        <w:rPr>
          <w:rFonts w:ascii="Palatino Linotype" w:hAnsi="Palatino Linotype" w:cs="Arial"/>
          <w:b/>
          <w:bCs/>
          <w:sz w:val="22"/>
          <w:szCs w:val="22"/>
        </w:rPr>
        <w:t xml:space="preserve">Artículo 5.- De las vías.- </w:t>
      </w:r>
      <w:r w:rsidRPr="00AE1EDC">
        <w:rPr>
          <w:rFonts w:ascii="Palatino Linotype" w:hAnsi="Palatino Linotype" w:cs="Arial"/>
          <w:bCs/>
          <w:sz w:val="22"/>
          <w:szCs w:val="22"/>
        </w:rPr>
        <w:t xml:space="preserve">El </w:t>
      </w:r>
      <w:r w:rsidR="00DA6458">
        <w:rPr>
          <w:rFonts w:ascii="Palatino Linotype" w:hAnsi="Palatino Linotype" w:cs="Arial"/>
          <w:bCs/>
          <w:sz w:val="22"/>
          <w:szCs w:val="22"/>
        </w:rPr>
        <w:t>a</w:t>
      </w:r>
      <w:r w:rsidRPr="00AE1EDC">
        <w:rPr>
          <w:rFonts w:ascii="Palatino Linotype" w:hAnsi="Palatino Linotype" w:cs="Arial"/>
          <w:bCs/>
          <w:sz w:val="22"/>
          <w:szCs w:val="22"/>
        </w:rPr>
        <w:t xml:space="preserve">sentamiento </w:t>
      </w:r>
      <w:r w:rsidR="00DA6458">
        <w:rPr>
          <w:rFonts w:ascii="Palatino Linotype" w:hAnsi="Palatino Linotype" w:cs="Arial"/>
          <w:bCs/>
          <w:sz w:val="22"/>
          <w:szCs w:val="22"/>
        </w:rPr>
        <w:t>h</w:t>
      </w:r>
      <w:r w:rsidRPr="00AE1EDC">
        <w:rPr>
          <w:rFonts w:ascii="Palatino Linotype" w:hAnsi="Palatino Linotype" w:cs="Arial"/>
          <w:bCs/>
          <w:sz w:val="22"/>
          <w:szCs w:val="22"/>
        </w:rPr>
        <w:t xml:space="preserve">umano de </w:t>
      </w:r>
      <w:r w:rsidR="00DA6458">
        <w:rPr>
          <w:rFonts w:ascii="Palatino Linotype" w:hAnsi="Palatino Linotype" w:cs="Arial"/>
          <w:bCs/>
          <w:sz w:val="22"/>
          <w:szCs w:val="22"/>
        </w:rPr>
        <w:t>h</w:t>
      </w:r>
      <w:r w:rsidRPr="00AE1EDC">
        <w:rPr>
          <w:rFonts w:ascii="Palatino Linotype" w:hAnsi="Palatino Linotype" w:cs="Arial"/>
          <w:bCs/>
          <w:sz w:val="22"/>
          <w:szCs w:val="22"/>
        </w:rPr>
        <w:t xml:space="preserve">echo y </w:t>
      </w:r>
      <w:r w:rsidR="00DA6458">
        <w:rPr>
          <w:rFonts w:ascii="Palatino Linotype" w:hAnsi="Palatino Linotype" w:cs="Arial"/>
          <w:bCs/>
          <w:sz w:val="22"/>
          <w:szCs w:val="22"/>
        </w:rPr>
        <w:t>c</w:t>
      </w:r>
      <w:r w:rsidRPr="00AE1EDC">
        <w:rPr>
          <w:rFonts w:ascii="Palatino Linotype" w:hAnsi="Palatino Linotype" w:cs="Arial"/>
          <w:bCs/>
          <w:sz w:val="22"/>
          <w:szCs w:val="22"/>
        </w:rPr>
        <w:t xml:space="preserve">onsolidado se encuentra rodeado </w:t>
      </w:r>
      <w:r w:rsidRPr="00AE1EDC">
        <w:rPr>
          <w:rFonts w:ascii="Palatino Linotype" w:hAnsi="Palatino Linotype" w:cs="Arial"/>
          <w:sz w:val="22"/>
          <w:szCs w:val="22"/>
        </w:rPr>
        <w:t>por un sistema vial de uso público</w:t>
      </w:r>
      <w:r w:rsidR="00DA6458">
        <w:rPr>
          <w:rFonts w:ascii="Palatino Linotype" w:hAnsi="Palatino Linotype" w:cs="Arial"/>
          <w:sz w:val="22"/>
          <w:szCs w:val="22"/>
        </w:rPr>
        <w:t>,</w:t>
      </w:r>
      <w:r w:rsidRPr="00AE1EDC">
        <w:rPr>
          <w:rFonts w:ascii="Palatino Linotype" w:hAnsi="Palatino Linotype" w:cs="Arial"/>
          <w:sz w:val="22"/>
          <w:szCs w:val="22"/>
        </w:rPr>
        <w:t xml:space="preserve"> que se encuentra acorde a lo que establece la normativa vigente</w:t>
      </w:r>
      <w:r w:rsidR="00DA6458">
        <w:rPr>
          <w:rFonts w:ascii="Palatino Linotype" w:hAnsi="Palatino Linotype" w:cs="Arial"/>
          <w:sz w:val="22"/>
          <w:szCs w:val="22"/>
        </w:rPr>
        <w:t>; y, c</w:t>
      </w:r>
      <w:r w:rsidRPr="00AE1EDC">
        <w:rPr>
          <w:rFonts w:ascii="Palatino Linotype" w:hAnsi="Palatino Linotype" w:cs="Arial"/>
          <w:sz w:val="22"/>
          <w:szCs w:val="22"/>
        </w:rPr>
        <w:t>uenta con una consolidación del 91</w:t>
      </w:r>
      <w:r w:rsidR="00DA6458">
        <w:rPr>
          <w:rFonts w:ascii="Palatino Linotype" w:hAnsi="Palatino Linotype" w:cs="Arial"/>
          <w:sz w:val="22"/>
          <w:szCs w:val="22"/>
        </w:rPr>
        <w:t>,</w:t>
      </w:r>
      <w:r w:rsidRPr="00AE1EDC">
        <w:rPr>
          <w:rFonts w:ascii="Palatino Linotype" w:hAnsi="Palatino Linotype" w:cs="Arial"/>
          <w:sz w:val="22"/>
          <w:szCs w:val="22"/>
        </w:rPr>
        <w:t xml:space="preserve">66%, </w:t>
      </w:r>
      <w:r w:rsidR="00DA6458">
        <w:rPr>
          <w:rFonts w:ascii="Palatino Linotype" w:hAnsi="Palatino Linotype" w:cs="Arial"/>
          <w:sz w:val="22"/>
          <w:szCs w:val="22"/>
        </w:rPr>
        <w:t xml:space="preserve">con </w:t>
      </w:r>
      <w:r w:rsidRPr="00AE1EDC">
        <w:rPr>
          <w:rFonts w:ascii="Palatino Linotype" w:hAnsi="Palatino Linotype" w:cs="Arial"/>
          <w:color w:val="2A2A2A"/>
          <w:sz w:val="22"/>
          <w:szCs w:val="22"/>
        </w:rPr>
        <w:t>más de 70  años de existencia</w:t>
      </w:r>
      <w:r w:rsidR="00DA6458">
        <w:rPr>
          <w:rFonts w:ascii="Palatino Linotype" w:hAnsi="Palatino Linotype" w:cs="Arial"/>
          <w:color w:val="2A2A2A"/>
          <w:sz w:val="22"/>
          <w:szCs w:val="22"/>
        </w:rPr>
        <w:t>.</w:t>
      </w:r>
    </w:p>
    <w:p w:rsidR="00AE1EDC" w:rsidRPr="00AE1EDC" w:rsidRDefault="00AE1EDC" w:rsidP="00AE1EDC">
      <w:pPr>
        <w:shd w:val="clear" w:color="auto" w:fill="FFFFFF"/>
        <w:spacing w:before="240" w:line="276" w:lineRule="auto"/>
        <w:jc w:val="both"/>
        <w:rPr>
          <w:rFonts w:ascii="Palatino Linotype" w:hAnsi="Palatino Linotype"/>
          <w:color w:val="2A2A2A"/>
          <w:sz w:val="22"/>
          <w:szCs w:val="22"/>
        </w:rPr>
      </w:pPr>
      <w:r w:rsidRPr="00AE1EDC">
        <w:rPr>
          <w:rFonts w:ascii="Palatino Linotype" w:hAnsi="Palatino Linotype" w:cs="Arial"/>
          <w:b/>
          <w:bCs/>
          <w:sz w:val="22"/>
          <w:szCs w:val="22"/>
        </w:rPr>
        <w:t xml:space="preserve">Artículo 6.- De las obras a ejecutarse.- </w:t>
      </w:r>
      <w:r w:rsidRPr="00AE1EDC">
        <w:rPr>
          <w:rFonts w:ascii="Palatino Linotype" w:hAnsi="Palatino Linotype" w:cs="Arial"/>
          <w:sz w:val="22"/>
          <w:szCs w:val="22"/>
        </w:rPr>
        <w:t>Por cuanto todas las obras civiles y de infraestructura se encuentran ejecutadas en un 100%</w:t>
      </w:r>
      <w:r w:rsidR="00DA6458">
        <w:rPr>
          <w:rFonts w:ascii="Palatino Linotype" w:hAnsi="Palatino Linotype" w:cs="Arial"/>
          <w:sz w:val="22"/>
          <w:szCs w:val="22"/>
        </w:rPr>
        <w:t>,</w:t>
      </w:r>
      <w:r w:rsidRPr="00AE1EDC">
        <w:rPr>
          <w:rFonts w:ascii="Palatino Linotype" w:hAnsi="Palatino Linotype" w:cs="Arial"/>
          <w:sz w:val="22"/>
          <w:szCs w:val="22"/>
        </w:rPr>
        <w:t xml:space="preserve"> no se aplica lo que establece el numeral 4 del </w:t>
      </w:r>
      <w:r w:rsidR="00DA6458">
        <w:rPr>
          <w:rFonts w:ascii="Palatino Linotype" w:hAnsi="Palatino Linotype" w:cs="Arial"/>
          <w:sz w:val="22"/>
          <w:szCs w:val="22"/>
        </w:rPr>
        <w:t>a</w:t>
      </w:r>
      <w:r w:rsidRPr="00AE1EDC">
        <w:rPr>
          <w:rFonts w:ascii="Palatino Linotype" w:hAnsi="Palatino Linotype" w:cs="Arial"/>
          <w:sz w:val="22"/>
          <w:szCs w:val="22"/>
        </w:rPr>
        <w:t>rt</w:t>
      </w:r>
      <w:r w:rsidR="00DA6458">
        <w:rPr>
          <w:rFonts w:ascii="Palatino Linotype" w:hAnsi="Palatino Linotype" w:cs="Arial"/>
          <w:sz w:val="22"/>
          <w:szCs w:val="22"/>
        </w:rPr>
        <w:t>ículo</w:t>
      </w:r>
      <w:r w:rsidRPr="00AE1EDC">
        <w:rPr>
          <w:rFonts w:ascii="Palatino Linotype" w:hAnsi="Palatino Linotype" w:cs="Arial"/>
          <w:sz w:val="22"/>
          <w:szCs w:val="22"/>
        </w:rPr>
        <w:t xml:space="preserve"> 69 de la </w:t>
      </w:r>
      <w:r w:rsidR="00DA6458">
        <w:rPr>
          <w:rFonts w:ascii="Palatino Linotype" w:hAnsi="Palatino Linotype" w:cs="Arial"/>
          <w:sz w:val="22"/>
          <w:szCs w:val="22"/>
        </w:rPr>
        <w:t>o</w:t>
      </w:r>
      <w:r w:rsidRPr="00AE1EDC">
        <w:rPr>
          <w:rFonts w:ascii="Palatino Linotype" w:hAnsi="Palatino Linotype" w:cs="Arial"/>
          <w:sz w:val="22"/>
          <w:szCs w:val="22"/>
        </w:rPr>
        <w:t xml:space="preserve">rdenanza </w:t>
      </w:r>
      <w:r w:rsidR="00DA6458">
        <w:rPr>
          <w:rFonts w:ascii="Palatino Linotype" w:hAnsi="Palatino Linotype" w:cs="Arial"/>
          <w:sz w:val="22"/>
          <w:szCs w:val="22"/>
        </w:rPr>
        <w:t>m</w:t>
      </w:r>
      <w:r w:rsidRPr="00AE1EDC">
        <w:rPr>
          <w:rFonts w:ascii="Palatino Linotype" w:hAnsi="Palatino Linotype" w:cs="Arial"/>
          <w:sz w:val="22"/>
          <w:szCs w:val="22"/>
        </w:rPr>
        <w:t>etropolitana No. 172</w:t>
      </w:r>
      <w:r w:rsidR="00DA6458">
        <w:rPr>
          <w:rFonts w:ascii="Palatino Linotype" w:hAnsi="Palatino Linotype" w:cs="Arial"/>
          <w:sz w:val="22"/>
          <w:szCs w:val="22"/>
        </w:rPr>
        <w:t>, sancionada el 30 de diciembre de 2011.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  <w:lang w:val="es-ES_tradnl"/>
        </w:rPr>
      </w:pPr>
      <w:r w:rsidRPr="00AE1EDC"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Pr="00AE1EDC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 7.- De la </w:t>
      </w:r>
      <w:r w:rsidR="00DA6458">
        <w:rPr>
          <w:rFonts w:ascii="Palatino Linotype" w:hAnsi="Palatino Linotype" w:cs="Arial"/>
          <w:b/>
          <w:bCs/>
          <w:sz w:val="22"/>
          <w:szCs w:val="22"/>
          <w:lang w:val="es-ES_tradnl"/>
        </w:rPr>
        <w:t>p</w:t>
      </w:r>
      <w:r w:rsidRPr="00AE1EDC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rotocolización de la </w:t>
      </w:r>
      <w:r w:rsidR="00DA6458">
        <w:rPr>
          <w:rFonts w:ascii="Palatino Linotype" w:hAnsi="Palatino Linotype" w:cs="Arial"/>
          <w:b/>
          <w:bCs/>
          <w:sz w:val="22"/>
          <w:szCs w:val="22"/>
          <w:lang w:val="es-ES_tradnl"/>
        </w:rPr>
        <w:t>o</w:t>
      </w:r>
      <w:r w:rsidRPr="00AE1EDC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rdenanza.- </w:t>
      </w:r>
      <w:r w:rsidRPr="00AE1EDC">
        <w:rPr>
          <w:rFonts w:ascii="Palatino Linotype" w:hAnsi="Palatino Linotype" w:cs="Arial"/>
          <w:color w:val="0D0D0D"/>
          <w:sz w:val="22"/>
          <w:szCs w:val="22"/>
        </w:rPr>
        <w:t xml:space="preserve">Los copropietarios donde se ubica el </w:t>
      </w:r>
      <w:r w:rsidR="00DA6458">
        <w:rPr>
          <w:rFonts w:ascii="Palatino Linotype" w:hAnsi="Palatino Linotype" w:cs="Arial"/>
          <w:sz w:val="22"/>
          <w:szCs w:val="22"/>
        </w:rPr>
        <w:t>a</w:t>
      </w:r>
      <w:r w:rsidRPr="00AE1EDC">
        <w:rPr>
          <w:rFonts w:ascii="Palatino Linotype" w:hAnsi="Palatino Linotype" w:cs="Arial"/>
          <w:sz w:val="22"/>
          <w:szCs w:val="22"/>
        </w:rPr>
        <w:t xml:space="preserve">sentamiento </w:t>
      </w:r>
      <w:r w:rsidR="00DA6458">
        <w:rPr>
          <w:rFonts w:ascii="Palatino Linotype" w:hAnsi="Palatino Linotype" w:cs="Arial"/>
          <w:sz w:val="22"/>
          <w:szCs w:val="22"/>
        </w:rPr>
        <w:t>h</w:t>
      </w:r>
      <w:r w:rsidRPr="00AE1EDC">
        <w:rPr>
          <w:rFonts w:ascii="Palatino Linotype" w:hAnsi="Palatino Linotype" w:cs="Arial"/>
          <w:sz w:val="22"/>
          <w:szCs w:val="22"/>
        </w:rPr>
        <w:t xml:space="preserve">umano de </w:t>
      </w:r>
      <w:r w:rsidR="00DA6458">
        <w:rPr>
          <w:rFonts w:ascii="Palatino Linotype" w:hAnsi="Palatino Linotype" w:cs="Arial"/>
          <w:sz w:val="22"/>
          <w:szCs w:val="22"/>
        </w:rPr>
        <w:t>h</w:t>
      </w:r>
      <w:r w:rsidRPr="00AE1EDC">
        <w:rPr>
          <w:rFonts w:ascii="Palatino Linotype" w:hAnsi="Palatino Linotype" w:cs="Arial"/>
          <w:sz w:val="22"/>
          <w:szCs w:val="22"/>
        </w:rPr>
        <w:t xml:space="preserve">echo y </w:t>
      </w:r>
      <w:r w:rsidR="00DA6458">
        <w:rPr>
          <w:rFonts w:ascii="Palatino Linotype" w:hAnsi="Palatino Linotype" w:cs="Arial"/>
          <w:sz w:val="22"/>
          <w:szCs w:val="22"/>
        </w:rPr>
        <w:t>c</w:t>
      </w:r>
      <w:r w:rsidRPr="00AE1EDC">
        <w:rPr>
          <w:rFonts w:ascii="Palatino Linotype" w:hAnsi="Palatino Linotype" w:cs="Arial"/>
          <w:sz w:val="22"/>
          <w:szCs w:val="22"/>
        </w:rPr>
        <w:t xml:space="preserve">onsolidado denominado </w:t>
      </w:r>
      <w:r w:rsidRPr="00DA6458">
        <w:rPr>
          <w:rFonts w:ascii="Palatino Linotype" w:hAnsi="Palatino Linotype" w:cs="Arial"/>
          <w:sz w:val="22"/>
          <w:szCs w:val="22"/>
        </w:rPr>
        <w:t>“Comité Central Pro Mejoras del Barrio Bellavista”</w:t>
      </w:r>
      <w:r w:rsidR="00DA6458">
        <w:rPr>
          <w:rFonts w:ascii="Palatino Linotype" w:hAnsi="Palatino Linotype" w:cs="Arial"/>
          <w:sz w:val="22"/>
          <w:szCs w:val="22"/>
        </w:rPr>
        <w:t>,</w:t>
      </w:r>
      <w:r w:rsidRPr="00AE1EDC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DA6458">
        <w:rPr>
          <w:rFonts w:ascii="Palatino Linotype" w:hAnsi="Palatino Linotype" w:cs="Arial"/>
          <w:sz w:val="22"/>
          <w:szCs w:val="22"/>
        </w:rPr>
        <w:t>Quinta Etapa</w:t>
      </w:r>
      <w:r w:rsidR="00DA6458">
        <w:rPr>
          <w:rFonts w:ascii="Palatino Linotype" w:hAnsi="Palatino Linotype" w:cs="Arial"/>
          <w:b/>
          <w:sz w:val="22"/>
          <w:szCs w:val="22"/>
        </w:rPr>
        <w:t>,</w:t>
      </w:r>
      <w:r w:rsidRPr="00AE1EDC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AE1EDC">
        <w:rPr>
          <w:rFonts w:ascii="Palatino Linotype" w:hAnsi="Palatino Linotype" w:cs="Arial"/>
          <w:sz w:val="22"/>
          <w:szCs w:val="22"/>
          <w:lang w:val="es-ES_tradnl"/>
        </w:rPr>
        <w:t xml:space="preserve">se comprometen en el término de ciento ochenta (180) días, contados a partir de la fecha de emisión de la resolución de regularización de áreas por parte de la Autoridad Administrativa Competente, a </w:t>
      </w:r>
      <w:r w:rsidRPr="00AE1EDC">
        <w:rPr>
          <w:rFonts w:ascii="Palatino Linotype" w:hAnsi="Palatino Linotype" w:cs="Arial"/>
          <w:sz w:val="22"/>
          <w:szCs w:val="22"/>
        </w:rPr>
        <w:t xml:space="preserve">protocolizar la presente </w:t>
      </w:r>
      <w:r w:rsidR="00DA6458">
        <w:rPr>
          <w:rFonts w:ascii="Palatino Linotype" w:hAnsi="Palatino Linotype" w:cs="Arial"/>
          <w:sz w:val="22"/>
          <w:szCs w:val="22"/>
        </w:rPr>
        <w:t>o</w:t>
      </w:r>
      <w:r w:rsidRPr="00AE1EDC">
        <w:rPr>
          <w:rFonts w:ascii="Palatino Linotype" w:hAnsi="Palatino Linotype" w:cs="Arial"/>
          <w:sz w:val="22"/>
          <w:szCs w:val="22"/>
        </w:rPr>
        <w:t xml:space="preserve">rdenanza ante Notario Público e inscribirla en el Registro de la Propiedad del Distrito Metropolitano de Quito, </w:t>
      </w:r>
      <w:r w:rsidRPr="00AE1EDC">
        <w:rPr>
          <w:rFonts w:ascii="Palatino Linotype" w:hAnsi="Palatino Linotype" w:cs="Arial"/>
          <w:sz w:val="22"/>
          <w:szCs w:val="22"/>
          <w:lang w:val="es-ES_tradnl"/>
        </w:rPr>
        <w:t>con todos sus documentos habilitantes</w:t>
      </w:r>
      <w:r w:rsidRPr="00AE1EDC">
        <w:rPr>
          <w:rFonts w:ascii="Palatino Linotype" w:hAnsi="Palatino Linotype" w:cs="Arial"/>
          <w:sz w:val="22"/>
          <w:szCs w:val="22"/>
        </w:rPr>
        <w:t>;</w:t>
      </w:r>
      <w:r w:rsidRPr="00AE1EDC">
        <w:rPr>
          <w:rFonts w:ascii="Palatino Linotype" w:hAnsi="Palatino Linotype" w:cs="Arial"/>
          <w:sz w:val="22"/>
          <w:szCs w:val="22"/>
          <w:lang w:val="es-ES_tradnl"/>
        </w:rPr>
        <w:t xml:space="preserve"> caso contrario el Concejo Metropolitano revocará la pres</w:t>
      </w:r>
      <w:r w:rsidR="00DA6458">
        <w:rPr>
          <w:rFonts w:ascii="Palatino Linotype" w:hAnsi="Palatino Linotype" w:cs="Arial"/>
          <w:sz w:val="22"/>
          <w:szCs w:val="22"/>
          <w:lang w:val="es-ES_tradnl"/>
        </w:rPr>
        <w:t>ente o</w:t>
      </w:r>
      <w:r w:rsidRPr="00AE1EDC">
        <w:rPr>
          <w:rFonts w:ascii="Palatino Linotype" w:hAnsi="Palatino Linotype" w:cs="Arial"/>
          <w:sz w:val="22"/>
          <w:szCs w:val="22"/>
          <w:lang w:val="es-ES_tradnl"/>
        </w:rPr>
        <w:t xml:space="preserve">rdenanza, notificándose del particular al Comisario de la </w:t>
      </w:r>
      <w:r w:rsidR="00DA6458">
        <w:rPr>
          <w:rFonts w:ascii="Palatino Linotype" w:hAnsi="Palatino Linotype" w:cs="Arial"/>
          <w:sz w:val="22"/>
          <w:szCs w:val="22"/>
          <w:lang w:val="es-ES_tradnl"/>
        </w:rPr>
        <w:t xml:space="preserve">Administración </w:t>
      </w:r>
      <w:r w:rsidRPr="00AE1EDC">
        <w:rPr>
          <w:rFonts w:ascii="Palatino Linotype" w:hAnsi="Palatino Linotype" w:cs="Arial"/>
          <w:sz w:val="22"/>
          <w:szCs w:val="22"/>
          <w:lang w:val="es-ES_tradnl"/>
        </w:rPr>
        <w:t>Zona</w:t>
      </w:r>
      <w:r w:rsidR="00DA6458">
        <w:rPr>
          <w:rFonts w:ascii="Palatino Linotype" w:hAnsi="Palatino Linotype" w:cs="Arial"/>
          <w:sz w:val="22"/>
          <w:szCs w:val="22"/>
          <w:lang w:val="es-ES_tradnl"/>
        </w:rPr>
        <w:t xml:space="preserve">l correspondiente, con el fin de </w:t>
      </w:r>
      <w:r w:rsidRPr="00AE1EDC">
        <w:rPr>
          <w:rFonts w:ascii="Palatino Linotype" w:hAnsi="Palatino Linotype" w:cs="Arial"/>
          <w:sz w:val="22"/>
          <w:szCs w:val="22"/>
          <w:lang w:val="es-ES_tradnl"/>
        </w:rPr>
        <w:t>que inicie las acciones pertinentes.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  <w:lang w:val="es-ES_tradnl"/>
        </w:rPr>
      </w:pPr>
      <w:r w:rsidRPr="00AE1EDC">
        <w:rPr>
          <w:rFonts w:ascii="Palatino Linotype" w:hAnsi="Palatino Linotype" w:cs="Arial"/>
          <w:b/>
          <w:sz w:val="22"/>
          <w:szCs w:val="22"/>
          <w:lang w:val="es-ES_tradnl"/>
        </w:rPr>
        <w:t xml:space="preserve">Artículo 8.- De la partición y adjudicación.- </w:t>
      </w:r>
      <w:r w:rsidRPr="00AE1EDC">
        <w:rPr>
          <w:rFonts w:ascii="Palatino Linotype" w:hAnsi="Palatino Linotype" w:cs="Arial"/>
          <w:sz w:val="22"/>
          <w:szCs w:val="22"/>
          <w:lang w:val="es-ES_tradnl"/>
        </w:rPr>
        <w:t>Se faculta al señor Alcalde para que proceda con la partición administrativa correspondiente. Dicha resolución de partición y adjudi</w:t>
      </w:r>
      <w:r w:rsidR="00DA6458">
        <w:rPr>
          <w:rFonts w:ascii="Palatino Linotype" w:hAnsi="Palatino Linotype" w:cs="Arial"/>
          <w:sz w:val="22"/>
          <w:szCs w:val="22"/>
          <w:lang w:val="es-ES_tradnl"/>
        </w:rPr>
        <w:t xml:space="preserve">cación se protocolizará ante </w:t>
      </w:r>
      <w:r w:rsidRPr="00AE1EDC">
        <w:rPr>
          <w:rFonts w:ascii="Palatino Linotype" w:hAnsi="Palatino Linotype" w:cs="Arial"/>
          <w:sz w:val="22"/>
          <w:szCs w:val="22"/>
          <w:lang w:val="es-ES_tradnl"/>
        </w:rPr>
        <w:t>Notario Público y se inscribirá en el Registro de la Propiedad del Distrito Metropolitano de Quito, la misma que sin otra solemnidad constituirá título de dominio del beneficiario.</w:t>
      </w:r>
      <w:r w:rsidR="00DA6458"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  <w:r w:rsidRPr="00AE1EDC">
        <w:rPr>
          <w:rFonts w:ascii="Palatino Linotype" w:hAnsi="Palatino Linotype" w:cs="Arial"/>
          <w:sz w:val="22"/>
          <w:szCs w:val="22"/>
          <w:lang w:val="es-ES_tradnl"/>
        </w:rPr>
        <w:t xml:space="preserve">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y resueltas por  el juez competente en juicio ordinario. </w:t>
      </w:r>
      <w:r w:rsidRPr="00AE1EDC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AE1EDC" w:rsidRPr="00AE1EDC" w:rsidRDefault="00DA6458" w:rsidP="00AE1EDC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>
        <w:rPr>
          <w:rFonts w:ascii="Palatino Linotype" w:hAnsi="Palatino Linotype" w:cs="Arial"/>
          <w:b/>
          <w:bCs/>
          <w:sz w:val="22"/>
          <w:szCs w:val="22"/>
          <w:lang w:val="es-ES_tradnl"/>
        </w:rPr>
        <w:t>Artículo 9.- Potestad de e</w:t>
      </w:r>
      <w:r w:rsidR="00AE1EDC" w:rsidRPr="00AE1EDC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jecución.- </w:t>
      </w:r>
      <w:r w:rsidR="00AE1EDC" w:rsidRPr="00AE1EDC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Para el fiel cumplimiento de las disposiciones de esta </w:t>
      </w:r>
      <w:r>
        <w:rPr>
          <w:rFonts w:ascii="Palatino Linotype" w:hAnsi="Palatino Linotype" w:cs="Arial"/>
          <w:bCs/>
          <w:sz w:val="22"/>
          <w:szCs w:val="22"/>
          <w:lang w:val="es-ES_tradnl"/>
        </w:rPr>
        <w:t>o</w:t>
      </w:r>
      <w:r w:rsidR="00AE1EDC" w:rsidRPr="00AE1EDC">
        <w:rPr>
          <w:rFonts w:ascii="Palatino Linotype" w:hAnsi="Palatino Linotype" w:cs="Arial"/>
          <w:bCs/>
          <w:sz w:val="22"/>
          <w:szCs w:val="22"/>
          <w:lang w:val="es-ES_tradnl"/>
        </w:rPr>
        <w:t>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</w:p>
    <w:p w:rsidR="00AE1EDC" w:rsidRPr="00AE1EDC" w:rsidRDefault="00AE1EDC" w:rsidP="00AE1EDC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AE1EDC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Artículo 10.- Solicitudes de ampliación de plazo.- </w:t>
      </w:r>
      <w:r w:rsidRPr="00AE1EDC">
        <w:rPr>
          <w:rFonts w:ascii="Palatino Linotype" w:hAnsi="Palatino Linotype" w:cs="Arial"/>
          <w:bCs/>
          <w:sz w:val="22"/>
          <w:szCs w:val="22"/>
          <w:lang w:val="es-ES_tradnl"/>
        </w:rPr>
        <w:t>Las solicitudes de ampliación de plazo para la protocolización e inscripción de la presente Ordenanza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D92288" w:rsidRPr="00183316" w:rsidRDefault="00BA74F6" w:rsidP="00183316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183316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="004024F7" w:rsidRPr="00183316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</w:t>
      </w:r>
      <w:r w:rsidRPr="00183316">
        <w:rPr>
          <w:rFonts w:ascii="Palatino Linotype" w:hAnsi="Palatino Linotype" w:cs="Arial"/>
          <w:bCs/>
          <w:sz w:val="22"/>
          <w:szCs w:val="22"/>
          <w:lang w:val="es-ES_tradnl"/>
        </w:rPr>
        <w:t>rdenanza entrará en vigencia a p</w:t>
      </w:r>
      <w:r w:rsidR="00183316" w:rsidRPr="00183316">
        <w:rPr>
          <w:rFonts w:ascii="Palatino Linotype" w:hAnsi="Palatino Linotype" w:cs="Arial"/>
          <w:bCs/>
          <w:sz w:val="22"/>
          <w:szCs w:val="22"/>
          <w:lang w:val="es-ES_tradnl"/>
        </w:rPr>
        <w:t>artir de la fecha de su sanción, sin perjuicio de su publicación en la Gaceta Oficial y dominio web institucional de la Municipalidad.</w:t>
      </w:r>
    </w:p>
    <w:p w:rsidR="004C5237" w:rsidRDefault="004C5237" w:rsidP="00183316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EA7DD9" w:rsidRPr="00183316" w:rsidRDefault="00EA7DD9" w:rsidP="00183316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83316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29742A">
        <w:rPr>
          <w:rFonts w:ascii="Palatino Linotype" w:hAnsi="Palatino Linotype" w:cs="Arial"/>
          <w:sz w:val="22"/>
          <w:szCs w:val="22"/>
        </w:rPr>
        <w:t>2</w:t>
      </w:r>
      <w:r w:rsidR="000A3329" w:rsidRPr="00183316">
        <w:rPr>
          <w:rFonts w:ascii="Palatino Linotype" w:hAnsi="Palatino Linotype" w:cs="Arial"/>
          <w:sz w:val="22"/>
          <w:szCs w:val="22"/>
        </w:rPr>
        <w:t xml:space="preserve"> de </w:t>
      </w:r>
      <w:r w:rsidR="0029742A">
        <w:rPr>
          <w:rFonts w:ascii="Palatino Linotype" w:hAnsi="Palatino Linotype" w:cs="Arial"/>
          <w:sz w:val="22"/>
          <w:szCs w:val="22"/>
        </w:rPr>
        <w:t xml:space="preserve">octubre </w:t>
      </w:r>
      <w:r w:rsidRPr="00183316">
        <w:rPr>
          <w:rFonts w:ascii="Palatino Linotype" w:hAnsi="Palatino Linotype" w:cs="Arial"/>
          <w:sz w:val="22"/>
          <w:szCs w:val="22"/>
        </w:rPr>
        <w:t>de 201</w:t>
      </w:r>
      <w:r w:rsidR="00DC2B03" w:rsidRPr="00183316">
        <w:rPr>
          <w:rFonts w:ascii="Palatino Linotype" w:hAnsi="Palatino Linotype" w:cs="Arial"/>
          <w:sz w:val="22"/>
          <w:szCs w:val="22"/>
        </w:rPr>
        <w:t>4</w:t>
      </w:r>
      <w:r w:rsidRPr="00183316">
        <w:rPr>
          <w:rFonts w:ascii="Palatino Linotype" w:hAnsi="Palatino Linotype" w:cs="Arial"/>
          <w:sz w:val="22"/>
          <w:szCs w:val="22"/>
        </w:rPr>
        <w:t>.</w:t>
      </w:r>
    </w:p>
    <w:p w:rsidR="00301F0B" w:rsidRDefault="00301F0B" w:rsidP="00AA4753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EA7DD9" w:rsidRPr="00680EAC" w:rsidTr="00EA7DD9">
        <w:trPr>
          <w:jc w:val="center"/>
        </w:trPr>
        <w:tc>
          <w:tcPr>
            <w:tcW w:w="5575" w:type="dxa"/>
            <w:hideMark/>
          </w:tcPr>
          <w:p w:rsidR="0029742A" w:rsidRDefault="0029742A" w:rsidP="00753307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  <w:p w:rsidR="0029742A" w:rsidRDefault="0029742A" w:rsidP="00753307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  <w:p w:rsidR="004C5237" w:rsidRDefault="004C5237" w:rsidP="00753307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  <w:p w:rsidR="00EA7DD9" w:rsidRPr="00680EAC" w:rsidRDefault="00037D6F" w:rsidP="00753307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EA7DD9" w:rsidRPr="00680EAC" w:rsidRDefault="00EA7DD9" w:rsidP="00037D6F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Primer</w:t>
            </w:r>
            <w:r w:rsidR="00037D6F"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Vicepresident</w:t>
            </w:r>
            <w:r w:rsidR="00037D6F"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29742A" w:rsidRDefault="0029742A" w:rsidP="00753307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  <w:p w:rsidR="0029742A" w:rsidRDefault="0029742A" w:rsidP="00753307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  <w:p w:rsidR="004C5237" w:rsidRDefault="004C5237" w:rsidP="00753307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  <w:p w:rsidR="00EA7DD9" w:rsidRPr="00680EAC" w:rsidRDefault="00037D6F" w:rsidP="00753307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EA7DD9" w:rsidRDefault="00EA7DD9" w:rsidP="00037D6F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 w:rsidR="00037D6F">
              <w:rPr>
                <w:rFonts w:ascii="Palatino Linotype" w:hAnsi="Palatino Linotype" w:cs="Arial"/>
                <w:b/>
                <w:sz w:val="19"/>
                <w:szCs w:val="19"/>
              </w:rPr>
              <w:t>o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037D6F" w:rsidRPr="00680EAC" w:rsidRDefault="00037D6F" w:rsidP="00037D6F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EA7DD9" w:rsidRPr="003843CA" w:rsidRDefault="00EA7DD9" w:rsidP="00753307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EA7DD9" w:rsidRPr="003843CA" w:rsidRDefault="00EA7DD9" w:rsidP="00753307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EA7DD9" w:rsidRPr="003843CA" w:rsidRDefault="00037D6F" w:rsidP="00753307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="00EA7DD9"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="00EA7DD9"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="00EA7DD9"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29742A">
        <w:rPr>
          <w:rFonts w:ascii="Palatino Linotype" w:eastAsia="MS Mincho" w:hAnsi="Palatino Linotype" w:cs="Arial"/>
          <w:sz w:val="22"/>
          <w:szCs w:val="22"/>
        </w:rPr>
        <w:t>25</w:t>
      </w:r>
      <w:r w:rsidR="00417DFE"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="0029742A">
        <w:rPr>
          <w:rFonts w:ascii="Palatino Linotype" w:eastAsia="MS Mincho" w:hAnsi="Palatino Linotype" w:cs="Arial"/>
          <w:sz w:val="22"/>
          <w:szCs w:val="22"/>
        </w:rPr>
        <w:t xml:space="preserve">de septiembre </w:t>
      </w:r>
      <w:r w:rsidR="00417DFE">
        <w:rPr>
          <w:rFonts w:ascii="Palatino Linotype" w:eastAsia="MS Mincho" w:hAnsi="Palatino Linotype" w:cs="Arial"/>
          <w:sz w:val="22"/>
          <w:szCs w:val="22"/>
        </w:rPr>
        <w:t xml:space="preserve">y </w:t>
      </w:r>
      <w:r w:rsidR="0029742A">
        <w:rPr>
          <w:rFonts w:ascii="Palatino Linotype" w:eastAsia="MS Mincho" w:hAnsi="Palatino Linotype" w:cs="Arial"/>
          <w:sz w:val="22"/>
          <w:szCs w:val="22"/>
        </w:rPr>
        <w:t>2</w:t>
      </w:r>
      <w:r w:rsidR="000A3329"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29742A">
        <w:rPr>
          <w:rFonts w:ascii="Palatino Linotype" w:eastAsia="MS Mincho" w:hAnsi="Palatino Linotype" w:cs="Arial"/>
          <w:sz w:val="22"/>
          <w:szCs w:val="22"/>
        </w:rPr>
        <w:t xml:space="preserve">octubre </w:t>
      </w:r>
      <w:r w:rsidR="00EA7DD9" w:rsidRPr="003843CA">
        <w:rPr>
          <w:rFonts w:ascii="Palatino Linotype" w:eastAsia="MS Mincho" w:hAnsi="Palatino Linotype" w:cs="Arial"/>
          <w:sz w:val="22"/>
          <w:szCs w:val="22"/>
        </w:rPr>
        <w:t>de 201</w:t>
      </w:r>
      <w:r w:rsidR="00DC2B03">
        <w:rPr>
          <w:rFonts w:ascii="Palatino Linotype" w:eastAsia="MS Mincho" w:hAnsi="Palatino Linotype" w:cs="Arial"/>
          <w:sz w:val="22"/>
          <w:szCs w:val="22"/>
        </w:rPr>
        <w:t>4</w:t>
      </w:r>
      <w:r w:rsidR="00EA7DD9" w:rsidRPr="003843CA">
        <w:rPr>
          <w:rFonts w:ascii="Palatino Linotype" w:eastAsia="MS Mincho" w:hAnsi="Palatino Linotype" w:cs="Arial"/>
          <w:sz w:val="22"/>
          <w:szCs w:val="22"/>
        </w:rPr>
        <w:t>.</w:t>
      </w:r>
      <w:r w:rsidR="00D82CFE" w:rsidRPr="003843CA">
        <w:rPr>
          <w:rFonts w:ascii="Palatino Linotype" w:eastAsia="MS Mincho" w:hAnsi="Palatino Linotype" w:cs="Arial"/>
          <w:sz w:val="22"/>
          <w:szCs w:val="22"/>
        </w:rPr>
        <w:t xml:space="preserve">- </w:t>
      </w:r>
      <w:r w:rsidR="00EA7DD9" w:rsidRPr="003843CA">
        <w:rPr>
          <w:rFonts w:ascii="Palatino Linotype" w:eastAsia="MS Mincho" w:hAnsi="Palatino Linotype" w:cs="Arial"/>
          <w:sz w:val="22"/>
          <w:szCs w:val="22"/>
        </w:rPr>
        <w:t>Quito,</w:t>
      </w:r>
    </w:p>
    <w:p w:rsidR="00EA7DD9" w:rsidRPr="003843CA" w:rsidRDefault="00EA7DD9" w:rsidP="00AA4753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EA7DD9" w:rsidRDefault="00EA7DD9" w:rsidP="00AA4753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29742A" w:rsidRDefault="0029742A" w:rsidP="00AA4753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29742A" w:rsidRPr="003843CA" w:rsidRDefault="0029742A" w:rsidP="00AA4753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EA7DD9" w:rsidRPr="003843CA" w:rsidRDefault="00037D6F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EA7DD9" w:rsidRDefault="00EA7DD9" w:rsidP="00753307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 w:rsidR="00037D6F"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037D6F" w:rsidRPr="003843CA" w:rsidRDefault="00037D6F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EA7DD9" w:rsidRPr="003843CA" w:rsidRDefault="00EA7DD9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BE64DB" w:rsidRDefault="00BE64DB" w:rsidP="00753307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EA7DD9" w:rsidRPr="003843CA" w:rsidRDefault="00EA7DD9" w:rsidP="00753307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EA7DD9" w:rsidRPr="003843CA" w:rsidRDefault="00EA7DD9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EA7DD9" w:rsidRDefault="00EA7DD9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9742A" w:rsidRPr="003843CA" w:rsidRDefault="0029742A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EA7DD9" w:rsidRPr="003843CA" w:rsidRDefault="00EA7DD9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EA7DD9" w:rsidRPr="003843CA" w:rsidRDefault="00EA7DD9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 w:rsidR="00037D6F"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EA7DD9" w:rsidRPr="003843CA" w:rsidRDefault="00EA7DD9" w:rsidP="00753307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EA7DD9" w:rsidRPr="003843CA" w:rsidRDefault="00EA7DD9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EA7DD9" w:rsidRDefault="00EA7DD9" w:rsidP="00680EAC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 w:rsidR="00037D6F"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EA7DD9" w:rsidRPr="003843CA" w:rsidRDefault="00EA7DD9" w:rsidP="00680EAC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AB2C61" w:rsidRPr="003843CA" w:rsidRDefault="00AB2C61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EA7DD9" w:rsidRPr="003843CA" w:rsidRDefault="00EA7DD9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D82CFE" w:rsidRDefault="00D82CFE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9742A" w:rsidRDefault="0029742A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DC2B03" w:rsidRPr="003843CA" w:rsidRDefault="00DC2B03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EA7DD9" w:rsidRPr="003843CA" w:rsidRDefault="00037D6F" w:rsidP="00753307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CA554A" w:rsidRDefault="00EA7DD9" w:rsidP="00BE64DB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 w:rsidR="00037D6F"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29742A" w:rsidRPr="0029742A" w:rsidRDefault="0029742A" w:rsidP="0029742A">
      <w:pPr>
        <w:pStyle w:val="Textosinformato"/>
        <w:rPr>
          <w:rFonts w:ascii="Palatino Linotype" w:eastAsia="MS Mincho" w:hAnsi="Palatino Linotype" w:cs="Arial"/>
          <w:bCs/>
          <w:sz w:val="14"/>
          <w:szCs w:val="14"/>
        </w:rPr>
      </w:pPr>
      <w:r>
        <w:rPr>
          <w:rFonts w:ascii="Palatino Linotype" w:eastAsia="MS Mincho" w:hAnsi="Palatino Linotype" w:cs="Arial"/>
          <w:bCs/>
          <w:sz w:val="14"/>
          <w:szCs w:val="14"/>
        </w:rPr>
        <w:t>DSCS</w:t>
      </w:r>
    </w:p>
    <w:sectPr w:rsidR="0029742A" w:rsidRPr="0029742A" w:rsidSect="0029742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3402" w:right="1274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2F" w:rsidRDefault="00E25C2F" w:rsidP="00B14643">
      <w:r>
        <w:separator/>
      </w:r>
    </w:p>
  </w:endnote>
  <w:endnote w:type="continuationSeparator" w:id="1">
    <w:p w:rsidR="00E25C2F" w:rsidRDefault="00E25C2F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F9" w:rsidRDefault="00E16DF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F9" w:rsidRDefault="00E16DF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F9" w:rsidRDefault="00E16DF9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2F" w:rsidRPr="00723B61" w:rsidRDefault="00E25C2F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="00AF7589"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="00AF7589" w:rsidRPr="00723B61">
      <w:rPr>
        <w:rFonts w:ascii="Palatino Linotype" w:hAnsi="Palatino Linotype"/>
        <w:b/>
        <w:sz w:val="24"/>
        <w:szCs w:val="24"/>
      </w:rPr>
      <w:fldChar w:fldCharType="separate"/>
    </w:r>
    <w:r w:rsidR="00CF767D">
      <w:rPr>
        <w:rFonts w:ascii="Palatino Linotype" w:hAnsi="Palatino Linotype"/>
        <w:b/>
        <w:noProof/>
      </w:rPr>
      <w:t>3</w:t>
    </w:r>
    <w:r w:rsidR="00AF7589"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</w:t>
    </w:r>
    <w:r>
      <w:rPr>
        <w:rFonts w:ascii="Palatino Linotype" w:hAnsi="Palatino Linotype"/>
      </w:rPr>
      <w:t xml:space="preserve"> </w:t>
    </w:r>
    <w:r w:rsidR="00DA6458">
      <w:rPr>
        <w:rFonts w:ascii="Palatino Linotype" w:hAnsi="Palatino Linotype"/>
        <w:b/>
      </w:rPr>
      <w:t>6</w:t>
    </w:r>
    <w:r w:rsidRPr="00723B61">
      <w:rPr>
        <w:rFonts w:ascii="Palatino Linotype" w:hAnsi="Palatino Linotype"/>
      </w:rPr>
      <w:t xml:space="preserve"> </w:t>
    </w:r>
  </w:p>
  <w:p w:rsidR="00E25C2F" w:rsidRDefault="00E25C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2F" w:rsidRDefault="00E25C2F" w:rsidP="00B14643">
      <w:r>
        <w:separator/>
      </w:r>
    </w:p>
  </w:footnote>
  <w:footnote w:type="continuationSeparator" w:id="1">
    <w:p w:rsidR="00E25C2F" w:rsidRDefault="00E25C2F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F9" w:rsidRDefault="00E16DF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2F" w:rsidRDefault="00E25C2F">
    <w:pPr>
      <w:pStyle w:val="Encabezado"/>
      <w:rPr>
        <w:lang w:val="es-EC"/>
      </w:rPr>
    </w:pPr>
  </w:p>
  <w:p w:rsidR="00E25C2F" w:rsidRDefault="00E25C2F">
    <w:pPr>
      <w:pStyle w:val="Encabezado"/>
      <w:rPr>
        <w:lang w:val="es-EC"/>
      </w:rPr>
    </w:pPr>
  </w:p>
  <w:p w:rsidR="00E25C2F" w:rsidRDefault="00E25C2F">
    <w:pPr>
      <w:pStyle w:val="Encabezado"/>
      <w:rPr>
        <w:lang w:val="es-EC"/>
      </w:rPr>
    </w:pPr>
  </w:p>
  <w:p w:rsidR="00E25C2F" w:rsidRDefault="00E25C2F">
    <w:pPr>
      <w:pStyle w:val="Encabezado"/>
      <w:rPr>
        <w:lang w:val="es-EC"/>
      </w:rPr>
    </w:pPr>
  </w:p>
  <w:p w:rsidR="00E25C2F" w:rsidRDefault="00E25C2F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E25C2F" w:rsidRDefault="00E25C2F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E25C2F" w:rsidRDefault="00E25C2F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E25C2F" w:rsidRPr="00476B21" w:rsidRDefault="00E25C2F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E25C2F" w:rsidRPr="00150606" w:rsidRDefault="00E25C2F">
    <w:pPr>
      <w:pStyle w:val="Encabezado"/>
      <w:rPr>
        <w:lang w:val="es-EC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F9" w:rsidRDefault="00E16DF9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2F" w:rsidRDefault="00E25C2F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2F" w:rsidRDefault="00E25C2F" w:rsidP="00183316">
    <w:pPr>
      <w:pStyle w:val="Ttulo"/>
      <w:rPr>
        <w:rFonts w:ascii="Palatino Linotype" w:hAnsi="Palatino Linotype" w:cs="Arial"/>
        <w:sz w:val="22"/>
        <w:szCs w:val="22"/>
      </w:rPr>
    </w:pPr>
  </w:p>
  <w:p w:rsidR="00E25C2F" w:rsidRDefault="00E25C2F" w:rsidP="00183316">
    <w:pPr>
      <w:pStyle w:val="Ttulo"/>
      <w:rPr>
        <w:rFonts w:ascii="Palatino Linotype" w:hAnsi="Palatino Linotype" w:cs="Arial"/>
        <w:sz w:val="22"/>
        <w:szCs w:val="22"/>
      </w:rPr>
    </w:pPr>
  </w:p>
  <w:p w:rsidR="00E25C2F" w:rsidRDefault="00E25C2F" w:rsidP="00183316">
    <w:pPr>
      <w:pStyle w:val="Ttulo"/>
      <w:rPr>
        <w:rFonts w:ascii="Palatino Linotype" w:hAnsi="Palatino Linotype" w:cs="Arial"/>
        <w:sz w:val="22"/>
        <w:szCs w:val="22"/>
      </w:rPr>
    </w:pPr>
  </w:p>
  <w:p w:rsidR="00E25C2F" w:rsidRDefault="00E25C2F" w:rsidP="00183316">
    <w:pPr>
      <w:pStyle w:val="Ttulo"/>
      <w:rPr>
        <w:rFonts w:ascii="Palatino Linotype" w:hAnsi="Palatino Linotype" w:cs="Arial"/>
        <w:sz w:val="22"/>
        <w:szCs w:val="22"/>
      </w:rPr>
    </w:pPr>
  </w:p>
  <w:p w:rsidR="00E25C2F" w:rsidRDefault="00E25C2F" w:rsidP="00183316">
    <w:pPr>
      <w:pStyle w:val="Ttulo"/>
      <w:rPr>
        <w:rFonts w:ascii="Palatino Linotype" w:hAnsi="Palatino Linotype" w:cs="Arial"/>
        <w:sz w:val="22"/>
        <w:szCs w:val="22"/>
      </w:rPr>
    </w:pPr>
  </w:p>
  <w:p w:rsidR="00E25C2F" w:rsidRDefault="00E25C2F" w:rsidP="00183316">
    <w:pPr>
      <w:pStyle w:val="Ttulo"/>
      <w:rPr>
        <w:rFonts w:ascii="Palatino Linotype" w:hAnsi="Palatino Linotype" w:cs="Arial"/>
        <w:sz w:val="22"/>
        <w:szCs w:val="22"/>
      </w:rPr>
    </w:pPr>
  </w:p>
  <w:p w:rsidR="00E25C2F" w:rsidRDefault="00E25C2F" w:rsidP="00183316">
    <w:pPr>
      <w:pStyle w:val="Ttulo"/>
      <w:rPr>
        <w:rFonts w:ascii="Palatino Linotype" w:hAnsi="Palatino Linotype" w:cs="Arial"/>
        <w:sz w:val="22"/>
        <w:szCs w:val="22"/>
      </w:rPr>
    </w:pPr>
  </w:p>
  <w:p w:rsidR="00E25C2F" w:rsidRPr="00476B21" w:rsidRDefault="00E25C2F" w:rsidP="0018331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E25C2F" w:rsidRDefault="00E25C2F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2F" w:rsidRDefault="00E25C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20"/>
  </w:num>
  <w:num w:numId="12">
    <w:abstractNumId w:val="1"/>
  </w:num>
  <w:num w:numId="13">
    <w:abstractNumId w:val="21"/>
  </w:num>
  <w:num w:numId="14">
    <w:abstractNumId w:val="16"/>
  </w:num>
  <w:num w:numId="15">
    <w:abstractNumId w:val="9"/>
  </w:num>
  <w:num w:numId="16">
    <w:abstractNumId w:val="11"/>
  </w:num>
  <w:num w:numId="17">
    <w:abstractNumId w:val="8"/>
  </w:num>
  <w:num w:numId="18">
    <w:abstractNumId w:val="17"/>
  </w:num>
  <w:num w:numId="19">
    <w:abstractNumId w:val="6"/>
  </w:num>
  <w:num w:numId="20">
    <w:abstractNumId w:val="15"/>
  </w:num>
  <w:num w:numId="21">
    <w:abstractNumId w:val="19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7FA6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37D6F"/>
    <w:rsid w:val="000401C2"/>
    <w:rsid w:val="000401D6"/>
    <w:rsid w:val="000473F4"/>
    <w:rsid w:val="000526F7"/>
    <w:rsid w:val="00052BA7"/>
    <w:rsid w:val="000535A7"/>
    <w:rsid w:val="00064C9D"/>
    <w:rsid w:val="00070E32"/>
    <w:rsid w:val="00074B5F"/>
    <w:rsid w:val="0008239D"/>
    <w:rsid w:val="00090566"/>
    <w:rsid w:val="000926DD"/>
    <w:rsid w:val="000950B5"/>
    <w:rsid w:val="00097181"/>
    <w:rsid w:val="000A3329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992"/>
    <w:rsid w:val="000D2B87"/>
    <w:rsid w:val="000D496E"/>
    <w:rsid w:val="000D7DC1"/>
    <w:rsid w:val="000E004E"/>
    <w:rsid w:val="000E2281"/>
    <w:rsid w:val="000E2E99"/>
    <w:rsid w:val="000E54E1"/>
    <w:rsid w:val="000E7480"/>
    <w:rsid w:val="000F35C3"/>
    <w:rsid w:val="000F4323"/>
    <w:rsid w:val="000F577D"/>
    <w:rsid w:val="00102DA6"/>
    <w:rsid w:val="001039D9"/>
    <w:rsid w:val="001077B2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207F6"/>
    <w:rsid w:val="001210C3"/>
    <w:rsid w:val="00122030"/>
    <w:rsid w:val="00126483"/>
    <w:rsid w:val="00126E69"/>
    <w:rsid w:val="00134032"/>
    <w:rsid w:val="001354FA"/>
    <w:rsid w:val="00140520"/>
    <w:rsid w:val="00142B47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3316"/>
    <w:rsid w:val="00187214"/>
    <w:rsid w:val="0018731A"/>
    <w:rsid w:val="0019102C"/>
    <w:rsid w:val="001961DC"/>
    <w:rsid w:val="001969C7"/>
    <w:rsid w:val="001974CE"/>
    <w:rsid w:val="001A05AB"/>
    <w:rsid w:val="001A1E74"/>
    <w:rsid w:val="001A2A2E"/>
    <w:rsid w:val="001A37BD"/>
    <w:rsid w:val="001A5B94"/>
    <w:rsid w:val="001A725D"/>
    <w:rsid w:val="001B14D2"/>
    <w:rsid w:val="001B26BE"/>
    <w:rsid w:val="001B3133"/>
    <w:rsid w:val="001B69C8"/>
    <w:rsid w:val="001B6BF2"/>
    <w:rsid w:val="001C4043"/>
    <w:rsid w:val="001C5676"/>
    <w:rsid w:val="001C5B7C"/>
    <w:rsid w:val="001C6A75"/>
    <w:rsid w:val="001D2138"/>
    <w:rsid w:val="001D285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EC5"/>
    <w:rsid w:val="002149A1"/>
    <w:rsid w:val="002151EE"/>
    <w:rsid w:val="00220E90"/>
    <w:rsid w:val="002224A1"/>
    <w:rsid w:val="0022742E"/>
    <w:rsid w:val="00230B0D"/>
    <w:rsid w:val="00231E7F"/>
    <w:rsid w:val="002342B1"/>
    <w:rsid w:val="00235290"/>
    <w:rsid w:val="00235A34"/>
    <w:rsid w:val="00235D33"/>
    <w:rsid w:val="002400BF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2811"/>
    <w:rsid w:val="002938EA"/>
    <w:rsid w:val="00293F7D"/>
    <w:rsid w:val="002953DF"/>
    <w:rsid w:val="00295609"/>
    <w:rsid w:val="0029742A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D143B"/>
    <w:rsid w:val="002D165C"/>
    <w:rsid w:val="002D3C51"/>
    <w:rsid w:val="002D4476"/>
    <w:rsid w:val="002D4869"/>
    <w:rsid w:val="002D6035"/>
    <w:rsid w:val="002D742D"/>
    <w:rsid w:val="002E27D9"/>
    <w:rsid w:val="002E3DDA"/>
    <w:rsid w:val="002E4840"/>
    <w:rsid w:val="002E50E0"/>
    <w:rsid w:val="002E6990"/>
    <w:rsid w:val="002E6E48"/>
    <w:rsid w:val="002F2233"/>
    <w:rsid w:val="002F3331"/>
    <w:rsid w:val="002F575A"/>
    <w:rsid w:val="00300501"/>
    <w:rsid w:val="00301F0B"/>
    <w:rsid w:val="003027F9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46000"/>
    <w:rsid w:val="00354992"/>
    <w:rsid w:val="003562D9"/>
    <w:rsid w:val="00356889"/>
    <w:rsid w:val="003654EA"/>
    <w:rsid w:val="003664D5"/>
    <w:rsid w:val="003667C0"/>
    <w:rsid w:val="00372E2D"/>
    <w:rsid w:val="003759CD"/>
    <w:rsid w:val="003834FF"/>
    <w:rsid w:val="00383E00"/>
    <w:rsid w:val="003843CA"/>
    <w:rsid w:val="003843DB"/>
    <w:rsid w:val="003870B9"/>
    <w:rsid w:val="003946FB"/>
    <w:rsid w:val="0039693E"/>
    <w:rsid w:val="003A0D5E"/>
    <w:rsid w:val="003A129C"/>
    <w:rsid w:val="003A54E4"/>
    <w:rsid w:val="003B1021"/>
    <w:rsid w:val="003B2354"/>
    <w:rsid w:val="003B2C55"/>
    <w:rsid w:val="003B75C9"/>
    <w:rsid w:val="003C43F4"/>
    <w:rsid w:val="003C77BE"/>
    <w:rsid w:val="003C7B78"/>
    <w:rsid w:val="003D3737"/>
    <w:rsid w:val="003D5BEF"/>
    <w:rsid w:val="003D6DAD"/>
    <w:rsid w:val="003D73D9"/>
    <w:rsid w:val="003E6DFE"/>
    <w:rsid w:val="003F0E2B"/>
    <w:rsid w:val="003F177C"/>
    <w:rsid w:val="003F2208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664C"/>
    <w:rsid w:val="00426E5A"/>
    <w:rsid w:val="004334C1"/>
    <w:rsid w:val="00453BC2"/>
    <w:rsid w:val="00460147"/>
    <w:rsid w:val="00461AE0"/>
    <w:rsid w:val="00462E51"/>
    <w:rsid w:val="0046790E"/>
    <w:rsid w:val="004750CA"/>
    <w:rsid w:val="00476B21"/>
    <w:rsid w:val="004824E7"/>
    <w:rsid w:val="0048545E"/>
    <w:rsid w:val="004868B3"/>
    <w:rsid w:val="00487ABE"/>
    <w:rsid w:val="00492BEE"/>
    <w:rsid w:val="004A00A6"/>
    <w:rsid w:val="004A4C76"/>
    <w:rsid w:val="004C15AD"/>
    <w:rsid w:val="004C24A3"/>
    <w:rsid w:val="004C2E58"/>
    <w:rsid w:val="004C5073"/>
    <w:rsid w:val="004C5237"/>
    <w:rsid w:val="004C6E38"/>
    <w:rsid w:val="004D3164"/>
    <w:rsid w:val="004E12F6"/>
    <w:rsid w:val="004E413D"/>
    <w:rsid w:val="004E5EE5"/>
    <w:rsid w:val="004F0A6D"/>
    <w:rsid w:val="004F2312"/>
    <w:rsid w:val="004F2EE4"/>
    <w:rsid w:val="004F40E5"/>
    <w:rsid w:val="004F6AB2"/>
    <w:rsid w:val="004F727F"/>
    <w:rsid w:val="00500590"/>
    <w:rsid w:val="00510372"/>
    <w:rsid w:val="00511176"/>
    <w:rsid w:val="00516E13"/>
    <w:rsid w:val="00516FFD"/>
    <w:rsid w:val="005179EC"/>
    <w:rsid w:val="00523121"/>
    <w:rsid w:val="005231E7"/>
    <w:rsid w:val="005256AA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61414"/>
    <w:rsid w:val="00562440"/>
    <w:rsid w:val="00562572"/>
    <w:rsid w:val="0056510A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90CEC"/>
    <w:rsid w:val="005925D4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43CA"/>
    <w:rsid w:val="005E0184"/>
    <w:rsid w:val="005E386C"/>
    <w:rsid w:val="005E7CBA"/>
    <w:rsid w:val="005F1A76"/>
    <w:rsid w:val="005F2841"/>
    <w:rsid w:val="00602EA3"/>
    <w:rsid w:val="006043DB"/>
    <w:rsid w:val="00611984"/>
    <w:rsid w:val="00611CE1"/>
    <w:rsid w:val="0061664E"/>
    <w:rsid w:val="0061728D"/>
    <w:rsid w:val="00620946"/>
    <w:rsid w:val="00620C70"/>
    <w:rsid w:val="00621472"/>
    <w:rsid w:val="006216BB"/>
    <w:rsid w:val="00622107"/>
    <w:rsid w:val="00625093"/>
    <w:rsid w:val="00625C0D"/>
    <w:rsid w:val="00632D9A"/>
    <w:rsid w:val="00635AC1"/>
    <w:rsid w:val="00641D37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596D"/>
    <w:rsid w:val="006B357E"/>
    <w:rsid w:val="006D3DD7"/>
    <w:rsid w:val="006D6757"/>
    <w:rsid w:val="006D7BAE"/>
    <w:rsid w:val="006E2129"/>
    <w:rsid w:val="006E2294"/>
    <w:rsid w:val="006E24E6"/>
    <w:rsid w:val="006E56AD"/>
    <w:rsid w:val="006F435D"/>
    <w:rsid w:val="006F4DF0"/>
    <w:rsid w:val="006F5682"/>
    <w:rsid w:val="006F5A11"/>
    <w:rsid w:val="006F77BC"/>
    <w:rsid w:val="00701131"/>
    <w:rsid w:val="00703563"/>
    <w:rsid w:val="00703851"/>
    <w:rsid w:val="00705B99"/>
    <w:rsid w:val="00714C8B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59D5"/>
    <w:rsid w:val="00747C7E"/>
    <w:rsid w:val="007513B7"/>
    <w:rsid w:val="0075242D"/>
    <w:rsid w:val="00753307"/>
    <w:rsid w:val="00755D54"/>
    <w:rsid w:val="00757823"/>
    <w:rsid w:val="007603D3"/>
    <w:rsid w:val="00773042"/>
    <w:rsid w:val="0077379E"/>
    <w:rsid w:val="00781256"/>
    <w:rsid w:val="00785173"/>
    <w:rsid w:val="007863C1"/>
    <w:rsid w:val="00796803"/>
    <w:rsid w:val="0079736E"/>
    <w:rsid w:val="007A0447"/>
    <w:rsid w:val="007A0765"/>
    <w:rsid w:val="007A7CB2"/>
    <w:rsid w:val="007B058A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3071"/>
    <w:rsid w:val="007F69CD"/>
    <w:rsid w:val="007F7470"/>
    <w:rsid w:val="00800224"/>
    <w:rsid w:val="00801DD7"/>
    <w:rsid w:val="008053AC"/>
    <w:rsid w:val="0081056B"/>
    <w:rsid w:val="00813CBA"/>
    <w:rsid w:val="0081441B"/>
    <w:rsid w:val="00815428"/>
    <w:rsid w:val="00816E9E"/>
    <w:rsid w:val="00817FE4"/>
    <w:rsid w:val="00833268"/>
    <w:rsid w:val="0083612B"/>
    <w:rsid w:val="00840609"/>
    <w:rsid w:val="00841633"/>
    <w:rsid w:val="0084430E"/>
    <w:rsid w:val="00844B9B"/>
    <w:rsid w:val="0084725F"/>
    <w:rsid w:val="008507F5"/>
    <w:rsid w:val="00852F0D"/>
    <w:rsid w:val="00861871"/>
    <w:rsid w:val="008633AB"/>
    <w:rsid w:val="0086470F"/>
    <w:rsid w:val="0086515C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6E3B"/>
    <w:rsid w:val="008D7529"/>
    <w:rsid w:val="008E0885"/>
    <w:rsid w:val="008E3010"/>
    <w:rsid w:val="008E4C5D"/>
    <w:rsid w:val="008E4FDC"/>
    <w:rsid w:val="008E58AF"/>
    <w:rsid w:val="008E6C7E"/>
    <w:rsid w:val="008F0BD5"/>
    <w:rsid w:val="008F1FFF"/>
    <w:rsid w:val="008F27D0"/>
    <w:rsid w:val="00900480"/>
    <w:rsid w:val="00902D76"/>
    <w:rsid w:val="00903379"/>
    <w:rsid w:val="00905E7E"/>
    <w:rsid w:val="00910052"/>
    <w:rsid w:val="00922D45"/>
    <w:rsid w:val="00923B99"/>
    <w:rsid w:val="00923EC9"/>
    <w:rsid w:val="009241E5"/>
    <w:rsid w:val="00924A8D"/>
    <w:rsid w:val="00926E41"/>
    <w:rsid w:val="00932660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33D3"/>
    <w:rsid w:val="00974163"/>
    <w:rsid w:val="00980DCE"/>
    <w:rsid w:val="00981FAF"/>
    <w:rsid w:val="009908B4"/>
    <w:rsid w:val="00993328"/>
    <w:rsid w:val="009A5C59"/>
    <w:rsid w:val="009A7C1B"/>
    <w:rsid w:val="009B0837"/>
    <w:rsid w:val="009B4666"/>
    <w:rsid w:val="009C2D28"/>
    <w:rsid w:val="009C3ECA"/>
    <w:rsid w:val="009C416E"/>
    <w:rsid w:val="009C43D6"/>
    <w:rsid w:val="009C59DF"/>
    <w:rsid w:val="009D0B94"/>
    <w:rsid w:val="009D1285"/>
    <w:rsid w:val="009D1ED8"/>
    <w:rsid w:val="009D6D62"/>
    <w:rsid w:val="009D6F28"/>
    <w:rsid w:val="009E0E19"/>
    <w:rsid w:val="009E451D"/>
    <w:rsid w:val="009E6DC7"/>
    <w:rsid w:val="009F0091"/>
    <w:rsid w:val="009F1B3D"/>
    <w:rsid w:val="009F315F"/>
    <w:rsid w:val="009F3E71"/>
    <w:rsid w:val="009F504C"/>
    <w:rsid w:val="00A017C1"/>
    <w:rsid w:val="00A03B98"/>
    <w:rsid w:val="00A04AA2"/>
    <w:rsid w:val="00A10BF3"/>
    <w:rsid w:val="00A12C10"/>
    <w:rsid w:val="00A16612"/>
    <w:rsid w:val="00A2158A"/>
    <w:rsid w:val="00A23680"/>
    <w:rsid w:val="00A33CA9"/>
    <w:rsid w:val="00A340DC"/>
    <w:rsid w:val="00A34BFD"/>
    <w:rsid w:val="00A35F48"/>
    <w:rsid w:val="00A36C02"/>
    <w:rsid w:val="00A37DF6"/>
    <w:rsid w:val="00A40092"/>
    <w:rsid w:val="00A4043C"/>
    <w:rsid w:val="00A4271A"/>
    <w:rsid w:val="00A452E0"/>
    <w:rsid w:val="00A453EC"/>
    <w:rsid w:val="00A462FC"/>
    <w:rsid w:val="00A51A1E"/>
    <w:rsid w:val="00A5219A"/>
    <w:rsid w:val="00A52DF1"/>
    <w:rsid w:val="00A5608D"/>
    <w:rsid w:val="00A63552"/>
    <w:rsid w:val="00A64003"/>
    <w:rsid w:val="00A70ABB"/>
    <w:rsid w:val="00A71C61"/>
    <w:rsid w:val="00A731E8"/>
    <w:rsid w:val="00A80160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1EDC"/>
    <w:rsid w:val="00AF1475"/>
    <w:rsid w:val="00AF3FA6"/>
    <w:rsid w:val="00AF7530"/>
    <w:rsid w:val="00AF7589"/>
    <w:rsid w:val="00B00707"/>
    <w:rsid w:val="00B030DB"/>
    <w:rsid w:val="00B03F29"/>
    <w:rsid w:val="00B064EA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317F8"/>
    <w:rsid w:val="00B322AC"/>
    <w:rsid w:val="00B35D54"/>
    <w:rsid w:val="00B42B46"/>
    <w:rsid w:val="00B43CA6"/>
    <w:rsid w:val="00B4440F"/>
    <w:rsid w:val="00B45D5B"/>
    <w:rsid w:val="00B45D88"/>
    <w:rsid w:val="00B474A0"/>
    <w:rsid w:val="00B50EEB"/>
    <w:rsid w:val="00B5212F"/>
    <w:rsid w:val="00B575DB"/>
    <w:rsid w:val="00B60FAC"/>
    <w:rsid w:val="00B65443"/>
    <w:rsid w:val="00B65EBD"/>
    <w:rsid w:val="00B6630F"/>
    <w:rsid w:val="00B742EF"/>
    <w:rsid w:val="00B74318"/>
    <w:rsid w:val="00B7468B"/>
    <w:rsid w:val="00B747F5"/>
    <w:rsid w:val="00B84D5C"/>
    <w:rsid w:val="00B92361"/>
    <w:rsid w:val="00BA0C00"/>
    <w:rsid w:val="00BA1C4F"/>
    <w:rsid w:val="00BA74F6"/>
    <w:rsid w:val="00BA7F93"/>
    <w:rsid w:val="00BB0974"/>
    <w:rsid w:val="00BB0DB6"/>
    <w:rsid w:val="00BB1211"/>
    <w:rsid w:val="00BB3C81"/>
    <w:rsid w:val="00BB4561"/>
    <w:rsid w:val="00BB482B"/>
    <w:rsid w:val="00BB695A"/>
    <w:rsid w:val="00BB7F91"/>
    <w:rsid w:val="00BC5C84"/>
    <w:rsid w:val="00BC6487"/>
    <w:rsid w:val="00BC6EE5"/>
    <w:rsid w:val="00BD5A41"/>
    <w:rsid w:val="00BD5A99"/>
    <w:rsid w:val="00BD617B"/>
    <w:rsid w:val="00BE06BA"/>
    <w:rsid w:val="00BE28DF"/>
    <w:rsid w:val="00BE64DB"/>
    <w:rsid w:val="00BE6BAC"/>
    <w:rsid w:val="00BF5971"/>
    <w:rsid w:val="00C05343"/>
    <w:rsid w:val="00C06591"/>
    <w:rsid w:val="00C1176C"/>
    <w:rsid w:val="00C16B2C"/>
    <w:rsid w:val="00C173C6"/>
    <w:rsid w:val="00C17CCD"/>
    <w:rsid w:val="00C221F3"/>
    <w:rsid w:val="00C222AD"/>
    <w:rsid w:val="00C22923"/>
    <w:rsid w:val="00C236F8"/>
    <w:rsid w:val="00C242AD"/>
    <w:rsid w:val="00C251A6"/>
    <w:rsid w:val="00C269A3"/>
    <w:rsid w:val="00C27958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342"/>
    <w:rsid w:val="00C66F0D"/>
    <w:rsid w:val="00C7033E"/>
    <w:rsid w:val="00C760E1"/>
    <w:rsid w:val="00C8321D"/>
    <w:rsid w:val="00C85FED"/>
    <w:rsid w:val="00C87902"/>
    <w:rsid w:val="00C90BFA"/>
    <w:rsid w:val="00C92FF4"/>
    <w:rsid w:val="00C9504D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618E"/>
    <w:rsid w:val="00CE661B"/>
    <w:rsid w:val="00CE6A80"/>
    <w:rsid w:val="00CF350D"/>
    <w:rsid w:val="00CF3C94"/>
    <w:rsid w:val="00CF767D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7039D"/>
    <w:rsid w:val="00D73F39"/>
    <w:rsid w:val="00D76A72"/>
    <w:rsid w:val="00D8101D"/>
    <w:rsid w:val="00D82CFE"/>
    <w:rsid w:val="00D90E6D"/>
    <w:rsid w:val="00D91B5E"/>
    <w:rsid w:val="00D92288"/>
    <w:rsid w:val="00D94DEC"/>
    <w:rsid w:val="00D95385"/>
    <w:rsid w:val="00DA3162"/>
    <w:rsid w:val="00DA329B"/>
    <w:rsid w:val="00DA3641"/>
    <w:rsid w:val="00DA6458"/>
    <w:rsid w:val="00DB1AD0"/>
    <w:rsid w:val="00DC10E8"/>
    <w:rsid w:val="00DC21E8"/>
    <w:rsid w:val="00DC2B03"/>
    <w:rsid w:val="00DD0375"/>
    <w:rsid w:val="00DD3BB6"/>
    <w:rsid w:val="00DD74FA"/>
    <w:rsid w:val="00DE1786"/>
    <w:rsid w:val="00DE2952"/>
    <w:rsid w:val="00DE2CF3"/>
    <w:rsid w:val="00DE2E81"/>
    <w:rsid w:val="00DE35B0"/>
    <w:rsid w:val="00DF0B3D"/>
    <w:rsid w:val="00DF1C55"/>
    <w:rsid w:val="00DF696C"/>
    <w:rsid w:val="00E02445"/>
    <w:rsid w:val="00E02B5F"/>
    <w:rsid w:val="00E06ACC"/>
    <w:rsid w:val="00E07811"/>
    <w:rsid w:val="00E123FB"/>
    <w:rsid w:val="00E130CF"/>
    <w:rsid w:val="00E16DF9"/>
    <w:rsid w:val="00E16E4D"/>
    <w:rsid w:val="00E23B34"/>
    <w:rsid w:val="00E2474D"/>
    <w:rsid w:val="00E25C2F"/>
    <w:rsid w:val="00E3169E"/>
    <w:rsid w:val="00E32D82"/>
    <w:rsid w:val="00E35FC9"/>
    <w:rsid w:val="00E40127"/>
    <w:rsid w:val="00E42468"/>
    <w:rsid w:val="00E43914"/>
    <w:rsid w:val="00E46257"/>
    <w:rsid w:val="00E515DC"/>
    <w:rsid w:val="00E51A77"/>
    <w:rsid w:val="00E552C1"/>
    <w:rsid w:val="00E60674"/>
    <w:rsid w:val="00E73CAC"/>
    <w:rsid w:val="00E7413C"/>
    <w:rsid w:val="00E774B8"/>
    <w:rsid w:val="00E80965"/>
    <w:rsid w:val="00E82399"/>
    <w:rsid w:val="00E83519"/>
    <w:rsid w:val="00E83CAF"/>
    <w:rsid w:val="00E909C1"/>
    <w:rsid w:val="00E918F7"/>
    <w:rsid w:val="00E9318F"/>
    <w:rsid w:val="00E93F84"/>
    <w:rsid w:val="00E93FB3"/>
    <w:rsid w:val="00E942FB"/>
    <w:rsid w:val="00EA2521"/>
    <w:rsid w:val="00EA5D11"/>
    <w:rsid w:val="00EA682F"/>
    <w:rsid w:val="00EA7DD9"/>
    <w:rsid w:val="00EB2F5E"/>
    <w:rsid w:val="00EB32DC"/>
    <w:rsid w:val="00EC03E6"/>
    <w:rsid w:val="00EC0C55"/>
    <w:rsid w:val="00EC17A1"/>
    <w:rsid w:val="00EC2102"/>
    <w:rsid w:val="00EC46FB"/>
    <w:rsid w:val="00EC5763"/>
    <w:rsid w:val="00EC5CE4"/>
    <w:rsid w:val="00EC6EC9"/>
    <w:rsid w:val="00ED0C3A"/>
    <w:rsid w:val="00ED189D"/>
    <w:rsid w:val="00ED5073"/>
    <w:rsid w:val="00ED7449"/>
    <w:rsid w:val="00ED77A6"/>
    <w:rsid w:val="00EE0199"/>
    <w:rsid w:val="00EE7381"/>
    <w:rsid w:val="00EF6824"/>
    <w:rsid w:val="00F0318F"/>
    <w:rsid w:val="00F109BB"/>
    <w:rsid w:val="00F11B08"/>
    <w:rsid w:val="00F13F38"/>
    <w:rsid w:val="00F20B50"/>
    <w:rsid w:val="00F21931"/>
    <w:rsid w:val="00F23026"/>
    <w:rsid w:val="00F26E8C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2924"/>
    <w:rsid w:val="00F63DBE"/>
    <w:rsid w:val="00F652B8"/>
    <w:rsid w:val="00F66595"/>
    <w:rsid w:val="00F71F55"/>
    <w:rsid w:val="00F7338E"/>
    <w:rsid w:val="00F761CF"/>
    <w:rsid w:val="00F82258"/>
    <w:rsid w:val="00F82FA9"/>
    <w:rsid w:val="00F87577"/>
    <w:rsid w:val="00F93948"/>
    <w:rsid w:val="00F93F5B"/>
    <w:rsid w:val="00F965A2"/>
    <w:rsid w:val="00FA47C5"/>
    <w:rsid w:val="00FA5013"/>
    <w:rsid w:val="00FA63B3"/>
    <w:rsid w:val="00FA69E4"/>
    <w:rsid w:val="00FB06E8"/>
    <w:rsid w:val="00FB1976"/>
    <w:rsid w:val="00FB3159"/>
    <w:rsid w:val="00FB4475"/>
    <w:rsid w:val="00FB4E3B"/>
    <w:rsid w:val="00FB588A"/>
    <w:rsid w:val="00FB5D0D"/>
    <w:rsid w:val="00FB6BF3"/>
    <w:rsid w:val="00FC0B57"/>
    <w:rsid w:val="00FC113F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9A14-2E9C-4206-8DFA-805B5E33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2173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9</cp:revision>
  <cp:lastPrinted>2014-10-07T14:46:00Z</cp:lastPrinted>
  <dcterms:created xsi:type="dcterms:W3CDTF">2014-09-11T18:26:00Z</dcterms:created>
  <dcterms:modified xsi:type="dcterms:W3CDTF">2014-10-07T14:49:00Z</dcterms:modified>
</cp:coreProperties>
</file>