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00" w:rsidRPr="003F2B99" w:rsidRDefault="003F2B99" w:rsidP="003F2B99">
      <w:pPr>
        <w:suppressAutoHyphens/>
        <w:spacing w:after="120"/>
        <w:jc w:val="center"/>
        <w:rPr>
          <w:rFonts w:ascii="Palatino Linotype" w:eastAsia="Palatino Linotype" w:hAnsi="Palatino Linotype" w:cs="Tahoma"/>
          <w:b/>
          <w:lang w:eastAsia="ar-SA"/>
        </w:rPr>
      </w:pPr>
      <w:r>
        <w:rPr>
          <w:rFonts w:ascii="Palatino Linotype" w:eastAsia="Palatino Linotype" w:hAnsi="Palatino Linotype" w:cs="Tahoma"/>
          <w:b/>
          <w:lang w:eastAsia="ar-SA"/>
        </w:rPr>
        <w:t>EXPOSICIÓ</w:t>
      </w:r>
      <w:r w:rsidR="005C4100" w:rsidRPr="003F2B99">
        <w:rPr>
          <w:rFonts w:ascii="Palatino Linotype" w:eastAsia="Palatino Linotype" w:hAnsi="Palatino Linotype" w:cs="Tahoma"/>
          <w:b/>
          <w:lang w:eastAsia="ar-SA"/>
        </w:rPr>
        <w:t>N DE MOTIVOS</w:t>
      </w:r>
    </w:p>
    <w:p w:rsidR="005C4100" w:rsidRPr="003F2B99" w:rsidRDefault="005C4100" w:rsidP="003F2B99">
      <w:pPr>
        <w:suppressAutoHyphens/>
        <w:spacing w:after="120"/>
        <w:ind w:firstLine="708"/>
        <w:jc w:val="both"/>
        <w:rPr>
          <w:rFonts w:ascii="Palatino Linotype" w:eastAsia="Palatino Linotype" w:hAnsi="Palatino Linotype" w:cs="Tahoma"/>
          <w:lang w:eastAsia="ar-SA"/>
        </w:rPr>
      </w:pPr>
      <w:r w:rsidRPr="003F2B99">
        <w:rPr>
          <w:rFonts w:ascii="Palatino Linotype" w:eastAsia="Palatino Linotype" w:hAnsi="Palatino Linotype" w:cs="Tahoma"/>
          <w:lang w:eastAsia="ar-SA"/>
        </w:rPr>
        <w:t>El artículo 425 de la Constitución de la República del Ecuador, en cuanto se refiere a la supremacía de la Constitución, textualmente señala: “El orden jerárquico de aplicación de las normas será el siguiente: La Constitución; los tratados y convenios internacionales; las leyes orgánicas; las leyes ordinarias; las normas regionales y las ordenanzas distritales; los decretos y reglamentos; las ordenanzas; los acuerdos y las resoluciones; y los demás actos y decisiones de los poderes públicos.”</w:t>
      </w:r>
    </w:p>
    <w:p w:rsidR="00CF7A47" w:rsidRPr="003F2B99" w:rsidRDefault="00C1377E" w:rsidP="003F2B99">
      <w:pPr>
        <w:suppressAutoHyphens/>
        <w:spacing w:after="120"/>
        <w:ind w:firstLine="708"/>
        <w:jc w:val="both"/>
        <w:rPr>
          <w:rFonts w:ascii="Palatino Linotype" w:eastAsia="Palatino Linotype" w:hAnsi="Palatino Linotype" w:cs="Tahoma"/>
          <w:lang w:eastAsia="ar-SA"/>
        </w:rPr>
      </w:pPr>
      <w:r w:rsidRPr="003F2B99">
        <w:rPr>
          <w:rFonts w:ascii="Palatino Linotype" w:eastAsia="Palatino Linotype" w:hAnsi="Palatino Linotype" w:cs="Tahoma"/>
          <w:lang w:eastAsia="ar-SA"/>
        </w:rPr>
        <w:t>El artículo 424 del Código Orgánico de Organización Territorial, Autonomía y Descentralización (</w:t>
      </w:r>
      <w:r w:rsidR="004010B2" w:rsidRPr="003F2B99">
        <w:rPr>
          <w:rFonts w:ascii="Palatino Linotype" w:eastAsia="Palatino Linotype" w:hAnsi="Palatino Linotype" w:cs="Tahoma"/>
          <w:lang w:eastAsia="ar-SA"/>
        </w:rPr>
        <w:t>COOTAD</w:t>
      </w:r>
      <w:r w:rsidRPr="003F2B99">
        <w:rPr>
          <w:rFonts w:ascii="Palatino Linotype" w:eastAsia="Palatino Linotype" w:hAnsi="Palatino Linotype" w:cs="Tahoma"/>
          <w:lang w:eastAsia="ar-SA"/>
        </w:rPr>
        <w:t xml:space="preserve">) publicado en el </w:t>
      </w:r>
      <w:r w:rsidR="007110B3" w:rsidRPr="003F2B99">
        <w:rPr>
          <w:rFonts w:ascii="Palatino Linotype" w:eastAsia="Palatino Linotype" w:hAnsi="Palatino Linotype" w:cs="Tahoma"/>
          <w:lang w:eastAsia="ar-SA"/>
        </w:rPr>
        <w:t>suplemento del R</w:t>
      </w:r>
      <w:r w:rsidRPr="003F2B99">
        <w:rPr>
          <w:rFonts w:ascii="Palatino Linotype" w:eastAsia="Palatino Linotype" w:hAnsi="Palatino Linotype" w:cs="Tahoma"/>
          <w:lang w:eastAsia="ar-SA"/>
        </w:rPr>
        <w:t xml:space="preserve">egistro Oficial No. 303 de 19 de octubre de 2010, </w:t>
      </w:r>
      <w:r w:rsidR="00CF7A47" w:rsidRPr="003F2B99">
        <w:rPr>
          <w:rFonts w:ascii="Palatino Linotype" w:eastAsia="Palatino Linotype" w:hAnsi="Palatino Linotype" w:cs="Tahoma"/>
          <w:lang w:eastAsia="ar-SA"/>
        </w:rPr>
        <w:t xml:space="preserve">se sustituyó </w:t>
      </w:r>
      <w:r w:rsidR="009F0437" w:rsidRPr="003F2B99">
        <w:rPr>
          <w:rFonts w:ascii="Palatino Linotype" w:eastAsia="Palatino Linotype" w:hAnsi="Palatino Linotype" w:cs="Tahoma"/>
          <w:lang w:eastAsia="ar-SA"/>
        </w:rPr>
        <w:t>por</w:t>
      </w:r>
      <w:r w:rsidR="00CF7A47" w:rsidRPr="003F2B99">
        <w:rPr>
          <w:rFonts w:ascii="Palatino Linotype" w:eastAsia="Palatino Linotype" w:hAnsi="Palatino Linotype" w:cs="Tahoma"/>
          <w:lang w:eastAsia="ar-SA"/>
        </w:rPr>
        <w:t xml:space="preserve"> </w:t>
      </w:r>
      <w:r w:rsidR="009F0437" w:rsidRPr="003F2B99">
        <w:rPr>
          <w:rFonts w:ascii="Palatino Linotype" w:eastAsia="Palatino Linotype" w:hAnsi="Palatino Linotype" w:cs="Tahoma"/>
          <w:lang w:eastAsia="ar-SA"/>
        </w:rPr>
        <w:t xml:space="preserve">el </w:t>
      </w:r>
      <w:r w:rsidR="00CF7A47" w:rsidRPr="003F2B99">
        <w:rPr>
          <w:rFonts w:ascii="Palatino Linotype" w:eastAsia="Palatino Linotype" w:hAnsi="Palatino Linotype" w:cs="Tahoma"/>
          <w:lang w:eastAsia="ar-SA"/>
        </w:rPr>
        <w:t xml:space="preserve">artículo 32 por la Ley Orgánica reformatoria al Código Orgánico de </w:t>
      </w:r>
      <w:r w:rsidR="007A235B" w:rsidRPr="003F2B99">
        <w:rPr>
          <w:rFonts w:ascii="Palatino Linotype" w:eastAsia="Palatino Linotype" w:hAnsi="Palatino Linotype" w:cs="Tahoma"/>
          <w:lang w:eastAsia="ar-SA"/>
        </w:rPr>
        <w:t>Organización Territorial</w:t>
      </w:r>
      <w:r w:rsidR="00CF7A47" w:rsidRPr="003F2B99">
        <w:rPr>
          <w:rFonts w:ascii="Palatino Linotype" w:eastAsia="Palatino Linotype" w:hAnsi="Palatino Linotype" w:cs="Tahoma"/>
          <w:lang w:eastAsia="ar-SA"/>
        </w:rPr>
        <w:t xml:space="preserve">, Autonomía y Descentralización, constante en el </w:t>
      </w:r>
      <w:r w:rsidR="007110B3" w:rsidRPr="003F2B99">
        <w:rPr>
          <w:rFonts w:ascii="Palatino Linotype" w:eastAsia="Palatino Linotype" w:hAnsi="Palatino Linotype" w:cs="Tahoma"/>
          <w:lang w:eastAsia="ar-SA"/>
        </w:rPr>
        <w:t xml:space="preserve">suplemento del </w:t>
      </w:r>
      <w:r w:rsidR="00CF7A47" w:rsidRPr="003F2B99">
        <w:rPr>
          <w:rFonts w:ascii="Palatino Linotype" w:eastAsia="Palatino Linotype" w:hAnsi="Palatino Linotype" w:cs="Tahoma"/>
          <w:lang w:eastAsia="ar-SA"/>
        </w:rPr>
        <w:t>Registro Oficial No. 166 de 21 de enero de 2014.</w:t>
      </w:r>
    </w:p>
    <w:p w:rsidR="00D8674F" w:rsidRPr="003F2B99" w:rsidRDefault="00CF7A47" w:rsidP="003F2B99">
      <w:pPr>
        <w:suppressAutoHyphens/>
        <w:spacing w:after="120"/>
        <w:ind w:firstLine="708"/>
        <w:jc w:val="both"/>
        <w:rPr>
          <w:rFonts w:ascii="Palatino Linotype" w:eastAsia="Palatino Linotype" w:hAnsi="Palatino Linotype" w:cs="Tahoma"/>
          <w:lang w:eastAsia="ar-SA"/>
        </w:rPr>
      </w:pPr>
      <w:r w:rsidRPr="003F2B99">
        <w:rPr>
          <w:rFonts w:ascii="Palatino Linotype" w:eastAsia="Palatino Linotype" w:hAnsi="Palatino Linotype" w:cs="Tahoma"/>
          <w:lang w:eastAsia="ar-SA"/>
        </w:rPr>
        <w:t xml:space="preserve">Posteriormente </w:t>
      </w:r>
      <w:r w:rsidR="007110B3" w:rsidRPr="003F2B99">
        <w:rPr>
          <w:rFonts w:ascii="Palatino Linotype" w:eastAsia="Palatino Linotype" w:hAnsi="Palatino Linotype" w:cs="Tahoma"/>
          <w:lang w:eastAsia="ar-SA"/>
        </w:rPr>
        <w:t>m</w:t>
      </w:r>
      <w:r w:rsidR="00D8674F" w:rsidRPr="003F2B99">
        <w:rPr>
          <w:rFonts w:ascii="Palatino Linotype" w:eastAsia="Palatino Linotype" w:hAnsi="Palatino Linotype" w:cs="Tahoma"/>
          <w:lang w:eastAsia="ar-SA"/>
        </w:rPr>
        <w:t xml:space="preserve">ediante </w:t>
      </w:r>
      <w:r w:rsidR="007110B3" w:rsidRPr="003F2B99">
        <w:rPr>
          <w:rFonts w:ascii="Palatino Linotype" w:eastAsia="Palatino Linotype" w:hAnsi="Palatino Linotype" w:cs="Tahoma"/>
          <w:lang w:eastAsia="ar-SA"/>
        </w:rPr>
        <w:t xml:space="preserve">el suplemento del </w:t>
      </w:r>
      <w:r w:rsidR="00D8674F" w:rsidRPr="003F2B99">
        <w:rPr>
          <w:rFonts w:ascii="Palatino Linotype" w:eastAsia="Palatino Linotype" w:hAnsi="Palatino Linotype" w:cs="Tahoma"/>
          <w:lang w:eastAsia="ar-SA"/>
        </w:rPr>
        <w:t>Registro Oficial No. 711 de 14 de marzo de 201</w:t>
      </w:r>
      <w:r w:rsidR="009F0437" w:rsidRPr="003F2B99">
        <w:rPr>
          <w:rFonts w:ascii="Palatino Linotype" w:eastAsia="Palatino Linotype" w:hAnsi="Palatino Linotype" w:cs="Tahoma"/>
          <w:lang w:eastAsia="ar-SA"/>
        </w:rPr>
        <w:t>6</w:t>
      </w:r>
      <w:r w:rsidR="00D8674F" w:rsidRPr="003F2B99">
        <w:rPr>
          <w:rFonts w:ascii="Palatino Linotype" w:eastAsia="Palatino Linotype" w:hAnsi="Palatino Linotype" w:cs="Tahoma"/>
          <w:lang w:eastAsia="ar-SA"/>
        </w:rPr>
        <w:t xml:space="preserve">, se promulga la Ley Orgánica de Tierras Rurales y Territorios Ancestrales, en </w:t>
      </w:r>
      <w:r w:rsidR="009F0437" w:rsidRPr="003F2B99">
        <w:rPr>
          <w:rFonts w:ascii="Palatino Linotype" w:eastAsia="Palatino Linotype" w:hAnsi="Palatino Linotype" w:cs="Tahoma"/>
          <w:lang w:eastAsia="ar-SA"/>
        </w:rPr>
        <w:t xml:space="preserve">cuya </w:t>
      </w:r>
      <w:r w:rsidR="007A235B" w:rsidRPr="003F2B99">
        <w:rPr>
          <w:rFonts w:ascii="Palatino Linotype" w:eastAsia="Palatino Linotype" w:hAnsi="Palatino Linotype" w:cs="Tahoma"/>
          <w:lang w:eastAsia="ar-SA"/>
        </w:rPr>
        <w:t>disposición Primera</w:t>
      </w:r>
      <w:r w:rsidR="00D8674F" w:rsidRPr="003F2B99">
        <w:rPr>
          <w:rFonts w:ascii="Palatino Linotype" w:eastAsia="Palatino Linotype" w:hAnsi="Palatino Linotype" w:cs="Tahoma"/>
          <w:lang w:eastAsia="ar-SA"/>
        </w:rPr>
        <w:t xml:space="preserve"> reformatoria, se </w:t>
      </w:r>
      <w:r w:rsidR="009F0437" w:rsidRPr="003F2B99">
        <w:rPr>
          <w:rFonts w:ascii="Palatino Linotype" w:eastAsia="Palatino Linotype" w:hAnsi="Palatino Linotype" w:cs="Tahoma"/>
          <w:lang w:eastAsia="ar-SA"/>
        </w:rPr>
        <w:t xml:space="preserve">modifica </w:t>
      </w:r>
      <w:r w:rsidR="00D8674F" w:rsidRPr="003F2B99">
        <w:rPr>
          <w:rFonts w:ascii="Palatino Linotype" w:eastAsia="Palatino Linotype" w:hAnsi="Palatino Linotype" w:cs="Tahoma"/>
          <w:lang w:eastAsia="ar-SA"/>
        </w:rPr>
        <w:t xml:space="preserve">el inciso primero del artículo 424 del Código </w:t>
      </w:r>
      <w:r w:rsidR="009F0437" w:rsidRPr="003F2B99">
        <w:rPr>
          <w:rFonts w:ascii="Palatino Linotype" w:eastAsia="Palatino Linotype" w:hAnsi="Palatino Linotype" w:cs="Tahoma"/>
          <w:lang w:eastAsia="ar-SA"/>
        </w:rPr>
        <w:t>O</w:t>
      </w:r>
      <w:r w:rsidR="00D8674F" w:rsidRPr="003F2B99">
        <w:rPr>
          <w:rFonts w:ascii="Palatino Linotype" w:eastAsia="Palatino Linotype" w:hAnsi="Palatino Linotype" w:cs="Tahoma"/>
          <w:lang w:eastAsia="ar-SA"/>
        </w:rPr>
        <w:t>rgánico de Organización Territorial, Autonomía y Descentralización (COOTAD)</w:t>
      </w:r>
      <w:r w:rsidR="00FD4CBA" w:rsidRPr="003F2B99">
        <w:rPr>
          <w:rFonts w:ascii="Palatino Linotype" w:eastAsia="Palatino Linotype" w:hAnsi="Palatino Linotype" w:cs="Tahoma"/>
          <w:lang w:eastAsia="ar-SA"/>
        </w:rPr>
        <w:t>.</w:t>
      </w:r>
    </w:p>
    <w:p w:rsidR="00ED2806" w:rsidRPr="003F2B99" w:rsidRDefault="00D8674F" w:rsidP="003F2B99">
      <w:pPr>
        <w:suppressAutoHyphens/>
        <w:spacing w:after="120"/>
        <w:ind w:firstLine="708"/>
        <w:jc w:val="both"/>
        <w:rPr>
          <w:rFonts w:ascii="Palatino Linotype" w:eastAsia="Palatino Linotype" w:hAnsi="Palatino Linotype" w:cs="Tahoma"/>
          <w:lang w:eastAsia="ar-SA"/>
        </w:rPr>
      </w:pPr>
      <w:r w:rsidRPr="003F2B99">
        <w:rPr>
          <w:rFonts w:ascii="Palatino Linotype" w:eastAsia="Palatino Linotype" w:hAnsi="Palatino Linotype" w:cs="Tahoma"/>
          <w:lang w:eastAsia="ar-SA"/>
        </w:rPr>
        <w:t xml:space="preserve">Mediante </w:t>
      </w:r>
      <w:r w:rsidR="007110B3" w:rsidRPr="003F2B99">
        <w:rPr>
          <w:rFonts w:ascii="Palatino Linotype" w:eastAsia="Palatino Linotype" w:hAnsi="Palatino Linotype" w:cs="Tahoma"/>
          <w:lang w:eastAsia="ar-SA"/>
        </w:rPr>
        <w:t xml:space="preserve">el suplemento del </w:t>
      </w:r>
      <w:r w:rsidRPr="003F2B99">
        <w:rPr>
          <w:rFonts w:ascii="Palatino Linotype" w:eastAsia="Palatino Linotype" w:hAnsi="Palatino Linotype" w:cs="Tahoma"/>
          <w:lang w:eastAsia="ar-SA"/>
        </w:rPr>
        <w:t xml:space="preserve">Registro Oficial No. 790 de 5 de julio de 2016, se </w:t>
      </w:r>
      <w:r w:rsidR="00ED2806" w:rsidRPr="003F2B99">
        <w:rPr>
          <w:rFonts w:ascii="Palatino Linotype" w:eastAsia="Palatino Linotype" w:hAnsi="Palatino Linotype" w:cs="Tahoma"/>
          <w:lang w:eastAsia="ar-SA"/>
        </w:rPr>
        <w:t>promulga</w:t>
      </w:r>
      <w:r w:rsidRPr="003F2B99">
        <w:rPr>
          <w:rFonts w:ascii="Palatino Linotype" w:eastAsia="Palatino Linotype" w:hAnsi="Palatino Linotype" w:cs="Tahoma"/>
          <w:lang w:eastAsia="ar-SA"/>
        </w:rPr>
        <w:t xml:space="preserve"> la Ley Orgánica de </w:t>
      </w:r>
      <w:r w:rsidR="00ED2806" w:rsidRPr="003F2B99">
        <w:rPr>
          <w:rFonts w:ascii="Palatino Linotype" w:eastAsia="Palatino Linotype" w:hAnsi="Palatino Linotype" w:cs="Tahoma"/>
          <w:lang w:eastAsia="ar-SA"/>
        </w:rPr>
        <w:t xml:space="preserve">Ordenamiento Territorial, Uso y Gestión de Suelo, en la cual en la disposición reformatoria primera en el numeral cuarto se sustituye el artículo 424 del Código </w:t>
      </w:r>
      <w:r w:rsidR="009F0437" w:rsidRPr="003F2B99">
        <w:rPr>
          <w:rFonts w:ascii="Palatino Linotype" w:eastAsia="Palatino Linotype" w:hAnsi="Palatino Linotype" w:cs="Tahoma"/>
          <w:lang w:eastAsia="ar-SA"/>
        </w:rPr>
        <w:t>O</w:t>
      </w:r>
      <w:r w:rsidR="00ED2806" w:rsidRPr="003F2B99">
        <w:rPr>
          <w:rFonts w:ascii="Palatino Linotype" w:eastAsia="Palatino Linotype" w:hAnsi="Palatino Linotype" w:cs="Tahoma"/>
          <w:lang w:eastAsia="ar-SA"/>
        </w:rPr>
        <w:t>rgánico de Organización Territorial, Autonomía y Descentralización (COOTAD)</w:t>
      </w:r>
      <w:r w:rsidR="00FD4CBA" w:rsidRPr="003F2B99">
        <w:rPr>
          <w:rFonts w:ascii="Palatino Linotype" w:eastAsia="Palatino Linotype" w:hAnsi="Palatino Linotype" w:cs="Tahoma"/>
          <w:lang w:eastAsia="ar-SA"/>
        </w:rPr>
        <w:t>.</w:t>
      </w:r>
      <w:r w:rsidR="00ED2806" w:rsidRPr="003F2B99">
        <w:rPr>
          <w:rFonts w:ascii="Palatino Linotype" w:eastAsia="Palatino Linotype" w:hAnsi="Palatino Linotype" w:cs="Tahoma"/>
          <w:lang w:eastAsia="ar-SA"/>
        </w:rPr>
        <w:t xml:space="preserve"> </w:t>
      </w:r>
    </w:p>
    <w:p w:rsidR="005C4100" w:rsidRPr="003F2B99" w:rsidRDefault="005C4100" w:rsidP="003F2B99">
      <w:pPr>
        <w:suppressAutoHyphens/>
        <w:spacing w:after="120"/>
        <w:ind w:firstLine="708"/>
        <w:jc w:val="both"/>
        <w:rPr>
          <w:rFonts w:ascii="Palatino Linotype" w:eastAsia="Palatino Linotype" w:hAnsi="Palatino Linotype" w:cs="Tahoma"/>
          <w:lang w:eastAsia="ar-SA"/>
        </w:rPr>
      </w:pPr>
      <w:r w:rsidRPr="003F2B99">
        <w:rPr>
          <w:rFonts w:ascii="Palatino Linotype" w:eastAsia="Palatino Linotype" w:hAnsi="Palatino Linotype" w:cs="Tahoma"/>
          <w:lang w:eastAsia="ar-SA"/>
        </w:rPr>
        <w:t xml:space="preserve">El literal a) del numeral uno del artículo 77 de la Ordenanza Metropolitana 172 establece </w:t>
      </w:r>
      <w:r w:rsidR="007A235B" w:rsidRPr="003F2B99">
        <w:rPr>
          <w:rFonts w:ascii="Palatino Linotype" w:eastAsia="Palatino Linotype" w:hAnsi="Palatino Linotype" w:cs="Tahoma"/>
          <w:lang w:eastAsia="ar-SA"/>
        </w:rPr>
        <w:t>que,</w:t>
      </w:r>
      <w:r w:rsidRPr="003F2B99">
        <w:rPr>
          <w:rFonts w:ascii="Palatino Linotype" w:eastAsia="Palatino Linotype" w:hAnsi="Palatino Linotype" w:cs="Tahoma"/>
          <w:lang w:eastAsia="ar-SA"/>
        </w:rPr>
        <w:t xml:space="preserve"> en subdivisiones, en suelo urbano de expansión urbana y rural, el área verde no será inferior al 10% del área útil urbanizable del terreno a dividirse; y,  </w:t>
      </w:r>
    </w:p>
    <w:p w:rsidR="005C4100" w:rsidRPr="003F2B99" w:rsidRDefault="005C4100" w:rsidP="003F2B99">
      <w:pPr>
        <w:suppressAutoHyphens/>
        <w:spacing w:after="120"/>
        <w:ind w:firstLine="708"/>
        <w:jc w:val="both"/>
        <w:rPr>
          <w:rFonts w:ascii="Palatino Linotype" w:eastAsia="Palatino Linotype" w:hAnsi="Palatino Linotype" w:cs="Tahoma"/>
          <w:lang w:eastAsia="ar-SA"/>
        </w:rPr>
      </w:pPr>
      <w:r w:rsidRPr="003F2B99">
        <w:rPr>
          <w:rFonts w:ascii="Palatino Linotype" w:eastAsia="Palatino Linotype" w:hAnsi="Palatino Linotype" w:cs="Tahoma"/>
          <w:lang w:eastAsia="ar-SA"/>
        </w:rPr>
        <w:t xml:space="preserve">El literal b) del mismo artículo señala que en urbanizaciones, a más del 10% del área útil urbanizable, se entregará un 3% adicional de la misma superficie para áreas de equipamiento comunal de servicios sociales y públicos. </w:t>
      </w:r>
    </w:p>
    <w:p w:rsidR="005C4100" w:rsidRPr="003F2B99" w:rsidRDefault="005C4100" w:rsidP="003F2B99">
      <w:pPr>
        <w:suppressAutoHyphens/>
        <w:spacing w:after="120"/>
        <w:ind w:firstLine="708"/>
        <w:jc w:val="both"/>
        <w:rPr>
          <w:rFonts w:ascii="Palatino Linotype" w:eastAsia="Palatino Linotype" w:hAnsi="Palatino Linotype" w:cs="Tahoma"/>
          <w:lang w:eastAsia="ar-SA"/>
        </w:rPr>
      </w:pPr>
      <w:r w:rsidRPr="003F2B99">
        <w:rPr>
          <w:rFonts w:ascii="Palatino Linotype" w:eastAsia="Palatino Linotype" w:hAnsi="Palatino Linotype" w:cs="Tahoma"/>
          <w:lang w:eastAsia="ar-SA"/>
        </w:rPr>
        <w:t xml:space="preserve">El numeral uno del artículo 79 de la Ordenanza Metropolitana 172, establece </w:t>
      </w:r>
      <w:r w:rsidR="007A235B" w:rsidRPr="003F2B99">
        <w:rPr>
          <w:rFonts w:ascii="Palatino Linotype" w:eastAsia="Palatino Linotype" w:hAnsi="Palatino Linotype" w:cs="Tahoma"/>
          <w:lang w:eastAsia="ar-SA"/>
        </w:rPr>
        <w:t>que cuando</w:t>
      </w:r>
      <w:r w:rsidRPr="003F2B99">
        <w:rPr>
          <w:rFonts w:ascii="Palatino Linotype" w:eastAsia="Palatino Linotype" w:hAnsi="Palatino Linotype" w:cs="Tahoma"/>
          <w:lang w:eastAsia="ar-SA"/>
        </w:rPr>
        <w:t xml:space="preserve"> el 10% del área útil del predio sea inferior a la asignación mínima del lote que establezca la zonificación del sector, se entregará el valor monetario correspondiente al 5% del valor del área útil del lote a subdividirse.</w:t>
      </w:r>
    </w:p>
    <w:p w:rsidR="00FF2D35" w:rsidRPr="003F2B99" w:rsidRDefault="00B27EDB" w:rsidP="003F2B99">
      <w:pPr>
        <w:suppressAutoHyphens/>
        <w:spacing w:after="120"/>
        <w:ind w:firstLine="708"/>
        <w:jc w:val="both"/>
        <w:rPr>
          <w:rFonts w:ascii="Palatino Linotype" w:hAnsi="Palatino Linotype" w:cs="Arial"/>
          <w:color w:val="000000"/>
        </w:rPr>
      </w:pPr>
      <w:r w:rsidRPr="003F2B99">
        <w:rPr>
          <w:rFonts w:ascii="Palatino Linotype" w:eastAsia="Palatino Linotype" w:hAnsi="Palatino Linotype" w:cs="Tahoma"/>
          <w:lang w:eastAsia="ar-SA"/>
        </w:rPr>
        <w:lastRenderedPageBreak/>
        <w:t>La propuesta de la modificatoria de los artículos 77 y 79 de las Ordenanzas 172 y 432, busca actualizar la</w:t>
      </w:r>
      <w:r w:rsidR="009F0437" w:rsidRPr="003F2B99">
        <w:rPr>
          <w:rFonts w:ascii="Palatino Linotype" w:eastAsia="Palatino Linotype" w:hAnsi="Palatino Linotype" w:cs="Tahoma"/>
          <w:lang w:eastAsia="ar-SA"/>
        </w:rPr>
        <w:t>s</w:t>
      </w:r>
      <w:r w:rsidRPr="003F2B99">
        <w:rPr>
          <w:rFonts w:ascii="Palatino Linotype" w:eastAsia="Palatino Linotype" w:hAnsi="Palatino Linotype" w:cs="Tahoma"/>
          <w:lang w:eastAsia="ar-SA"/>
        </w:rPr>
        <w:t xml:space="preserve"> </w:t>
      </w:r>
      <w:r w:rsidR="009F0437" w:rsidRPr="003F2B99">
        <w:rPr>
          <w:rFonts w:ascii="Palatino Linotype" w:eastAsia="Palatino Linotype" w:hAnsi="Palatino Linotype" w:cs="Tahoma"/>
          <w:lang w:eastAsia="ar-SA"/>
        </w:rPr>
        <w:t>ordenanzas</w:t>
      </w:r>
      <w:r w:rsidRPr="003F2B99">
        <w:rPr>
          <w:rFonts w:ascii="Palatino Linotype" w:eastAsia="Palatino Linotype" w:hAnsi="Palatino Linotype" w:cs="Tahoma"/>
          <w:lang w:eastAsia="ar-SA"/>
        </w:rPr>
        <w:t xml:space="preserve"> </w:t>
      </w:r>
      <w:r w:rsidR="003E4F75" w:rsidRPr="003F2B99">
        <w:rPr>
          <w:rFonts w:ascii="Palatino Linotype" w:eastAsia="Palatino Linotype" w:hAnsi="Palatino Linotype" w:cs="Tahoma"/>
          <w:lang w:eastAsia="ar-SA"/>
        </w:rPr>
        <w:t xml:space="preserve">tomando en consideración las normas jerárquicas superiores, lo </w:t>
      </w:r>
      <w:r w:rsidR="005B5BDF" w:rsidRPr="003F2B99">
        <w:rPr>
          <w:rFonts w:ascii="Palatino Linotype" w:eastAsia="Palatino Linotype" w:hAnsi="Palatino Linotype" w:cs="Tahoma"/>
          <w:lang w:eastAsia="ar-SA"/>
        </w:rPr>
        <w:t>que</w:t>
      </w:r>
      <w:r w:rsidR="003E4F75" w:rsidRPr="003F2B99">
        <w:rPr>
          <w:rFonts w:ascii="Palatino Linotype" w:eastAsia="Palatino Linotype" w:hAnsi="Palatino Linotype" w:cs="Tahoma"/>
          <w:lang w:eastAsia="ar-SA"/>
        </w:rPr>
        <w:t xml:space="preserve"> </w:t>
      </w:r>
      <w:r w:rsidR="005B5BDF" w:rsidRPr="003F2B99">
        <w:rPr>
          <w:rFonts w:ascii="Palatino Linotype" w:eastAsia="Palatino Linotype" w:hAnsi="Palatino Linotype" w:cs="Tahoma"/>
          <w:lang w:eastAsia="ar-SA"/>
        </w:rPr>
        <w:t>garantizará</w:t>
      </w:r>
      <w:r w:rsidR="003E4F75" w:rsidRPr="003F2B99">
        <w:rPr>
          <w:rFonts w:ascii="Palatino Linotype" w:eastAsia="Palatino Linotype" w:hAnsi="Palatino Linotype" w:cs="Tahoma"/>
          <w:lang w:eastAsia="ar-SA"/>
        </w:rPr>
        <w:t xml:space="preserve"> </w:t>
      </w:r>
      <w:r w:rsidR="00FF2D35" w:rsidRPr="003F2B99">
        <w:rPr>
          <w:rFonts w:ascii="Palatino Linotype" w:hAnsi="Palatino Linotype" w:cs="Arial"/>
          <w:color w:val="000000"/>
        </w:rPr>
        <w:t xml:space="preserve">el derecho a la seguridad jurídica consagrado en el artículo 82 de la </w:t>
      </w:r>
      <w:r w:rsidR="009F0437" w:rsidRPr="003F2B99">
        <w:rPr>
          <w:rFonts w:ascii="Palatino Linotype" w:hAnsi="Palatino Linotype" w:cs="Arial"/>
          <w:color w:val="000000"/>
        </w:rPr>
        <w:t>C</w:t>
      </w:r>
      <w:r w:rsidR="00FF2D35" w:rsidRPr="003F2B99">
        <w:rPr>
          <w:rFonts w:ascii="Palatino Linotype" w:hAnsi="Palatino Linotype" w:cs="Arial"/>
          <w:color w:val="000000"/>
        </w:rPr>
        <w:t xml:space="preserve">onstitución de la República del Ecuador, </w:t>
      </w:r>
      <w:r w:rsidR="009F0437" w:rsidRPr="003F2B99">
        <w:rPr>
          <w:rFonts w:ascii="Palatino Linotype" w:hAnsi="Palatino Linotype" w:cs="Arial"/>
          <w:color w:val="000000"/>
        </w:rPr>
        <w:t xml:space="preserve">lo cual </w:t>
      </w:r>
      <w:r w:rsidR="00FF2D35" w:rsidRPr="003F2B99">
        <w:rPr>
          <w:rFonts w:ascii="Palatino Linotype" w:hAnsi="Palatino Linotype" w:cs="Arial"/>
          <w:color w:val="000000"/>
        </w:rPr>
        <w:t>representa para los administrados aquella sensación de confianza en la administración de justicia, sensación o idea que se materializa en la certeza de que las decisiones de la administración no serán arbitrarias o contrarias al ordenamiento jurídico.</w:t>
      </w:r>
    </w:p>
    <w:p w:rsidR="00FE36A5" w:rsidRDefault="004F13E7" w:rsidP="003F2B99">
      <w:pPr>
        <w:suppressAutoHyphens/>
        <w:spacing w:after="120"/>
        <w:ind w:firstLine="708"/>
        <w:jc w:val="both"/>
        <w:rPr>
          <w:rFonts w:ascii="Palatino Linotype" w:eastAsia="Palatino Linotype" w:hAnsi="Palatino Linotype" w:cs="Tahoma"/>
          <w:lang w:eastAsia="ar-SA"/>
        </w:rPr>
      </w:pPr>
      <w:r w:rsidRPr="003F2B99">
        <w:rPr>
          <w:rFonts w:ascii="Palatino Linotype" w:eastAsia="Palatino Linotype" w:hAnsi="Palatino Linotype" w:cs="Tahoma"/>
          <w:lang w:eastAsia="ar-SA"/>
        </w:rPr>
        <w:t>En tal razón, c</w:t>
      </w:r>
      <w:r w:rsidR="005C4100" w:rsidRPr="003F2B99">
        <w:rPr>
          <w:rFonts w:ascii="Palatino Linotype" w:eastAsia="Palatino Linotype" w:hAnsi="Palatino Linotype" w:cs="Tahoma"/>
          <w:lang w:eastAsia="ar-SA"/>
        </w:rPr>
        <w:t>onsiderando que</w:t>
      </w:r>
      <w:r w:rsidR="00504DE0" w:rsidRPr="003F2B99">
        <w:rPr>
          <w:rFonts w:ascii="Palatino Linotype" w:eastAsia="Palatino Linotype" w:hAnsi="Palatino Linotype" w:cs="Tahoma"/>
          <w:lang w:eastAsia="ar-SA"/>
        </w:rPr>
        <w:t xml:space="preserve"> las disposiciones reformatorias al Código Orgánico de Organización Territorial, Autonomía y Descentralización que constan en la Ley Orgánica de Tierras Rurales y </w:t>
      </w:r>
      <w:r w:rsidR="0078158B" w:rsidRPr="003F2B99">
        <w:rPr>
          <w:rFonts w:ascii="Palatino Linotype" w:eastAsia="Palatino Linotype" w:hAnsi="Palatino Linotype" w:cs="Tahoma"/>
          <w:lang w:eastAsia="ar-SA"/>
        </w:rPr>
        <w:t>T</w:t>
      </w:r>
      <w:r w:rsidR="00504DE0" w:rsidRPr="003F2B99">
        <w:rPr>
          <w:rFonts w:ascii="Palatino Linotype" w:eastAsia="Palatino Linotype" w:hAnsi="Palatino Linotype" w:cs="Tahoma"/>
          <w:lang w:eastAsia="ar-SA"/>
        </w:rPr>
        <w:t xml:space="preserve">erritorios Ancestrales y la Ley Orgánica de Ordenamiento Territorial, Uso y Gestión de Suelo, podrían generar </w:t>
      </w:r>
      <w:r w:rsidR="005C4100" w:rsidRPr="003F2B99">
        <w:rPr>
          <w:rFonts w:ascii="Palatino Linotype" w:eastAsia="Palatino Linotype" w:hAnsi="Palatino Linotype" w:cs="Tahoma"/>
          <w:lang w:eastAsia="ar-SA"/>
        </w:rPr>
        <w:t>con</w:t>
      </w:r>
      <w:r w:rsidR="00C35A54" w:rsidRPr="003F2B99">
        <w:rPr>
          <w:rFonts w:ascii="Palatino Linotype" w:eastAsia="Palatino Linotype" w:hAnsi="Palatino Linotype" w:cs="Tahoma"/>
          <w:lang w:eastAsia="ar-SA"/>
        </w:rPr>
        <w:t xml:space="preserve">flicto </w:t>
      </w:r>
      <w:r w:rsidR="009F0437" w:rsidRPr="003F2B99">
        <w:rPr>
          <w:rFonts w:ascii="Palatino Linotype" w:eastAsia="Palatino Linotype" w:hAnsi="Palatino Linotype" w:cs="Tahoma"/>
          <w:lang w:eastAsia="ar-SA"/>
        </w:rPr>
        <w:t>con</w:t>
      </w:r>
      <w:r w:rsidR="00C35A54" w:rsidRPr="003F2B99">
        <w:rPr>
          <w:rFonts w:ascii="Palatino Linotype" w:eastAsia="Palatino Linotype" w:hAnsi="Palatino Linotype" w:cs="Tahoma"/>
          <w:lang w:eastAsia="ar-SA"/>
        </w:rPr>
        <w:t xml:space="preserve"> normas de </w:t>
      </w:r>
      <w:r w:rsidR="009F0437" w:rsidRPr="003F2B99">
        <w:rPr>
          <w:rFonts w:ascii="Palatino Linotype" w:eastAsia="Palatino Linotype" w:hAnsi="Palatino Linotype" w:cs="Tahoma"/>
          <w:lang w:eastAsia="ar-SA"/>
        </w:rPr>
        <w:t>menor</w:t>
      </w:r>
      <w:r w:rsidR="00C35A54" w:rsidRPr="003F2B99">
        <w:rPr>
          <w:rFonts w:ascii="Palatino Linotype" w:eastAsia="Palatino Linotype" w:hAnsi="Palatino Linotype" w:cs="Tahoma"/>
          <w:lang w:eastAsia="ar-SA"/>
        </w:rPr>
        <w:t xml:space="preserve"> jerarquía </w:t>
      </w:r>
      <w:r w:rsidR="009F0437" w:rsidRPr="003F2B99">
        <w:rPr>
          <w:rFonts w:ascii="Palatino Linotype" w:eastAsia="Palatino Linotype" w:hAnsi="Palatino Linotype" w:cs="Tahoma"/>
          <w:lang w:eastAsia="ar-SA"/>
        </w:rPr>
        <w:t xml:space="preserve">como son las </w:t>
      </w:r>
      <w:r w:rsidR="005C4100" w:rsidRPr="003F2B99">
        <w:rPr>
          <w:rFonts w:ascii="Palatino Linotype" w:eastAsia="Palatino Linotype" w:hAnsi="Palatino Linotype" w:cs="Tahoma"/>
          <w:lang w:eastAsia="ar-SA"/>
        </w:rPr>
        <w:t>Ord</w:t>
      </w:r>
      <w:r w:rsidR="00504DE0" w:rsidRPr="003F2B99">
        <w:rPr>
          <w:rFonts w:ascii="Palatino Linotype" w:eastAsia="Palatino Linotype" w:hAnsi="Palatino Linotype" w:cs="Tahoma"/>
          <w:lang w:eastAsia="ar-SA"/>
        </w:rPr>
        <w:t xml:space="preserve">enanzas </w:t>
      </w:r>
      <w:r w:rsidR="005C4100" w:rsidRPr="003F2B99">
        <w:rPr>
          <w:rFonts w:ascii="Palatino Linotype" w:eastAsia="Palatino Linotype" w:hAnsi="Palatino Linotype" w:cs="Tahoma"/>
          <w:lang w:eastAsia="ar-SA"/>
        </w:rPr>
        <w:t>172</w:t>
      </w:r>
      <w:r w:rsidR="00504DE0" w:rsidRPr="003F2B99">
        <w:rPr>
          <w:rFonts w:ascii="Palatino Linotype" w:eastAsia="Palatino Linotype" w:hAnsi="Palatino Linotype" w:cs="Tahoma"/>
          <w:lang w:eastAsia="ar-SA"/>
        </w:rPr>
        <w:t xml:space="preserve"> y 0432</w:t>
      </w:r>
      <w:r w:rsidR="0078158B" w:rsidRPr="003F2B99">
        <w:rPr>
          <w:rFonts w:ascii="Palatino Linotype" w:eastAsia="Palatino Linotype" w:hAnsi="Palatino Linotype" w:cs="Tahoma"/>
          <w:lang w:eastAsia="ar-SA"/>
        </w:rPr>
        <w:t>, se requiere con la urgencia que el caso amerita proponer al Concejo Metropolitano de Quito se reforme los artículos 77 y 79 de las mencionadas ordenanzas.</w:t>
      </w:r>
    </w:p>
    <w:p w:rsidR="00FE36A5" w:rsidRDefault="00FE36A5" w:rsidP="003F2B99">
      <w:pPr>
        <w:suppressAutoHyphens/>
        <w:spacing w:after="120"/>
        <w:ind w:firstLine="708"/>
        <w:jc w:val="both"/>
        <w:rPr>
          <w:rFonts w:ascii="Palatino Linotype" w:eastAsia="Palatino Linotype" w:hAnsi="Palatino Linotype" w:cs="Tahoma"/>
          <w:lang w:eastAsia="ar-SA"/>
        </w:rPr>
        <w:sectPr w:rsidR="00FE36A5" w:rsidSect="00DD4566">
          <w:headerReference w:type="default" r:id="rId9"/>
          <w:footerReference w:type="default" r:id="rId10"/>
          <w:pgSz w:w="11907" w:h="16839" w:code="9"/>
          <w:pgMar w:top="1417" w:right="1701" w:bottom="1417" w:left="1701" w:header="708" w:footer="708" w:gutter="0"/>
          <w:cols w:space="708"/>
          <w:docGrid w:linePitch="360"/>
        </w:sectPr>
      </w:pPr>
    </w:p>
    <w:p w:rsidR="00E06A40" w:rsidRPr="003F2B99" w:rsidRDefault="00E06A40" w:rsidP="003F2B99">
      <w:pPr>
        <w:suppressAutoHyphens/>
        <w:spacing w:after="120"/>
        <w:jc w:val="center"/>
        <w:rPr>
          <w:rFonts w:ascii="Palatino Linotype" w:eastAsia="Times New Roman" w:hAnsi="Palatino Linotype" w:cs="Times New Roman"/>
          <w:b/>
          <w:bCs/>
          <w:lang w:eastAsia="ar-SA"/>
        </w:rPr>
      </w:pPr>
      <w:r w:rsidRPr="003F2B99">
        <w:rPr>
          <w:rFonts w:ascii="Palatino Linotype" w:eastAsia="Times New Roman" w:hAnsi="Palatino Linotype" w:cs="Times New Roman"/>
          <w:b/>
          <w:bCs/>
          <w:lang w:eastAsia="ar-SA"/>
        </w:rPr>
        <w:lastRenderedPageBreak/>
        <w:t>EL CONCEJO METROPOLITANO DE QUITO</w:t>
      </w:r>
    </w:p>
    <w:p w:rsidR="00E06A40" w:rsidRPr="003F2B99" w:rsidRDefault="00FE36A5" w:rsidP="00FE36A5">
      <w:pPr>
        <w:suppressAutoHyphens/>
        <w:spacing w:after="120"/>
        <w:jc w:val="both"/>
        <w:rPr>
          <w:rFonts w:ascii="Palatino Linotype" w:eastAsia="Times New Roman" w:hAnsi="Palatino Linotype" w:cs="Times New Roman"/>
          <w:bCs/>
          <w:lang w:eastAsia="ar-SA"/>
        </w:rPr>
      </w:pPr>
      <w:r>
        <w:rPr>
          <w:rFonts w:ascii="Palatino Linotype" w:eastAsia="Times New Roman" w:hAnsi="Palatino Linotype" w:cs="Times New Roman"/>
          <w:bCs/>
          <w:lang w:eastAsia="ar-SA"/>
        </w:rPr>
        <w:t xml:space="preserve">Vistos los informes Nos. </w:t>
      </w:r>
      <w:proofErr w:type="spellStart"/>
      <w:r>
        <w:rPr>
          <w:rFonts w:ascii="Palatino Linotype" w:eastAsia="Times New Roman" w:hAnsi="Palatino Linotype" w:cs="Times New Roman"/>
          <w:bCs/>
          <w:lang w:eastAsia="ar-SA"/>
        </w:rPr>
        <w:t>IC</w:t>
      </w:r>
      <w:proofErr w:type="spellEnd"/>
      <w:r>
        <w:rPr>
          <w:rFonts w:ascii="Palatino Linotype" w:eastAsia="Times New Roman" w:hAnsi="Palatino Linotype" w:cs="Times New Roman"/>
          <w:bCs/>
          <w:lang w:eastAsia="ar-SA"/>
        </w:rPr>
        <w:t xml:space="preserve">-O-2017-058 e </w:t>
      </w:r>
      <w:proofErr w:type="spellStart"/>
      <w:r>
        <w:rPr>
          <w:rFonts w:ascii="Palatino Linotype" w:eastAsia="Times New Roman" w:hAnsi="Palatino Linotype" w:cs="Times New Roman"/>
          <w:bCs/>
          <w:lang w:eastAsia="ar-SA"/>
        </w:rPr>
        <w:t>IC</w:t>
      </w:r>
      <w:proofErr w:type="spellEnd"/>
      <w:r>
        <w:rPr>
          <w:rFonts w:ascii="Palatino Linotype" w:eastAsia="Times New Roman" w:hAnsi="Palatino Linotype" w:cs="Times New Roman"/>
          <w:bCs/>
          <w:lang w:eastAsia="ar-SA"/>
        </w:rPr>
        <w:t>-O-2017-100, de 13 de febrero y 4 de abril de 2017, respectivamente.</w:t>
      </w:r>
    </w:p>
    <w:p w:rsidR="00FE36A5" w:rsidRDefault="00FE36A5" w:rsidP="00FE36A5">
      <w:pPr>
        <w:suppressAutoHyphens/>
        <w:spacing w:after="120"/>
        <w:jc w:val="center"/>
        <w:rPr>
          <w:rFonts w:ascii="Palatino Linotype" w:eastAsia="Times New Roman" w:hAnsi="Palatino Linotype" w:cs="Times New Roman"/>
          <w:b/>
          <w:bCs/>
          <w:lang w:eastAsia="ar-SA"/>
        </w:rPr>
      </w:pPr>
      <w:r>
        <w:rPr>
          <w:rFonts w:ascii="Palatino Linotype" w:eastAsia="Times New Roman" w:hAnsi="Palatino Linotype" w:cs="Times New Roman"/>
          <w:b/>
          <w:bCs/>
          <w:lang w:eastAsia="ar-SA"/>
        </w:rPr>
        <w:t>CONSIDERANDO:</w:t>
      </w:r>
    </w:p>
    <w:p w:rsidR="00FE36A5" w:rsidRDefault="00E06A40" w:rsidP="00FE36A5">
      <w:pPr>
        <w:suppressAutoHyphens/>
        <w:spacing w:after="120"/>
        <w:ind w:left="708" w:hanging="708"/>
        <w:jc w:val="both"/>
        <w:rPr>
          <w:rFonts w:ascii="Palatino Linotype" w:eastAsia="Times New Roman" w:hAnsi="Palatino Linotype" w:cs="Times New Roman"/>
          <w:b/>
          <w:bCs/>
          <w:lang w:eastAsia="ar-SA"/>
        </w:rPr>
      </w:pPr>
      <w:r w:rsidRPr="00FE36A5">
        <w:rPr>
          <w:rFonts w:ascii="Palatino Linotype" w:eastAsia="Times New Roman" w:hAnsi="Palatino Linotype" w:cs="Tahoma"/>
          <w:b/>
          <w:lang w:eastAsia="ar-SA"/>
        </w:rPr>
        <w:t>Que,</w:t>
      </w:r>
      <w:r w:rsidRPr="003F2B99">
        <w:rPr>
          <w:rFonts w:ascii="Palatino Linotype" w:eastAsia="Times New Roman" w:hAnsi="Palatino Linotype" w:cs="Tahoma"/>
          <w:lang w:eastAsia="ar-SA"/>
        </w:rPr>
        <w:tab/>
        <w:t>el artículo 227, de la Constitución de la República del Ecuador (en adelante “Constitución”), establece que: “</w:t>
      </w:r>
      <w:r w:rsidRPr="003F2B99">
        <w:rPr>
          <w:rFonts w:ascii="Palatino Linotype" w:eastAsia="Times New Roman" w:hAnsi="Palatino Linotype" w:cs="Tahoma"/>
          <w:i/>
          <w:lang w:eastAsia="ar-SA"/>
        </w:rPr>
        <w:t>La administración pública constituye un servicio a la colectividad que se rige por los principios de eficiencia, calidad, jerarquía, desconcentración, descentralización, coordinación, participación, planificación, transparencia y evaluación.”;</w:t>
      </w:r>
    </w:p>
    <w:p w:rsidR="00E06A40" w:rsidRPr="00FE36A5" w:rsidRDefault="00E06A40" w:rsidP="00FE36A5">
      <w:pPr>
        <w:suppressAutoHyphens/>
        <w:spacing w:after="120"/>
        <w:ind w:left="708" w:hanging="708"/>
        <w:jc w:val="both"/>
        <w:rPr>
          <w:rFonts w:ascii="Palatino Linotype" w:eastAsia="Times New Roman" w:hAnsi="Palatino Linotype" w:cs="Times New Roman"/>
          <w:b/>
          <w:bCs/>
          <w:lang w:eastAsia="ar-SA"/>
        </w:rPr>
      </w:pPr>
      <w:r w:rsidRPr="00FE36A5">
        <w:rPr>
          <w:rFonts w:ascii="Palatino Linotype" w:eastAsia="Times New Roman" w:hAnsi="Palatino Linotype" w:cs="Tahoma"/>
          <w:b/>
          <w:lang w:eastAsia="ar-SA"/>
        </w:rPr>
        <w:t>Que,</w:t>
      </w:r>
      <w:r w:rsidRPr="00FE36A5">
        <w:rPr>
          <w:rFonts w:ascii="Palatino Linotype" w:eastAsia="Times New Roman" w:hAnsi="Palatino Linotype" w:cs="Tahoma"/>
          <w:b/>
          <w:lang w:eastAsia="ar-SA"/>
        </w:rPr>
        <w:tab/>
      </w:r>
      <w:r w:rsidRPr="003F2B99">
        <w:rPr>
          <w:rFonts w:ascii="Palatino Linotype" w:eastAsia="Times New Roman" w:hAnsi="Palatino Linotype" w:cs="Tahoma"/>
          <w:color w:val="000000" w:themeColor="text1"/>
          <w:lang w:eastAsia="ar-SA"/>
        </w:rPr>
        <w:t xml:space="preserve">los numerales 1 y 2 del artículo 264 de la Constitución manifiestan que: </w:t>
      </w:r>
      <w:r w:rsidRPr="003F2B99">
        <w:rPr>
          <w:rFonts w:ascii="Palatino Linotype" w:eastAsia="Times New Roman" w:hAnsi="Palatino Linotype" w:cs="Tahoma"/>
          <w:i/>
          <w:lang w:eastAsia="ar-SA"/>
        </w:rPr>
        <w:t xml:space="preserve">“Los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w:t>
      </w:r>
      <w:r w:rsidR="007A235B" w:rsidRPr="003F2B99">
        <w:rPr>
          <w:rFonts w:ascii="Palatino Linotype" w:eastAsia="Times New Roman" w:hAnsi="Palatino Linotype" w:cs="Tahoma"/>
          <w:i/>
          <w:lang w:eastAsia="ar-SA"/>
        </w:rPr>
        <w:t>rural. (</w:t>
      </w:r>
      <w:r w:rsidRPr="003F2B99">
        <w:rPr>
          <w:rFonts w:ascii="Palatino Linotype" w:eastAsia="Times New Roman" w:hAnsi="Palatino Linotype" w:cs="Tahoma"/>
          <w:i/>
          <w:lang w:eastAsia="ar-SA"/>
        </w:rPr>
        <w:t xml:space="preserve">…) 2) Ejercer el control sobre el uso y ocupación del suelo en el </w:t>
      </w:r>
      <w:r w:rsidR="007A235B" w:rsidRPr="003F2B99">
        <w:rPr>
          <w:rFonts w:ascii="Palatino Linotype" w:eastAsia="Times New Roman" w:hAnsi="Palatino Linotype" w:cs="Tahoma"/>
          <w:i/>
          <w:lang w:eastAsia="ar-SA"/>
        </w:rPr>
        <w:t>cantón. (</w:t>
      </w:r>
      <w:r w:rsidRPr="003F2B99">
        <w:rPr>
          <w:rFonts w:ascii="Palatino Linotype" w:eastAsia="Times New Roman" w:hAnsi="Palatino Linotype" w:cs="Tahoma"/>
          <w:i/>
          <w:lang w:eastAsia="ar-SA"/>
        </w:rPr>
        <w:t xml:space="preserve">…)”; </w:t>
      </w:r>
    </w:p>
    <w:p w:rsidR="00FE36A5" w:rsidRDefault="00E06A40" w:rsidP="00FE36A5">
      <w:pPr>
        <w:suppressAutoHyphens/>
        <w:spacing w:after="120"/>
        <w:ind w:left="705" w:hanging="705"/>
        <w:jc w:val="both"/>
        <w:rPr>
          <w:rFonts w:ascii="Palatino Linotype" w:eastAsia="Times New Roman" w:hAnsi="Palatino Linotype" w:cs="Tahoma"/>
          <w:noProof/>
          <w:lang w:eastAsia="ar-SA"/>
        </w:rPr>
      </w:pPr>
      <w:r w:rsidRPr="00FE36A5">
        <w:rPr>
          <w:rFonts w:ascii="Palatino Linotype" w:eastAsia="Times New Roman" w:hAnsi="Palatino Linotype" w:cs="Tahoma"/>
          <w:b/>
          <w:noProof/>
          <w:lang w:eastAsia="ar-SA"/>
        </w:rPr>
        <w:t>Que,</w:t>
      </w:r>
      <w:r w:rsidRPr="003F2B99">
        <w:rPr>
          <w:rFonts w:ascii="Palatino Linotype" w:eastAsia="Times New Roman" w:hAnsi="Palatino Linotype" w:cs="Tahoma"/>
          <w:noProof/>
          <w:lang w:eastAsia="ar-SA"/>
        </w:rPr>
        <w:t xml:space="preserve"> </w:t>
      </w:r>
      <w:r w:rsidRPr="003F2B99">
        <w:rPr>
          <w:rFonts w:ascii="Palatino Linotype" w:eastAsia="Times New Roman" w:hAnsi="Palatino Linotype" w:cs="Tahoma"/>
          <w:noProof/>
          <w:lang w:eastAsia="ar-SA"/>
        </w:rPr>
        <w:tab/>
        <w:t>el literal c) del artículo 54, en concordancia con el literal c) del artículo 84 del Código Orgánico de Organización Territorial, Autonomía y Descentralización (en adelante “COOTAD”), señala como una función del gobierno autónomo descentralizado municipal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r w:rsidR="00FD0B9B" w:rsidRPr="003F2B99">
        <w:rPr>
          <w:rFonts w:ascii="Palatino Linotype" w:eastAsia="Times New Roman" w:hAnsi="Palatino Linotype" w:cs="Tahoma"/>
          <w:noProof/>
          <w:lang w:eastAsia="ar-SA"/>
        </w:rPr>
        <w:t xml:space="preserve"> </w:t>
      </w:r>
    </w:p>
    <w:p w:rsidR="008700BF" w:rsidRPr="003F2B99" w:rsidRDefault="008700BF" w:rsidP="00FE36A5">
      <w:pPr>
        <w:suppressAutoHyphens/>
        <w:spacing w:after="120"/>
        <w:ind w:left="705" w:hanging="705"/>
        <w:jc w:val="both"/>
        <w:rPr>
          <w:rFonts w:ascii="Palatino Linotype" w:eastAsia="Times New Roman" w:hAnsi="Palatino Linotype" w:cs="Tahoma"/>
          <w:noProof/>
          <w:lang w:eastAsia="ar-SA"/>
        </w:rPr>
      </w:pPr>
      <w:r w:rsidRPr="00FE36A5">
        <w:rPr>
          <w:rFonts w:ascii="Palatino Linotype" w:eastAsia="Times New Roman" w:hAnsi="Palatino Linotype" w:cs="Tahoma"/>
          <w:b/>
          <w:noProof/>
          <w:lang w:eastAsia="ar-SA"/>
        </w:rPr>
        <w:t>Que,</w:t>
      </w:r>
      <w:r w:rsidRPr="003F2B99">
        <w:rPr>
          <w:rFonts w:ascii="Palatino Linotype" w:eastAsia="Times New Roman" w:hAnsi="Palatino Linotype" w:cs="Tahoma"/>
          <w:noProof/>
          <w:lang w:eastAsia="ar-SA"/>
        </w:rPr>
        <w:tab/>
      </w:r>
      <w:r w:rsidRPr="00FE36A5">
        <w:rPr>
          <w:rFonts w:ascii="Palatino Linotype" w:eastAsia="Times New Roman" w:hAnsi="Palatino Linotype" w:cs="Tahoma"/>
          <w:noProof/>
          <w:lang w:eastAsia="ar-SA"/>
        </w:rPr>
        <w:t>la Disposición Transitoria Decimo Cuarta de la Ley Orgánica Reformatoria al Codigo Orgánico de Organización Territorial, Autonomía y Descentralización, establece “</w:t>
      </w:r>
      <w:r w:rsidRPr="00FE36A5">
        <w:rPr>
          <w:rFonts w:ascii="Palatino Linotype" w:eastAsia="Times New Roman" w:hAnsi="Palatino Linotype" w:cs="Tahoma"/>
          <w:i/>
          <w:noProof/>
          <w:lang w:eastAsia="ar-SA"/>
        </w:rPr>
        <w:t>En el caso de asentamientos irregulares consolidados existentes hasta la publicación de las reformas del presente Código, el cumplimiento del requisito del porcentaje mínimo de áreas verdes, podrá disminuirse gradualmente, según su consolidación a</w:t>
      </w:r>
      <w:r w:rsidR="00020999">
        <w:rPr>
          <w:rFonts w:ascii="Palatino Linotype" w:eastAsia="Times New Roman" w:hAnsi="Palatino Linotype" w:cs="Tahoma"/>
          <w:i/>
          <w:noProof/>
          <w:lang w:eastAsia="ar-SA"/>
        </w:rPr>
        <w:t xml:space="preserve"> </w:t>
      </w:r>
      <w:r w:rsidRPr="00FE36A5">
        <w:rPr>
          <w:rFonts w:ascii="Palatino Linotype" w:eastAsia="Times New Roman" w:hAnsi="Palatino Linotype" w:cs="Tahoma"/>
          <w:i/>
          <w:noProof/>
          <w:lang w:eastAsia="ar-SA"/>
        </w:rPr>
        <w:t>través de los cambios a la ordenanza; en tal caso, previo a la adjudicación, los copropietarios compensarán pecuniariamente, al valor catastral, el faltante de áreas verdes. Excepcionalmente en los ca</w:t>
      </w:r>
      <w:r w:rsidR="00081379" w:rsidRPr="00FE36A5">
        <w:rPr>
          <w:rFonts w:ascii="Palatino Linotype" w:eastAsia="Times New Roman" w:hAnsi="Palatino Linotype" w:cs="Tahoma"/>
          <w:i/>
          <w:noProof/>
          <w:lang w:eastAsia="ar-SA"/>
        </w:rPr>
        <w:t>s</w:t>
      </w:r>
      <w:r w:rsidRPr="00FE36A5">
        <w:rPr>
          <w:rFonts w:ascii="Palatino Linotype" w:eastAsia="Times New Roman" w:hAnsi="Palatino Linotype" w:cs="Tahoma"/>
          <w:i/>
          <w:noProof/>
          <w:lang w:eastAsia="ar-SA"/>
        </w:rPr>
        <w:t>os de asentamientos de hecho y consolidados decl</w:t>
      </w:r>
      <w:r w:rsidR="00946348" w:rsidRPr="00FE36A5">
        <w:rPr>
          <w:rFonts w:ascii="Palatino Linotype" w:eastAsia="Times New Roman" w:hAnsi="Palatino Linotype" w:cs="Tahoma"/>
          <w:i/>
          <w:noProof/>
          <w:lang w:eastAsia="ar-SA"/>
        </w:rPr>
        <w:t>a</w:t>
      </w:r>
      <w:r w:rsidRPr="00FE36A5">
        <w:rPr>
          <w:rFonts w:ascii="Palatino Linotype" w:eastAsia="Times New Roman" w:hAnsi="Palatino Linotype" w:cs="Tahoma"/>
          <w:i/>
          <w:noProof/>
          <w:lang w:eastAsia="ar-SA"/>
        </w:rPr>
        <w:t>rados de interés social, en que no se ha previsto el porcentaje de áreas verdes y comunales establecidas en la ley, serán exoneradas de este porcentaje.</w:t>
      </w:r>
      <w:r w:rsidRPr="00FE36A5">
        <w:rPr>
          <w:rFonts w:ascii="Palatino Linotype" w:eastAsia="Times New Roman" w:hAnsi="Palatino Linotype" w:cs="Tahoma"/>
          <w:noProof/>
          <w:lang w:eastAsia="ar-SA"/>
        </w:rPr>
        <w:t>”</w:t>
      </w:r>
      <w:r w:rsidR="00FE36A5">
        <w:rPr>
          <w:rFonts w:ascii="Palatino Linotype" w:eastAsia="Times New Roman" w:hAnsi="Palatino Linotype" w:cs="Tahoma"/>
          <w:noProof/>
          <w:lang w:eastAsia="ar-SA"/>
        </w:rPr>
        <w:t>;</w:t>
      </w:r>
    </w:p>
    <w:p w:rsidR="00E06A40" w:rsidRPr="003F2B99" w:rsidRDefault="00E06A40" w:rsidP="00FE36A5">
      <w:pPr>
        <w:suppressAutoHyphens/>
        <w:spacing w:after="120"/>
        <w:ind w:left="709" w:hanging="709"/>
        <w:jc w:val="both"/>
        <w:rPr>
          <w:rFonts w:ascii="Palatino Linotype" w:eastAsia="Times New Roman" w:hAnsi="Palatino Linotype" w:cs="Tahoma"/>
          <w:noProof/>
          <w:color w:val="3333FF"/>
          <w:lang w:eastAsia="ar-SA"/>
        </w:rPr>
      </w:pPr>
      <w:r w:rsidRPr="00FE36A5">
        <w:rPr>
          <w:rFonts w:ascii="Palatino Linotype" w:eastAsia="Times New Roman" w:hAnsi="Palatino Linotype" w:cs="Tahoma"/>
          <w:b/>
          <w:noProof/>
          <w:color w:val="000000" w:themeColor="text1"/>
          <w:lang w:eastAsia="ar-SA"/>
        </w:rPr>
        <w:lastRenderedPageBreak/>
        <w:t>Que,</w:t>
      </w:r>
      <w:r w:rsidRPr="003F2B99">
        <w:rPr>
          <w:rFonts w:ascii="Palatino Linotype" w:eastAsia="Times New Roman" w:hAnsi="Palatino Linotype" w:cs="Tahoma"/>
          <w:noProof/>
          <w:color w:val="000000" w:themeColor="text1"/>
          <w:lang w:eastAsia="ar-SA"/>
        </w:rPr>
        <w:tab/>
        <w:t xml:space="preserve">el numeral 1 del artículo 2 de la Ley Orgánica de Régimen para el Distrito Metropolitano de Quito establece que el Municipio del Distrito Metropolitano de Quito, tiene la competencia exclusiva y privativa para la regulación del uso y la </w:t>
      </w:r>
      <w:r w:rsidR="00CF3D27" w:rsidRPr="003F2B99">
        <w:rPr>
          <w:rFonts w:ascii="Palatino Linotype" w:eastAsia="Times New Roman" w:hAnsi="Palatino Linotype" w:cs="Tahoma"/>
          <w:noProof/>
          <w:color w:val="000000" w:themeColor="text1"/>
          <w:lang w:eastAsia="ar-SA"/>
        </w:rPr>
        <w:t>a</w:t>
      </w:r>
      <w:r w:rsidRPr="003F2B99">
        <w:rPr>
          <w:rFonts w:ascii="Palatino Linotype" w:eastAsia="Times New Roman" w:hAnsi="Palatino Linotype" w:cs="Tahoma"/>
          <w:noProof/>
          <w:color w:val="000000" w:themeColor="text1"/>
          <w:lang w:eastAsia="ar-SA"/>
        </w:rPr>
        <w:t>d</w:t>
      </w:r>
      <w:r w:rsidR="00CF3D27" w:rsidRPr="003F2B99">
        <w:rPr>
          <w:rFonts w:ascii="Palatino Linotype" w:eastAsia="Times New Roman" w:hAnsi="Palatino Linotype" w:cs="Tahoma"/>
          <w:noProof/>
          <w:color w:val="000000" w:themeColor="text1"/>
          <w:lang w:eastAsia="ar-SA"/>
        </w:rPr>
        <w:t>e</w:t>
      </w:r>
      <w:r w:rsidRPr="003F2B99">
        <w:rPr>
          <w:rFonts w:ascii="Palatino Linotype" w:eastAsia="Times New Roman" w:hAnsi="Palatino Linotype" w:cs="Tahoma"/>
          <w:noProof/>
          <w:color w:val="000000" w:themeColor="text1"/>
          <w:lang w:eastAsia="ar-SA"/>
        </w:rPr>
        <w:t>cuada ocupación del suelo, ejerciendo el control sobre el mismo, así como para la regulación y control de las contrucciones o edificaciones, su estado, utilización y condiciones</w:t>
      </w:r>
      <w:r w:rsidRPr="003F2B99">
        <w:rPr>
          <w:rFonts w:ascii="Palatino Linotype" w:eastAsia="Times New Roman" w:hAnsi="Palatino Linotype" w:cs="Tahoma"/>
          <w:noProof/>
          <w:color w:val="3333FF"/>
          <w:lang w:eastAsia="ar-SA"/>
        </w:rPr>
        <w:t>;</w:t>
      </w:r>
    </w:p>
    <w:p w:rsidR="00073214" w:rsidRPr="00FE36A5" w:rsidRDefault="00073214" w:rsidP="00FE36A5">
      <w:pPr>
        <w:suppressAutoHyphens/>
        <w:spacing w:after="120"/>
        <w:ind w:left="709" w:hanging="709"/>
        <w:jc w:val="both"/>
        <w:rPr>
          <w:rFonts w:ascii="Palatino Linotype" w:eastAsia="Times New Roman" w:hAnsi="Palatino Linotype" w:cs="Tahoma"/>
          <w:noProof/>
          <w:lang w:eastAsia="ar-SA"/>
        </w:rPr>
      </w:pPr>
      <w:r w:rsidRPr="00FE36A5">
        <w:rPr>
          <w:rFonts w:ascii="Palatino Linotype" w:eastAsia="Times New Roman" w:hAnsi="Palatino Linotype" w:cs="Tahoma"/>
          <w:b/>
          <w:noProof/>
          <w:lang w:eastAsia="ar-SA"/>
        </w:rPr>
        <w:t>Que,</w:t>
      </w:r>
      <w:r w:rsidRPr="003F2B99">
        <w:rPr>
          <w:rFonts w:ascii="Palatino Linotype" w:eastAsia="Times New Roman" w:hAnsi="Palatino Linotype" w:cs="Tahoma"/>
          <w:noProof/>
          <w:lang w:eastAsia="ar-SA"/>
        </w:rPr>
        <w:t xml:space="preserve">    el artículo 57 de la Ley </w:t>
      </w:r>
      <w:r w:rsidR="00A76DEB" w:rsidRPr="003F2B99">
        <w:rPr>
          <w:rFonts w:ascii="Palatino Linotype" w:eastAsia="Times New Roman" w:hAnsi="Palatino Linotype" w:cs="Tahoma"/>
          <w:noProof/>
          <w:lang w:eastAsia="ar-SA"/>
        </w:rPr>
        <w:t>O</w:t>
      </w:r>
      <w:r w:rsidRPr="003F2B99">
        <w:rPr>
          <w:rFonts w:ascii="Palatino Linotype" w:eastAsia="Times New Roman" w:hAnsi="Palatino Linotype" w:cs="Tahoma"/>
          <w:noProof/>
          <w:lang w:eastAsia="ar-SA"/>
        </w:rPr>
        <w:t>rgánica de Ordenamiento Territoria</w:t>
      </w:r>
      <w:r w:rsidR="00D45413" w:rsidRPr="003F2B99">
        <w:rPr>
          <w:rFonts w:ascii="Palatino Linotype" w:eastAsia="Times New Roman" w:hAnsi="Palatino Linotype" w:cs="Tahoma"/>
          <w:noProof/>
          <w:lang w:eastAsia="ar-SA"/>
        </w:rPr>
        <w:t>l, U</w:t>
      </w:r>
      <w:r w:rsidRPr="003F2B99">
        <w:rPr>
          <w:rFonts w:ascii="Palatino Linotype" w:eastAsia="Times New Roman" w:hAnsi="Palatino Linotype" w:cs="Tahoma"/>
          <w:noProof/>
          <w:lang w:eastAsia="ar-SA"/>
        </w:rPr>
        <w:t>so y Gestión de Suelo, en lo que se refiere al fraccionamiento, partición o subdivisi</w:t>
      </w:r>
      <w:r w:rsidR="00D45413" w:rsidRPr="003F2B99">
        <w:rPr>
          <w:rFonts w:ascii="Palatino Linotype" w:eastAsia="Times New Roman" w:hAnsi="Palatino Linotype" w:cs="Tahoma"/>
          <w:noProof/>
          <w:lang w:eastAsia="ar-SA"/>
        </w:rPr>
        <w:t>ón s</w:t>
      </w:r>
      <w:r w:rsidRPr="003F2B99">
        <w:rPr>
          <w:rFonts w:ascii="Palatino Linotype" w:eastAsia="Times New Roman" w:hAnsi="Palatino Linotype" w:cs="Tahoma"/>
          <w:noProof/>
          <w:lang w:eastAsia="ar-SA"/>
        </w:rPr>
        <w:t>eñala</w:t>
      </w:r>
      <w:r w:rsidRPr="003F2B99">
        <w:rPr>
          <w:rFonts w:ascii="Palatino Linotype" w:eastAsia="Times New Roman" w:hAnsi="Palatino Linotype" w:cs="Tahoma"/>
          <w:i/>
          <w:noProof/>
          <w:lang w:eastAsia="ar-SA"/>
        </w:rPr>
        <w:t>: “El fraccionamiento, la partición o la subdivisión</w:t>
      </w:r>
      <w:r w:rsidR="00D45413" w:rsidRPr="003F2B99">
        <w:rPr>
          <w:rFonts w:ascii="Palatino Linotype" w:eastAsia="Times New Roman" w:hAnsi="Palatino Linotype" w:cs="Tahoma"/>
          <w:i/>
          <w:noProof/>
          <w:lang w:eastAsia="ar-SA"/>
        </w:rPr>
        <w:t xml:space="preserve"> son procesos mediante los cuales un predio se subdivide en varios, por iniciativa pública o privada. Se</w:t>
      </w:r>
      <w:r w:rsidRPr="003F2B99">
        <w:rPr>
          <w:rFonts w:ascii="Palatino Linotype" w:eastAsia="Times New Roman" w:hAnsi="Palatino Linotype" w:cs="Tahoma"/>
          <w:i/>
          <w:noProof/>
          <w:lang w:eastAsia="ar-SA"/>
        </w:rPr>
        <w:t xml:space="preserve"> </w:t>
      </w:r>
      <w:r w:rsidR="00D45413" w:rsidRPr="003F2B99">
        <w:rPr>
          <w:rFonts w:ascii="Palatino Linotype" w:eastAsia="Times New Roman" w:hAnsi="Palatino Linotype" w:cs="Tahoma"/>
          <w:i/>
          <w:noProof/>
          <w:lang w:eastAsia="ar-SA"/>
        </w:rPr>
        <w:t>podrá llevar a cabo mediante un plan parcial y unidades de actuación urbanística. En el caso que se haga sin una unidad de actuación urbanística se aplicará lo dispuesto en el Código Orgánico de Organización Territorial, Autonomía y Descentralización.”</w:t>
      </w:r>
      <w:r w:rsidR="00FE36A5">
        <w:rPr>
          <w:rFonts w:ascii="Palatino Linotype" w:eastAsia="Times New Roman" w:hAnsi="Palatino Linotype" w:cs="Tahoma"/>
          <w:noProof/>
          <w:lang w:eastAsia="ar-SA"/>
        </w:rPr>
        <w:t>;</w:t>
      </w:r>
    </w:p>
    <w:p w:rsidR="00FD4CBA" w:rsidRDefault="002E2690" w:rsidP="00FE36A5">
      <w:pPr>
        <w:suppressAutoHyphens/>
        <w:spacing w:after="120"/>
        <w:ind w:left="709" w:hanging="709"/>
        <w:jc w:val="both"/>
        <w:rPr>
          <w:rFonts w:ascii="Palatino Linotype" w:eastAsia="Palatino Linotype" w:hAnsi="Palatino Linotype" w:cs="Tahoma"/>
          <w:lang w:eastAsia="ar-SA"/>
        </w:rPr>
      </w:pPr>
      <w:r w:rsidRPr="00FE36A5">
        <w:rPr>
          <w:rFonts w:ascii="Palatino Linotype" w:eastAsia="Times New Roman" w:hAnsi="Palatino Linotype" w:cs="Tahoma"/>
          <w:b/>
          <w:noProof/>
          <w:color w:val="000000" w:themeColor="text1"/>
          <w:lang w:eastAsia="ar-SA"/>
        </w:rPr>
        <w:t>Que,</w:t>
      </w:r>
      <w:r w:rsidR="00F931BA" w:rsidRPr="003F2B99">
        <w:rPr>
          <w:rFonts w:ascii="Palatino Linotype" w:eastAsia="Times New Roman" w:hAnsi="Palatino Linotype" w:cs="Tahoma"/>
          <w:noProof/>
          <w:color w:val="000000" w:themeColor="text1"/>
          <w:lang w:eastAsia="ar-SA"/>
        </w:rPr>
        <w:tab/>
        <w:t>e</w:t>
      </w:r>
      <w:r w:rsidR="00FD4CBA" w:rsidRPr="003F2B99">
        <w:rPr>
          <w:rFonts w:ascii="Palatino Linotype" w:eastAsia="Times New Roman" w:hAnsi="Palatino Linotype" w:cs="Tahoma"/>
          <w:noProof/>
          <w:color w:val="000000" w:themeColor="text1"/>
          <w:lang w:eastAsia="ar-SA"/>
        </w:rPr>
        <w:t xml:space="preserve">l </w:t>
      </w:r>
      <w:r w:rsidRPr="003F2B99">
        <w:rPr>
          <w:rFonts w:ascii="Palatino Linotype" w:eastAsia="Times New Roman" w:hAnsi="Palatino Linotype" w:cs="Tahoma"/>
          <w:noProof/>
          <w:color w:val="000000" w:themeColor="text1"/>
          <w:lang w:eastAsia="ar-SA"/>
        </w:rPr>
        <w:t>artículo</w:t>
      </w:r>
      <w:r w:rsidR="00FD4CBA" w:rsidRPr="003F2B99">
        <w:rPr>
          <w:rFonts w:ascii="Palatino Linotype" w:eastAsia="Times New Roman" w:hAnsi="Palatino Linotype" w:cs="Tahoma"/>
          <w:noProof/>
          <w:color w:val="000000" w:themeColor="text1"/>
          <w:lang w:eastAsia="ar-SA"/>
        </w:rPr>
        <w:t xml:space="preserve"> 424</w:t>
      </w:r>
      <w:r w:rsidR="000762C5" w:rsidRPr="003F2B99">
        <w:rPr>
          <w:rFonts w:ascii="Palatino Linotype" w:eastAsia="Times New Roman" w:hAnsi="Palatino Linotype" w:cs="Tahoma"/>
          <w:noProof/>
          <w:color w:val="000000" w:themeColor="text1"/>
          <w:lang w:eastAsia="ar-SA"/>
        </w:rPr>
        <w:t xml:space="preserve"> del COOTAD, </w:t>
      </w:r>
      <w:r w:rsidR="00D7304D" w:rsidRPr="003F2B99">
        <w:rPr>
          <w:rFonts w:ascii="Palatino Linotype" w:eastAsia="Times New Roman" w:hAnsi="Palatino Linotype" w:cs="Tahoma"/>
          <w:noProof/>
          <w:color w:val="000000" w:themeColor="text1"/>
          <w:lang w:eastAsia="ar-SA"/>
        </w:rPr>
        <w:t xml:space="preserve">sustituido en la Disposición Reformatoria Primera, que consta en la Ley Orgánica de Ordenamiento Territorial, Uso y Gestión de Suelo,   </w:t>
      </w:r>
      <w:r w:rsidR="000762C5" w:rsidRPr="003F2B99">
        <w:rPr>
          <w:rFonts w:ascii="Palatino Linotype" w:eastAsia="Times New Roman" w:hAnsi="Palatino Linotype" w:cs="Tahoma"/>
          <w:noProof/>
          <w:color w:val="000000" w:themeColor="text1"/>
          <w:lang w:eastAsia="ar-SA"/>
        </w:rPr>
        <w:t>en lo que respecta a las áreas verdes públicas, textualmente señala: ”</w:t>
      </w:r>
      <w:r w:rsidR="00FD4CBA" w:rsidRPr="00FE36A5">
        <w:rPr>
          <w:rFonts w:ascii="Palatino Linotype" w:eastAsia="Times New Roman" w:hAnsi="Palatino Linotype" w:cs="Tahoma"/>
          <w:i/>
          <w:noProof/>
          <w:color w:val="000000" w:themeColor="text1"/>
          <w:lang w:eastAsia="ar-SA"/>
        </w:rPr>
        <w:t>Área verde, comunitaria y vías.- En las subdivisiones y fraccionamientos sujetos o derivados de una autorización administrativa de urbanización, el urbanizador deberá realizar las obras de urbanización, habilitación de vías, áreas verdes y comunitarias, y dichas áreas deberán ser entregadas, por una sola vez, en forma de cesión gratuita y obligatoria al Gobierno Autónomo Descentralizado municipal o metropolitano como bienes de dominio y uso público.</w:t>
      </w:r>
      <w:r w:rsidR="00FE36A5">
        <w:rPr>
          <w:rFonts w:ascii="Palatino Linotype" w:eastAsia="Times New Roman" w:hAnsi="Palatino Linotype" w:cs="Tahoma"/>
          <w:i/>
          <w:noProof/>
          <w:color w:val="000000" w:themeColor="text1"/>
          <w:lang w:eastAsia="ar-SA"/>
        </w:rPr>
        <w:t xml:space="preserve"> (…) </w:t>
      </w:r>
      <w:r w:rsidR="00FD4CBA" w:rsidRPr="00FE36A5">
        <w:rPr>
          <w:rFonts w:ascii="Palatino Linotype" w:eastAsia="Palatino Linotype" w:hAnsi="Palatino Linotype" w:cs="Tahoma"/>
          <w:i/>
          <w:lang w:eastAsia="ar-SA"/>
        </w:rPr>
        <w:t>Se entregará como mínimo el quince por ciento (15%) calculado del área útil urbanizable del terreno o predio a urbanizar en calidad de áreas verdes y equipamiento comunitario, de acuerdo a lo establecido por la planificación municipal, destinando exclusivamente para áreas verdes al menos el cincuenta por ciento de la superficie entregada. Se exceptúan de esta entrega, las tierras rurales que se fraccionen con fines de partición hereditaria, donación o venta; siempre y cuando no se destinen para urbanización y lotización.</w:t>
      </w:r>
      <w:r w:rsidR="00FE36A5">
        <w:rPr>
          <w:rFonts w:ascii="Palatino Linotype" w:eastAsia="Palatino Linotype" w:hAnsi="Palatino Linotype" w:cs="Tahoma"/>
          <w:i/>
          <w:lang w:eastAsia="ar-SA"/>
        </w:rPr>
        <w:t xml:space="preserve"> (…) </w:t>
      </w:r>
      <w:r w:rsidR="00FD4CBA" w:rsidRPr="00FE36A5">
        <w:rPr>
          <w:rFonts w:ascii="Palatino Linotype" w:eastAsia="Palatino Linotype" w:hAnsi="Palatino Linotype" w:cs="Tahoma"/>
          <w:i/>
          <w:lang w:eastAsia="ar-SA"/>
        </w:rPr>
        <w:t>La entrega de áreas verdes, comunitarias y de vías no excederá del treinta y cinco por ciento (35%) del área útil urbanizable del terreno o predio.</w:t>
      </w:r>
      <w:r w:rsidR="00FE36A5">
        <w:rPr>
          <w:rFonts w:ascii="Palatino Linotype" w:eastAsia="Palatino Linotype" w:hAnsi="Palatino Linotype" w:cs="Tahoma"/>
          <w:i/>
          <w:lang w:eastAsia="ar-SA"/>
        </w:rPr>
        <w:t xml:space="preserve"> (…) </w:t>
      </w:r>
      <w:r w:rsidR="00FD4CBA" w:rsidRPr="00FE36A5">
        <w:rPr>
          <w:rFonts w:ascii="Palatino Linotype" w:eastAsia="Palatino Linotype" w:hAnsi="Palatino Linotype" w:cs="Tahoma"/>
          <w:i/>
          <w:lang w:eastAsia="ar-SA"/>
        </w:rPr>
        <w:t xml:space="preserve">En el caso de predios con una superficie inferior a tres mil metros cuadrados, la municipalidad o distrito metropolitano, podrá optar entre exigir la entrega del porcentaje establecido en los incisos previos de áreas verdes y equipamiento comunitario del área útil del terreno o su compensación en dinero según el avalúo catastral del porcentaje antes indicado, de conformidad con lo establecido en la ordenanza municipal correspondiente. Con estos recursos la municipalidad deberá crear un fondo para la adquisición de áreas verdes, equipamiento comunitario y obras para su </w:t>
      </w:r>
      <w:r w:rsidR="00FD4CBA" w:rsidRPr="00FE36A5">
        <w:rPr>
          <w:rFonts w:ascii="Palatino Linotype" w:eastAsia="Palatino Linotype" w:hAnsi="Palatino Linotype" w:cs="Tahoma"/>
          <w:i/>
          <w:lang w:eastAsia="ar-SA"/>
        </w:rPr>
        <w:lastRenderedPageBreak/>
        <w:t>mejoramiento.</w:t>
      </w:r>
      <w:r w:rsidR="00FE36A5">
        <w:rPr>
          <w:rFonts w:ascii="Palatino Linotype" w:eastAsia="Palatino Linotype" w:hAnsi="Palatino Linotype" w:cs="Tahoma"/>
          <w:i/>
          <w:lang w:eastAsia="ar-SA"/>
        </w:rPr>
        <w:t xml:space="preserve"> (…) </w:t>
      </w:r>
      <w:r w:rsidR="00FD4CBA" w:rsidRPr="00FE36A5">
        <w:rPr>
          <w:rFonts w:ascii="Palatino Linotype" w:eastAsia="Palatino Linotype" w:hAnsi="Palatino Linotype" w:cs="Tahoma"/>
          <w:i/>
          <w:lang w:eastAsia="ar-SA"/>
        </w:rPr>
        <w:t>En las áreas consolidadas, los bienes de dominio y uso público destinados a áreas verdes, podrán ser cambiados de categoría exclusivamente a favor de instituciones públicas para consolidar y construir equipamientos públicos de conformidad con lo que establezca en su normativa el Gobierno Autónomo Descentralizado. La institución pública beneficiar</w:t>
      </w:r>
      <w:r w:rsidR="00A56E31" w:rsidRPr="00FE36A5">
        <w:rPr>
          <w:rFonts w:ascii="Palatino Linotype" w:eastAsia="Palatino Linotype" w:hAnsi="Palatino Linotype" w:cs="Tahoma"/>
          <w:i/>
          <w:lang w:eastAsia="ar-SA"/>
        </w:rPr>
        <w:t>i</w:t>
      </w:r>
      <w:r w:rsidR="00FD4CBA" w:rsidRPr="00FE36A5">
        <w:rPr>
          <w:rFonts w:ascii="Palatino Linotype" w:eastAsia="Palatino Linotype" w:hAnsi="Palatino Linotype" w:cs="Tahoma"/>
          <w:i/>
          <w:lang w:eastAsia="ar-SA"/>
        </w:rPr>
        <w:t>a tendrá la obligación de compensar el equivalente al valor del bien que recibe, en base al avalúo realizado por el Gobierno Autónomo Descentralizado municipal o metropolitano</w:t>
      </w:r>
      <w:r w:rsidR="00FD4CBA" w:rsidRPr="003F2B99">
        <w:rPr>
          <w:rFonts w:ascii="Palatino Linotype" w:eastAsia="Palatino Linotype" w:hAnsi="Palatino Linotype" w:cs="Tahoma"/>
          <w:lang w:eastAsia="ar-SA"/>
        </w:rPr>
        <w:t>."</w:t>
      </w:r>
      <w:r w:rsidR="00FE36A5">
        <w:rPr>
          <w:rFonts w:ascii="Palatino Linotype" w:eastAsia="Palatino Linotype" w:hAnsi="Palatino Linotype" w:cs="Tahoma"/>
          <w:lang w:eastAsia="ar-SA"/>
        </w:rPr>
        <w:t>;</w:t>
      </w:r>
    </w:p>
    <w:p w:rsidR="001A75EA" w:rsidRPr="001A75EA" w:rsidRDefault="001A75EA" w:rsidP="001A75EA">
      <w:pPr>
        <w:suppressAutoHyphens/>
        <w:spacing w:after="120"/>
        <w:ind w:left="709" w:hanging="709"/>
        <w:jc w:val="both"/>
        <w:rPr>
          <w:rFonts w:ascii="Palatino Linotype" w:eastAsia="Times New Roman" w:hAnsi="Palatino Linotype" w:cs="Tahoma"/>
          <w:noProof/>
          <w:color w:val="000000" w:themeColor="text1"/>
          <w:lang w:eastAsia="ar-SA"/>
        </w:rPr>
      </w:pPr>
      <w:r>
        <w:rPr>
          <w:rFonts w:ascii="Palatino Linotype" w:eastAsia="Times New Roman" w:hAnsi="Palatino Linotype" w:cs="Tahoma"/>
          <w:b/>
          <w:noProof/>
          <w:color w:val="000000" w:themeColor="text1"/>
          <w:lang w:eastAsia="ar-SA"/>
        </w:rPr>
        <w:t>Que,</w:t>
      </w:r>
      <w:r>
        <w:rPr>
          <w:rFonts w:ascii="Palatino Linotype" w:eastAsia="Times New Roman" w:hAnsi="Palatino Linotype" w:cs="Tahoma"/>
          <w:b/>
          <w:noProof/>
          <w:color w:val="000000" w:themeColor="text1"/>
          <w:lang w:eastAsia="ar-SA"/>
        </w:rPr>
        <w:tab/>
      </w:r>
      <w:r>
        <w:rPr>
          <w:rFonts w:ascii="Palatino Linotype" w:eastAsia="Times New Roman" w:hAnsi="Palatino Linotype" w:cs="Tahoma"/>
          <w:noProof/>
          <w:color w:val="000000" w:themeColor="text1"/>
          <w:lang w:eastAsia="ar-SA"/>
        </w:rPr>
        <w:t xml:space="preserve">el artículo 6 de la </w:t>
      </w:r>
      <w:r>
        <w:rPr>
          <w:rFonts w:ascii="Palatino Linotype" w:eastAsia="Times New Roman" w:hAnsi="Palatino Linotype" w:cs="Tahoma"/>
          <w:noProof/>
          <w:color w:val="000000" w:themeColor="text1"/>
          <w:lang w:eastAsia="ar-SA"/>
        </w:rPr>
        <w:t>Ley Orgánica de Tierras Rurales y Territorios Ancestrales,  establece:</w:t>
      </w:r>
      <w:r>
        <w:rPr>
          <w:rFonts w:ascii="Palatino Linotype" w:eastAsia="Times New Roman" w:hAnsi="Palatino Linotype" w:cs="Tahoma"/>
          <w:noProof/>
          <w:color w:val="000000" w:themeColor="text1"/>
          <w:lang w:eastAsia="ar-SA"/>
        </w:rPr>
        <w:t xml:space="preserve"> “</w:t>
      </w:r>
      <w:r w:rsidRPr="001A75EA">
        <w:rPr>
          <w:rFonts w:ascii="Palatino Linotype" w:hAnsi="Palatino Linotype" w:cs="Arial"/>
          <w:i/>
          <w:shd w:val="clear" w:color="auto" w:fill="FFFFFF"/>
        </w:rPr>
        <w:t>Prioridad nacional.-</w:t>
      </w:r>
      <w:r w:rsidRPr="001A75EA">
        <w:rPr>
          <w:rStyle w:val="apple-converted-space"/>
          <w:rFonts w:ascii="Palatino Linotype" w:hAnsi="Palatino Linotype" w:cs="Arial"/>
          <w:i/>
          <w:shd w:val="clear" w:color="auto" w:fill="FFFFFF"/>
        </w:rPr>
        <w:t> </w:t>
      </w:r>
      <w:r w:rsidRPr="001A75EA">
        <w:rPr>
          <w:rFonts w:ascii="Palatino Linotype" w:hAnsi="Palatino Linotype" w:cs="Arial"/>
          <w:i/>
          <w:shd w:val="clear" w:color="auto" w:fill="FFFFFF"/>
        </w:rPr>
        <w:t>Es de interés público y prioridad nacional la protección y uso del suelo rural de producción, en especial de su capa fértil que asegure su mantenimiento y la regeneración de los ciclos vitales, estructura y funciones, destinado a la producción de alimentos para garantizar el derecho a la alimentación y a la soberanía alimentaria.</w:t>
      </w:r>
      <w:r w:rsidRPr="001A75EA">
        <w:rPr>
          <w:rFonts w:ascii="Palatino Linotype" w:hAnsi="Palatino Linotype" w:cs="Arial"/>
          <w:i/>
          <w:shd w:val="clear" w:color="auto" w:fill="FFFFFF"/>
        </w:rPr>
        <w:t xml:space="preserve"> (…) </w:t>
      </w:r>
      <w:r w:rsidRPr="001A75EA">
        <w:rPr>
          <w:rFonts w:ascii="Palatino Linotype" w:hAnsi="Palatino Linotype" w:cs="Arial"/>
          <w:i/>
          <w:shd w:val="clear" w:color="auto" w:fill="FFFFFF"/>
        </w:rPr>
        <w:t>El Estado regula la conservación del suelo productivo, en particular deberá tomar medidas para prevenir la degradación provocada por el uso intensivo, la contaminación, la desertificación y la erosión.</w:t>
      </w:r>
      <w:r w:rsidRPr="001A75EA">
        <w:rPr>
          <w:rFonts w:ascii="Palatino Linotype" w:hAnsi="Palatino Linotype" w:cs="Arial"/>
          <w:i/>
          <w:shd w:val="clear" w:color="auto" w:fill="FFFFFF"/>
        </w:rPr>
        <w:t xml:space="preserve"> (…) </w:t>
      </w:r>
      <w:r w:rsidRPr="001A75EA">
        <w:rPr>
          <w:rFonts w:ascii="Palatino Linotype" w:hAnsi="Palatino Linotype" w:cs="Arial"/>
          <w:i/>
          <w:shd w:val="clear" w:color="auto" w:fill="FFFFFF"/>
        </w:rPr>
        <w:t>A fin de garantizar la soberanía alimentaria, los Gobiernos Autónomos Descentralizados municipales y metropolitanos pueden declarar zonas industriales y de expansión urbana en suelos rurales que no tienen aptitudes para el desarrollo de actividades agropecuarias.</w:t>
      </w:r>
      <w:r w:rsidRPr="001A75EA">
        <w:rPr>
          <w:rFonts w:ascii="Palatino Linotype" w:hAnsi="Palatino Linotype" w:cs="Arial"/>
          <w:i/>
          <w:shd w:val="clear" w:color="auto" w:fill="FFFFFF"/>
        </w:rPr>
        <w:t xml:space="preserve"> (…) </w:t>
      </w:r>
      <w:r w:rsidRPr="001A75EA">
        <w:rPr>
          <w:rFonts w:ascii="Palatino Linotype" w:hAnsi="Palatino Linotype" w:cs="Arial"/>
          <w:i/>
          <w:shd w:val="clear" w:color="auto" w:fill="FFFFFF"/>
        </w:rPr>
        <w:t>Para este efecto la Autoridad Agraria Nacional, de conformidad con la Ley y previa petición del Gobierno Autónomo Descentralizado municipal o metropolitano competente, en el plazo de noventa días siguientes a la petición, mediante informe técnico que determine tales aptitudes, autorizará, el cambio de la clasificación de suelos rurales de uso agrario a suelos de expansión urbana o zona industrial.</w:t>
      </w:r>
      <w:r w:rsidRPr="001A75EA">
        <w:rPr>
          <w:rFonts w:ascii="Palatino Linotype" w:hAnsi="Palatino Linotype" w:cs="Arial"/>
          <w:i/>
          <w:shd w:val="clear" w:color="auto" w:fill="FFFFFF"/>
        </w:rPr>
        <w:t xml:space="preserve"> (…) </w:t>
      </w:r>
      <w:r w:rsidRPr="001A75EA">
        <w:rPr>
          <w:rFonts w:ascii="Palatino Linotype" w:hAnsi="Palatino Linotype" w:cs="Arial"/>
          <w:i/>
          <w:shd w:val="clear" w:color="auto" w:fill="FFFFFF"/>
        </w:rPr>
        <w:t>Será nula de pleno derecho toda declaratoria de zonas industriales o de expansión urbana que no cumpla con lo dispuesto en el inciso anterior. En caso que la declaratoria efectuada por el Gobierno Autónomo Descentralizado municipal o metropolitano provoque daños en los suelos fértiles, corresponderá la inmediata remediación y ejercicio del derecho de repetición para quienes emitieron la decisión.</w:t>
      </w:r>
      <w:r>
        <w:rPr>
          <w:rFonts w:ascii="Palatino Linotype" w:hAnsi="Palatino Linotype" w:cs="Arial"/>
          <w:shd w:val="clear" w:color="auto" w:fill="FFFFFF"/>
        </w:rPr>
        <w:t>”;</w:t>
      </w:r>
    </w:p>
    <w:p w:rsidR="001A75EA" w:rsidRPr="001A75EA" w:rsidRDefault="001A75EA" w:rsidP="001A75EA">
      <w:pPr>
        <w:suppressAutoHyphens/>
        <w:spacing w:after="120"/>
        <w:ind w:left="709" w:hanging="709"/>
        <w:jc w:val="both"/>
        <w:rPr>
          <w:rFonts w:ascii="Palatino Linotype" w:eastAsia="Palatino Linotype" w:hAnsi="Palatino Linotype" w:cs="Tahoma"/>
          <w:lang w:eastAsia="ar-SA"/>
        </w:rPr>
      </w:pPr>
      <w:r>
        <w:rPr>
          <w:rFonts w:ascii="Palatino Linotype" w:eastAsia="Times New Roman" w:hAnsi="Palatino Linotype" w:cs="Tahoma"/>
          <w:b/>
          <w:noProof/>
          <w:color w:val="000000" w:themeColor="text1"/>
          <w:lang w:eastAsia="ar-SA"/>
        </w:rPr>
        <w:t>Que,</w:t>
      </w:r>
      <w:r>
        <w:rPr>
          <w:rFonts w:ascii="Palatino Linotype" w:eastAsia="Times New Roman" w:hAnsi="Palatino Linotype" w:cs="Tahoma"/>
          <w:b/>
          <w:noProof/>
          <w:color w:val="000000" w:themeColor="text1"/>
          <w:lang w:eastAsia="ar-SA"/>
        </w:rPr>
        <w:tab/>
      </w:r>
      <w:r w:rsidRPr="001A75EA">
        <w:rPr>
          <w:rFonts w:ascii="Palatino Linotype" w:eastAsia="Times New Roman" w:hAnsi="Palatino Linotype" w:cs="Tahoma"/>
          <w:noProof/>
          <w:color w:val="000000" w:themeColor="text1"/>
          <w:lang w:eastAsia="ar-SA"/>
        </w:rPr>
        <w:t>el artí</w:t>
      </w:r>
      <w:r>
        <w:rPr>
          <w:rFonts w:ascii="Palatino Linotype" w:eastAsia="Times New Roman" w:hAnsi="Palatino Linotype" w:cs="Tahoma"/>
          <w:noProof/>
          <w:color w:val="000000" w:themeColor="text1"/>
          <w:lang w:eastAsia="ar-SA"/>
        </w:rPr>
        <w:t>culo 113 de la Ley Orgánica de Tierras Rurales y Territorios Ancestrales,  establece: “</w:t>
      </w:r>
      <w:r w:rsidRPr="001A75EA">
        <w:rPr>
          <w:rFonts w:ascii="Palatino Linotype" w:hAnsi="Palatino Linotype" w:cs="Arial"/>
          <w:i/>
          <w:shd w:val="clear" w:color="auto" w:fill="FFFFFF"/>
        </w:rPr>
        <w:t>Control de la expansión urbana en predios rurales.-</w:t>
      </w:r>
      <w:r w:rsidRPr="001A75EA">
        <w:rPr>
          <w:rStyle w:val="apple-converted-space"/>
          <w:rFonts w:ascii="Palatino Linotype" w:hAnsi="Palatino Linotype" w:cs="Arial"/>
          <w:i/>
          <w:shd w:val="clear" w:color="auto" w:fill="FFFFFF"/>
        </w:rPr>
        <w:t> </w:t>
      </w:r>
      <w:r w:rsidRPr="001A75EA">
        <w:rPr>
          <w:rFonts w:ascii="Palatino Linotype" w:hAnsi="Palatino Linotype" w:cs="Arial"/>
          <w:i/>
          <w:shd w:val="clear" w:color="auto" w:fill="FFFFFF"/>
        </w:rPr>
        <w:t>Los Gobiernos Autónomos Descentralizados municipales o metropolitanos, en concordancia con los planes de ordenamiento territorial, expansión urbana, no pueden aprobar proyectos de urbanizaciones o ciudadelas, en tierras rurales en la zona periurbana con aptitud agraria o que tradicionalmente han estado dedicadas a actividades agrarias, sin la autorización de la Autoridad Agraria Nacional.</w:t>
      </w:r>
      <w:r>
        <w:rPr>
          <w:rFonts w:ascii="Palatino Linotype" w:hAnsi="Palatino Linotype" w:cs="Arial"/>
          <w:i/>
          <w:shd w:val="clear" w:color="auto" w:fill="FFFFFF"/>
        </w:rPr>
        <w:t xml:space="preserve"> (…) </w:t>
      </w:r>
      <w:r w:rsidRPr="001A75EA">
        <w:rPr>
          <w:rFonts w:ascii="Palatino Linotype" w:hAnsi="Palatino Linotype" w:cs="Arial"/>
          <w:i/>
          <w:shd w:val="clear" w:color="auto" w:fill="FFFFFF"/>
        </w:rPr>
        <w:t xml:space="preserve">Las aprobaciones otorgadas con inobservancia de esta disposición carecen de validez y no tienen efecto jurídico, sin </w:t>
      </w:r>
      <w:r w:rsidRPr="001A75EA">
        <w:rPr>
          <w:rFonts w:ascii="Palatino Linotype" w:hAnsi="Palatino Linotype" w:cs="Arial"/>
          <w:i/>
          <w:shd w:val="clear" w:color="auto" w:fill="FFFFFF"/>
        </w:rPr>
        <w:lastRenderedPageBreak/>
        <w:t>perjuicio de las responsabilidades de las autoridades y funcionarios que expidieron tales aprobaciones.</w:t>
      </w:r>
      <w:r>
        <w:rPr>
          <w:rFonts w:ascii="Palatino Linotype" w:hAnsi="Palatino Linotype" w:cs="Arial"/>
          <w:i/>
          <w:shd w:val="clear" w:color="auto" w:fill="FFFFFF"/>
        </w:rPr>
        <w:t>”</w:t>
      </w:r>
      <w:r>
        <w:rPr>
          <w:rFonts w:ascii="Palatino Linotype" w:hAnsi="Palatino Linotype" w:cs="Arial"/>
          <w:shd w:val="clear" w:color="auto" w:fill="FFFFFF"/>
        </w:rPr>
        <w:t>;</w:t>
      </w:r>
    </w:p>
    <w:p w:rsidR="002E2690" w:rsidRPr="003F2B99" w:rsidRDefault="002E2690" w:rsidP="00FE36A5">
      <w:pPr>
        <w:suppressAutoHyphens/>
        <w:spacing w:after="120"/>
        <w:ind w:left="709" w:hanging="709"/>
        <w:jc w:val="both"/>
        <w:rPr>
          <w:rFonts w:ascii="Palatino Linotype" w:eastAsia="Times New Roman" w:hAnsi="Palatino Linotype" w:cs="Tahoma"/>
          <w:noProof/>
          <w:color w:val="000000" w:themeColor="text1"/>
          <w:lang w:eastAsia="ar-SA"/>
        </w:rPr>
      </w:pPr>
      <w:r w:rsidRPr="00FE36A5">
        <w:rPr>
          <w:rFonts w:ascii="Palatino Linotype" w:eastAsia="Times New Roman" w:hAnsi="Palatino Linotype" w:cs="Tahoma"/>
          <w:b/>
          <w:noProof/>
          <w:color w:val="000000" w:themeColor="text1"/>
          <w:lang w:eastAsia="ar-SA"/>
        </w:rPr>
        <w:t xml:space="preserve">Que, </w:t>
      </w:r>
      <w:r w:rsidR="00FE36A5" w:rsidRPr="00FE36A5">
        <w:rPr>
          <w:rFonts w:ascii="Palatino Linotype" w:eastAsia="Times New Roman" w:hAnsi="Palatino Linotype" w:cs="Tahoma"/>
          <w:b/>
          <w:noProof/>
          <w:color w:val="000000" w:themeColor="text1"/>
          <w:lang w:eastAsia="ar-SA"/>
        </w:rPr>
        <w:tab/>
      </w:r>
      <w:r w:rsidRPr="003F2B99">
        <w:rPr>
          <w:rFonts w:ascii="Palatino Linotype" w:eastAsia="Times New Roman" w:hAnsi="Palatino Linotype" w:cs="Tahoma"/>
          <w:noProof/>
          <w:color w:val="000000" w:themeColor="text1"/>
          <w:lang w:eastAsia="ar-SA"/>
        </w:rPr>
        <w:t xml:space="preserve">el literal a) del numeral uno del artículo 77 de la Ordenanza Metropolitana </w:t>
      </w:r>
      <w:r w:rsidR="001A75EA">
        <w:rPr>
          <w:rFonts w:ascii="Palatino Linotype" w:eastAsia="Times New Roman" w:hAnsi="Palatino Linotype" w:cs="Tahoma"/>
          <w:noProof/>
          <w:color w:val="000000" w:themeColor="text1"/>
          <w:lang w:eastAsia="ar-SA"/>
        </w:rPr>
        <w:t>No. 172 ,</w:t>
      </w:r>
      <w:r w:rsidRPr="003F2B99">
        <w:rPr>
          <w:rFonts w:ascii="Palatino Linotype" w:eastAsia="Times New Roman" w:hAnsi="Palatino Linotype" w:cs="Tahoma"/>
          <w:noProof/>
          <w:color w:val="000000" w:themeColor="text1"/>
          <w:lang w:eastAsia="ar-SA"/>
        </w:rPr>
        <w:t xml:space="preserve"> establece que, en subdivisiones, en suelo urbano de expansión urbana y rural, el área verde no será inferior al 10% del área útil urbanizable del terreno a dividirse; y,</w:t>
      </w:r>
      <w:r w:rsidR="00F931BA" w:rsidRPr="003F2B99">
        <w:rPr>
          <w:rFonts w:ascii="Palatino Linotype" w:eastAsia="Times New Roman" w:hAnsi="Palatino Linotype" w:cs="Tahoma"/>
          <w:noProof/>
          <w:color w:val="000000" w:themeColor="text1"/>
          <w:lang w:eastAsia="ar-SA"/>
        </w:rPr>
        <w:t xml:space="preserve"> </w:t>
      </w:r>
      <w:r w:rsidR="00F931BA" w:rsidRPr="003F2B99">
        <w:rPr>
          <w:rFonts w:ascii="Palatino Linotype" w:eastAsia="Palatino Linotype" w:hAnsi="Palatino Linotype" w:cs="Tahoma"/>
          <w:lang w:eastAsia="ar-SA"/>
        </w:rPr>
        <w:t>e</w:t>
      </w:r>
      <w:r w:rsidRPr="003F2B99">
        <w:rPr>
          <w:rFonts w:ascii="Palatino Linotype" w:eastAsia="Palatino Linotype" w:hAnsi="Palatino Linotype" w:cs="Tahoma"/>
          <w:lang w:eastAsia="ar-SA"/>
        </w:rPr>
        <w:t>l literal b) del mismo artículo señala que en urbanizaciones, a más del 10% del área útil urbanizable, se entregará un 3% adicional de la misma superficie para áreas de equipamiento comunal de servicios sociales y públicos</w:t>
      </w:r>
      <w:r w:rsidR="00FE36A5">
        <w:rPr>
          <w:rFonts w:ascii="Palatino Linotype" w:eastAsia="Palatino Linotype" w:hAnsi="Palatino Linotype" w:cs="Tahoma"/>
          <w:lang w:eastAsia="ar-SA"/>
        </w:rPr>
        <w:t>;</w:t>
      </w:r>
      <w:r w:rsidRPr="003F2B99">
        <w:rPr>
          <w:rFonts w:ascii="Palatino Linotype" w:eastAsia="Palatino Linotype" w:hAnsi="Palatino Linotype" w:cs="Tahoma"/>
          <w:lang w:eastAsia="ar-SA"/>
        </w:rPr>
        <w:t xml:space="preserve"> </w:t>
      </w:r>
    </w:p>
    <w:p w:rsidR="002E2690" w:rsidRPr="003F2B99" w:rsidRDefault="00F931BA" w:rsidP="00FE36A5">
      <w:pPr>
        <w:suppressAutoHyphens/>
        <w:spacing w:after="120"/>
        <w:ind w:left="709" w:hanging="709"/>
        <w:jc w:val="both"/>
        <w:rPr>
          <w:rFonts w:ascii="Palatino Linotype" w:eastAsia="Times New Roman" w:hAnsi="Palatino Linotype" w:cs="Tahoma"/>
          <w:noProof/>
          <w:color w:val="000000" w:themeColor="text1"/>
          <w:lang w:eastAsia="ar-SA"/>
        </w:rPr>
      </w:pPr>
      <w:r w:rsidRPr="00FE36A5">
        <w:rPr>
          <w:rFonts w:ascii="Palatino Linotype" w:eastAsia="Times New Roman" w:hAnsi="Palatino Linotype" w:cs="Tahoma"/>
          <w:b/>
          <w:noProof/>
          <w:color w:val="000000" w:themeColor="text1"/>
          <w:lang w:eastAsia="ar-SA"/>
        </w:rPr>
        <w:t>Que,</w:t>
      </w:r>
      <w:r w:rsidRPr="003F2B99">
        <w:rPr>
          <w:rFonts w:ascii="Palatino Linotype" w:eastAsia="Times New Roman" w:hAnsi="Palatino Linotype" w:cs="Tahoma"/>
          <w:noProof/>
          <w:color w:val="000000" w:themeColor="text1"/>
          <w:lang w:eastAsia="ar-SA"/>
        </w:rPr>
        <w:tab/>
        <w:t>e</w:t>
      </w:r>
      <w:r w:rsidR="00686752" w:rsidRPr="003F2B99">
        <w:rPr>
          <w:rFonts w:ascii="Palatino Linotype" w:eastAsia="Times New Roman" w:hAnsi="Palatino Linotype" w:cs="Tahoma"/>
          <w:noProof/>
          <w:color w:val="000000" w:themeColor="text1"/>
          <w:lang w:eastAsia="ar-SA"/>
        </w:rPr>
        <w:t>l</w:t>
      </w:r>
      <w:r w:rsidRPr="003F2B99">
        <w:rPr>
          <w:rFonts w:ascii="Palatino Linotype" w:eastAsia="Times New Roman" w:hAnsi="Palatino Linotype" w:cs="Tahoma"/>
          <w:noProof/>
          <w:color w:val="000000" w:themeColor="text1"/>
          <w:lang w:eastAsia="ar-SA"/>
        </w:rPr>
        <w:t xml:space="preserve"> literal a del</w:t>
      </w:r>
      <w:r w:rsidR="002E2690" w:rsidRPr="003F2B99">
        <w:rPr>
          <w:rFonts w:ascii="Palatino Linotype" w:eastAsia="Times New Roman" w:hAnsi="Palatino Linotype" w:cs="Tahoma"/>
          <w:noProof/>
          <w:color w:val="000000" w:themeColor="text1"/>
          <w:lang w:eastAsia="ar-SA"/>
        </w:rPr>
        <w:t xml:space="preserve"> numeral uno del artículo 79 de la Ordenanza Metropolitana </w:t>
      </w:r>
      <w:r w:rsidR="001A75EA">
        <w:rPr>
          <w:rFonts w:ascii="Palatino Linotype" w:eastAsia="Times New Roman" w:hAnsi="Palatino Linotype" w:cs="Tahoma"/>
          <w:noProof/>
          <w:color w:val="000000" w:themeColor="text1"/>
          <w:lang w:eastAsia="ar-SA"/>
        </w:rPr>
        <w:t xml:space="preserve">No. </w:t>
      </w:r>
      <w:r w:rsidR="002E2690" w:rsidRPr="003F2B99">
        <w:rPr>
          <w:rFonts w:ascii="Palatino Linotype" w:eastAsia="Times New Roman" w:hAnsi="Palatino Linotype" w:cs="Tahoma"/>
          <w:noProof/>
          <w:color w:val="000000" w:themeColor="text1"/>
          <w:lang w:eastAsia="ar-SA"/>
        </w:rPr>
        <w:t>172, establece que cuando el 10% del área útil del predio sea inferior a la asignación mínima del lote que establezca la zonificación del sector, se entregará el valor monetario correspondiente al 5% del valor del área útil del lote a subdividirse</w:t>
      </w:r>
      <w:r w:rsidR="00FE36A5">
        <w:rPr>
          <w:rFonts w:ascii="Palatino Linotype" w:eastAsia="Times New Roman" w:hAnsi="Palatino Linotype" w:cs="Tahoma"/>
          <w:noProof/>
          <w:color w:val="000000" w:themeColor="text1"/>
          <w:lang w:eastAsia="ar-SA"/>
        </w:rPr>
        <w:t>;</w:t>
      </w:r>
    </w:p>
    <w:p w:rsidR="00E06A40" w:rsidRPr="00FE36A5" w:rsidRDefault="00E06A40" w:rsidP="00FE36A5">
      <w:pPr>
        <w:suppressAutoHyphens/>
        <w:spacing w:after="120"/>
        <w:ind w:left="705" w:hanging="705"/>
        <w:jc w:val="both"/>
        <w:rPr>
          <w:rFonts w:ascii="Palatino Linotype" w:eastAsia="Times New Roman" w:hAnsi="Palatino Linotype" w:cs="Tahoma"/>
          <w:noProof/>
          <w:lang w:eastAsia="ar-SA"/>
        </w:rPr>
      </w:pPr>
      <w:r w:rsidRPr="00FE36A5">
        <w:rPr>
          <w:rFonts w:ascii="Palatino Linotype" w:eastAsia="Times New Roman" w:hAnsi="Palatino Linotype" w:cs="Tahoma"/>
          <w:b/>
          <w:noProof/>
          <w:lang w:eastAsia="ar-SA"/>
        </w:rPr>
        <w:t>Que,</w:t>
      </w:r>
      <w:r w:rsidRPr="003F2B99">
        <w:rPr>
          <w:rFonts w:ascii="Palatino Linotype" w:eastAsia="Times New Roman" w:hAnsi="Palatino Linotype" w:cs="Tahoma"/>
          <w:noProof/>
          <w:lang w:eastAsia="ar-SA"/>
        </w:rPr>
        <w:t xml:space="preserve"> </w:t>
      </w:r>
      <w:r w:rsidRPr="003F2B99">
        <w:rPr>
          <w:rFonts w:ascii="Palatino Linotype" w:eastAsia="Times New Roman" w:hAnsi="Palatino Linotype" w:cs="Tahoma"/>
          <w:noProof/>
          <w:lang w:eastAsia="ar-SA"/>
        </w:rPr>
        <w:tab/>
        <w:t>la</w:t>
      </w:r>
      <w:r w:rsidR="00217654" w:rsidRPr="003F2B99">
        <w:rPr>
          <w:rFonts w:ascii="Palatino Linotype" w:eastAsia="Times New Roman" w:hAnsi="Palatino Linotype" w:cs="Tahoma"/>
          <w:noProof/>
          <w:lang w:eastAsia="ar-SA"/>
        </w:rPr>
        <w:t>s</w:t>
      </w:r>
      <w:r w:rsidRPr="003F2B99">
        <w:rPr>
          <w:rFonts w:ascii="Palatino Linotype" w:eastAsia="Times New Roman" w:hAnsi="Palatino Linotype" w:cs="Tahoma"/>
          <w:noProof/>
          <w:lang w:eastAsia="ar-SA"/>
        </w:rPr>
        <w:t xml:space="preserve"> Ordenanza</w:t>
      </w:r>
      <w:r w:rsidR="00217654" w:rsidRPr="003F2B99">
        <w:rPr>
          <w:rFonts w:ascii="Palatino Linotype" w:eastAsia="Times New Roman" w:hAnsi="Palatino Linotype" w:cs="Tahoma"/>
          <w:noProof/>
          <w:lang w:eastAsia="ar-SA"/>
        </w:rPr>
        <w:t>s</w:t>
      </w:r>
      <w:r w:rsidRPr="003F2B99">
        <w:rPr>
          <w:rFonts w:ascii="Palatino Linotype" w:eastAsia="Times New Roman" w:hAnsi="Palatino Linotype" w:cs="Tahoma"/>
          <w:noProof/>
          <w:lang w:eastAsia="ar-SA"/>
        </w:rPr>
        <w:t xml:space="preserve"> Metropolitana</w:t>
      </w:r>
      <w:r w:rsidR="00217654" w:rsidRPr="003F2B99">
        <w:rPr>
          <w:rFonts w:ascii="Palatino Linotype" w:eastAsia="Times New Roman" w:hAnsi="Palatino Linotype" w:cs="Tahoma"/>
          <w:noProof/>
          <w:lang w:eastAsia="ar-SA"/>
        </w:rPr>
        <w:t>s</w:t>
      </w:r>
      <w:r w:rsidRPr="003F2B99">
        <w:rPr>
          <w:rFonts w:ascii="Palatino Linotype" w:eastAsia="Times New Roman" w:hAnsi="Palatino Linotype" w:cs="Tahoma"/>
          <w:noProof/>
          <w:lang w:eastAsia="ar-SA"/>
        </w:rPr>
        <w:t xml:space="preserve"> No</w:t>
      </w:r>
      <w:r w:rsidR="00217654" w:rsidRPr="003F2B99">
        <w:rPr>
          <w:rFonts w:ascii="Palatino Linotype" w:eastAsia="Times New Roman" w:hAnsi="Palatino Linotype" w:cs="Tahoma"/>
          <w:noProof/>
          <w:lang w:eastAsia="ar-SA"/>
        </w:rPr>
        <w:t>s</w:t>
      </w:r>
      <w:r w:rsidRPr="003F2B99">
        <w:rPr>
          <w:rFonts w:ascii="Palatino Linotype" w:eastAsia="Times New Roman" w:hAnsi="Palatino Linotype" w:cs="Tahoma"/>
          <w:noProof/>
          <w:lang w:eastAsia="ar-SA"/>
        </w:rPr>
        <w:t>. 172</w:t>
      </w:r>
      <w:r w:rsidR="00217654" w:rsidRPr="003F2B99">
        <w:rPr>
          <w:rFonts w:ascii="Palatino Linotype" w:eastAsia="Times New Roman" w:hAnsi="Palatino Linotype" w:cs="Tahoma"/>
          <w:noProof/>
          <w:lang w:eastAsia="ar-SA"/>
        </w:rPr>
        <w:t xml:space="preserve"> </w:t>
      </w:r>
      <w:r w:rsidR="00CA4FB5" w:rsidRPr="003F2B99">
        <w:rPr>
          <w:rFonts w:ascii="Palatino Linotype" w:eastAsia="Times New Roman" w:hAnsi="Palatino Linotype" w:cs="Tahoma"/>
          <w:noProof/>
          <w:lang w:eastAsia="ar-SA"/>
        </w:rPr>
        <w:t xml:space="preserve">y 432 </w:t>
      </w:r>
      <w:r w:rsidRPr="003F2B99">
        <w:rPr>
          <w:rFonts w:ascii="Palatino Linotype" w:eastAsia="Times New Roman" w:hAnsi="Palatino Linotype" w:cs="Tahoma"/>
          <w:noProof/>
          <w:lang w:eastAsia="ar-SA"/>
        </w:rPr>
        <w:t>sancionada</w:t>
      </w:r>
      <w:r w:rsidR="00CA4FB5" w:rsidRPr="003F2B99">
        <w:rPr>
          <w:rFonts w:ascii="Palatino Linotype" w:eastAsia="Times New Roman" w:hAnsi="Palatino Linotype" w:cs="Tahoma"/>
          <w:noProof/>
          <w:lang w:eastAsia="ar-SA"/>
        </w:rPr>
        <w:t>s</w:t>
      </w:r>
      <w:r w:rsidRPr="003F2B99">
        <w:rPr>
          <w:rFonts w:ascii="Palatino Linotype" w:eastAsia="Times New Roman" w:hAnsi="Palatino Linotype" w:cs="Tahoma"/>
          <w:noProof/>
          <w:lang w:eastAsia="ar-SA"/>
        </w:rPr>
        <w:t xml:space="preserve"> el 30 de diciembre de 2011</w:t>
      </w:r>
      <w:r w:rsidR="00217654" w:rsidRPr="003F2B99">
        <w:rPr>
          <w:rFonts w:ascii="Palatino Linotype" w:eastAsia="Times New Roman" w:hAnsi="Palatino Linotype" w:cs="Tahoma"/>
          <w:noProof/>
          <w:lang w:eastAsia="ar-SA"/>
        </w:rPr>
        <w:t xml:space="preserve"> y el 20 de septiembre de 2013</w:t>
      </w:r>
      <w:r w:rsidR="00CA4FB5" w:rsidRPr="003F2B99">
        <w:rPr>
          <w:rFonts w:ascii="Palatino Linotype" w:eastAsia="Times New Roman" w:hAnsi="Palatino Linotype" w:cs="Tahoma"/>
          <w:noProof/>
          <w:lang w:eastAsia="ar-SA"/>
        </w:rPr>
        <w:t xml:space="preserve"> respectivamente</w:t>
      </w:r>
      <w:r w:rsidRPr="003F2B99">
        <w:rPr>
          <w:rFonts w:ascii="Palatino Linotype" w:eastAsia="Times New Roman" w:hAnsi="Palatino Linotype" w:cs="Tahoma"/>
          <w:noProof/>
          <w:lang w:eastAsia="ar-SA"/>
        </w:rPr>
        <w:t xml:space="preserve">, </w:t>
      </w:r>
      <w:r w:rsidRPr="003F2B99">
        <w:rPr>
          <w:rFonts w:ascii="Palatino Linotype" w:eastAsia="Times New Roman" w:hAnsi="Palatino Linotype" w:cs="Tahoma"/>
          <w:noProof/>
          <w:color w:val="000000" w:themeColor="text1"/>
          <w:lang w:eastAsia="ar-SA"/>
        </w:rPr>
        <w:t>establece</w:t>
      </w:r>
      <w:r w:rsidR="00217654" w:rsidRPr="003F2B99">
        <w:rPr>
          <w:rFonts w:ascii="Palatino Linotype" w:eastAsia="Times New Roman" w:hAnsi="Palatino Linotype" w:cs="Tahoma"/>
          <w:noProof/>
          <w:color w:val="000000" w:themeColor="text1"/>
          <w:lang w:eastAsia="ar-SA"/>
        </w:rPr>
        <w:t>n</w:t>
      </w:r>
      <w:r w:rsidRPr="003F2B99">
        <w:rPr>
          <w:rFonts w:ascii="Palatino Linotype" w:eastAsia="Times New Roman" w:hAnsi="Palatino Linotype" w:cs="Tahoma"/>
          <w:noProof/>
          <w:lang w:eastAsia="ar-SA"/>
        </w:rPr>
        <w:t xml:space="preserve"> el Régimen Administrativo del Suelo en el Distrito Metropolitano de Quito, </w:t>
      </w:r>
      <w:r w:rsidRPr="003F2B99">
        <w:rPr>
          <w:rFonts w:ascii="Palatino Linotype" w:eastAsia="Times New Roman" w:hAnsi="Palatino Linotype" w:cs="Tahoma"/>
          <w:noProof/>
          <w:color w:val="000000" w:themeColor="text1"/>
          <w:lang w:eastAsia="ar-SA"/>
        </w:rPr>
        <w:t>l</w:t>
      </w:r>
      <w:r w:rsidR="00217654" w:rsidRPr="003F2B99">
        <w:rPr>
          <w:rFonts w:ascii="Palatino Linotype" w:eastAsia="Times New Roman" w:hAnsi="Palatino Linotype" w:cs="Tahoma"/>
          <w:noProof/>
          <w:color w:val="000000" w:themeColor="text1"/>
          <w:lang w:eastAsia="ar-SA"/>
        </w:rPr>
        <w:t>as</w:t>
      </w:r>
      <w:r w:rsidRPr="003F2B99">
        <w:rPr>
          <w:rFonts w:ascii="Palatino Linotype" w:eastAsia="Times New Roman" w:hAnsi="Palatino Linotype" w:cs="Tahoma"/>
          <w:noProof/>
          <w:color w:val="000000" w:themeColor="text1"/>
          <w:lang w:eastAsia="ar-SA"/>
        </w:rPr>
        <w:t xml:space="preserve"> cual</w:t>
      </w:r>
      <w:r w:rsidR="00217654" w:rsidRPr="003F2B99">
        <w:rPr>
          <w:rFonts w:ascii="Palatino Linotype" w:eastAsia="Times New Roman" w:hAnsi="Palatino Linotype" w:cs="Tahoma"/>
          <w:noProof/>
          <w:color w:val="000000" w:themeColor="text1"/>
          <w:lang w:eastAsia="ar-SA"/>
        </w:rPr>
        <w:t>es</w:t>
      </w:r>
      <w:r w:rsidRPr="003F2B99">
        <w:rPr>
          <w:rFonts w:ascii="Palatino Linotype" w:eastAsia="Times New Roman" w:hAnsi="Palatino Linotype" w:cs="Tahoma"/>
          <w:noProof/>
          <w:color w:val="000000" w:themeColor="text1"/>
          <w:lang w:eastAsia="ar-SA"/>
        </w:rPr>
        <w:t xml:space="preserve"> requiere</w:t>
      </w:r>
      <w:r w:rsidR="00217654" w:rsidRPr="003F2B99">
        <w:rPr>
          <w:rFonts w:ascii="Palatino Linotype" w:eastAsia="Times New Roman" w:hAnsi="Palatino Linotype" w:cs="Tahoma"/>
          <w:noProof/>
          <w:color w:val="000000" w:themeColor="text1"/>
          <w:lang w:eastAsia="ar-SA"/>
        </w:rPr>
        <w:t>n</w:t>
      </w:r>
      <w:r w:rsidRPr="003F2B99">
        <w:rPr>
          <w:rFonts w:ascii="Palatino Linotype" w:eastAsia="Times New Roman" w:hAnsi="Palatino Linotype" w:cs="Tahoma"/>
          <w:noProof/>
          <w:color w:val="000000" w:themeColor="text1"/>
          <w:lang w:eastAsia="ar-SA"/>
        </w:rPr>
        <w:t xml:space="preserve"> una reforma </w:t>
      </w:r>
      <w:r w:rsidR="00217654" w:rsidRPr="003F2B99">
        <w:rPr>
          <w:rFonts w:ascii="Palatino Linotype" w:eastAsia="Times New Roman" w:hAnsi="Palatino Linotype" w:cs="Tahoma"/>
          <w:noProof/>
          <w:color w:val="000000" w:themeColor="text1"/>
          <w:lang w:eastAsia="ar-SA"/>
        </w:rPr>
        <w:t>en los artículos 7</w:t>
      </w:r>
      <w:r w:rsidR="009674A4" w:rsidRPr="003F2B99">
        <w:rPr>
          <w:rFonts w:ascii="Palatino Linotype" w:eastAsia="Times New Roman" w:hAnsi="Palatino Linotype" w:cs="Tahoma"/>
          <w:noProof/>
          <w:color w:val="000000" w:themeColor="text1"/>
          <w:lang w:eastAsia="ar-SA"/>
        </w:rPr>
        <w:t>7</w:t>
      </w:r>
      <w:r w:rsidR="00217654" w:rsidRPr="003F2B99">
        <w:rPr>
          <w:rFonts w:ascii="Palatino Linotype" w:eastAsia="Times New Roman" w:hAnsi="Palatino Linotype" w:cs="Tahoma"/>
          <w:noProof/>
          <w:color w:val="000000" w:themeColor="text1"/>
          <w:lang w:eastAsia="ar-SA"/>
        </w:rPr>
        <w:t xml:space="preserve"> y 79 </w:t>
      </w:r>
      <w:r w:rsidRPr="003F2B99">
        <w:rPr>
          <w:rFonts w:ascii="Palatino Linotype" w:eastAsia="Times New Roman" w:hAnsi="Palatino Linotype" w:cs="Tahoma"/>
          <w:noProof/>
          <w:color w:val="000000" w:themeColor="text1"/>
          <w:lang w:eastAsia="ar-SA"/>
        </w:rPr>
        <w:t xml:space="preserve">con el objeto de </w:t>
      </w:r>
      <w:r w:rsidR="00CA4FB5" w:rsidRPr="003F2B99">
        <w:rPr>
          <w:rFonts w:ascii="Palatino Linotype" w:eastAsia="Times New Roman" w:hAnsi="Palatino Linotype" w:cs="Tahoma"/>
          <w:noProof/>
          <w:color w:val="000000" w:themeColor="text1"/>
          <w:lang w:eastAsia="ar-SA"/>
        </w:rPr>
        <w:t>adecuar</w:t>
      </w:r>
      <w:r w:rsidR="00AD751E" w:rsidRPr="003F2B99">
        <w:rPr>
          <w:rFonts w:ascii="Palatino Linotype" w:eastAsia="Times New Roman" w:hAnsi="Palatino Linotype" w:cs="Tahoma"/>
          <w:noProof/>
          <w:color w:val="000000" w:themeColor="text1"/>
          <w:lang w:eastAsia="ar-SA"/>
        </w:rPr>
        <w:t xml:space="preserve"> sus </w:t>
      </w:r>
      <w:r w:rsidR="00AD751E" w:rsidRPr="00FE36A5">
        <w:rPr>
          <w:rFonts w:ascii="Palatino Linotype" w:eastAsia="Times New Roman" w:hAnsi="Palatino Linotype" w:cs="Tahoma"/>
          <w:noProof/>
          <w:lang w:eastAsia="ar-SA"/>
        </w:rPr>
        <w:t xml:space="preserve">disposicones </w:t>
      </w:r>
      <w:r w:rsidR="00CA4FB5" w:rsidRPr="00FE36A5">
        <w:rPr>
          <w:rFonts w:ascii="Palatino Linotype" w:eastAsia="Times New Roman" w:hAnsi="Palatino Linotype" w:cs="Tahoma"/>
          <w:noProof/>
          <w:lang w:eastAsia="ar-SA"/>
        </w:rPr>
        <w:t>al marco normativo nacional vigente</w:t>
      </w:r>
      <w:r w:rsidR="00FE36A5" w:rsidRPr="00FE36A5">
        <w:rPr>
          <w:rFonts w:ascii="Palatino Linotype" w:eastAsia="Times New Roman" w:hAnsi="Palatino Linotype" w:cs="Tahoma"/>
          <w:noProof/>
          <w:lang w:eastAsia="ar-SA"/>
        </w:rPr>
        <w:t>;</w:t>
      </w:r>
    </w:p>
    <w:p w:rsidR="002578F2" w:rsidRPr="00FE36A5" w:rsidRDefault="00FD0B9B" w:rsidP="00FE36A5">
      <w:pPr>
        <w:suppressAutoHyphens/>
        <w:spacing w:after="120"/>
        <w:ind w:left="705" w:hanging="705"/>
        <w:jc w:val="both"/>
        <w:rPr>
          <w:rFonts w:ascii="Palatino Linotype" w:eastAsia="Times New Roman" w:hAnsi="Palatino Linotype" w:cs="Tahoma"/>
          <w:noProof/>
          <w:lang w:eastAsia="ar-SA"/>
        </w:rPr>
      </w:pPr>
      <w:r w:rsidRPr="00FE36A5">
        <w:rPr>
          <w:rFonts w:ascii="Palatino Linotype" w:eastAsia="Times New Roman" w:hAnsi="Palatino Linotype" w:cs="Tahoma"/>
          <w:b/>
          <w:noProof/>
          <w:lang w:eastAsia="ar-SA"/>
        </w:rPr>
        <w:t>Que,</w:t>
      </w:r>
      <w:r w:rsidRPr="00FE36A5">
        <w:rPr>
          <w:rFonts w:ascii="Palatino Linotype" w:eastAsia="Times New Roman" w:hAnsi="Palatino Linotype" w:cs="Tahoma"/>
          <w:b/>
          <w:noProof/>
          <w:lang w:eastAsia="ar-SA"/>
        </w:rPr>
        <w:tab/>
      </w:r>
      <w:r w:rsidRPr="00FE36A5">
        <w:rPr>
          <w:rFonts w:ascii="Palatino Linotype" w:eastAsia="Times New Roman" w:hAnsi="Palatino Linotype" w:cs="Tahoma"/>
          <w:noProof/>
          <w:lang w:eastAsia="ar-SA"/>
        </w:rPr>
        <w:t xml:space="preserve">la Ordenanza </w:t>
      </w:r>
      <w:r w:rsidR="00FE36A5" w:rsidRPr="00FE36A5">
        <w:rPr>
          <w:rFonts w:ascii="Palatino Linotype" w:eastAsia="Times New Roman" w:hAnsi="Palatino Linotype" w:cs="Tahoma"/>
          <w:noProof/>
          <w:lang w:eastAsia="ar-SA"/>
        </w:rPr>
        <w:t xml:space="preserve">No. </w:t>
      </w:r>
      <w:r w:rsidRPr="00FE36A5">
        <w:rPr>
          <w:rFonts w:ascii="Palatino Linotype" w:eastAsia="Times New Roman" w:hAnsi="Palatino Linotype" w:cs="Tahoma"/>
          <w:noProof/>
          <w:lang w:eastAsia="ar-SA"/>
        </w:rPr>
        <w:t>147</w:t>
      </w:r>
      <w:r w:rsidR="00FE36A5" w:rsidRPr="00FE36A5">
        <w:rPr>
          <w:rFonts w:ascii="Palatino Linotype" w:eastAsia="Times New Roman" w:hAnsi="Palatino Linotype" w:cs="Tahoma"/>
          <w:noProof/>
          <w:lang w:eastAsia="ar-SA"/>
        </w:rPr>
        <w:t>,</w:t>
      </w:r>
      <w:r w:rsidRPr="00FE36A5">
        <w:rPr>
          <w:rFonts w:ascii="Palatino Linotype" w:eastAsia="Times New Roman" w:hAnsi="Palatino Linotype" w:cs="Tahoma"/>
          <w:noProof/>
          <w:lang w:eastAsia="ar-SA"/>
        </w:rPr>
        <w:t xml:space="preserve"> que declara de interés social a los asentamientos humanos de hecho y consolidados y establece su proceco integral de regularización en su artículo 15 dispone: </w:t>
      </w:r>
      <w:r w:rsidRPr="00FE36A5">
        <w:rPr>
          <w:rFonts w:ascii="Palatino Linotype" w:eastAsia="Times New Roman" w:hAnsi="Palatino Linotype" w:cs="Tahoma"/>
          <w:i/>
          <w:noProof/>
          <w:lang w:eastAsia="ar-SA"/>
        </w:rPr>
        <w:t>“El establecimiento de las áreas verdes y de equipami</w:t>
      </w:r>
      <w:r w:rsidR="00DA3826" w:rsidRPr="00FE36A5">
        <w:rPr>
          <w:rFonts w:ascii="Palatino Linotype" w:eastAsia="Times New Roman" w:hAnsi="Palatino Linotype" w:cs="Tahoma"/>
          <w:i/>
          <w:noProof/>
          <w:lang w:eastAsia="ar-SA"/>
        </w:rPr>
        <w:t>e</w:t>
      </w:r>
      <w:r w:rsidRPr="00FE36A5">
        <w:rPr>
          <w:rFonts w:ascii="Palatino Linotype" w:eastAsia="Times New Roman" w:hAnsi="Palatino Linotype" w:cs="Tahoma"/>
          <w:i/>
          <w:noProof/>
          <w:lang w:eastAsia="ar-SA"/>
        </w:rPr>
        <w:t xml:space="preserve">nto público para el caso de los asentamientos humanos de hecho y consolidados y de interés social, deberá respetar el porcentaje del 15% del área útil del predio; sin embargo, este porcentaje podrá disminuirse gradualmente, según su porcentaje de consolidación y de acuerdo al plazo y demás condiciones establecidas en la ley. </w:t>
      </w:r>
      <w:r w:rsidR="002578F2" w:rsidRPr="00FE36A5">
        <w:rPr>
          <w:rFonts w:ascii="Palatino Linotype" w:eastAsia="Times New Roman" w:hAnsi="Palatino Linotype" w:cs="Tahoma"/>
          <w:i/>
          <w:noProof/>
          <w:lang w:eastAsia="ar-SA"/>
        </w:rPr>
        <w:t>El faltante de áreas verdes será compensado pecuniariamente con excepción de</w:t>
      </w:r>
      <w:r w:rsidR="00DA3826" w:rsidRPr="00FE36A5">
        <w:rPr>
          <w:rFonts w:ascii="Palatino Linotype" w:eastAsia="Times New Roman" w:hAnsi="Palatino Linotype" w:cs="Tahoma"/>
          <w:i/>
          <w:noProof/>
          <w:lang w:eastAsia="ar-SA"/>
        </w:rPr>
        <w:t xml:space="preserve"> </w:t>
      </w:r>
      <w:r w:rsidR="002578F2" w:rsidRPr="00FE36A5">
        <w:rPr>
          <w:rFonts w:ascii="Palatino Linotype" w:eastAsia="Times New Roman" w:hAnsi="Palatino Linotype" w:cs="Tahoma"/>
          <w:i/>
          <w:noProof/>
          <w:lang w:eastAsia="ar-SA"/>
        </w:rPr>
        <w:t>los asentamientos declarados de int</w:t>
      </w:r>
      <w:r w:rsidR="00DA3826" w:rsidRPr="00FE36A5">
        <w:rPr>
          <w:rFonts w:ascii="Palatino Linotype" w:eastAsia="Times New Roman" w:hAnsi="Palatino Linotype" w:cs="Tahoma"/>
          <w:i/>
          <w:noProof/>
          <w:lang w:eastAsia="ar-SA"/>
        </w:rPr>
        <w:t>e</w:t>
      </w:r>
      <w:r w:rsidR="002578F2" w:rsidRPr="00FE36A5">
        <w:rPr>
          <w:rFonts w:ascii="Palatino Linotype" w:eastAsia="Times New Roman" w:hAnsi="Palatino Linotype" w:cs="Tahoma"/>
          <w:i/>
          <w:noProof/>
          <w:lang w:eastAsia="ar-SA"/>
        </w:rPr>
        <w:t xml:space="preserve">rés social. La disminución en la contribución obligatoria de áreas verdes y de equipamiento será excepcional, previo el estudio pormenorizado del nivel de consolidación que determine la imposiblidad de la contribución de las áreas verdes y de equipamiento, en cuyo caso se aplicará la tabla de gradación de la contribución de áreas verdes para los Asentamientos Humanos de </w:t>
      </w:r>
      <w:r w:rsidR="00DA3826" w:rsidRPr="00FE36A5">
        <w:rPr>
          <w:rFonts w:ascii="Palatino Linotype" w:eastAsia="Times New Roman" w:hAnsi="Palatino Linotype" w:cs="Tahoma"/>
          <w:i/>
          <w:noProof/>
          <w:lang w:eastAsia="ar-SA"/>
        </w:rPr>
        <w:t>H</w:t>
      </w:r>
      <w:r w:rsidR="002578F2" w:rsidRPr="00FE36A5">
        <w:rPr>
          <w:rFonts w:ascii="Palatino Linotype" w:eastAsia="Times New Roman" w:hAnsi="Palatino Linotype" w:cs="Tahoma"/>
          <w:i/>
          <w:noProof/>
          <w:lang w:eastAsia="ar-SA"/>
        </w:rPr>
        <w:t>echo y Consolidados la misma que constará en el anexo técnico de esta ordenanza que será elaborada por la unidad Especializada en los Proce</w:t>
      </w:r>
      <w:r w:rsidR="00B84AD4">
        <w:rPr>
          <w:rFonts w:ascii="Palatino Linotype" w:eastAsia="Times New Roman" w:hAnsi="Palatino Linotype" w:cs="Tahoma"/>
          <w:i/>
          <w:noProof/>
          <w:lang w:eastAsia="ar-SA"/>
        </w:rPr>
        <w:t>s</w:t>
      </w:r>
      <w:r w:rsidR="002578F2" w:rsidRPr="00FE36A5">
        <w:rPr>
          <w:rFonts w:ascii="Palatino Linotype" w:eastAsia="Times New Roman" w:hAnsi="Palatino Linotype" w:cs="Tahoma"/>
          <w:i/>
          <w:noProof/>
          <w:lang w:eastAsia="ar-SA"/>
        </w:rPr>
        <w:t>os de Regularización en cordinación con la entidad responsable de Territorio, Hábitat y Vivienda.”</w:t>
      </w:r>
      <w:r w:rsidR="00FE36A5" w:rsidRPr="00FE36A5">
        <w:rPr>
          <w:rFonts w:ascii="Palatino Linotype" w:eastAsia="Times New Roman" w:hAnsi="Palatino Linotype" w:cs="Tahoma"/>
          <w:noProof/>
          <w:lang w:eastAsia="ar-SA"/>
        </w:rPr>
        <w:t>;</w:t>
      </w:r>
    </w:p>
    <w:p w:rsidR="00273C85" w:rsidRPr="003F2B99" w:rsidRDefault="00273C85" w:rsidP="00FE36A5">
      <w:pPr>
        <w:suppressAutoHyphens/>
        <w:spacing w:after="120"/>
        <w:ind w:left="705" w:hanging="705"/>
        <w:jc w:val="both"/>
        <w:rPr>
          <w:rFonts w:ascii="Palatino Linotype" w:eastAsia="Times New Roman" w:hAnsi="Palatino Linotype" w:cs="Tahoma"/>
          <w:noProof/>
          <w:lang w:eastAsia="ar-SA"/>
        </w:rPr>
      </w:pPr>
      <w:r w:rsidRPr="00FE36A5">
        <w:rPr>
          <w:rFonts w:ascii="Palatino Linotype" w:eastAsia="Times New Roman" w:hAnsi="Palatino Linotype" w:cs="Tahoma"/>
          <w:b/>
          <w:noProof/>
          <w:lang w:eastAsia="ar-SA"/>
        </w:rPr>
        <w:lastRenderedPageBreak/>
        <w:t>Que,</w:t>
      </w:r>
      <w:r w:rsidRPr="003F2B99">
        <w:rPr>
          <w:rFonts w:ascii="Palatino Linotype" w:eastAsia="Times New Roman" w:hAnsi="Palatino Linotype" w:cs="Tahoma"/>
          <w:noProof/>
          <w:lang w:eastAsia="ar-SA"/>
        </w:rPr>
        <w:t xml:space="preserve"> </w:t>
      </w:r>
      <w:r w:rsidR="00FE36A5">
        <w:rPr>
          <w:rFonts w:ascii="Palatino Linotype" w:eastAsia="Times New Roman" w:hAnsi="Palatino Linotype" w:cs="Tahoma"/>
          <w:noProof/>
          <w:lang w:eastAsia="ar-SA"/>
        </w:rPr>
        <w:tab/>
      </w:r>
      <w:r w:rsidRPr="003F2B99">
        <w:rPr>
          <w:rFonts w:ascii="Palatino Linotype" w:eastAsia="Times New Roman" w:hAnsi="Palatino Linotype" w:cs="Tahoma"/>
          <w:noProof/>
          <w:lang w:eastAsia="ar-SA"/>
        </w:rPr>
        <w:t xml:space="preserve">en materia de planeamiento y urbanismo, </w:t>
      </w:r>
      <w:r w:rsidRPr="003F2B99">
        <w:rPr>
          <w:rFonts w:ascii="Palatino Linotype" w:eastAsia="Times New Roman" w:hAnsi="Palatino Linotype" w:cs="Tahoma"/>
          <w:noProof/>
          <w:color w:val="000000" w:themeColor="text1"/>
          <w:lang w:eastAsia="ar-SA"/>
        </w:rPr>
        <w:t xml:space="preserve">le compete </w:t>
      </w:r>
      <w:r w:rsidRPr="003F2B99">
        <w:rPr>
          <w:rFonts w:ascii="Palatino Linotype" w:eastAsia="Times New Roman" w:hAnsi="Palatino Linotype" w:cs="Tahoma"/>
          <w:noProof/>
          <w:lang w:eastAsia="ar-SA"/>
        </w:rPr>
        <w:t>a la administración municipal expedir las ordenanzas y normativa específica con el objeto de cumplir las funciones prescritas en la Ley Orgánica de Ordenamiento Territorial, Uso y Gestión de Suelo y  COOTAD, teniendo en cuenta el armónico desarrollo urbano;</w:t>
      </w:r>
    </w:p>
    <w:p w:rsidR="007D14AD" w:rsidRPr="003F2B99" w:rsidRDefault="007D14AD" w:rsidP="00FE36A5">
      <w:pPr>
        <w:suppressAutoHyphens/>
        <w:spacing w:after="120"/>
        <w:ind w:left="705" w:hanging="705"/>
        <w:jc w:val="both"/>
        <w:rPr>
          <w:rFonts w:ascii="Palatino Linotype" w:eastAsia="Times New Roman" w:hAnsi="Palatino Linotype" w:cs="Tahoma"/>
          <w:noProof/>
          <w:color w:val="000000" w:themeColor="text1"/>
          <w:lang w:eastAsia="ar-SA"/>
        </w:rPr>
      </w:pPr>
      <w:r w:rsidRPr="00FE36A5">
        <w:rPr>
          <w:rFonts w:ascii="Palatino Linotype" w:eastAsia="Times New Roman" w:hAnsi="Palatino Linotype" w:cs="Tahoma"/>
          <w:b/>
          <w:noProof/>
          <w:color w:val="000000" w:themeColor="text1"/>
          <w:lang w:eastAsia="ar-SA"/>
        </w:rPr>
        <w:t>Que,</w:t>
      </w:r>
      <w:r w:rsidRPr="003F2B99">
        <w:rPr>
          <w:rFonts w:ascii="Palatino Linotype" w:eastAsia="Times New Roman" w:hAnsi="Palatino Linotype" w:cs="Tahoma"/>
          <w:noProof/>
          <w:color w:val="000000" w:themeColor="text1"/>
          <w:lang w:eastAsia="ar-SA"/>
        </w:rPr>
        <w:t xml:space="preserve">  mediante oficio No. 368-SGO-CMQ-2016 de 31 de mayo de 2016, el señor Concejal Sergio Garnica, en  calidad de Presidente de la Comisión de </w:t>
      </w:r>
      <w:r w:rsidR="001542B0" w:rsidRPr="003F2B99">
        <w:rPr>
          <w:rFonts w:ascii="Palatino Linotype" w:eastAsia="Times New Roman" w:hAnsi="Palatino Linotype" w:cs="Tahoma"/>
          <w:noProof/>
          <w:color w:val="000000" w:themeColor="text1"/>
          <w:lang w:eastAsia="ar-SA"/>
        </w:rPr>
        <w:t>U</w:t>
      </w:r>
      <w:r w:rsidRPr="003F2B99">
        <w:rPr>
          <w:rFonts w:ascii="Palatino Linotype" w:eastAsia="Times New Roman" w:hAnsi="Palatino Linotype" w:cs="Tahoma"/>
          <w:noProof/>
          <w:color w:val="000000" w:themeColor="text1"/>
          <w:lang w:eastAsia="ar-SA"/>
        </w:rPr>
        <w:t>so de Suelo, sol</w:t>
      </w:r>
      <w:r w:rsidR="001542B0" w:rsidRPr="003F2B99">
        <w:rPr>
          <w:rFonts w:ascii="Palatino Linotype" w:eastAsia="Times New Roman" w:hAnsi="Palatino Linotype" w:cs="Tahoma"/>
          <w:noProof/>
          <w:color w:val="000000" w:themeColor="text1"/>
          <w:lang w:eastAsia="ar-SA"/>
        </w:rPr>
        <w:t>i</w:t>
      </w:r>
      <w:r w:rsidRPr="003F2B99">
        <w:rPr>
          <w:rFonts w:ascii="Palatino Linotype" w:eastAsia="Times New Roman" w:hAnsi="Palatino Linotype" w:cs="Tahoma"/>
          <w:noProof/>
          <w:color w:val="000000" w:themeColor="text1"/>
          <w:lang w:eastAsia="ar-SA"/>
        </w:rPr>
        <w:t>cita se prepare un proyecto de ordenanza modificatorio de los artículo</w:t>
      </w:r>
      <w:r w:rsidR="001542B0" w:rsidRPr="003F2B99">
        <w:rPr>
          <w:rFonts w:ascii="Palatino Linotype" w:eastAsia="Times New Roman" w:hAnsi="Palatino Linotype" w:cs="Tahoma"/>
          <w:noProof/>
          <w:color w:val="000000" w:themeColor="text1"/>
          <w:lang w:eastAsia="ar-SA"/>
        </w:rPr>
        <w:t>s</w:t>
      </w:r>
      <w:r w:rsidRPr="003F2B99">
        <w:rPr>
          <w:rFonts w:ascii="Palatino Linotype" w:eastAsia="Times New Roman" w:hAnsi="Palatino Linotype" w:cs="Tahoma"/>
          <w:noProof/>
          <w:color w:val="000000" w:themeColor="text1"/>
          <w:lang w:eastAsia="ar-SA"/>
        </w:rPr>
        <w:t xml:space="preserve"> 77 y 79 de las Ordenanzas </w:t>
      </w:r>
      <w:r w:rsidR="001542B0" w:rsidRPr="003F2B99">
        <w:rPr>
          <w:rFonts w:ascii="Palatino Linotype" w:eastAsia="Times New Roman" w:hAnsi="Palatino Linotype" w:cs="Tahoma"/>
          <w:noProof/>
          <w:color w:val="000000" w:themeColor="text1"/>
          <w:lang w:eastAsia="ar-SA"/>
        </w:rPr>
        <w:t>M</w:t>
      </w:r>
      <w:r w:rsidRPr="003F2B99">
        <w:rPr>
          <w:rFonts w:ascii="Palatino Linotype" w:eastAsia="Times New Roman" w:hAnsi="Palatino Linotype" w:cs="Tahoma"/>
          <w:noProof/>
          <w:color w:val="000000" w:themeColor="text1"/>
          <w:lang w:eastAsia="ar-SA"/>
        </w:rPr>
        <w:t>etropolitanas 172 y 432, que hacen relación al Régimen del Suelo.</w:t>
      </w:r>
    </w:p>
    <w:p w:rsidR="00E06A40" w:rsidRPr="003F2B99" w:rsidRDefault="007D14AD" w:rsidP="00FE36A5">
      <w:pPr>
        <w:suppressAutoHyphens/>
        <w:spacing w:after="120"/>
        <w:ind w:left="705" w:hanging="705"/>
        <w:jc w:val="both"/>
        <w:rPr>
          <w:rFonts w:ascii="Palatino Linotype" w:eastAsia="Times New Roman" w:hAnsi="Palatino Linotype" w:cs="Tahoma"/>
          <w:noProof/>
          <w:lang w:eastAsia="ar-SA"/>
        </w:rPr>
      </w:pPr>
      <w:r w:rsidRPr="003F2B99">
        <w:rPr>
          <w:rFonts w:ascii="Palatino Linotype" w:eastAsia="Times New Roman" w:hAnsi="Palatino Linotype" w:cs="Tahoma"/>
          <w:noProof/>
          <w:color w:val="000000" w:themeColor="text1"/>
          <w:lang w:eastAsia="ar-SA"/>
        </w:rPr>
        <w:t xml:space="preserve"> </w:t>
      </w:r>
      <w:r w:rsidR="00E06A40" w:rsidRPr="00FE36A5">
        <w:rPr>
          <w:rFonts w:ascii="Palatino Linotype" w:eastAsia="Times New Roman" w:hAnsi="Palatino Linotype" w:cs="Tahoma"/>
          <w:b/>
          <w:noProof/>
          <w:lang w:eastAsia="ar-SA"/>
        </w:rPr>
        <w:t>Que,</w:t>
      </w:r>
      <w:r w:rsidR="00E06A40" w:rsidRPr="003F2B99">
        <w:rPr>
          <w:rFonts w:ascii="Palatino Linotype" w:eastAsia="Times New Roman" w:hAnsi="Palatino Linotype" w:cs="Tahoma"/>
          <w:noProof/>
          <w:lang w:eastAsia="ar-SA"/>
        </w:rPr>
        <w:t xml:space="preserve"> </w:t>
      </w:r>
      <w:r w:rsidR="00FE36A5">
        <w:rPr>
          <w:rFonts w:ascii="Palatino Linotype" w:eastAsia="Times New Roman" w:hAnsi="Palatino Linotype" w:cs="Tahoma"/>
          <w:noProof/>
          <w:lang w:eastAsia="ar-SA"/>
        </w:rPr>
        <w:tab/>
      </w:r>
      <w:r w:rsidR="00E06A40" w:rsidRPr="003F2B99">
        <w:rPr>
          <w:rFonts w:ascii="Palatino Linotype" w:eastAsia="Times New Roman" w:hAnsi="Palatino Linotype" w:cs="Tahoma"/>
          <w:noProof/>
          <w:lang w:eastAsia="ar-SA"/>
        </w:rPr>
        <w:t>mediante oficio</w:t>
      </w:r>
      <w:r w:rsidR="007110B3" w:rsidRPr="003F2B99">
        <w:rPr>
          <w:rFonts w:ascii="Palatino Linotype" w:eastAsia="Times New Roman" w:hAnsi="Palatino Linotype" w:cs="Tahoma"/>
          <w:noProof/>
          <w:lang w:eastAsia="ar-SA"/>
        </w:rPr>
        <w:t>s</w:t>
      </w:r>
      <w:r w:rsidR="00E06A40" w:rsidRPr="003F2B99">
        <w:rPr>
          <w:rFonts w:ascii="Palatino Linotype" w:eastAsia="Times New Roman" w:hAnsi="Palatino Linotype" w:cs="Tahoma"/>
          <w:noProof/>
          <w:lang w:eastAsia="ar-SA"/>
        </w:rPr>
        <w:t xml:space="preserve"> No</w:t>
      </w:r>
      <w:r w:rsidR="007110B3" w:rsidRPr="003F2B99">
        <w:rPr>
          <w:rFonts w:ascii="Palatino Linotype" w:eastAsia="Times New Roman" w:hAnsi="Palatino Linotype" w:cs="Tahoma"/>
          <w:noProof/>
          <w:lang w:eastAsia="ar-SA"/>
        </w:rPr>
        <w:t>s</w:t>
      </w:r>
      <w:r w:rsidR="00E06A40" w:rsidRPr="003F2B99">
        <w:rPr>
          <w:rFonts w:ascii="Palatino Linotype" w:eastAsia="Times New Roman" w:hAnsi="Palatino Linotype" w:cs="Tahoma"/>
          <w:noProof/>
          <w:lang w:eastAsia="ar-SA"/>
        </w:rPr>
        <w:t>. STHV-</w:t>
      </w:r>
      <w:r w:rsidR="009F0437" w:rsidRPr="003F2B99">
        <w:rPr>
          <w:rFonts w:ascii="Palatino Linotype" w:eastAsia="Times New Roman" w:hAnsi="Palatino Linotype" w:cs="Tahoma"/>
          <w:noProof/>
          <w:lang w:eastAsia="ar-SA"/>
        </w:rPr>
        <w:t>3415</w:t>
      </w:r>
      <w:r w:rsidR="00E06A40" w:rsidRPr="003F2B99">
        <w:rPr>
          <w:rFonts w:ascii="Palatino Linotype" w:eastAsia="Times New Roman" w:hAnsi="Palatino Linotype" w:cs="Tahoma"/>
          <w:noProof/>
          <w:lang w:eastAsia="ar-SA"/>
        </w:rPr>
        <w:t xml:space="preserve"> de </w:t>
      </w:r>
      <w:r w:rsidR="009F0437" w:rsidRPr="003F2B99">
        <w:rPr>
          <w:rFonts w:ascii="Palatino Linotype" w:eastAsia="Times New Roman" w:hAnsi="Palatino Linotype" w:cs="Tahoma"/>
          <w:noProof/>
          <w:lang w:eastAsia="ar-SA"/>
        </w:rPr>
        <w:t>29</w:t>
      </w:r>
      <w:r w:rsidR="00E06A40" w:rsidRPr="003F2B99">
        <w:rPr>
          <w:rFonts w:ascii="Palatino Linotype" w:eastAsia="Times New Roman" w:hAnsi="Palatino Linotype" w:cs="Tahoma"/>
          <w:noProof/>
          <w:lang w:eastAsia="ar-SA"/>
        </w:rPr>
        <w:t xml:space="preserve"> de</w:t>
      </w:r>
      <w:r w:rsidR="009F0437" w:rsidRPr="003F2B99">
        <w:rPr>
          <w:rFonts w:ascii="Palatino Linotype" w:eastAsia="Times New Roman" w:hAnsi="Palatino Linotype" w:cs="Tahoma"/>
          <w:noProof/>
          <w:lang w:eastAsia="ar-SA"/>
        </w:rPr>
        <w:t xml:space="preserve"> julio</w:t>
      </w:r>
      <w:r w:rsidR="00E06A40" w:rsidRPr="003F2B99">
        <w:rPr>
          <w:rFonts w:ascii="Palatino Linotype" w:eastAsia="Times New Roman" w:hAnsi="Palatino Linotype" w:cs="Tahoma"/>
          <w:noProof/>
          <w:lang w:eastAsia="ar-SA"/>
        </w:rPr>
        <w:t xml:space="preserve"> de 201</w:t>
      </w:r>
      <w:r w:rsidR="00217654" w:rsidRPr="003F2B99">
        <w:rPr>
          <w:rFonts w:ascii="Palatino Linotype" w:eastAsia="Times New Roman" w:hAnsi="Palatino Linotype" w:cs="Tahoma"/>
          <w:noProof/>
          <w:lang w:eastAsia="ar-SA"/>
        </w:rPr>
        <w:t>6</w:t>
      </w:r>
      <w:r w:rsidR="006D6F62" w:rsidRPr="003F2B99">
        <w:rPr>
          <w:rFonts w:ascii="Palatino Linotype" w:eastAsia="Times New Roman" w:hAnsi="Palatino Linotype" w:cs="Tahoma"/>
          <w:noProof/>
          <w:lang w:eastAsia="ar-SA"/>
        </w:rPr>
        <w:t>,</w:t>
      </w:r>
      <w:r w:rsidR="007110B3" w:rsidRPr="003F2B99">
        <w:rPr>
          <w:rFonts w:ascii="Palatino Linotype" w:eastAsia="Times New Roman" w:hAnsi="Palatino Linotype" w:cs="Tahoma"/>
          <w:noProof/>
          <w:lang w:eastAsia="ar-SA"/>
        </w:rPr>
        <w:t xml:space="preserve"> STHV-DMGT-3830 de 26 de agosto de 2016 y STHV-DMGT-4012 de 09 de septiembre de 2016 de la </w:t>
      </w:r>
      <w:r w:rsidR="00E06A40" w:rsidRPr="003F2B99">
        <w:rPr>
          <w:rFonts w:ascii="Palatino Linotype" w:eastAsia="Times New Roman" w:hAnsi="Palatino Linotype" w:cs="Tahoma"/>
          <w:noProof/>
          <w:lang w:eastAsia="ar-SA"/>
        </w:rPr>
        <w:t xml:space="preserve">Secretaría de </w:t>
      </w:r>
      <w:r w:rsidR="00217654" w:rsidRPr="003F2B99">
        <w:rPr>
          <w:rFonts w:ascii="Palatino Linotype" w:eastAsia="Times New Roman" w:hAnsi="Palatino Linotype" w:cs="Tahoma"/>
          <w:noProof/>
          <w:lang w:eastAsia="ar-SA"/>
        </w:rPr>
        <w:t>Te</w:t>
      </w:r>
      <w:r w:rsidR="00E06A40" w:rsidRPr="003F2B99">
        <w:rPr>
          <w:rFonts w:ascii="Palatino Linotype" w:eastAsia="Times New Roman" w:hAnsi="Palatino Linotype" w:cs="Tahoma"/>
          <w:noProof/>
          <w:lang w:eastAsia="ar-SA"/>
        </w:rPr>
        <w:t>rritorio, Hábitat y Vivienda, adjunta su informe técnico que contiene la exposic</w:t>
      </w:r>
      <w:r w:rsidR="00CA4FB5" w:rsidRPr="003F2B99">
        <w:rPr>
          <w:rFonts w:ascii="Palatino Linotype" w:eastAsia="Times New Roman" w:hAnsi="Palatino Linotype" w:cs="Tahoma"/>
          <w:noProof/>
          <w:lang w:eastAsia="ar-SA"/>
        </w:rPr>
        <w:t>i</w:t>
      </w:r>
      <w:r w:rsidR="00E06A40" w:rsidRPr="003F2B99">
        <w:rPr>
          <w:rFonts w:ascii="Palatino Linotype" w:eastAsia="Times New Roman" w:hAnsi="Palatino Linotype" w:cs="Tahoma"/>
          <w:noProof/>
          <w:lang w:eastAsia="ar-SA"/>
        </w:rPr>
        <w:t>ón sobre la necesidad de reformar la</w:t>
      </w:r>
      <w:r w:rsidR="00217654" w:rsidRPr="003F2B99">
        <w:rPr>
          <w:rFonts w:ascii="Palatino Linotype" w:eastAsia="Times New Roman" w:hAnsi="Palatino Linotype" w:cs="Tahoma"/>
          <w:noProof/>
          <w:lang w:eastAsia="ar-SA"/>
        </w:rPr>
        <w:t>s</w:t>
      </w:r>
      <w:r w:rsidR="00E06A40" w:rsidRPr="003F2B99">
        <w:rPr>
          <w:rFonts w:ascii="Palatino Linotype" w:eastAsia="Times New Roman" w:hAnsi="Palatino Linotype" w:cs="Tahoma"/>
          <w:noProof/>
          <w:lang w:eastAsia="ar-SA"/>
        </w:rPr>
        <w:t xml:space="preserve"> </w:t>
      </w:r>
      <w:r w:rsidR="00217654" w:rsidRPr="003F2B99">
        <w:rPr>
          <w:rFonts w:ascii="Palatino Linotype" w:eastAsia="Times New Roman" w:hAnsi="Palatino Linotype" w:cs="Tahoma"/>
          <w:noProof/>
          <w:lang w:eastAsia="ar-SA"/>
        </w:rPr>
        <w:t>O</w:t>
      </w:r>
      <w:r w:rsidR="00E06A40" w:rsidRPr="003F2B99">
        <w:rPr>
          <w:rFonts w:ascii="Palatino Linotype" w:eastAsia="Times New Roman" w:hAnsi="Palatino Linotype" w:cs="Tahoma"/>
          <w:noProof/>
          <w:lang w:eastAsia="ar-SA"/>
        </w:rPr>
        <w:t>rdenanza</w:t>
      </w:r>
      <w:r w:rsidR="00217654" w:rsidRPr="003F2B99">
        <w:rPr>
          <w:rFonts w:ascii="Palatino Linotype" w:eastAsia="Times New Roman" w:hAnsi="Palatino Linotype" w:cs="Tahoma"/>
          <w:noProof/>
          <w:lang w:eastAsia="ar-SA"/>
        </w:rPr>
        <w:t>s</w:t>
      </w:r>
      <w:r w:rsidR="00E06A40" w:rsidRPr="003F2B99">
        <w:rPr>
          <w:rFonts w:ascii="Palatino Linotype" w:eastAsia="Times New Roman" w:hAnsi="Palatino Linotype" w:cs="Tahoma"/>
          <w:noProof/>
          <w:lang w:eastAsia="ar-SA"/>
        </w:rPr>
        <w:t xml:space="preserve"> </w:t>
      </w:r>
      <w:r w:rsidR="00217654" w:rsidRPr="003F2B99">
        <w:rPr>
          <w:rFonts w:ascii="Palatino Linotype" w:eastAsia="Times New Roman" w:hAnsi="Palatino Linotype" w:cs="Tahoma"/>
          <w:noProof/>
          <w:lang w:eastAsia="ar-SA"/>
        </w:rPr>
        <w:t>M</w:t>
      </w:r>
      <w:r w:rsidR="00E06A40" w:rsidRPr="003F2B99">
        <w:rPr>
          <w:rFonts w:ascii="Palatino Linotype" w:eastAsia="Times New Roman" w:hAnsi="Palatino Linotype" w:cs="Tahoma"/>
          <w:noProof/>
          <w:lang w:eastAsia="ar-SA"/>
        </w:rPr>
        <w:t>etropolitana</w:t>
      </w:r>
      <w:r w:rsidR="00217654" w:rsidRPr="003F2B99">
        <w:rPr>
          <w:rFonts w:ascii="Palatino Linotype" w:eastAsia="Times New Roman" w:hAnsi="Palatino Linotype" w:cs="Tahoma"/>
          <w:noProof/>
          <w:lang w:eastAsia="ar-SA"/>
        </w:rPr>
        <w:t>s</w:t>
      </w:r>
      <w:r w:rsidR="00E06A40" w:rsidRPr="003F2B99">
        <w:rPr>
          <w:rFonts w:ascii="Palatino Linotype" w:eastAsia="Times New Roman" w:hAnsi="Palatino Linotype" w:cs="Tahoma"/>
          <w:noProof/>
          <w:lang w:eastAsia="ar-SA"/>
        </w:rPr>
        <w:t xml:space="preserve"> No</w:t>
      </w:r>
      <w:r w:rsidR="00217654" w:rsidRPr="003F2B99">
        <w:rPr>
          <w:rFonts w:ascii="Palatino Linotype" w:eastAsia="Times New Roman" w:hAnsi="Palatino Linotype" w:cs="Tahoma"/>
          <w:noProof/>
          <w:lang w:eastAsia="ar-SA"/>
        </w:rPr>
        <w:t>s</w:t>
      </w:r>
      <w:r w:rsidR="00E06A40" w:rsidRPr="003F2B99">
        <w:rPr>
          <w:rFonts w:ascii="Palatino Linotype" w:eastAsia="Times New Roman" w:hAnsi="Palatino Linotype" w:cs="Tahoma"/>
          <w:noProof/>
          <w:lang w:eastAsia="ar-SA"/>
        </w:rPr>
        <w:t>. 172</w:t>
      </w:r>
      <w:r w:rsidR="00217654" w:rsidRPr="003F2B99">
        <w:rPr>
          <w:rFonts w:ascii="Palatino Linotype" w:eastAsia="Times New Roman" w:hAnsi="Palatino Linotype" w:cs="Tahoma"/>
          <w:noProof/>
          <w:lang w:eastAsia="ar-SA"/>
        </w:rPr>
        <w:t xml:space="preserve"> y 0432, en sus artículos 7</w:t>
      </w:r>
      <w:r w:rsidR="009674A4" w:rsidRPr="003F2B99">
        <w:rPr>
          <w:rFonts w:ascii="Palatino Linotype" w:eastAsia="Times New Roman" w:hAnsi="Palatino Linotype" w:cs="Tahoma"/>
          <w:noProof/>
          <w:lang w:eastAsia="ar-SA"/>
        </w:rPr>
        <w:t>7</w:t>
      </w:r>
      <w:r w:rsidR="00217654" w:rsidRPr="003F2B99">
        <w:rPr>
          <w:rFonts w:ascii="Palatino Linotype" w:eastAsia="Times New Roman" w:hAnsi="Palatino Linotype" w:cs="Tahoma"/>
          <w:noProof/>
          <w:lang w:eastAsia="ar-SA"/>
        </w:rPr>
        <w:t xml:space="preserve"> y 79 </w:t>
      </w:r>
      <w:r w:rsidR="00E06A40" w:rsidRPr="003F2B99">
        <w:rPr>
          <w:rFonts w:ascii="Palatino Linotype" w:eastAsia="Times New Roman" w:hAnsi="Palatino Linotype" w:cs="Tahoma"/>
          <w:noProof/>
          <w:lang w:eastAsia="ar-SA"/>
        </w:rPr>
        <w:t xml:space="preserve">; y, </w:t>
      </w:r>
    </w:p>
    <w:p w:rsidR="00E06A40" w:rsidRPr="003F2B99" w:rsidRDefault="00E06A40" w:rsidP="00FE36A5">
      <w:pPr>
        <w:suppressAutoHyphens/>
        <w:spacing w:after="120"/>
        <w:ind w:left="705" w:hanging="705"/>
        <w:jc w:val="both"/>
        <w:rPr>
          <w:rFonts w:ascii="Palatino Linotype" w:eastAsia="Times New Roman" w:hAnsi="Palatino Linotype" w:cs="Tahoma"/>
          <w:noProof/>
          <w:color w:val="000000" w:themeColor="text1"/>
          <w:lang w:eastAsia="ar-SA"/>
        </w:rPr>
      </w:pPr>
      <w:r w:rsidRPr="00FE36A5">
        <w:rPr>
          <w:rFonts w:ascii="Palatino Linotype" w:eastAsia="Times New Roman" w:hAnsi="Palatino Linotype" w:cs="Tahoma"/>
          <w:b/>
          <w:noProof/>
          <w:color w:val="000000" w:themeColor="text1"/>
          <w:lang w:eastAsia="ar-SA"/>
        </w:rPr>
        <w:t>Que,</w:t>
      </w:r>
      <w:r w:rsidRPr="003F2B99">
        <w:rPr>
          <w:rFonts w:ascii="Palatino Linotype" w:eastAsia="Times New Roman" w:hAnsi="Palatino Linotype" w:cs="Tahoma"/>
          <w:noProof/>
          <w:color w:val="000000" w:themeColor="text1"/>
          <w:lang w:eastAsia="ar-SA"/>
        </w:rPr>
        <w:tab/>
        <w:t xml:space="preserve">mediante oficio, referencia expediente No. </w:t>
      </w:r>
      <w:r w:rsidR="006D6F62" w:rsidRPr="003F2B99">
        <w:rPr>
          <w:rFonts w:ascii="Palatino Linotype" w:eastAsia="Times New Roman" w:hAnsi="Palatino Linotype" w:cs="Tahoma"/>
          <w:noProof/>
          <w:color w:val="000000" w:themeColor="text1"/>
          <w:lang w:eastAsia="ar-SA"/>
        </w:rPr>
        <w:t xml:space="preserve">2175-2016 </w:t>
      </w:r>
      <w:r w:rsidRPr="003F2B99">
        <w:rPr>
          <w:rFonts w:ascii="Palatino Linotype" w:eastAsia="Times New Roman" w:hAnsi="Palatino Linotype" w:cs="Tahoma"/>
          <w:noProof/>
          <w:color w:val="000000" w:themeColor="text1"/>
          <w:lang w:eastAsia="ar-SA"/>
        </w:rPr>
        <w:t>de</w:t>
      </w:r>
      <w:r w:rsidR="00920F81" w:rsidRPr="003F2B99">
        <w:rPr>
          <w:rFonts w:ascii="Palatino Linotype" w:eastAsia="Times New Roman" w:hAnsi="Palatino Linotype" w:cs="Tahoma"/>
          <w:noProof/>
          <w:color w:val="000000" w:themeColor="text1"/>
          <w:lang w:eastAsia="ar-SA"/>
        </w:rPr>
        <w:t xml:space="preserve"> 14 </w:t>
      </w:r>
      <w:r w:rsidR="006D6F62" w:rsidRPr="003F2B99">
        <w:rPr>
          <w:rFonts w:ascii="Palatino Linotype" w:eastAsia="Times New Roman" w:hAnsi="Palatino Linotype" w:cs="Tahoma"/>
          <w:noProof/>
          <w:color w:val="000000" w:themeColor="text1"/>
          <w:lang w:eastAsia="ar-SA"/>
        </w:rPr>
        <w:t>de</w:t>
      </w:r>
      <w:r w:rsidR="00920F81" w:rsidRPr="003F2B99">
        <w:rPr>
          <w:rFonts w:ascii="Palatino Linotype" w:eastAsia="Times New Roman" w:hAnsi="Palatino Linotype" w:cs="Tahoma"/>
          <w:noProof/>
          <w:color w:val="000000" w:themeColor="text1"/>
          <w:lang w:eastAsia="ar-SA"/>
        </w:rPr>
        <w:t xml:space="preserve"> noviembre de</w:t>
      </w:r>
      <w:r w:rsidRPr="003F2B99">
        <w:rPr>
          <w:rFonts w:ascii="Palatino Linotype" w:eastAsia="Times New Roman" w:hAnsi="Palatino Linotype" w:cs="Tahoma"/>
          <w:noProof/>
          <w:color w:val="000000" w:themeColor="text1"/>
          <w:lang w:eastAsia="ar-SA"/>
        </w:rPr>
        <w:t xml:space="preserve"> 201</w:t>
      </w:r>
      <w:r w:rsidR="00217654" w:rsidRPr="003F2B99">
        <w:rPr>
          <w:rFonts w:ascii="Palatino Linotype" w:eastAsia="Times New Roman" w:hAnsi="Palatino Linotype" w:cs="Tahoma"/>
          <w:noProof/>
          <w:color w:val="000000" w:themeColor="text1"/>
          <w:lang w:eastAsia="ar-SA"/>
        </w:rPr>
        <w:t>6</w:t>
      </w:r>
      <w:r w:rsidRPr="003F2B99">
        <w:rPr>
          <w:rFonts w:ascii="Palatino Linotype" w:eastAsia="Times New Roman" w:hAnsi="Palatino Linotype" w:cs="Tahoma"/>
          <w:noProof/>
          <w:color w:val="000000" w:themeColor="text1"/>
          <w:lang w:eastAsia="ar-SA"/>
        </w:rPr>
        <w:t xml:space="preserve">, la Procuraduría Metropolitana emite informe favorable para la reforma de la </w:t>
      </w:r>
      <w:r w:rsidR="006D6F62" w:rsidRPr="003F2B99">
        <w:rPr>
          <w:rFonts w:ascii="Palatino Linotype" w:eastAsia="Times New Roman" w:hAnsi="Palatino Linotype" w:cs="Tahoma"/>
          <w:noProof/>
          <w:color w:val="000000" w:themeColor="text1"/>
          <w:lang w:eastAsia="ar-SA"/>
        </w:rPr>
        <w:t>O</w:t>
      </w:r>
      <w:r w:rsidRPr="003F2B99">
        <w:rPr>
          <w:rFonts w:ascii="Palatino Linotype" w:eastAsia="Times New Roman" w:hAnsi="Palatino Linotype" w:cs="Tahoma"/>
          <w:noProof/>
          <w:color w:val="000000" w:themeColor="text1"/>
          <w:lang w:eastAsia="ar-SA"/>
        </w:rPr>
        <w:t xml:space="preserve">rdenanza </w:t>
      </w:r>
      <w:r w:rsidR="006D6F62" w:rsidRPr="003F2B99">
        <w:rPr>
          <w:rFonts w:ascii="Palatino Linotype" w:eastAsia="Times New Roman" w:hAnsi="Palatino Linotype" w:cs="Tahoma"/>
          <w:noProof/>
          <w:color w:val="000000" w:themeColor="text1"/>
          <w:lang w:eastAsia="ar-SA"/>
        </w:rPr>
        <w:t>M</w:t>
      </w:r>
      <w:r w:rsidRPr="003F2B99">
        <w:rPr>
          <w:rFonts w:ascii="Palatino Linotype" w:eastAsia="Times New Roman" w:hAnsi="Palatino Linotype" w:cs="Tahoma"/>
          <w:noProof/>
          <w:color w:val="000000" w:themeColor="text1"/>
          <w:lang w:eastAsia="ar-SA"/>
        </w:rPr>
        <w:t>etropolitana No. 172.</w:t>
      </w:r>
    </w:p>
    <w:p w:rsidR="00E06A40" w:rsidRPr="003F2B99" w:rsidRDefault="00E06A40" w:rsidP="00020999">
      <w:pPr>
        <w:suppressAutoHyphens/>
        <w:spacing w:after="120"/>
        <w:jc w:val="both"/>
        <w:rPr>
          <w:rFonts w:ascii="Palatino Linotype" w:eastAsia="Times New Roman" w:hAnsi="Palatino Linotype" w:cs="Tahoma"/>
          <w:b/>
          <w:noProof/>
          <w:lang w:eastAsia="ar-SA"/>
        </w:rPr>
      </w:pPr>
      <w:r w:rsidRPr="003F2B99">
        <w:rPr>
          <w:rFonts w:ascii="Palatino Linotype" w:eastAsia="Times New Roman" w:hAnsi="Palatino Linotype" w:cs="Tahoma"/>
          <w:b/>
          <w:noProof/>
          <w:lang w:eastAsia="ar-SA"/>
        </w:rPr>
        <w:t>En ejercicio de sus</w:t>
      </w:r>
      <w:r w:rsidRPr="003F2B99">
        <w:rPr>
          <w:rFonts w:ascii="Palatino Linotype" w:eastAsia="Times New Roman" w:hAnsi="Palatino Linotype" w:cs="Tahoma"/>
          <w:b/>
          <w:noProof/>
          <w:color w:val="3333FF"/>
          <w:lang w:eastAsia="ar-SA"/>
        </w:rPr>
        <w:t xml:space="preserve"> </w:t>
      </w:r>
      <w:r w:rsidRPr="003F2B99">
        <w:rPr>
          <w:rFonts w:ascii="Palatino Linotype" w:eastAsia="Times New Roman" w:hAnsi="Palatino Linotype" w:cs="Tahoma"/>
          <w:b/>
          <w:noProof/>
          <w:color w:val="000000" w:themeColor="text1"/>
          <w:lang w:eastAsia="ar-SA"/>
        </w:rPr>
        <w:t xml:space="preserve">atribuciones legales constantes en </w:t>
      </w:r>
      <w:r w:rsidR="00273C85" w:rsidRPr="003F2B99">
        <w:rPr>
          <w:rFonts w:ascii="Palatino Linotype" w:eastAsia="Times New Roman" w:hAnsi="Palatino Linotype" w:cs="Tahoma"/>
          <w:b/>
          <w:noProof/>
          <w:color w:val="000000" w:themeColor="text1"/>
          <w:lang w:eastAsia="ar-SA"/>
        </w:rPr>
        <w:t>el</w:t>
      </w:r>
      <w:r w:rsidRPr="003F2B99">
        <w:rPr>
          <w:rFonts w:ascii="Palatino Linotype" w:eastAsia="Times New Roman" w:hAnsi="Palatino Linotype" w:cs="Tahoma"/>
          <w:b/>
          <w:noProof/>
          <w:color w:val="000000" w:themeColor="text1"/>
          <w:lang w:eastAsia="ar-SA"/>
        </w:rPr>
        <w:t xml:space="preserve"> artículo </w:t>
      </w:r>
      <w:r w:rsidR="006130DF" w:rsidRPr="003F2B99">
        <w:rPr>
          <w:rFonts w:ascii="Palatino Linotype" w:eastAsia="Times New Roman" w:hAnsi="Palatino Linotype" w:cs="Tahoma"/>
          <w:b/>
          <w:noProof/>
          <w:color w:val="000000" w:themeColor="text1"/>
          <w:lang w:eastAsia="ar-SA"/>
        </w:rPr>
        <w:t>264 num</w:t>
      </w:r>
      <w:r w:rsidR="008101B8" w:rsidRPr="003F2B99">
        <w:rPr>
          <w:rFonts w:ascii="Palatino Linotype" w:eastAsia="Times New Roman" w:hAnsi="Palatino Linotype" w:cs="Tahoma"/>
          <w:b/>
          <w:noProof/>
          <w:color w:val="000000" w:themeColor="text1"/>
          <w:lang w:eastAsia="ar-SA"/>
        </w:rPr>
        <w:t>e</w:t>
      </w:r>
      <w:r w:rsidR="006130DF" w:rsidRPr="003F2B99">
        <w:rPr>
          <w:rFonts w:ascii="Palatino Linotype" w:eastAsia="Times New Roman" w:hAnsi="Palatino Linotype" w:cs="Tahoma"/>
          <w:b/>
          <w:noProof/>
          <w:color w:val="000000" w:themeColor="text1"/>
          <w:lang w:eastAsia="ar-SA"/>
        </w:rPr>
        <w:t xml:space="preserve">rales 1 y 2 de la Constitución de la República del </w:t>
      </w:r>
      <w:r w:rsidR="001542B0" w:rsidRPr="003F2B99">
        <w:rPr>
          <w:rFonts w:ascii="Palatino Linotype" w:eastAsia="Times New Roman" w:hAnsi="Palatino Linotype" w:cs="Tahoma"/>
          <w:b/>
          <w:noProof/>
          <w:color w:val="000000" w:themeColor="text1"/>
          <w:lang w:eastAsia="ar-SA"/>
        </w:rPr>
        <w:t>E</w:t>
      </w:r>
      <w:r w:rsidR="006130DF" w:rsidRPr="003F2B99">
        <w:rPr>
          <w:rFonts w:ascii="Palatino Linotype" w:eastAsia="Times New Roman" w:hAnsi="Palatino Linotype" w:cs="Tahoma"/>
          <w:b/>
          <w:noProof/>
          <w:color w:val="000000" w:themeColor="text1"/>
          <w:lang w:eastAsia="ar-SA"/>
        </w:rPr>
        <w:t>cuador,</w:t>
      </w:r>
      <w:r w:rsidR="00273C85" w:rsidRPr="003F2B99">
        <w:rPr>
          <w:rFonts w:ascii="Palatino Linotype" w:eastAsia="Times New Roman" w:hAnsi="Palatino Linotype" w:cs="Tahoma"/>
          <w:b/>
          <w:noProof/>
          <w:color w:val="000000" w:themeColor="text1"/>
          <w:lang w:eastAsia="ar-SA"/>
        </w:rPr>
        <w:t xml:space="preserve"> artículos</w:t>
      </w:r>
      <w:r w:rsidR="006130DF" w:rsidRPr="003F2B99">
        <w:rPr>
          <w:rFonts w:ascii="Palatino Linotype" w:eastAsia="Times New Roman" w:hAnsi="Palatino Linotype" w:cs="Tahoma"/>
          <w:b/>
          <w:noProof/>
          <w:color w:val="000000" w:themeColor="text1"/>
          <w:lang w:eastAsia="ar-SA"/>
        </w:rPr>
        <w:t xml:space="preserve"> </w:t>
      </w:r>
      <w:r w:rsidRPr="003F2B99">
        <w:rPr>
          <w:rFonts w:ascii="Palatino Linotype" w:eastAsia="Times New Roman" w:hAnsi="Palatino Linotype" w:cs="Tahoma"/>
          <w:b/>
          <w:noProof/>
          <w:lang w:eastAsia="ar-SA"/>
        </w:rPr>
        <w:t xml:space="preserve">57, </w:t>
      </w:r>
      <w:r w:rsidRPr="003F2B99">
        <w:rPr>
          <w:rFonts w:ascii="Palatino Linotype" w:eastAsia="Times New Roman" w:hAnsi="Palatino Linotype" w:cs="Tahoma"/>
          <w:b/>
          <w:noProof/>
          <w:color w:val="000000" w:themeColor="text1"/>
          <w:lang w:eastAsia="ar-SA"/>
        </w:rPr>
        <w:t>literales a) y x)</w:t>
      </w:r>
      <w:r w:rsidR="00273C85" w:rsidRPr="003F2B99">
        <w:rPr>
          <w:rFonts w:ascii="Palatino Linotype" w:eastAsia="Times New Roman" w:hAnsi="Palatino Linotype" w:cs="Tahoma"/>
          <w:b/>
          <w:noProof/>
          <w:color w:val="000000" w:themeColor="text1"/>
          <w:lang w:eastAsia="ar-SA"/>
        </w:rPr>
        <w:t>, 87</w:t>
      </w:r>
      <w:r w:rsidR="00B354BB" w:rsidRPr="003F2B99">
        <w:rPr>
          <w:rFonts w:ascii="Palatino Linotype" w:eastAsia="Times New Roman" w:hAnsi="Palatino Linotype" w:cs="Tahoma"/>
          <w:b/>
          <w:noProof/>
          <w:color w:val="000000" w:themeColor="text1"/>
          <w:lang w:eastAsia="ar-SA"/>
        </w:rPr>
        <w:t xml:space="preserve"> literales a) y v) y</w:t>
      </w:r>
      <w:r w:rsidRPr="003F2B99">
        <w:rPr>
          <w:rFonts w:ascii="Palatino Linotype" w:eastAsia="Times New Roman" w:hAnsi="Palatino Linotype" w:cs="Tahoma"/>
          <w:b/>
          <w:noProof/>
          <w:color w:val="000000" w:themeColor="text1"/>
          <w:lang w:eastAsia="ar-SA"/>
        </w:rPr>
        <w:t xml:space="preserve"> 322</w:t>
      </w:r>
      <w:r w:rsidR="001542B0" w:rsidRPr="003F2B99">
        <w:rPr>
          <w:rFonts w:ascii="Palatino Linotype" w:eastAsia="Times New Roman" w:hAnsi="Palatino Linotype" w:cs="Tahoma"/>
          <w:b/>
          <w:noProof/>
          <w:color w:val="000000" w:themeColor="text1"/>
          <w:lang w:eastAsia="ar-SA"/>
        </w:rPr>
        <w:t xml:space="preserve"> </w:t>
      </w:r>
      <w:r w:rsidRPr="003F2B99">
        <w:rPr>
          <w:rFonts w:ascii="Palatino Linotype" w:eastAsia="Times New Roman" w:hAnsi="Palatino Linotype" w:cs="Tahoma"/>
          <w:b/>
          <w:noProof/>
          <w:color w:val="000000" w:themeColor="text1"/>
          <w:lang w:eastAsia="ar-SA"/>
        </w:rPr>
        <w:t xml:space="preserve">del </w:t>
      </w:r>
      <w:r w:rsidRPr="003F2B99">
        <w:rPr>
          <w:rFonts w:ascii="Palatino Linotype" w:eastAsia="Times New Roman" w:hAnsi="Palatino Linotype" w:cs="Tahoma"/>
          <w:b/>
          <w:noProof/>
          <w:lang w:eastAsia="ar-SA"/>
        </w:rPr>
        <w:t>Código Orgánico de Organización Territorial, Autonomía y Descentralización; y</w:t>
      </w:r>
      <w:r w:rsidR="00273C85" w:rsidRPr="003F2B99">
        <w:rPr>
          <w:rFonts w:ascii="Palatino Linotype" w:eastAsia="Times New Roman" w:hAnsi="Palatino Linotype" w:cs="Tahoma"/>
          <w:b/>
          <w:noProof/>
          <w:lang w:eastAsia="ar-SA"/>
        </w:rPr>
        <w:t xml:space="preserve"> artículo 8</w:t>
      </w:r>
      <w:r w:rsidR="0031081F" w:rsidRPr="003F2B99">
        <w:rPr>
          <w:rFonts w:ascii="Palatino Linotype" w:eastAsia="Times New Roman" w:hAnsi="Palatino Linotype" w:cs="Tahoma"/>
          <w:b/>
          <w:noProof/>
          <w:lang w:eastAsia="ar-SA"/>
        </w:rPr>
        <w:t xml:space="preserve"> numeral 1 </w:t>
      </w:r>
      <w:r w:rsidRPr="003F2B99">
        <w:rPr>
          <w:rFonts w:ascii="Palatino Linotype" w:eastAsia="Times New Roman" w:hAnsi="Palatino Linotype" w:cs="Tahoma"/>
          <w:b/>
          <w:noProof/>
          <w:lang w:eastAsia="ar-SA"/>
        </w:rPr>
        <w:t>de la Ley Orgánica de Régimen para el Distrito Metropolitano de Quito.</w:t>
      </w:r>
    </w:p>
    <w:p w:rsidR="00E06A40" w:rsidRPr="00020999" w:rsidRDefault="00E06A40" w:rsidP="00020999">
      <w:pPr>
        <w:spacing w:after="120"/>
        <w:jc w:val="center"/>
        <w:rPr>
          <w:rFonts w:ascii="Palatino Linotype" w:hAnsi="Palatino Linotype"/>
          <w:b/>
          <w:lang w:eastAsia="ar-SA"/>
        </w:rPr>
      </w:pPr>
      <w:r w:rsidRPr="00020999">
        <w:rPr>
          <w:rFonts w:ascii="Palatino Linotype" w:hAnsi="Palatino Linotype"/>
          <w:b/>
          <w:lang w:eastAsia="ar-SA"/>
        </w:rPr>
        <w:t>EXPIDE</w:t>
      </w:r>
      <w:r w:rsidR="00FE36A5" w:rsidRPr="00020999">
        <w:rPr>
          <w:rFonts w:ascii="Palatino Linotype" w:hAnsi="Palatino Linotype"/>
          <w:b/>
          <w:lang w:eastAsia="ar-SA"/>
        </w:rPr>
        <w:t xml:space="preserve"> LA SIGUIENTE</w:t>
      </w:r>
      <w:r w:rsidRPr="00020999">
        <w:rPr>
          <w:rFonts w:ascii="Palatino Linotype" w:hAnsi="Palatino Linotype"/>
          <w:b/>
          <w:lang w:eastAsia="ar-SA"/>
        </w:rPr>
        <w:t>:</w:t>
      </w:r>
    </w:p>
    <w:p w:rsidR="00E06A40" w:rsidRPr="00020999" w:rsidRDefault="00E06A40" w:rsidP="00020999">
      <w:pPr>
        <w:spacing w:after="120"/>
        <w:jc w:val="center"/>
        <w:rPr>
          <w:rFonts w:ascii="Palatino Linotype" w:hAnsi="Palatino Linotype"/>
          <w:b/>
          <w:highlight w:val="cyan"/>
          <w:lang w:eastAsia="ar-SA"/>
        </w:rPr>
      </w:pPr>
      <w:r w:rsidRPr="00020999">
        <w:rPr>
          <w:rFonts w:ascii="Palatino Linotype" w:hAnsi="Palatino Linotype"/>
          <w:b/>
          <w:lang w:eastAsia="ar-SA"/>
        </w:rPr>
        <w:t>ORDENANZA METROPOLITANA</w:t>
      </w:r>
      <w:r w:rsidRPr="00020999">
        <w:rPr>
          <w:rFonts w:ascii="Palatino Linotype" w:hAnsi="Palatino Linotype"/>
          <w:b/>
          <w:color w:val="3333FF"/>
          <w:lang w:eastAsia="ar-SA"/>
        </w:rPr>
        <w:t xml:space="preserve"> </w:t>
      </w:r>
      <w:r w:rsidRPr="00020999">
        <w:rPr>
          <w:rFonts w:ascii="Palatino Linotype" w:hAnsi="Palatino Linotype"/>
          <w:b/>
          <w:lang w:eastAsia="ar-SA"/>
        </w:rPr>
        <w:t>REFORMATORIA DE LA</w:t>
      </w:r>
      <w:r w:rsidR="00217654" w:rsidRPr="00020999">
        <w:rPr>
          <w:rFonts w:ascii="Palatino Linotype" w:hAnsi="Palatino Linotype"/>
          <w:b/>
          <w:lang w:eastAsia="ar-SA"/>
        </w:rPr>
        <w:t>S</w:t>
      </w:r>
      <w:r w:rsidRPr="00020999">
        <w:rPr>
          <w:rFonts w:ascii="Palatino Linotype" w:hAnsi="Palatino Linotype"/>
          <w:b/>
          <w:lang w:eastAsia="ar-SA"/>
        </w:rPr>
        <w:t xml:space="preserve"> ORDENANZA</w:t>
      </w:r>
      <w:r w:rsidR="00217654" w:rsidRPr="00020999">
        <w:rPr>
          <w:rFonts w:ascii="Palatino Linotype" w:hAnsi="Palatino Linotype"/>
          <w:b/>
          <w:lang w:eastAsia="ar-SA"/>
        </w:rPr>
        <w:t>S</w:t>
      </w:r>
      <w:r w:rsidRPr="00020999">
        <w:rPr>
          <w:rFonts w:ascii="Palatino Linotype" w:hAnsi="Palatino Linotype"/>
          <w:b/>
          <w:lang w:eastAsia="ar-SA"/>
        </w:rPr>
        <w:t xml:space="preserve"> METROPOLITANA</w:t>
      </w:r>
      <w:r w:rsidR="00804899" w:rsidRPr="00020999">
        <w:rPr>
          <w:rFonts w:ascii="Palatino Linotype" w:hAnsi="Palatino Linotype"/>
          <w:b/>
          <w:lang w:eastAsia="ar-SA"/>
        </w:rPr>
        <w:t>S</w:t>
      </w:r>
      <w:r w:rsidRPr="00020999">
        <w:rPr>
          <w:rFonts w:ascii="Palatino Linotype" w:hAnsi="Palatino Linotype"/>
          <w:b/>
          <w:lang w:eastAsia="ar-SA"/>
        </w:rPr>
        <w:t xml:space="preserve"> N</w:t>
      </w:r>
      <w:r w:rsidR="00020999" w:rsidRPr="00020999">
        <w:rPr>
          <w:rFonts w:ascii="Palatino Linotype" w:hAnsi="Palatino Linotype"/>
          <w:b/>
          <w:lang w:eastAsia="ar-SA"/>
        </w:rPr>
        <w:t>os</w:t>
      </w:r>
      <w:r w:rsidRPr="00020999">
        <w:rPr>
          <w:rFonts w:ascii="Palatino Linotype" w:hAnsi="Palatino Linotype"/>
          <w:b/>
          <w:lang w:eastAsia="ar-SA"/>
        </w:rPr>
        <w:t xml:space="preserve">. 0172 </w:t>
      </w:r>
      <w:r w:rsidR="00804899" w:rsidRPr="00020999">
        <w:rPr>
          <w:rFonts w:ascii="Palatino Linotype" w:hAnsi="Palatino Linotype"/>
          <w:b/>
          <w:lang w:eastAsia="ar-SA"/>
        </w:rPr>
        <w:t xml:space="preserve">Y </w:t>
      </w:r>
      <w:r w:rsidR="00D5043A" w:rsidRPr="00020999">
        <w:rPr>
          <w:rFonts w:ascii="Palatino Linotype" w:hAnsi="Palatino Linotype"/>
          <w:b/>
          <w:lang w:eastAsia="ar-SA"/>
        </w:rPr>
        <w:t>0432, QUE</w:t>
      </w:r>
      <w:r w:rsidRPr="00020999">
        <w:rPr>
          <w:rFonts w:ascii="Palatino Linotype" w:hAnsi="Palatino Linotype"/>
          <w:b/>
          <w:lang w:eastAsia="ar-SA"/>
        </w:rPr>
        <w:t xml:space="preserve"> ESTABLECE</w:t>
      </w:r>
      <w:r w:rsidR="00804899" w:rsidRPr="00020999">
        <w:rPr>
          <w:rFonts w:ascii="Palatino Linotype" w:hAnsi="Palatino Linotype"/>
          <w:b/>
          <w:lang w:eastAsia="ar-SA"/>
        </w:rPr>
        <w:t>N</w:t>
      </w:r>
      <w:r w:rsidRPr="00020999">
        <w:rPr>
          <w:rFonts w:ascii="Palatino Linotype" w:hAnsi="Palatino Linotype"/>
          <w:b/>
          <w:lang w:eastAsia="ar-SA"/>
        </w:rPr>
        <w:t xml:space="preserve"> EL RÉGIMEN ADMINISTRATIVO DEL SUELO EN EL </w:t>
      </w:r>
      <w:r w:rsidR="00FE36A5" w:rsidRPr="00020999">
        <w:rPr>
          <w:rFonts w:ascii="Palatino Linotype" w:hAnsi="Palatino Linotype"/>
          <w:b/>
          <w:lang w:eastAsia="ar-SA"/>
        </w:rPr>
        <w:t>DISTRITO METROPOLITANO DE QUITO</w:t>
      </w:r>
    </w:p>
    <w:p w:rsidR="00804899" w:rsidRPr="003F2B99" w:rsidRDefault="00E06A40" w:rsidP="00FE36A5">
      <w:pPr>
        <w:suppressAutoHyphens/>
        <w:spacing w:after="120"/>
        <w:jc w:val="both"/>
        <w:rPr>
          <w:rFonts w:ascii="Palatino Linotype" w:eastAsia="Times New Roman" w:hAnsi="Palatino Linotype" w:cs="Tahoma"/>
          <w:lang w:eastAsia="ar-SA"/>
        </w:rPr>
      </w:pPr>
      <w:r w:rsidRPr="003F2B99">
        <w:rPr>
          <w:rFonts w:ascii="Palatino Linotype" w:eastAsia="Calibri" w:hAnsi="Palatino Linotype" w:cs="Tahoma"/>
          <w:b/>
          <w:lang w:eastAsia="ar-SA"/>
        </w:rPr>
        <w:t>Artículo 1.-</w:t>
      </w:r>
      <w:r w:rsidRPr="003F2B99">
        <w:rPr>
          <w:rFonts w:ascii="Palatino Linotype" w:eastAsia="Calibri" w:hAnsi="Palatino Linotype" w:cs="Tahoma"/>
          <w:lang w:eastAsia="ar-SA"/>
        </w:rPr>
        <w:t xml:space="preserve"> </w:t>
      </w:r>
      <w:r w:rsidR="00804899" w:rsidRPr="003F2B99">
        <w:rPr>
          <w:rFonts w:ascii="Palatino Linotype" w:eastAsia="Times New Roman" w:hAnsi="Palatino Linotype" w:cs="Tahoma"/>
          <w:lang w:eastAsia="ar-SA"/>
        </w:rPr>
        <w:t>Sustitúyase el artículo</w:t>
      </w:r>
      <w:r w:rsidR="003E4F75" w:rsidRPr="003F2B99">
        <w:rPr>
          <w:rFonts w:ascii="Palatino Linotype" w:eastAsia="Times New Roman" w:hAnsi="Palatino Linotype" w:cs="Tahoma"/>
          <w:lang w:eastAsia="ar-SA"/>
        </w:rPr>
        <w:t xml:space="preserve"> innumerado </w:t>
      </w:r>
      <w:r w:rsidR="00804899" w:rsidRPr="003F2B99">
        <w:rPr>
          <w:rFonts w:ascii="Palatino Linotype" w:eastAsia="Times New Roman" w:hAnsi="Palatino Linotype" w:cs="Tahoma"/>
          <w:lang w:eastAsia="ar-SA"/>
        </w:rPr>
        <w:t>7</w:t>
      </w:r>
      <w:r w:rsidR="009674A4" w:rsidRPr="003F2B99">
        <w:rPr>
          <w:rFonts w:ascii="Palatino Linotype" w:eastAsia="Times New Roman" w:hAnsi="Palatino Linotype" w:cs="Tahoma"/>
          <w:lang w:eastAsia="ar-SA"/>
        </w:rPr>
        <w:t>7</w:t>
      </w:r>
      <w:r w:rsidR="006130DF" w:rsidRPr="003F2B99">
        <w:rPr>
          <w:rFonts w:ascii="Palatino Linotype" w:eastAsia="Times New Roman" w:hAnsi="Palatino Linotype" w:cs="Tahoma"/>
          <w:lang w:eastAsia="ar-SA"/>
        </w:rPr>
        <w:t xml:space="preserve"> </w:t>
      </w:r>
      <w:r w:rsidR="00CF6415" w:rsidRPr="003F2B99">
        <w:rPr>
          <w:rFonts w:ascii="Palatino Linotype" w:eastAsia="Times New Roman" w:hAnsi="Palatino Linotype" w:cs="Tahoma"/>
          <w:lang w:eastAsia="ar-SA"/>
        </w:rPr>
        <w:t>de la</w:t>
      </w:r>
      <w:r w:rsidR="003E4F75" w:rsidRPr="003F2B99">
        <w:rPr>
          <w:rFonts w:ascii="Palatino Linotype" w:eastAsia="Times New Roman" w:hAnsi="Palatino Linotype" w:cs="Tahoma"/>
          <w:lang w:eastAsia="ar-SA"/>
        </w:rPr>
        <w:t>s</w:t>
      </w:r>
      <w:r w:rsidR="00CF6415" w:rsidRPr="003F2B99">
        <w:rPr>
          <w:rFonts w:ascii="Palatino Linotype" w:eastAsia="Times New Roman" w:hAnsi="Palatino Linotype" w:cs="Tahoma"/>
          <w:lang w:eastAsia="ar-SA"/>
        </w:rPr>
        <w:t xml:space="preserve"> Ordenanza</w:t>
      </w:r>
      <w:r w:rsidR="003E4F75" w:rsidRPr="003F2B99">
        <w:rPr>
          <w:rFonts w:ascii="Palatino Linotype" w:eastAsia="Times New Roman" w:hAnsi="Palatino Linotype" w:cs="Tahoma"/>
          <w:lang w:eastAsia="ar-SA"/>
        </w:rPr>
        <w:t>s</w:t>
      </w:r>
      <w:r w:rsidR="00CF6415" w:rsidRPr="003F2B99">
        <w:rPr>
          <w:rFonts w:ascii="Palatino Linotype" w:eastAsia="Times New Roman" w:hAnsi="Palatino Linotype" w:cs="Tahoma"/>
          <w:lang w:eastAsia="ar-SA"/>
        </w:rPr>
        <w:t xml:space="preserve"> </w:t>
      </w:r>
      <w:r w:rsidR="00AA1EF9" w:rsidRPr="003F2B99">
        <w:rPr>
          <w:rFonts w:ascii="Palatino Linotype" w:eastAsia="Times New Roman" w:hAnsi="Palatino Linotype" w:cs="Tahoma"/>
          <w:lang w:eastAsia="ar-SA"/>
        </w:rPr>
        <w:t>M</w:t>
      </w:r>
      <w:r w:rsidR="00CF6415" w:rsidRPr="003F2B99">
        <w:rPr>
          <w:rFonts w:ascii="Palatino Linotype" w:eastAsia="Times New Roman" w:hAnsi="Palatino Linotype" w:cs="Tahoma"/>
          <w:lang w:eastAsia="ar-SA"/>
        </w:rPr>
        <w:t>etropolitana</w:t>
      </w:r>
      <w:r w:rsidR="003E4F75" w:rsidRPr="003F2B99">
        <w:rPr>
          <w:rFonts w:ascii="Palatino Linotype" w:eastAsia="Times New Roman" w:hAnsi="Palatino Linotype" w:cs="Tahoma"/>
          <w:lang w:eastAsia="ar-SA"/>
        </w:rPr>
        <w:t>s</w:t>
      </w:r>
      <w:r w:rsidR="00CF6415" w:rsidRPr="003F2B99">
        <w:rPr>
          <w:rFonts w:ascii="Palatino Linotype" w:eastAsia="Times New Roman" w:hAnsi="Palatino Linotype" w:cs="Tahoma"/>
          <w:lang w:eastAsia="ar-SA"/>
        </w:rPr>
        <w:t xml:space="preserve"> </w:t>
      </w:r>
      <w:r w:rsidR="00FE36A5">
        <w:rPr>
          <w:rFonts w:ascii="Palatino Linotype" w:eastAsia="Times New Roman" w:hAnsi="Palatino Linotype" w:cs="Tahoma"/>
          <w:lang w:eastAsia="ar-SA"/>
        </w:rPr>
        <w:t xml:space="preserve">Nos. </w:t>
      </w:r>
      <w:r w:rsidR="00CF6415" w:rsidRPr="003F2B99">
        <w:rPr>
          <w:rFonts w:ascii="Palatino Linotype" w:eastAsia="Times New Roman" w:hAnsi="Palatino Linotype" w:cs="Tahoma"/>
          <w:lang w:eastAsia="ar-SA"/>
        </w:rPr>
        <w:t xml:space="preserve">172 </w:t>
      </w:r>
      <w:r w:rsidR="006130DF" w:rsidRPr="003F2B99">
        <w:rPr>
          <w:rFonts w:ascii="Palatino Linotype" w:eastAsia="Times New Roman" w:hAnsi="Palatino Linotype" w:cs="Tahoma"/>
          <w:lang w:eastAsia="ar-SA"/>
        </w:rPr>
        <w:t xml:space="preserve">y </w:t>
      </w:r>
      <w:r w:rsidR="003E4F75" w:rsidRPr="003F2B99">
        <w:rPr>
          <w:rFonts w:ascii="Palatino Linotype" w:eastAsia="Times New Roman" w:hAnsi="Palatino Linotype" w:cs="Tahoma"/>
          <w:lang w:eastAsia="ar-SA"/>
        </w:rPr>
        <w:t>0432</w:t>
      </w:r>
      <w:r w:rsidR="00804899" w:rsidRPr="003F2B99">
        <w:rPr>
          <w:rFonts w:ascii="Palatino Linotype" w:eastAsia="Times New Roman" w:hAnsi="Palatino Linotype" w:cs="Tahoma"/>
          <w:lang w:eastAsia="ar-SA"/>
        </w:rPr>
        <w:t>, por el siguiente:</w:t>
      </w:r>
    </w:p>
    <w:p w:rsidR="009674A4" w:rsidRPr="00FE36A5" w:rsidRDefault="00FE36A5" w:rsidP="00FE36A5">
      <w:pPr>
        <w:suppressAutoHyphens/>
        <w:spacing w:after="120"/>
        <w:ind w:left="708"/>
        <w:jc w:val="both"/>
        <w:rPr>
          <w:rFonts w:ascii="Palatino Linotype" w:eastAsia="Times New Roman" w:hAnsi="Palatino Linotype" w:cs="Tahoma"/>
          <w:i/>
          <w:lang w:eastAsia="ar-SA"/>
        </w:rPr>
      </w:pPr>
      <w:r>
        <w:rPr>
          <w:rFonts w:ascii="Palatino Linotype" w:eastAsia="Times New Roman" w:hAnsi="Palatino Linotype" w:cs="Tahoma"/>
          <w:b/>
          <w:i/>
          <w:lang w:eastAsia="ar-SA"/>
        </w:rPr>
        <w:t>“</w:t>
      </w:r>
      <w:r w:rsidR="009674A4" w:rsidRPr="00FE36A5">
        <w:rPr>
          <w:rFonts w:ascii="Palatino Linotype" w:eastAsia="Times New Roman" w:hAnsi="Palatino Linotype" w:cs="Tahoma"/>
          <w:b/>
          <w:i/>
          <w:lang w:eastAsia="ar-SA"/>
        </w:rPr>
        <w:t>Artículo… (77</w:t>
      </w:r>
      <w:r w:rsidR="005E4E7C" w:rsidRPr="00FE36A5">
        <w:rPr>
          <w:rFonts w:ascii="Palatino Linotype" w:eastAsia="Times New Roman" w:hAnsi="Palatino Linotype" w:cs="Tahoma"/>
          <w:b/>
          <w:i/>
          <w:lang w:eastAsia="ar-SA"/>
        </w:rPr>
        <w:t>). -</w:t>
      </w:r>
      <w:r w:rsidR="009674A4" w:rsidRPr="00FE36A5">
        <w:rPr>
          <w:rFonts w:ascii="Palatino Linotype" w:eastAsia="Times New Roman" w:hAnsi="Palatino Linotype" w:cs="Tahoma"/>
          <w:i/>
          <w:lang w:eastAsia="ar-SA"/>
        </w:rPr>
        <w:t xml:space="preserve"> </w:t>
      </w:r>
      <w:r w:rsidR="009674A4" w:rsidRPr="00FE36A5">
        <w:rPr>
          <w:rFonts w:ascii="Palatino Linotype" w:eastAsia="Times New Roman" w:hAnsi="Palatino Linotype" w:cs="Tahoma"/>
          <w:b/>
          <w:i/>
          <w:lang w:eastAsia="ar-SA"/>
        </w:rPr>
        <w:t>Áreas verdes</w:t>
      </w:r>
      <w:r w:rsidR="003F536C" w:rsidRPr="00FE36A5">
        <w:rPr>
          <w:rFonts w:ascii="Palatino Linotype" w:eastAsia="Times New Roman" w:hAnsi="Palatino Linotype" w:cs="Tahoma"/>
          <w:b/>
          <w:i/>
          <w:lang w:eastAsia="ar-SA"/>
        </w:rPr>
        <w:t>, comunitarias y vías</w:t>
      </w:r>
      <w:r w:rsidR="009674A4" w:rsidRPr="00FE36A5">
        <w:rPr>
          <w:rFonts w:ascii="Palatino Linotype" w:eastAsia="Times New Roman" w:hAnsi="Palatino Linotype" w:cs="Tahoma"/>
          <w:b/>
          <w:i/>
          <w:lang w:eastAsia="ar-SA"/>
        </w:rPr>
        <w:t xml:space="preserve"> </w:t>
      </w:r>
      <w:r w:rsidR="00F37EDC" w:rsidRPr="00FE36A5">
        <w:rPr>
          <w:rFonts w:ascii="Palatino Linotype" w:eastAsia="Times New Roman" w:hAnsi="Palatino Linotype" w:cs="Tahoma"/>
          <w:b/>
          <w:i/>
          <w:lang w:eastAsia="ar-SA"/>
        </w:rPr>
        <w:t xml:space="preserve">que son bienes de dominio y uso </w:t>
      </w:r>
      <w:r w:rsidR="005E4E7C" w:rsidRPr="00FE36A5">
        <w:rPr>
          <w:rFonts w:ascii="Palatino Linotype" w:eastAsia="Times New Roman" w:hAnsi="Palatino Linotype" w:cs="Tahoma"/>
          <w:b/>
          <w:i/>
          <w:lang w:eastAsia="ar-SA"/>
        </w:rPr>
        <w:t>público.</w:t>
      </w:r>
      <w:r>
        <w:rPr>
          <w:rFonts w:ascii="Palatino Linotype" w:eastAsia="Times New Roman" w:hAnsi="Palatino Linotype" w:cs="Tahoma"/>
          <w:b/>
          <w:i/>
          <w:lang w:eastAsia="ar-SA"/>
        </w:rPr>
        <w:t>-</w:t>
      </w:r>
      <w:r w:rsidR="005E4E7C" w:rsidRPr="00FE36A5">
        <w:rPr>
          <w:rFonts w:ascii="Palatino Linotype" w:eastAsia="Times New Roman" w:hAnsi="Palatino Linotype" w:cs="Tahoma"/>
          <w:b/>
          <w:i/>
          <w:lang w:eastAsia="ar-SA"/>
        </w:rPr>
        <w:t xml:space="preserve"> </w:t>
      </w:r>
      <w:r w:rsidR="009674A4" w:rsidRPr="00FE36A5">
        <w:rPr>
          <w:rFonts w:ascii="Palatino Linotype" w:eastAsia="Times New Roman" w:hAnsi="Palatino Linotype" w:cs="Tahoma"/>
          <w:i/>
          <w:lang w:eastAsia="ar-SA"/>
        </w:rPr>
        <w:t xml:space="preserve">  </w:t>
      </w:r>
    </w:p>
    <w:p w:rsidR="009674A4" w:rsidRPr="00FE36A5" w:rsidRDefault="009674A4" w:rsidP="00FE36A5">
      <w:pPr>
        <w:suppressAutoHyphens/>
        <w:spacing w:after="120"/>
        <w:ind w:left="708"/>
        <w:jc w:val="both"/>
        <w:rPr>
          <w:rFonts w:ascii="Palatino Linotype" w:eastAsia="Times New Roman" w:hAnsi="Palatino Linotype" w:cs="Tahoma"/>
          <w:i/>
          <w:lang w:eastAsia="ar-SA"/>
        </w:rPr>
      </w:pPr>
      <w:r w:rsidRPr="00FE36A5">
        <w:rPr>
          <w:rFonts w:ascii="Palatino Linotype" w:eastAsia="Times New Roman" w:hAnsi="Palatino Linotype" w:cs="Tahoma"/>
          <w:b/>
          <w:i/>
          <w:lang w:eastAsia="ar-SA"/>
        </w:rPr>
        <w:t>1.</w:t>
      </w:r>
      <w:r w:rsidRPr="00FE36A5">
        <w:rPr>
          <w:rFonts w:ascii="Palatino Linotype" w:eastAsia="Times New Roman" w:hAnsi="Palatino Linotype" w:cs="Tahoma"/>
          <w:i/>
          <w:lang w:eastAsia="ar-SA"/>
        </w:rPr>
        <w:t xml:space="preserve"> En todo fraccionamiento de suelo que se origine por acto voluntario del administrado, de conformidad con el artículo 424 reformado del Código Orgánico de Organización </w:t>
      </w:r>
      <w:r w:rsidRPr="00FE36A5">
        <w:rPr>
          <w:rFonts w:ascii="Palatino Linotype" w:eastAsia="Times New Roman" w:hAnsi="Palatino Linotype" w:cs="Tahoma"/>
          <w:i/>
          <w:lang w:eastAsia="ar-SA"/>
        </w:rPr>
        <w:lastRenderedPageBreak/>
        <w:t>Territorial, Autonomía y Descentralización, éste entregará al Municipio el porcentaje de área verde</w:t>
      </w:r>
      <w:r w:rsidR="00CF6415" w:rsidRPr="00FE36A5">
        <w:rPr>
          <w:rFonts w:ascii="Palatino Linotype" w:eastAsia="Times New Roman" w:hAnsi="Palatino Linotype" w:cs="Tahoma"/>
          <w:i/>
          <w:lang w:eastAsia="ar-SA"/>
        </w:rPr>
        <w:t>, comunitaria y vías</w:t>
      </w:r>
      <w:r w:rsidRPr="00FE36A5">
        <w:rPr>
          <w:rFonts w:ascii="Palatino Linotype" w:eastAsia="Times New Roman" w:hAnsi="Palatino Linotype" w:cs="Tahoma"/>
          <w:i/>
          <w:lang w:eastAsia="ar-SA"/>
        </w:rPr>
        <w:t xml:space="preserve"> previsto para cada uno de los siguientes casos: </w:t>
      </w:r>
    </w:p>
    <w:p w:rsidR="009674A4" w:rsidRPr="00FE36A5" w:rsidRDefault="00C3452A" w:rsidP="00FE36A5">
      <w:pPr>
        <w:suppressAutoHyphens/>
        <w:spacing w:after="120"/>
        <w:ind w:left="708"/>
        <w:jc w:val="both"/>
        <w:rPr>
          <w:rFonts w:ascii="Palatino Linotype" w:eastAsia="Times New Roman" w:hAnsi="Palatino Linotype" w:cs="Tahoma"/>
          <w:i/>
          <w:lang w:eastAsia="ar-SA"/>
        </w:rPr>
      </w:pPr>
      <w:r w:rsidRPr="00FE36A5">
        <w:rPr>
          <w:rFonts w:ascii="Palatino Linotype" w:eastAsia="Times New Roman" w:hAnsi="Palatino Linotype" w:cs="Tahoma"/>
          <w:b/>
          <w:i/>
          <w:lang w:eastAsia="ar-SA"/>
        </w:rPr>
        <w:t>a</w:t>
      </w:r>
      <w:r w:rsidR="00F700B2" w:rsidRPr="00FE36A5">
        <w:rPr>
          <w:rFonts w:ascii="Palatino Linotype" w:eastAsia="Times New Roman" w:hAnsi="Palatino Linotype" w:cs="Tahoma"/>
          <w:b/>
          <w:i/>
          <w:lang w:eastAsia="ar-SA"/>
        </w:rPr>
        <w:t>)</w:t>
      </w:r>
      <w:r w:rsidR="00F700B2" w:rsidRPr="00FE36A5">
        <w:rPr>
          <w:rFonts w:ascii="Palatino Linotype" w:eastAsia="Times New Roman" w:hAnsi="Palatino Linotype" w:cs="Tahoma"/>
          <w:i/>
          <w:lang w:eastAsia="ar-SA"/>
        </w:rPr>
        <w:t xml:space="preserve"> </w:t>
      </w:r>
      <w:r w:rsidR="009674A4" w:rsidRPr="00FE36A5">
        <w:rPr>
          <w:rFonts w:ascii="Palatino Linotype" w:eastAsia="Times New Roman" w:hAnsi="Palatino Linotype" w:cs="Tahoma"/>
          <w:i/>
          <w:lang w:eastAsia="ar-SA"/>
        </w:rPr>
        <w:t xml:space="preserve">En subdivisiones </w:t>
      </w:r>
      <w:r w:rsidR="009049AF" w:rsidRPr="00FE36A5">
        <w:rPr>
          <w:rFonts w:ascii="Palatino Linotype" w:eastAsia="Times New Roman" w:hAnsi="Palatino Linotype" w:cs="Tahoma"/>
          <w:i/>
          <w:lang w:eastAsia="ar-SA"/>
        </w:rPr>
        <w:t xml:space="preserve">derivadas de una autorización administrativa de urbanización, </w:t>
      </w:r>
      <w:r w:rsidR="009674A4" w:rsidRPr="00FE36A5">
        <w:rPr>
          <w:rFonts w:ascii="Palatino Linotype" w:eastAsia="Times New Roman" w:hAnsi="Palatino Linotype" w:cs="Tahoma"/>
          <w:i/>
          <w:lang w:eastAsia="ar-SA"/>
        </w:rPr>
        <w:t>el área verde</w:t>
      </w:r>
      <w:r w:rsidR="009049AF" w:rsidRPr="00FE36A5">
        <w:rPr>
          <w:rFonts w:ascii="Palatino Linotype" w:eastAsia="Times New Roman" w:hAnsi="Palatino Linotype" w:cs="Tahoma"/>
          <w:i/>
          <w:lang w:eastAsia="ar-SA"/>
        </w:rPr>
        <w:t xml:space="preserve"> y comunitaria</w:t>
      </w:r>
      <w:r w:rsidR="009E6F25" w:rsidRPr="00FE36A5">
        <w:rPr>
          <w:rFonts w:ascii="Palatino Linotype" w:eastAsia="Times New Roman" w:hAnsi="Palatino Linotype" w:cs="Tahoma"/>
          <w:i/>
          <w:lang w:eastAsia="ar-SA"/>
        </w:rPr>
        <w:t xml:space="preserve"> deberá ser entregada por una sola vez, en forma </w:t>
      </w:r>
      <w:r w:rsidR="009674A4" w:rsidRPr="00FE36A5">
        <w:rPr>
          <w:rFonts w:ascii="Palatino Linotype" w:eastAsia="Times New Roman" w:hAnsi="Palatino Linotype" w:cs="Tahoma"/>
          <w:i/>
          <w:lang w:eastAsia="ar-SA"/>
        </w:rPr>
        <w:t>de c</w:t>
      </w:r>
      <w:r w:rsidR="009E6F25" w:rsidRPr="00FE36A5">
        <w:rPr>
          <w:rFonts w:ascii="Palatino Linotype" w:eastAsia="Times New Roman" w:hAnsi="Palatino Linotype" w:cs="Tahoma"/>
          <w:i/>
          <w:lang w:eastAsia="ar-SA"/>
        </w:rPr>
        <w:t>esión gratuita y obligatoria</w:t>
      </w:r>
      <w:r w:rsidR="00B459E8" w:rsidRPr="00FE36A5">
        <w:rPr>
          <w:rFonts w:ascii="Palatino Linotype" w:eastAsia="Times New Roman" w:hAnsi="Palatino Linotype" w:cs="Tahoma"/>
          <w:i/>
          <w:lang w:eastAsia="ar-SA"/>
        </w:rPr>
        <w:t xml:space="preserve">, </w:t>
      </w:r>
      <w:r w:rsidR="009E6F25" w:rsidRPr="00FE36A5">
        <w:rPr>
          <w:rFonts w:ascii="Palatino Linotype" w:eastAsia="Times New Roman" w:hAnsi="Palatino Linotype" w:cs="Tahoma"/>
          <w:i/>
          <w:lang w:eastAsia="ar-SA"/>
        </w:rPr>
        <w:t xml:space="preserve">como mínimo </w:t>
      </w:r>
      <w:r w:rsidR="009674A4" w:rsidRPr="00FE36A5">
        <w:rPr>
          <w:rFonts w:ascii="Palatino Linotype" w:eastAsia="Times New Roman" w:hAnsi="Palatino Linotype" w:cs="Tahoma"/>
          <w:i/>
          <w:lang w:eastAsia="ar-SA"/>
        </w:rPr>
        <w:t xml:space="preserve">el 15% del área útil </w:t>
      </w:r>
      <w:r w:rsidR="009E6F25" w:rsidRPr="00FE36A5">
        <w:rPr>
          <w:rFonts w:ascii="Palatino Linotype" w:eastAsia="Times New Roman" w:hAnsi="Palatino Linotype" w:cs="Tahoma"/>
          <w:i/>
          <w:lang w:eastAsia="ar-SA"/>
        </w:rPr>
        <w:t xml:space="preserve">urbanizable </w:t>
      </w:r>
      <w:r w:rsidR="009674A4" w:rsidRPr="00FE36A5">
        <w:rPr>
          <w:rFonts w:ascii="Palatino Linotype" w:eastAsia="Times New Roman" w:hAnsi="Palatino Linotype" w:cs="Tahoma"/>
          <w:i/>
          <w:lang w:eastAsia="ar-SA"/>
        </w:rPr>
        <w:t>del terreno a dividirse;</w:t>
      </w:r>
    </w:p>
    <w:p w:rsidR="009049AF" w:rsidRPr="00FE36A5" w:rsidRDefault="009049AF" w:rsidP="00FE36A5">
      <w:pPr>
        <w:suppressAutoHyphens/>
        <w:spacing w:after="120"/>
        <w:ind w:left="708"/>
        <w:jc w:val="both"/>
        <w:rPr>
          <w:rFonts w:ascii="Palatino Linotype" w:eastAsia="Times New Roman" w:hAnsi="Palatino Linotype" w:cs="Tahoma"/>
          <w:i/>
          <w:lang w:eastAsia="ar-SA"/>
        </w:rPr>
      </w:pPr>
      <w:r w:rsidRPr="00FE36A5">
        <w:rPr>
          <w:rFonts w:ascii="Palatino Linotype" w:eastAsia="Times New Roman" w:hAnsi="Palatino Linotype" w:cs="Tahoma"/>
          <w:b/>
          <w:i/>
          <w:lang w:eastAsia="ar-SA"/>
        </w:rPr>
        <w:t>b)</w:t>
      </w:r>
      <w:r w:rsidRPr="00FE36A5">
        <w:rPr>
          <w:rFonts w:ascii="Palatino Linotype" w:eastAsia="Times New Roman" w:hAnsi="Palatino Linotype" w:cs="Tahoma"/>
          <w:i/>
          <w:lang w:eastAsia="ar-SA"/>
        </w:rPr>
        <w:t xml:space="preserve"> En subdivisiones que no se deriven de una autorización administrativa de urbanización, el área verde deberá ser entregada en forma de cesión gratuita y obligatoria como mínimo el 15% del área útil urbanizable del terreno a dividirse.</w:t>
      </w:r>
    </w:p>
    <w:p w:rsidR="009655E2" w:rsidRPr="00FE36A5" w:rsidRDefault="009049AF" w:rsidP="00FE36A5">
      <w:pPr>
        <w:suppressAutoHyphens/>
        <w:spacing w:after="120"/>
        <w:ind w:left="708"/>
        <w:jc w:val="both"/>
        <w:rPr>
          <w:rFonts w:ascii="Palatino Linotype" w:eastAsia="Times New Roman" w:hAnsi="Palatino Linotype" w:cs="Tahoma"/>
          <w:i/>
          <w:lang w:eastAsia="ar-SA"/>
        </w:rPr>
      </w:pPr>
      <w:r w:rsidRPr="00FE36A5">
        <w:rPr>
          <w:rFonts w:ascii="Palatino Linotype" w:eastAsia="Times New Roman" w:hAnsi="Palatino Linotype" w:cs="Tahoma"/>
          <w:b/>
          <w:i/>
          <w:lang w:eastAsia="ar-SA"/>
        </w:rPr>
        <w:t>c</w:t>
      </w:r>
      <w:r w:rsidR="009E4A0F" w:rsidRPr="00FE36A5">
        <w:rPr>
          <w:rFonts w:ascii="Palatino Linotype" w:eastAsia="Times New Roman" w:hAnsi="Palatino Linotype" w:cs="Tahoma"/>
          <w:b/>
          <w:i/>
          <w:lang w:eastAsia="ar-SA"/>
        </w:rPr>
        <w:t>)</w:t>
      </w:r>
      <w:r w:rsidR="009E4A0F" w:rsidRPr="00FE36A5">
        <w:rPr>
          <w:rFonts w:ascii="Palatino Linotype" w:eastAsia="Times New Roman" w:hAnsi="Palatino Linotype" w:cs="Tahoma"/>
          <w:i/>
          <w:lang w:eastAsia="ar-SA"/>
        </w:rPr>
        <w:t xml:space="preserve"> </w:t>
      </w:r>
      <w:r w:rsidR="00F93AF9" w:rsidRPr="00FE36A5">
        <w:rPr>
          <w:rFonts w:ascii="Palatino Linotype" w:eastAsia="Times New Roman" w:hAnsi="Palatino Linotype" w:cs="Tahoma"/>
          <w:i/>
          <w:lang w:eastAsia="ar-SA"/>
        </w:rPr>
        <w:t xml:space="preserve">En urbanizaciones </w:t>
      </w:r>
      <w:r w:rsidR="00F7672C" w:rsidRPr="00FE36A5">
        <w:rPr>
          <w:rFonts w:ascii="Palatino Linotype" w:eastAsia="Times New Roman" w:hAnsi="Palatino Linotype" w:cs="Tahoma"/>
          <w:i/>
          <w:lang w:eastAsia="ar-SA"/>
        </w:rPr>
        <w:t>en suelo clasificado como urbano</w:t>
      </w:r>
      <w:r w:rsidR="00D01D45" w:rsidRPr="00FE36A5">
        <w:rPr>
          <w:rFonts w:ascii="Palatino Linotype" w:eastAsia="Times New Roman" w:hAnsi="Palatino Linotype" w:cs="Tahoma"/>
          <w:i/>
          <w:lang w:eastAsia="ar-SA"/>
        </w:rPr>
        <w:t xml:space="preserve"> </w:t>
      </w:r>
      <w:r w:rsidR="00D01D45" w:rsidRPr="00FE36A5">
        <w:rPr>
          <w:rFonts w:ascii="Palatino Linotype" w:eastAsia="Times New Roman" w:hAnsi="Palatino Linotype" w:cs="Tahoma"/>
          <w:i/>
          <w:color w:val="000000" w:themeColor="text1"/>
          <w:lang w:eastAsia="ar-SA"/>
        </w:rPr>
        <w:t>y las que tengan asignación Residencial Rural 1(RR1) y Residencial Rural 2 (RR2)</w:t>
      </w:r>
      <w:r w:rsidR="002E3437" w:rsidRPr="00FE36A5">
        <w:rPr>
          <w:rFonts w:ascii="Palatino Linotype" w:eastAsia="Times New Roman" w:hAnsi="Palatino Linotype" w:cs="Tahoma"/>
          <w:i/>
          <w:lang w:eastAsia="ar-SA"/>
        </w:rPr>
        <w:t>,</w:t>
      </w:r>
      <w:r w:rsidR="00F7672C" w:rsidRPr="00FE36A5">
        <w:rPr>
          <w:rFonts w:ascii="Palatino Linotype" w:eastAsia="Times New Roman" w:hAnsi="Palatino Linotype" w:cs="Tahoma"/>
          <w:i/>
          <w:lang w:eastAsia="ar-SA"/>
        </w:rPr>
        <w:t xml:space="preserve"> </w:t>
      </w:r>
      <w:r w:rsidR="00F93AF9" w:rsidRPr="00FE36A5">
        <w:rPr>
          <w:rFonts w:ascii="Palatino Linotype" w:eastAsia="Times New Roman" w:hAnsi="Palatino Linotype" w:cs="Tahoma"/>
          <w:i/>
          <w:lang w:eastAsia="ar-SA"/>
        </w:rPr>
        <w:t xml:space="preserve">el área verde </w:t>
      </w:r>
      <w:r w:rsidR="00B459E8" w:rsidRPr="00FE36A5">
        <w:rPr>
          <w:rFonts w:ascii="Palatino Linotype" w:eastAsia="Times New Roman" w:hAnsi="Palatino Linotype" w:cs="Tahoma"/>
          <w:i/>
          <w:lang w:eastAsia="ar-SA"/>
        </w:rPr>
        <w:t xml:space="preserve">en forma de cesión gratuita y obligatoria </w:t>
      </w:r>
      <w:r w:rsidR="00F93AF9" w:rsidRPr="00FE36A5">
        <w:rPr>
          <w:rFonts w:ascii="Palatino Linotype" w:eastAsia="Times New Roman" w:hAnsi="Palatino Linotype" w:cs="Tahoma"/>
          <w:i/>
          <w:lang w:eastAsia="ar-SA"/>
        </w:rPr>
        <w:t xml:space="preserve">será </w:t>
      </w:r>
      <w:r w:rsidR="00B459E8" w:rsidRPr="00FE36A5">
        <w:rPr>
          <w:rFonts w:ascii="Palatino Linotype" w:eastAsia="Times New Roman" w:hAnsi="Palatino Linotype" w:cs="Tahoma"/>
          <w:i/>
          <w:lang w:eastAsia="ar-SA"/>
        </w:rPr>
        <w:t xml:space="preserve">como mínimo </w:t>
      </w:r>
      <w:r w:rsidR="00F93AF9" w:rsidRPr="00FE36A5">
        <w:rPr>
          <w:rFonts w:ascii="Palatino Linotype" w:eastAsia="Times New Roman" w:hAnsi="Palatino Linotype" w:cs="Tahoma"/>
          <w:i/>
          <w:lang w:eastAsia="ar-SA"/>
        </w:rPr>
        <w:t>el 15% del área útil</w:t>
      </w:r>
      <w:r w:rsidR="00B459E8" w:rsidRPr="00FE36A5">
        <w:rPr>
          <w:rFonts w:ascii="Palatino Linotype" w:eastAsia="Times New Roman" w:hAnsi="Palatino Linotype" w:cs="Tahoma"/>
          <w:i/>
          <w:lang w:eastAsia="ar-SA"/>
        </w:rPr>
        <w:t xml:space="preserve"> urbanizable </w:t>
      </w:r>
      <w:r w:rsidR="00F93AF9" w:rsidRPr="00FE36A5">
        <w:rPr>
          <w:rFonts w:ascii="Palatino Linotype" w:eastAsia="Times New Roman" w:hAnsi="Palatino Linotype" w:cs="Tahoma"/>
          <w:i/>
          <w:lang w:eastAsia="ar-SA"/>
        </w:rPr>
        <w:t>del terreno a dividirse</w:t>
      </w:r>
      <w:r w:rsidR="00EC3DD6" w:rsidRPr="00FE36A5">
        <w:rPr>
          <w:rFonts w:ascii="Palatino Linotype" w:eastAsia="Times New Roman" w:hAnsi="Palatino Linotype" w:cs="Tahoma"/>
          <w:i/>
          <w:lang w:eastAsia="ar-SA"/>
        </w:rPr>
        <w:t>, destinad</w:t>
      </w:r>
      <w:r w:rsidR="00DD1DCC" w:rsidRPr="00FE36A5">
        <w:rPr>
          <w:rFonts w:ascii="Palatino Linotype" w:eastAsia="Times New Roman" w:hAnsi="Palatino Linotype" w:cs="Tahoma"/>
          <w:i/>
          <w:lang w:eastAsia="ar-SA"/>
        </w:rPr>
        <w:t>o</w:t>
      </w:r>
      <w:r w:rsidR="00EC3DD6" w:rsidRPr="00FE36A5">
        <w:rPr>
          <w:rFonts w:ascii="Palatino Linotype" w:eastAsia="Times New Roman" w:hAnsi="Palatino Linotype" w:cs="Tahoma"/>
          <w:i/>
          <w:lang w:eastAsia="ar-SA"/>
        </w:rPr>
        <w:t xml:space="preserve"> exclusivamente para áreas verdes por lo menos el </w:t>
      </w:r>
      <w:r w:rsidR="004B02DC" w:rsidRPr="00FE36A5">
        <w:rPr>
          <w:rFonts w:ascii="Palatino Linotype" w:eastAsia="Times New Roman" w:hAnsi="Palatino Linotype" w:cs="Tahoma"/>
          <w:i/>
          <w:lang w:eastAsia="ar-SA"/>
        </w:rPr>
        <w:t>50%</w:t>
      </w:r>
      <w:r w:rsidR="00EC3DD6" w:rsidRPr="00FE36A5">
        <w:rPr>
          <w:rFonts w:ascii="Palatino Linotype" w:eastAsia="Times New Roman" w:hAnsi="Palatino Linotype" w:cs="Tahoma"/>
          <w:i/>
          <w:lang w:eastAsia="ar-SA"/>
        </w:rPr>
        <w:t xml:space="preserve"> de la superficie entregada.</w:t>
      </w:r>
      <w:r w:rsidR="00AD3652" w:rsidRPr="00FE36A5">
        <w:rPr>
          <w:rFonts w:ascii="Palatino Linotype" w:eastAsia="Times New Roman" w:hAnsi="Palatino Linotype" w:cs="Tahoma"/>
          <w:i/>
          <w:lang w:eastAsia="ar-SA"/>
        </w:rPr>
        <w:t xml:space="preserve"> </w:t>
      </w:r>
      <w:r w:rsidR="001A75EA">
        <w:rPr>
          <w:rFonts w:ascii="Palatino Linotype" w:eastAsia="Times New Roman" w:hAnsi="Palatino Linotype" w:cs="Tahoma"/>
          <w:i/>
          <w:lang w:eastAsia="ar-SA"/>
        </w:rPr>
        <w:t xml:space="preserve">En el caso de la asignación </w:t>
      </w:r>
      <w:r w:rsidR="001A75EA" w:rsidRPr="00FE36A5">
        <w:rPr>
          <w:rFonts w:ascii="Palatino Linotype" w:eastAsia="Times New Roman" w:hAnsi="Palatino Linotype" w:cs="Tahoma"/>
          <w:i/>
          <w:color w:val="000000" w:themeColor="text1"/>
          <w:lang w:eastAsia="ar-SA"/>
        </w:rPr>
        <w:t>Residencial Rural 1(</w:t>
      </w:r>
      <w:proofErr w:type="spellStart"/>
      <w:r w:rsidR="001A75EA" w:rsidRPr="00FE36A5">
        <w:rPr>
          <w:rFonts w:ascii="Palatino Linotype" w:eastAsia="Times New Roman" w:hAnsi="Palatino Linotype" w:cs="Tahoma"/>
          <w:i/>
          <w:color w:val="000000" w:themeColor="text1"/>
          <w:lang w:eastAsia="ar-SA"/>
        </w:rPr>
        <w:t>RR1</w:t>
      </w:r>
      <w:proofErr w:type="spellEnd"/>
      <w:r w:rsidR="001A75EA" w:rsidRPr="00FE36A5">
        <w:rPr>
          <w:rFonts w:ascii="Palatino Linotype" w:eastAsia="Times New Roman" w:hAnsi="Palatino Linotype" w:cs="Tahoma"/>
          <w:i/>
          <w:color w:val="000000" w:themeColor="text1"/>
          <w:lang w:eastAsia="ar-SA"/>
        </w:rPr>
        <w:t>) y Residencial Rural 2 (</w:t>
      </w:r>
      <w:proofErr w:type="spellStart"/>
      <w:r w:rsidR="001A75EA" w:rsidRPr="00FE36A5">
        <w:rPr>
          <w:rFonts w:ascii="Palatino Linotype" w:eastAsia="Times New Roman" w:hAnsi="Palatino Linotype" w:cs="Tahoma"/>
          <w:i/>
          <w:color w:val="000000" w:themeColor="text1"/>
          <w:lang w:eastAsia="ar-SA"/>
        </w:rPr>
        <w:t>RR2</w:t>
      </w:r>
      <w:proofErr w:type="spellEnd"/>
      <w:r w:rsidR="001A75EA" w:rsidRPr="00FE36A5">
        <w:rPr>
          <w:rFonts w:ascii="Palatino Linotype" w:eastAsia="Times New Roman" w:hAnsi="Palatino Linotype" w:cs="Tahoma"/>
          <w:i/>
          <w:color w:val="000000" w:themeColor="text1"/>
          <w:lang w:eastAsia="ar-SA"/>
        </w:rPr>
        <w:t>)</w:t>
      </w:r>
      <w:r w:rsidR="001A75EA">
        <w:rPr>
          <w:rFonts w:ascii="Palatino Linotype" w:eastAsia="Times New Roman" w:hAnsi="Palatino Linotype" w:cs="Tahoma"/>
          <w:i/>
          <w:color w:val="000000" w:themeColor="text1"/>
          <w:lang w:eastAsia="ar-SA"/>
        </w:rPr>
        <w:t xml:space="preserve">, </w:t>
      </w:r>
      <w:r w:rsidR="001A75EA">
        <w:rPr>
          <w:rFonts w:ascii="Palatino Linotype" w:eastAsia="Times New Roman" w:hAnsi="Palatino Linotype" w:cs="Tahoma"/>
          <w:i/>
          <w:lang w:eastAsia="ar-SA"/>
        </w:rPr>
        <w:t>deberá contarse previamente con el informe de la Autoridad Agraria Nacional.</w:t>
      </w:r>
    </w:p>
    <w:p w:rsidR="002F17BA" w:rsidRPr="00FE36A5" w:rsidRDefault="002F17BA" w:rsidP="00FE36A5">
      <w:pPr>
        <w:spacing w:after="120"/>
        <w:ind w:left="708"/>
        <w:jc w:val="both"/>
        <w:rPr>
          <w:rFonts w:ascii="Palatino Linotype" w:eastAsia="Times New Roman" w:hAnsi="Palatino Linotype" w:cs="Tahoma"/>
          <w:i/>
          <w:lang w:eastAsia="ar-SA"/>
        </w:rPr>
      </w:pPr>
      <w:r w:rsidRPr="00FE36A5">
        <w:rPr>
          <w:rFonts w:ascii="Palatino Linotype" w:eastAsia="Times New Roman" w:hAnsi="Palatino Linotype" w:cs="Tahoma"/>
          <w:b/>
          <w:i/>
          <w:lang w:eastAsia="ar-SA"/>
        </w:rPr>
        <w:t>2.</w:t>
      </w:r>
      <w:r w:rsidRPr="00FE36A5">
        <w:rPr>
          <w:rFonts w:ascii="Palatino Linotype" w:eastAsia="Times New Roman" w:hAnsi="Palatino Linotype" w:cs="Tahoma"/>
          <w:i/>
          <w:lang w:eastAsia="ar-SA"/>
        </w:rPr>
        <w:t xml:space="preserve"> En el caso de partición judicial de inmuebles, deberá contribuir con el 15% de áreas</w:t>
      </w:r>
      <w:r w:rsidR="00AD5867" w:rsidRPr="00FE36A5">
        <w:rPr>
          <w:rFonts w:ascii="Palatino Linotype" w:eastAsia="Times New Roman" w:hAnsi="Palatino Linotype" w:cs="Tahoma"/>
          <w:i/>
          <w:lang w:eastAsia="ar-SA"/>
        </w:rPr>
        <w:t xml:space="preserve"> verdes públicas que corresponda, de conformidad con lo que establece la ley.</w:t>
      </w:r>
      <w:r w:rsidRPr="00FE36A5">
        <w:rPr>
          <w:rFonts w:ascii="Palatino Linotype" w:eastAsia="Times New Roman" w:hAnsi="Palatino Linotype" w:cs="Tahoma"/>
          <w:i/>
          <w:lang w:eastAsia="ar-SA"/>
        </w:rPr>
        <w:t xml:space="preserve"> </w:t>
      </w:r>
    </w:p>
    <w:p w:rsidR="00110EA2" w:rsidRPr="00FE36A5" w:rsidRDefault="00110EA2" w:rsidP="00FE36A5">
      <w:pPr>
        <w:spacing w:after="120"/>
        <w:ind w:left="708"/>
        <w:jc w:val="both"/>
        <w:rPr>
          <w:rFonts w:ascii="Palatino Linotype" w:hAnsi="Palatino Linotype" w:cs="Tahoma"/>
          <w:i/>
        </w:rPr>
      </w:pPr>
      <w:r w:rsidRPr="00FE36A5">
        <w:rPr>
          <w:rFonts w:ascii="Palatino Linotype" w:hAnsi="Palatino Linotype" w:cs="Tahoma"/>
          <w:b/>
          <w:i/>
        </w:rPr>
        <w:t>a)</w:t>
      </w:r>
      <w:r w:rsidRPr="00FE36A5">
        <w:rPr>
          <w:rFonts w:ascii="Palatino Linotype" w:hAnsi="Palatino Linotype" w:cs="Tahoma"/>
          <w:i/>
        </w:rPr>
        <w:t xml:space="preserve"> En los casos de subdivisiones por partición hereditaria en suelo urbano en los que se haya contribuido con el 15% de área verde pública, el o los herederos que propongan una nueva subdivisión, en los lotes producto de la partición inicial tendrán que contribuir con el 15% descontando el porcentaje entregado en la subdivisión por partición hereditaria, en forma proporcional a la parte del terreno a subdividir.</w:t>
      </w:r>
    </w:p>
    <w:p w:rsidR="009674A4" w:rsidRPr="00FE36A5" w:rsidRDefault="00651D29" w:rsidP="00FE36A5">
      <w:pPr>
        <w:spacing w:after="120"/>
        <w:ind w:left="708"/>
        <w:jc w:val="both"/>
        <w:rPr>
          <w:rFonts w:ascii="Palatino Linotype" w:hAnsi="Palatino Linotype" w:cs="Tahoma"/>
          <w:i/>
        </w:rPr>
      </w:pPr>
      <w:r w:rsidRPr="00FE36A5">
        <w:rPr>
          <w:rFonts w:ascii="Palatino Linotype" w:hAnsi="Palatino Linotype" w:cs="Tahoma"/>
          <w:b/>
          <w:i/>
        </w:rPr>
        <w:t>3</w:t>
      </w:r>
      <w:r w:rsidR="009674A4" w:rsidRPr="00FE36A5">
        <w:rPr>
          <w:rFonts w:ascii="Palatino Linotype" w:hAnsi="Palatino Linotype" w:cs="Tahoma"/>
          <w:b/>
          <w:i/>
        </w:rPr>
        <w:t>.</w:t>
      </w:r>
      <w:r w:rsidR="009674A4" w:rsidRPr="00FE36A5">
        <w:rPr>
          <w:rFonts w:ascii="Palatino Linotype" w:hAnsi="Palatino Linotype" w:cs="Tahoma"/>
          <w:i/>
        </w:rPr>
        <w:t xml:space="preserve"> No se exigirá la contribución de área verde pública o el pago en valor monetario correspondiente, en los siguientes casos:</w:t>
      </w:r>
    </w:p>
    <w:p w:rsidR="00B2262A" w:rsidRPr="00FE36A5" w:rsidRDefault="009674A4" w:rsidP="00FE36A5">
      <w:pPr>
        <w:spacing w:after="120"/>
        <w:ind w:left="708"/>
        <w:jc w:val="both"/>
        <w:rPr>
          <w:rFonts w:ascii="Palatino Linotype" w:hAnsi="Palatino Linotype" w:cs="Tahoma"/>
          <w:i/>
        </w:rPr>
      </w:pPr>
      <w:r w:rsidRPr="00FE36A5">
        <w:rPr>
          <w:rFonts w:ascii="Palatino Linotype" w:hAnsi="Palatino Linotype" w:cs="Tahoma"/>
          <w:b/>
          <w:i/>
        </w:rPr>
        <w:t>a)</w:t>
      </w:r>
      <w:r w:rsidRPr="00FE36A5">
        <w:rPr>
          <w:rFonts w:ascii="Palatino Linotype" w:hAnsi="Palatino Linotype" w:cs="Tahoma"/>
          <w:i/>
        </w:rPr>
        <w:t xml:space="preserve"> Las subdivisiones en suelo rural</w:t>
      </w:r>
      <w:r w:rsidR="00CF6415" w:rsidRPr="00FE36A5">
        <w:rPr>
          <w:rFonts w:ascii="Palatino Linotype" w:hAnsi="Palatino Linotype" w:cs="Tahoma"/>
          <w:i/>
        </w:rPr>
        <w:t>, con fines de partición hereditaria, donación o venta</w:t>
      </w:r>
      <w:r w:rsidR="00C13708" w:rsidRPr="00FE36A5">
        <w:rPr>
          <w:rFonts w:ascii="Palatino Linotype" w:hAnsi="Palatino Linotype" w:cs="Tahoma"/>
          <w:i/>
        </w:rPr>
        <w:t xml:space="preserve">, siempre y cuando no se destinen </w:t>
      </w:r>
      <w:r w:rsidR="007A235B" w:rsidRPr="00FE36A5">
        <w:rPr>
          <w:rFonts w:ascii="Palatino Linotype" w:hAnsi="Palatino Linotype" w:cs="Tahoma"/>
          <w:i/>
        </w:rPr>
        <w:t>para urbanizaciones</w:t>
      </w:r>
      <w:r w:rsidR="00C13708" w:rsidRPr="00FE36A5">
        <w:rPr>
          <w:rFonts w:ascii="Palatino Linotype" w:hAnsi="Palatino Linotype" w:cs="Tahoma"/>
          <w:i/>
        </w:rPr>
        <w:t xml:space="preserve"> y lotizaciones</w:t>
      </w:r>
      <w:r w:rsidR="00CF6415" w:rsidRPr="00FE36A5">
        <w:rPr>
          <w:rFonts w:ascii="Palatino Linotype" w:hAnsi="Palatino Linotype" w:cs="Tahoma"/>
          <w:i/>
        </w:rPr>
        <w:t>.</w:t>
      </w:r>
    </w:p>
    <w:p w:rsidR="00665048" w:rsidRPr="00FE36A5" w:rsidRDefault="00665048" w:rsidP="00FE36A5">
      <w:pPr>
        <w:spacing w:after="120"/>
        <w:ind w:left="708"/>
        <w:jc w:val="both"/>
        <w:rPr>
          <w:rFonts w:ascii="Palatino Linotype" w:hAnsi="Palatino Linotype" w:cs="Tahoma"/>
          <w:i/>
        </w:rPr>
      </w:pPr>
      <w:r w:rsidRPr="00FE36A5">
        <w:rPr>
          <w:rFonts w:ascii="Palatino Linotype" w:hAnsi="Palatino Linotype" w:cs="Tahoma"/>
          <w:i/>
          <w:color w:val="000000" w:themeColor="text1"/>
        </w:rPr>
        <w:t xml:space="preserve">Los administrados que subdividan los inmuebles en suelo rural, deberán justificar </w:t>
      </w:r>
      <w:r w:rsidR="00D5043A" w:rsidRPr="00FE36A5">
        <w:rPr>
          <w:rFonts w:ascii="Palatino Linotype" w:hAnsi="Palatino Linotype" w:cs="Tahoma"/>
          <w:i/>
          <w:color w:val="000000" w:themeColor="text1"/>
        </w:rPr>
        <w:t>con los</w:t>
      </w:r>
      <w:r w:rsidRPr="00FE36A5">
        <w:rPr>
          <w:rFonts w:ascii="Palatino Linotype" w:hAnsi="Palatino Linotype" w:cs="Tahoma"/>
          <w:i/>
          <w:color w:val="000000" w:themeColor="text1"/>
        </w:rPr>
        <w:t xml:space="preserve"> documentos legales pertinentes que correspondan al caso, a fin de justificar los fines antes indicados</w:t>
      </w:r>
      <w:r w:rsidR="00A30DDB" w:rsidRPr="00FE36A5">
        <w:rPr>
          <w:rFonts w:ascii="Palatino Linotype" w:hAnsi="Palatino Linotype" w:cs="Tahoma"/>
          <w:i/>
          <w:color w:val="000000" w:themeColor="text1"/>
        </w:rPr>
        <w:t xml:space="preserve">; </w:t>
      </w:r>
      <w:r w:rsidR="00A30DDB" w:rsidRPr="00FE36A5">
        <w:rPr>
          <w:rFonts w:ascii="Palatino Linotype" w:hAnsi="Palatino Linotype" w:cs="Tahoma"/>
          <w:i/>
        </w:rPr>
        <w:t xml:space="preserve">es decir, en partición hereditaria la posesión efectiva, en donación insinuación judicial </w:t>
      </w:r>
      <w:smartTag w:uri="urn:schemas-microsoft-com:office:smarttags" w:element="IMContact">
        <w:smartTagPr>
          <w:attr w:name="DNID" w:val="Yenny Alexandra Yaselga Antamba"/>
          <w:attr w:name="SIPID" w:val="yenny.yaselga@quito.gob.ec"/>
          <w:attr w:name="EMAILID" w:val="yenny.yaselga@quito.gob.ec"/>
        </w:smartTagPr>
        <w:r w:rsidR="00A30DDB" w:rsidRPr="00FE36A5">
          <w:rPr>
            <w:rFonts w:ascii="Palatino Linotype" w:hAnsi="Palatino Linotype" w:cs="Tahoma"/>
            <w:i/>
          </w:rPr>
          <w:t>y e</w:t>
        </w:r>
      </w:smartTag>
      <w:r w:rsidR="00A30DDB" w:rsidRPr="00FE36A5">
        <w:rPr>
          <w:rFonts w:ascii="Palatino Linotype" w:hAnsi="Palatino Linotype" w:cs="Tahoma"/>
          <w:i/>
        </w:rPr>
        <w:t>n venta la promesa de compra venta</w:t>
      </w:r>
      <w:r w:rsidR="000C6757" w:rsidRPr="00FE36A5">
        <w:rPr>
          <w:rFonts w:ascii="Palatino Linotype" w:hAnsi="Palatino Linotype" w:cs="Tahoma"/>
          <w:i/>
        </w:rPr>
        <w:t xml:space="preserve"> </w:t>
      </w:r>
      <w:r w:rsidR="002B2907" w:rsidRPr="00FE36A5">
        <w:rPr>
          <w:rFonts w:ascii="Palatino Linotype" w:hAnsi="Palatino Linotype" w:cs="Tahoma"/>
          <w:i/>
        </w:rPr>
        <w:t>notariada</w:t>
      </w:r>
      <w:r w:rsidRPr="00FE36A5">
        <w:rPr>
          <w:rFonts w:ascii="Palatino Linotype" w:hAnsi="Palatino Linotype" w:cs="Tahoma"/>
          <w:i/>
        </w:rPr>
        <w:t xml:space="preserve">.  </w:t>
      </w:r>
    </w:p>
    <w:p w:rsidR="0094777A" w:rsidRPr="00FE36A5" w:rsidRDefault="0094777A" w:rsidP="00FE36A5">
      <w:pPr>
        <w:spacing w:after="120"/>
        <w:ind w:left="708"/>
        <w:jc w:val="both"/>
        <w:rPr>
          <w:rFonts w:ascii="Palatino Linotype" w:hAnsi="Palatino Linotype" w:cs="Tahoma"/>
          <w:i/>
        </w:rPr>
      </w:pPr>
      <w:r w:rsidRPr="00FE36A5">
        <w:rPr>
          <w:rFonts w:ascii="Palatino Linotype" w:hAnsi="Palatino Linotype" w:cs="Tahoma"/>
          <w:b/>
          <w:i/>
        </w:rPr>
        <w:t>b)</w:t>
      </w:r>
      <w:r w:rsidRPr="00FE36A5">
        <w:rPr>
          <w:rFonts w:ascii="Palatino Linotype" w:hAnsi="Palatino Linotype" w:cs="Tahoma"/>
          <w:i/>
        </w:rPr>
        <w:t xml:space="preserve"> Aquellas formas de partición o división del suelo originadas por acto de autoridad pública </w:t>
      </w:r>
      <w:r w:rsidR="00D5043A" w:rsidRPr="00FE36A5">
        <w:rPr>
          <w:rFonts w:ascii="Palatino Linotype" w:hAnsi="Palatino Linotype" w:cs="Tahoma"/>
          <w:i/>
        </w:rPr>
        <w:t>municipal, tales</w:t>
      </w:r>
      <w:r w:rsidRPr="00FE36A5">
        <w:rPr>
          <w:rFonts w:ascii="Palatino Linotype" w:hAnsi="Palatino Linotype" w:cs="Tahoma"/>
          <w:i/>
        </w:rPr>
        <w:t xml:space="preserve"> como expropiaciones</w:t>
      </w:r>
      <w:r w:rsidR="00F97038" w:rsidRPr="00FE36A5">
        <w:rPr>
          <w:rFonts w:ascii="Palatino Linotype" w:hAnsi="Palatino Linotype" w:cs="Tahoma"/>
          <w:i/>
        </w:rPr>
        <w:t>,</w:t>
      </w:r>
      <w:r w:rsidRPr="00FE36A5">
        <w:rPr>
          <w:rFonts w:ascii="Palatino Linotype" w:hAnsi="Palatino Linotype" w:cs="Tahoma"/>
          <w:i/>
        </w:rPr>
        <w:t xml:space="preserve"> </w:t>
      </w:r>
      <w:r w:rsidR="00F97038" w:rsidRPr="00FE36A5">
        <w:rPr>
          <w:rFonts w:ascii="Palatino Linotype" w:hAnsi="Palatino Linotype" w:cs="Tahoma"/>
          <w:i/>
        </w:rPr>
        <w:t xml:space="preserve">subdivisiones producidas por </w:t>
      </w:r>
      <w:r w:rsidR="00C13708" w:rsidRPr="00FE36A5">
        <w:rPr>
          <w:rFonts w:ascii="Palatino Linotype" w:hAnsi="Palatino Linotype" w:cs="Tahoma"/>
          <w:i/>
        </w:rPr>
        <w:t xml:space="preserve">el </w:t>
      </w:r>
      <w:r w:rsidR="00F97038" w:rsidRPr="00FE36A5">
        <w:rPr>
          <w:rFonts w:ascii="Palatino Linotype" w:hAnsi="Palatino Linotype" w:cs="Tahoma"/>
          <w:i/>
        </w:rPr>
        <w:t xml:space="preserve">trazado </w:t>
      </w:r>
      <w:r w:rsidR="00F97038" w:rsidRPr="00FE36A5">
        <w:rPr>
          <w:rFonts w:ascii="Palatino Linotype" w:hAnsi="Palatino Linotype" w:cs="Tahoma"/>
          <w:i/>
        </w:rPr>
        <w:lastRenderedPageBreak/>
        <w:t xml:space="preserve">de una vía pública, aprobada por el Municipio del Distrito Metropolitano de Quito </w:t>
      </w:r>
      <w:r w:rsidRPr="00FE36A5">
        <w:rPr>
          <w:rFonts w:ascii="Palatino Linotype" w:hAnsi="Palatino Linotype" w:cs="Tahoma"/>
          <w:i/>
        </w:rPr>
        <w:t>u otros actos previstos en el ordenamiento jurídico nacional o metropolitano.</w:t>
      </w:r>
    </w:p>
    <w:p w:rsidR="00DD1DCC" w:rsidRPr="00FE36A5" w:rsidRDefault="0094777A" w:rsidP="00FE36A5">
      <w:pPr>
        <w:spacing w:after="120"/>
        <w:ind w:left="708"/>
        <w:jc w:val="both"/>
        <w:rPr>
          <w:rFonts w:ascii="Palatino Linotype" w:hAnsi="Palatino Linotype" w:cs="Tahoma"/>
          <w:i/>
        </w:rPr>
      </w:pPr>
      <w:r w:rsidRPr="00FE36A5">
        <w:rPr>
          <w:rFonts w:ascii="Palatino Linotype" w:hAnsi="Palatino Linotype" w:cs="Tahoma"/>
          <w:b/>
          <w:i/>
        </w:rPr>
        <w:t xml:space="preserve">c) </w:t>
      </w:r>
      <w:r w:rsidR="004E223F" w:rsidRPr="00FE36A5">
        <w:rPr>
          <w:rFonts w:ascii="Palatino Linotype" w:hAnsi="Palatino Linotype" w:cs="Tahoma"/>
          <w:i/>
        </w:rPr>
        <w:t>Cuando se proponga una segunda subdivisión de un lote producto de un</w:t>
      </w:r>
      <w:r w:rsidR="009049AF" w:rsidRPr="00FE36A5">
        <w:rPr>
          <w:rFonts w:ascii="Palatino Linotype" w:hAnsi="Palatino Linotype" w:cs="Tahoma"/>
          <w:i/>
        </w:rPr>
        <w:t>a</w:t>
      </w:r>
      <w:r w:rsidR="004E223F" w:rsidRPr="00FE36A5">
        <w:rPr>
          <w:rFonts w:ascii="Palatino Linotype" w:hAnsi="Palatino Linotype" w:cs="Tahoma"/>
          <w:i/>
        </w:rPr>
        <w:t xml:space="preserve"> </w:t>
      </w:r>
      <w:r w:rsidR="009049AF" w:rsidRPr="00FE36A5">
        <w:rPr>
          <w:rFonts w:ascii="Palatino Linotype" w:hAnsi="Palatino Linotype" w:cs="Tahoma"/>
          <w:i/>
        </w:rPr>
        <w:t>subdivisión</w:t>
      </w:r>
      <w:r w:rsidR="00CF6415" w:rsidRPr="00FE36A5">
        <w:rPr>
          <w:rFonts w:ascii="Palatino Linotype" w:hAnsi="Palatino Linotype" w:cs="Tahoma"/>
          <w:i/>
        </w:rPr>
        <w:t xml:space="preserve"> </w:t>
      </w:r>
      <w:r w:rsidR="004E223F" w:rsidRPr="00FE36A5">
        <w:rPr>
          <w:rFonts w:ascii="Palatino Linotype" w:hAnsi="Palatino Linotype" w:cs="Tahoma"/>
          <w:i/>
        </w:rPr>
        <w:t xml:space="preserve">anterior </w:t>
      </w:r>
      <w:r w:rsidR="00B459E8" w:rsidRPr="00FE36A5">
        <w:rPr>
          <w:rFonts w:ascii="Palatino Linotype" w:hAnsi="Palatino Linotype" w:cs="Tahoma"/>
          <w:i/>
        </w:rPr>
        <w:t>en el cual</w:t>
      </w:r>
      <w:r w:rsidR="004E223F" w:rsidRPr="00FE36A5">
        <w:rPr>
          <w:rFonts w:ascii="Palatino Linotype" w:hAnsi="Palatino Linotype" w:cs="Tahoma"/>
          <w:i/>
        </w:rPr>
        <w:t xml:space="preserve"> </w:t>
      </w:r>
      <w:r w:rsidR="00B459E8" w:rsidRPr="00FE36A5">
        <w:rPr>
          <w:rFonts w:ascii="Palatino Linotype" w:hAnsi="Palatino Linotype" w:cs="Tahoma"/>
          <w:i/>
        </w:rPr>
        <w:t>el</w:t>
      </w:r>
      <w:r w:rsidR="004E223F" w:rsidRPr="00FE36A5">
        <w:rPr>
          <w:rFonts w:ascii="Palatino Linotype" w:hAnsi="Palatino Linotype" w:cs="Tahoma"/>
          <w:i/>
        </w:rPr>
        <w:t xml:space="preserve"> administrado ya contribuyó con el </w:t>
      </w:r>
      <w:r w:rsidR="00D5043A" w:rsidRPr="00FE36A5">
        <w:rPr>
          <w:rFonts w:ascii="Palatino Linotype" w:hAnsi="Palatino Linotype" w:cs="Tahoma"/>
          <w:i/>
        </w:rPr>
        <w:t xml:space="preserve">aporte de áreas verdes públicas y </w:t>
      </w:r>
      <w:r w:rsidR="00A177C3" w:rsidRPr="00FE36A5">
        <w:rPr>
          <w:rFonts w:ascii="Palatino Linotype" w:hAnsi="Palatino Linotype" w:cs="Tahoma"/>
          <w:i/>
        </w:rPr>
        <w:t>se trate del mismo propietario.</w:t>
      </w:r>
      <w:r w:rsidR="00FE36A5" w:rsidRPr="00FE36A5">
        <w:rPr>
          <w:rFonts w:ascii="Palatino Linotype" w:hAnsi="Palatino Linotype" w:cs="Tahoma"/>
          <w:i/>
        </w:rPr>
        <w:t>”</w:t>
      </w:r>
      <w:r w:rsidR="004E223F" w:rsidRPr="00FE36A5">
        <w:rPr>
          <w:rFonts w:ascii="Palatino Linotype" w:hAnsi="Palatino Linotype" w:cs="Tahoma"/>
          <w:i/>
        </w:rPr>
        <w:t xml:space="preserve"> </w:t>
      </w:r>
    </w:p>
    <w:p w:rsidR="00AA1EF9" w:rsidRPr="003F2B99" w:rsidRDefault="00AA1EF9" w:rsidP="00FE36A5">
      <w:pPr>
        <w:suppressAutoHyphens/>
        <w:spacing w:after="120"/>
        <w:jc w:val="both"/>
        <w:rPr>
          <w:rFonts w:ascii="Palatino Linotype" w:eastAsia="Times New Roman" w:hAnsi="Palatino Linotype" w:cs="Tahoma"/>
          <w:lang w:eastAsia="ar-SA"/>
        </w:rPr>
      </w:pPr>
      <w:r w:rsidRPr="003F2B99">
        <w:rPr>
          <w:rFonts w:ascii="Palatino Linotype" w:eastAsia="Calibri" w:hAnsi="Palatino Linotype" w:cs="Tahoma"/>
          <w:b/>
          <w:lang w:eastAsia="ar-SA"/>
        </w:rPr>
        <w:t>Artículo 2.-</w:t>
      </w:r>
      <w:r w:rsidRPr="003F2B99">
        <w:rPr>
          <w:rFonts w:ascii="Palatino Linotype" w:eastAsia="Calibri" w:hAnsi="Palatino Linotype" w:cs="Tahoma"/>
          <w:lang w:eastAsia="ar-SA"/>
        </w:rPr>
        <w:t xml:space="preserve"> </w:t>
      </w:r>
      <w:r w:rsidRPr="003F2B99">
        <w:rPr>
          <w:rFonts w:ascii="Palatino Linotype" w:eastAsia="Times New Roman" w:hAnsi="Palatino Linotype" w:cs="Tahoma"/>
          <w:lang w:eastAsia="ar-SA"/>
        </w:rPr>
        <w:t>Sustitúyase el artículo</w:t>
      </w:r>
      <w:r w:rsidR="003E4F75" w:rsidRPr="003F2B99">
        <w:rPr>
          <w:rFonts w:ascii="Palatino Linotype" w:eastAsia="Times New Roman" w:hAnsi="Palatino Linotype" w:cs="Tahoma"/>
          <w:lang w:eastAsia="ar-SA"/>
        </w:rPr>
        <w:t xml:space="preserve"> </w:t>
      </w:r>
      <w:proofErr w:type="spellStart"/>
      <w:r w:rsidRPr="003F2B99">
        <w:rPr>
          <w:rFonts w:ascii="Palatino Linotype" w:eastAsia="Times New Roman" w:hAnsi="Palatino Linotype" w:cs="Tahoma"/>
          <w:lang w:eastAsia="ar-SA"/>
        </w:rPr>
        <w:t>innumerado</w:t>
      </w:r>
      <w:proofErr w:type="spellEnd"/>
      <w:r w:rsidRPr="003F2B99">
        <w:rPr>
          <w:rFonts w:ascii="Palatino Linotype" w:eastAsia="Times New Roman" w:hAnsi="Palatino Linotype" w:cs="Tahoma"/>
          <w:lang w:eastAsia="ar-SA"/>
        </w:rPr>
        <w:t xml:space="preserve"> 79</w:t>
      </w:r>
      <w:r w:rsidR="00D9552E">
        <w:rPr>
          <w:rFonts w:ascii="Palatino Linotype" w:eastAsia="Times New Roman" w:hAnsi="Palatino Linotype" w:cs="Tahoma"/>
          <w:lang w:eastAsia="ar-SA"/>
        </w:rPr>
        <w:t>,</w:t>
      </w:r>
      <w:r w:rsidRPr="003F2B99">
        <w:rPr>
          <w:rFonts w:ascii="Palatino Linotype" w:eastAsia="Times New Roman" w:hAnsi="Palatino Linotype" w:cs="Tahoma"/>
          <w:lang w:eastAsia="ar-SA"/>
        </w:rPr>
        <w:t xml:space="preserve"> de la</w:t>
      </w:r>
      <w:r w:rsidR="00E56C85">
        <w:rPr>
          <w:rFonts w:ascii="Palatino Linotype" w:eastAsia="Times New Roman" w:hAnsi="Palatino Linotype" w:cs="Tahoma"/>
          <w:lang w:eastAsia="ar-SA"/>
        </w:rPr>
        <w:t>s</w:t>
      </w:r>
      <w:r w:rsidRPr="003F2B99">
        <w:rPr>
          <w:rFonts w:ascii="Palatino Linotype" w:eastAsia="Times New Roman" w:hAnsi="Palatino Linotype" w:cs="Tahoma"/>
          <w:lang w:eastAsia="ar-SA"/>
        </w:rPr>
        <w:t xml:space="preserve"> Ordenanza</w:t>
      </w:r>
      <w:r w:rsidR="003E4F75" w:rsidRPr="003F2B99">
        <w:rPr>
          <w:rFonts w:ascii="Palatino Linotype" w:eastAsia="Times New Roman" w:hAnsi="Palatino Linotype" w:cs="Tahoma"/>
          <w:lang w:eastAsia="ar-SA"/>
        </w:rPr>
        <w:t>s</w:t>
      </w:r>
      <w:r w:rsidRPr="003F2B99">
        <w:rPr>
          <w:rFonts w:ascii="Palatino Linotype" w:eastAsia="Times New Roman" w:hAnsi="Palatino Linotype" w:cs="Tahoma"/>
          <w:lang w:eastAsia="ar-SA"/>
        </w:rPr>
        <w:t xml:space="preserve"> Metropolitana</w:t>
      </w:r>
      <w:r w:rsidR="003E4F75" w:rsidRPr="003F2B99">
        <w:rPr>
          <w:rFonts w:ascii="Palatino Linotype" w:eastAsia="Times New Roman" w:hAnsi="Palatino Linotype" w:cs="Tahoma"/>
          <w:lang w:eastAsia="ar-SA"/>
        </w:rPr>
        <w:t>s</w:t>
      </w:r>
      <w:r w:rsidRPr="003F2B99">
        <w:rPr>
          <w:rFonts w:ascii="Palatino Linotype" w:eastAsia="Times New Roman" w:hAnsi="Palatino Linotype" w:cs="Tahoma"/>
          <w:lang w:eastAsia="ar-SA"/>
        </w:rPr>
        <w:t xml:space="preserve"> </w:t>
      </w:r>
      <w:r w:rsidR="00FE36A5">
        <w:rPr>
          <w:rFonts w:ascii="Palatino Linotype" w:eastAsia="Times New Roman" w:hAnsi="Palatino Linotype" w:cs="Tahoma"/>
          <w:lang w:eastAsia="ar-SA"/>
        </w:rPr>
        <w:t xml:space="preserve">Nos. </w:t>
      </w:r>
      <w:r w:rsidR="003E4F75" w:rsidRPr="003F2B99">
        <w:rPr>
          <w:rFonts w:ascii="Palatino Linotype" w:eastAsia="Times New Roman" w:hAnsi="Palatino Linotype" w:cs="Tahoma"/>
          <w:lang w:eastAsia="ar-SA"/>
        </w:rPr>
        <w:t xml:space="preserve">172 y </w:t>
      </w:r>
      <w:r w:rsidRPr="003F2B99">
        <w:rPr>
          <w:rFonts w:ascii="Palatino Linotype" w:eastAsia="Times New Roman" w:hAnsi="Palatino Linotype" w:cs="Tahoma"/>
          <w:lang w:eastAsia="ar-SA"/>
        </w:rPr>
        <w:t>0432, por el siguiente:</w:t>
      </w:r>
    </w:p>
    <w:p w:rsidR="00F37EDC" w:rsidRPr="00FE36A5" w:rsidRDefault="00FE36A5" w:rsidP="00FE36A5">
      <w:pPr>
        <w:suppressAutoHyphens/>
        <w:spacing w:after="120"/>
        <w:ind w:left="708"/>
        <w:jc w:val="both"/>
        <w:rPr>
          <w:rFonts w:ascii="Palatino Linotype" w:eastAsia="Times New Roman" w:hAnsi="Palatino Linotype" w:cs="Tahoma"/>
          <w:b/>
          <w:i/>
          <w:lang w:eastAsia="ar-SA"/>
        </w:rPr>
      </w:pPr>
      <w:r w:rsidRPr="00FE36A5">
        <w:rPr>
          <w:rFonts w:ascii="Palatino Linotype" w:eastAsia="Times New Roman" w:hAnsi="Palatino Linotype" w:cs="Tahoma"/>
          <w:b/>
          <w:i/>
          <w:lang w:eastAsia="ar-SA"/>
        </w:rPr>
        <w:t>“</w:t>
      </w:r>
      <w:r w:rsidR="00BC1783" w:rsidRPr="00FE36A5">
        <w:rPr>
          <w:rFonts w:ascii="Palatino Linotype" w:eastAsia="Times New Roman" w:hAnsi="Palatino Linotype" w:cs="Tahoma"/>
          <w:b/>
          <w:i/>
          <w:lang w:eastAsia="ar-SA"/>
        </w:rPr>
        <w:t>Artículo… (79</w:t>
      </w:r>
      <w:r w:rsidR="00920F81" w:rsidRPr="00FE36A5">
        <w:rPr>
          <w:rFonts w:ascii="Palatino Linotype" w:eastAsia="Times New Roman" w:hAnsi="Palatino Linotype" w:cs="Tahoma"/>
          <w:b/>
          <w:i/>
          <w:lang w:eastAsia="ar-SA"/>
        </w:rPr>
        <w:t>). -</w:t>
      </w:r>
      <w:r w:rsidR="00BC1783" w:rsidRPr="00FE36A5">
        <w:rPr>
          <w:rFonts w:ascii="Palatino Linotype" w:eastAsia="Times New Roman" w:hAnsi="Palatino Linotype" w:cs="Tahoma"/>
          <w:i/>
          <w:lang w:eastAsia="ar-SA"/>
        </w:rPr>
        <w:t xml:space="preserve"> </w:t>
      </w:r>
      <w:r w:rsidR="00BC1783" w:rsidRPr="00FE36A5">
        <w:rPr>
          <w:rFonts w:ascii="Palatino Linotype" w:eastAsia="Times New Roman" w:hAnsi="Palatino Linotype" w:cs="Tahoma"/>
          <w:b/>
          <w:i/>
          <w:lang w:eastAsia="ar-SA"/>
        </w:rPr>
        <w:t>Supuesto</w:t>
      </w:r>
      <w:r w:rsidR="003F536C" w:rsidRPr="00FE36A5">
        <w:rPr>
          <w:rFonts w:ascii="Palatino Linotype" w:eastAsia="Times New Roman" w:hAnsi="Palatino Linotype" w:cs="Tahoma"/>
          <w:b/>
          <w:i/>
          <w:lang w:eastAsia="ar-SA"/>
        </w:rPr>
        <w:t>s</w:t>
      </w:r>
      <w:r w:rsidR="00BC1783" w:rsidRPr="00FE36A5">
        <w:rPr>
          <w:rFonts w:ascii="Palatino Linotype" w:eastAsia="Times New Roman" w:hAnsi="Palatino Linotype" w:cs="Tahoma"/>
          <w:b/>
          <w:i/>
          <w:lang w:eastAsia="ar-SA"/>
        </w:rPr>
        <w:t xml:space="preserve"> en el que la contribución de áreas </w:t>
      </w:r>
      <w:r w:rsidR="00DD7DE9" w:rsidRPr="00FE36A5">
        <w:rPr>
          <w:rFonts w:ascii="Palatino Linotype" w:eastAsia="Times New Roman" w:hAnsi="Palatino Linotype" w:cs="Tahoma"/>
          <w:b/>
          <w:i/>
          <w:lang w:eastAsia="ar-SA"/>
        </w:rPr>
        <w:t xml:space="preserve">verdes </w:t>
      </w:r>
      <w:r w:rsidR="00F37EDC" w:rsidRPr="00FE36A5">
        <w:rPr>
          <w:rFonts w:ascii="Palatino Linotype" w:eastAsia="Times New Roman" w:hAnsi="Palatino Linotype" w:cs="Tahoma"/>
          <w:b/>
          <w:i/>
          <w:lang w:eastAsia="ar-SA"/>
        </w:rPr>
        <w:t>públic</w:t>
      </w:r>
      <w:r w:rsidR="000137A7" w:rsidRPr="00FE36A5">
        <w:rPr>
          <w:rFonts w:ascii="Palatino Linotype" w:eastAsia="Times New Roman" w:hAnsi="Palatino Linotype" w:cs="Tahoma"/>
          <w:b/>
          <w:i/>
          <w:lang w:eastAsia="ar-SA"/>
        </w:rPr>
        <w:t>as,</w:t>
      </w:r>
      <w:r w:rsidR="00DD7DE9" w:rsidRPr="00FE36A5">
        <w:rPr>
          <w:rFonts w:ascii="Palatino Linotype" w:eastAsia="Times New Roman" w:hAnsi="Palatino Linotype" w:cs="Tahoma"/>
          <w:b/>
          <w:i/>
          <w:lang w:eastAsia="ar-SA"/>
        </w:rPr>
        <w:t xml:space="preserve"> </w:t>
      </w:r>
      <w:r w:rsidR="00F37EDC" w:rsidRPr="00FE36A5">
        <w:rPr>
          <w:rFonts w:ascii="Palatino Linotype" w:eastAsia="Times New Roman" w:hAnsi="Palatino Linotype" w:cs="Tahoma"/>
          <w:b/>
          <w:i/>
          <w:lang w:eastAsia="ar-SA"/>
        </w:rPr>
        <w:t xml:space="preserve">para </w:t>
      </w:r>
      <w:r w:rsidR="007453F0" w:rsidRPr="00FE36A5">
        <w:rPr>
          <w:rFonts w:ascii="Palatino Linotype" w:eastAsia="Times New Roman" w:hAnsi="Palatino Linotype" w:cs="Tahoma"/>
          <w:b/>
          <w:i/>
          <w:lang w:eastAsia="ar-SA"/>
        </w:rPr>
        <w:t>subdivisiones puede</w:t>
      </w:r>
      <w:r w:rsidR="00F37EDC" w:rsidRPr="00FE36A5">
        <w:rPr>
          <w:rFonts w:ascii="Palatino Linotype" w:eastAsia="Times New Roman" w:hAnsi="Palatino Linotype" w:cs="Tahoma"/>
          <w:b/>
          <w:i/>
          <w:lang w:eastAsia="ar-SA"/>
        </w:rPr>
        <w:t xml:space="preserve"> ser </w:t>
      </w:r>
      <w:r w:rsidR="007453F0" w:rsidRPr="00FE36A5">
        <w:rPr>
          <w:rFonts w:ascii="Palatino Linotype" w:eastAsia="Times New Roman" w:hAnsi="Palatino Linotype" w:cs="Tahoma"/>
          <w:b/>
          <w:i/>
          <w:lang w:eastAsia="ar-SA"/>
        </w:rPr>
        <w:t>compensada. -</w:t>
      </w:r>
      <w:r w:rsidR="00F37EDC" w:rsidRPr="00FE36A5">
        <w:rPr>
          <w:rFonts w:ascii="Palatino Linotype" w:eastAsia="Times New Roman" w:hAnsi="Palatino Linotype" w:cs="Tahoma"/>
          <w:i/>
          <w:lang w:eastAsia="ar-SA"/>
        </w:rPr>
        <w:t xml:space="preserve">   </w:t>
      </w:r>
    </w:p>
    <w:p w:rsidR="00B063F7" w:rsidRPr="00FE36A5" w:rsidRDefault="00BC1783" w:rsidP="00FE36A5">
      <w:pPr>
        <w:spacing w:after="120"/>
        <w:ind w:left="708"/>
        <w:jc w:val="both"/>
        <w:rPr>
          <w:rFonts w:ascii="Palatino Linotype" w:hAnsi="Palatino Linotype" w:cs="Tahoma"/>
          <w:i/>
        </w:rPr>
      </w:pPr>
      <w:r w:rsidRPr="00FE36A5">
        <w:rPr>
          <w:rFonts w:ascii="Palatino Linotype" w:hAnsi="Palatino Linotype" w:cs="Tahoma"/>
          <w:b/>
          <w:i/>
        </w:rPr>
        <w:t>1.</w:t>
      </w:r>
      <w:r w:rsidRPr="00FE36A5">
        <w:rPr>
          <w:rFonts w:ascii="Palatino Linotype" w:hAnsi="Palatino Linotype" w:cs="Tahoma"/>
          <w:i/>
        </w:rPr>
        <w:t xml:space="preserve"> En subdivisiones</w:t>
      </w:r>
      <w:r w:rsidR="00A94D46" w:rsidRPr="00FE36A5">
        <w:rPr>
          <w:rFonts w:ascii="Palatino Linotype" w:hAnsi="Palatino Linotype" w:cs="Tahoma"/>
          <w:i/>
        </w:rPr>
        <w:t xml:space="preserve"> de lotes</w:t>
      </w:r>
      <w:r w:rsidRPr="00FE36A5">
        <w:rPr>
          <w:rFonts w:ascii="Palatino Linotype" w:hAnsi="Palatino Linotype" w:cs="Tahoma"/>
          <w:i/>
        </w:rPr>
        <w:t xml:space="preserve"> en suelo</w:t>
      </w:r>
      <w:r w:rsidR="00D71EF7" w:rsidRPr="00FE36A5">
        <w:rPr>
          <w:rFonts w:ascii="Palatino Linotype" w:hAnsi="Palatino Linotype" w:cs="Tahoma"/>
          <w:i/>
        </w:rPr>
        <w:t xml:space="preserve"> rural y </w:t>
      </w:r>
      <w:r w:rsidRPr="00FE36A5">
        <w:rPr>
          <w:rFonts w:ascii="Palatino Linotype" w:hAnsi="Palatino Linotype" w:cs="Tahoma"/>
          <w:i/>
        </w:rPr>
        <w:t>urbano</w:t>
      </w:r>
      <w:r w:rsidR="00A56E31" w:rsidRPr="00FE36A5">
        <w:rPr>
          <w:rFonts w:ascii="Palatino Linotype" w:hAnsi="Palatino Linotype" w:cs="Tahoma"/>
          <w:i/>
        </w:rPr>
        <w:t xml:space="preserve"> con una superficie inferior </w:t>
      </w:r>
      <w:r w:rsidR="007626BB" w:rsidRPr="00FE36A5">
        <w:rPr>
          <w:rFonts w:ascii="Palatino Linotype" w:hAnsi="Palatino Linotype" w:cs="Tahoma"/>
          <w:i/>
        </w:rPr>
        <w:t>a tres mil</w:t>
      </w:r>
      <w:r w:rsidRPr="00FE36A5">
        <w:rPr>
          <w:rFonts w:ascii="Palatino Linotype" w:hAnsi="Palatino Linotype" w:cs="Tahoma"/>
          <w:i/>
        </w:rPr>
        <w:t xml:space="preserve"> metros cuadrados</w:t>
      </w:r>
      <w:r w:rsidR="00A177C3" w:rsidRPr="00FE36A5">
        <w:rPr>
          <w:rFonts w:ascii="Palatino Linotype" w:hAnsi="Palatino Linotype" w:cs="Tahoma"/>
          <w:i/>
        </w:rPr>
        <w:t xml:space="preserve">, </w:t>
      </w:r>
      <w:r w:rsidR="00A56E31" w:rsidRPr="00FE36A5">
        <w:rPr>
          <w:rFonts w:ascii="Palatino Linotype" w:hAnsi="Palatino Linotype" w:cs="Tahoma"/>
          <w:i/>
        </w:rPr>
        <w:t xml:space="preserve">en cuanto a la contribución de áreas verdes </w:t>
      </w:r>
      <w:r w:rsidR="00A177C3" w:rsidRPr="00FE36A5">
        <w:rPr>
          <w:rFonts w:ascii="Palatino Linotype" w:hAnsi="Palatino Linotype" w:cs="Tahoma"/>
          <w:i/>
        </w:rPr>
        <w:t>se observará los siguientes casos:</w:t>
      </w:r>
    </w:p>
    <w:p w:rsidR="00BB7FEA" w:rsidRPr="00FE36A5" w:rsidRDefault="00BB7FEA" w:rsidP="00FE36A5">
      <w:pPr>
        <w:spacing w:after="120"/>
        <w:ind w:left="708"/>
        <w:jc w:val="both"/>
        <w:rPr>
          <w:rFonts w:ascii="Palatino Linotype" w:hAnsi="Palatino Linotype" w:cs="Tahoma"/>
          <w:i/>
        </w:rPr>
      </w:pPr>
      <w:r w:rsidRPr="00FE36A5">
        <w:rPr>
          <w:rFonts w:ascii="Palatino Linotype" w:hAnsi="Palatino Linotype" w:cs="Tahoma"/>
          <w:b/>
          <w:i/>
        </w:rPr>
        <w:t>a)</w:t>
      </w:r>
      <w:r w:rsidRPr="00FE36A5">
        <w:rPr>
          <w:rFonts w:ascii="Palatino Linotype" w:hAnsi="Palatino Linotype" w:cs="Tahoma"/>
          <w:i/>
        </w:rPr>
        <w:t xml:space="preserve"> Si el porcentaje de contribución es igual o mayor a</w:t>
      </w:r>
      <w:r w:rsidR="00A177C3" w:rsidRPr="00FE36A5">
        <w:rPr>
          <w:rFonts w:ascii="Palatino Linotype" w:hAnsi="Palatino Linotype" w:cs="Tahoma"/>
          <w:i/>
        </w:rPr>
        <w:t xml:space="preserve">l lote mínimo establecido en la zonificación vigente, </w:t>
      </w:r>
      <w:r w:rsidRPr="00FE36A5">
        <w:rPr>
          <w:rFonts w:ascii="Palatino Linotype" w:hAnsi="Palatino Linotype" w:cs="Tahoma"/>
          <w:i/>
        </w:rPr>
        <w:t xml:space="preserve">se entregará </w:t>
      </w:r>
      <w:r w:rsidR="00B31CDB" w:rsidRPr="00FE36A5">
        <w:rPr>
          <w:rFonts w:ascii="Palatino Linotype" w:hAnsi="Palatino Linotype" w:cs="Tahoma"/>
          <w:i/>
        </w:rPr>
        <w:t xml:space="preserve">como mínimo </w:t>
      </w:r>
      <w:r w:rsidRPr="00FE36A5">
        <w:rPr>
          <w:rFonts w:ascii="Palatino Linotype" w:hAnsi="Palatino Linotype" w:cs="Tahoma"/>
          <w:i/>
        </w:rPr>
        <w:t xml:space="preserve">el 15% de área verde </w:t>
      </w:r>
      <w:r w:rsidR="00B31CDB" w:rsidRPr="00FE36A5">
        <w:rPr>
          <w:rFonts w:ascii="Palatino Linotype" w:hAnsi="Palatino Linotype" w:cs="Tahoma"/>
          <w:i/>
        </w:rPr>
        <w:t>en forma de cesión gratuita y obligatoria</w:t>
      </w:r>
      <w:r w:rsidRPr="00FE36A5">
        <w:rPr>
          <w:rFonts w:ascii="Palatino Linotype" w:hAnsi="Palatino Linotype" w:cs="Tahoma"/>
          <w:i/>
        </w:rPr>
        <w:t>;</w:t>
      </w:r>
    </w:p>
    <w:p w:rsidR="0063428B" w:rsidRPr="00FE36A5" w:rsidRDefault="00BB7FEA" w:rsidP="00FE36A5">
      <w:pPr>
        <w:spacing w:after="120"/>
        <w:ind w:left="708"/>
        <w:jc w:val="both"/>
        <w:rPr>
          <w:rFonts w:ascii="Palatino Linotype" w:hAnsi="Palatino Linotype" w:cs="Tahoma"/>
          <w:i/>
        </w:rPr>
      </w:pPr>
      <w:r w:rsidRPr="00FE36A5">
        <w:rPr>
          <w:rFonts w:ascii="Palatino Linotype" w:hAnsi="Palatino Linotype" w:cs="Tahoma"/>
          <w:b/>
          <w:i/>
        </w:rPr>
        <w:t>b)</w:t>
      </w:r>
      <w:r w:rsidRPr="00FE36A5">
        <w:rPr>
          <w:rFonts w:ascii="Palatino Linotype" w:hAnsi="Palatino Linotype" w:cs="Tahoma"/>
          <w:i/>
        </w:rPr>
        <w:t xml:space="preserve"> Si el porcentaje de contribución es menor al lote mínimo establecido en la zonificación vigente, </w:t>
      </w:r>
      <w:r w:rsidR="00BC1783" w:rsidRPr="00FE36A5">
        <w:rPr>
          <w:rFonts w:ascii="Palatino Linotype" w:hAnsi="Palatino Linotype" w:cs="Tahoma"/>
          <w:i/>
        </w:rPr>
        <w:t xml:space="preserve">se compensará con el pago en </w:t>
      </w:r>
      <w:r w:rsidRPr="00FE36A5">
        <w:rPr>
          <w:rFonts w:ascii="Palatino Linotype" w:hAnsi="Palatino Linotype" w:cs="Tahoma"/>
          <w:i/>
        </w:rPr>
        <w:t>valor monetario</w:t>
      </w:r>
      <w:r w:rsidR="00AA1EF9" w:rsidRPr="00FE36A5">
        <w:rPr>
          <w:rFonts w:ascii="Palatino Linotype" w:hAnsi="Palatino Linotype" w:cs="Tahoma"/>
          <w:i/>
        </w:rPr>
        <w:t xml:space="preserve"> equivalente al 15%</w:t>
      </w:r>
      <w:r w:rsidRPr="00FE36A5">
        <w:rPr>
          <w:rFonts w:ascii="Palatino Linotype" w:hAnsi="Palatino Linotype" w:cs="Tahoma"/>
          <w:i/>
        </w:rPr>
        <w:t xml:space="preserve"> </w:t>
      </w:r>
      <w:r w:rsidR="00AC0B5D" w:rsidRPr="00FE36A5">
        <w:rPr>
          <w:rFonts w:ascii="Palatino Linotype" w:hAnsi="Palatino Linotype" w:cs="Tahoma"/>
          <w:i/>
        </w:rPr>
        <w:t xml:space="preserve">como mínimo </w:t>
      </w:r>
      <w:r w:rsidR="00BC1783" w:rsidRPr="00FE36A5">
        <w:rPr>
          <w:rFonts w:ascii="Palatino Linotype" w:hAnsi="Palatino Linotype" w:cs="Tahoma"/>
          <w:i/>
        </w:rPr>
        <w:t>según el avaluó catastral</w:t>
      </w:r>
      <w:r w:rsidR="001A75EA">
        <w:rPr>
          <w:rFonts w:ascii="Palatino Linotype" w:hAnsi="Palatino Linotype" w:cs="Tahoma"/>
          <w:i/>
        </w:rPr>
        <w:t xml:space="preserve"> actualizado</w:t>
      </w:r>
      <w:r w:rsidR="003843BB" w:rsidRPr="00FE36A5">
        <w:rPr>
          <w:rFonts w:ascii="Palatino Linotype" w:hAnsi="Palatino Linotype" w:cs="Tahoma"/>
          <w:i/>
        </w:rPr>
        <w:t>, en función de la ordenanza vigente que aprueba el valor del suelo</w:t>
      </w:r>
      <w:r w:rsidR="00BC1783" w:rsidRPr="00FE36A5">
        <w:rPr>
          <w:rFonts w:ascii="Palatino Linotype" w:hAnsi="Palatino Linotype" w:cs="Tahoma"/>
          <w:i/>
        </w:rPr>
        <w:t>.</w:t>
      </w:r>
    </w:p>
    <w:p w:rsidR="006B4854" w:rsidRPr="00FE36A5" w:rsidRDefault="00AA1EF9" w:rsidP="00FE36A5">
      <w:pPr>
        <w:spacing w:after="120"/>
        <w:ind w:left="708"/>
        <w:jc w:val="both"/>
        <w:rPr>
          <w:rFonts w:ascii="Palatino Linotype" w:hAnsi="Palatino Linotype" w:cs="Tahoma"/>
          <w:i/>
        </w:rPr>
      </w:pPr>
      <w:r w:rsidRPr="001A75EA">
        <w:rPr>
          <w:rFonts w:ascii="Palatino Linotype" w:hAnsi="Palatino Linotype" w:cs="Tahoma"/>
          <w:b/>
          <w:i/>
        </w:rPr>
        <w:t>2</w:t>
      </w:r>
      <w:r w:rsidR="00C677F4" w:rsidRPr="001A75EA">
        <w:rPr>
          <w:rFonts w:ascii="Palatino Linotype" w:hAnsi="Palatino Linotype" w:cs="Tahoma"/>
          <w:b/>
          <w:i/>
        </w:rPr>
        <w:t>.</w:t>
      </w:r>
      <w:r w:rsidR="00BB7FEA" w:rsidRPr="001A75EA">
        <w:rPr>
          <w:rFonts w:ascii="Palatino Linotype" w:hAnsi="Palatino Linotype" w:cs="Tahoma"/>
          <w:b/>
          <w:i/>
        </w:rPr>
        <w:t xml:space="preserve"> </w:t>
      </w:r>
      <w:r w:rsidR="00807A5A" w:rsidRPr="00FE36A5">
        <w:rPr>
          <w:rFonts w:ascii="Palatino Linotype" w:hAnsi="Palatino Linotype" w:cs="Tahoma"/>
          <w:i/>
        </w:rPr>
        <w:t>Cuando el administrado solicit</w:t>
      </w:r>
      <w:r w:rsidR="009655E2" w:rsidRPr="00FE36A5">
        <w:rPr>
          <w:rFonts w:ascii="Palatino Linotype" w:hAnsi="Palatino Linotype" w:cs="Tahoma"/>
          <w:i/>
        </w:rPr>
        <w:t>e</w:t>
      </w:r>
      <w:r w:rsidR="00807A5A" w:rsidRPr="00FE36A5">
        <w:rPr>
          <w:rFonts w:ascii="Palatino Linotype" w:hAnsi="Palatino Linotype" w:cs="Tahoma"/>
          <w:i/>
        </w:rPr>
        <w:t xml:space="preserve"> la subdivisión de un lote que ha sido afectado parcialmente por el trazado vial</w:t>
      </w:r>
      <w:r w:rsidR="00BB7FEA" w:rsidRPr="00FE36A5">
        <w:rPr>
          <w:rFonts w:ascii="Palatino Linotype" w:hAnsi="Palatino Linotype" w:cs="Tahoma"/>
          <w:i/>
        </w:rPr>
        <w:t xml:space="preserve">, </w:t>
      </w:r>
      <w:r w:rsidR="006B4854" w:rsidRPr="00FE36A5">
        <w:rPr>
          <w:rFonts w:ascii="Palatino Linotype" w:hAnsi="Palatino Linotype" w:cs="Tahoma"/>
          <w:i/>
        </w:rPr>
        <w:t>aprobad</w:t>
      </w:r>
      <w:r w:rsidR="00807A5A" w:rsidRPr="00FE36A5">
        <w:rPr>
          <w:rFonts w:ascii="Palatino Linotype" w:hAnsi="Palatino Linotype" w:cs="Tahoma"/>
          <w:i/>
        </w:rPr>
        <w:t>o</w:t>
      </w:r>
      <w:r w:rsidR="006B4854" w:rsidRPr="00FE36A5">
        <w:rPr>
          <w:rFonts w:ascii="Palatino Linotype" w:hAnsi="Palatino Linotype" w:cs="Tahoma"/>
          <w:i/>
        </w:rPr>
        <w:t xml:space="preserve"> por el Concejo Metropolitano, se observará los siguientes casos:</w:t>
      </w:r>
    </w:p>
    <w:p w:rsidR="009A5507" w:rsidRPr="00FE36A5" w:rsidRDefault="009A5507" w:rsidP="00FE36A5">
      <w:pPr>
        <w:spacing w:after="120"/>
        <w:ind w:left="708"/>
        <w:jc w:val="both"/>
        <w:rPr>
          <w:rFonts w:ascii="Palatino Linotype" w:hAnsi="Palatino Linotype" w:cs="Tahoma"/>
          <w:i/>
        </w:rPr>
      </w:pPr>
      <w:r w:rsidRPr="00FE36A5">
        <w:rPr>
          <w:rFonts w:ascii="Palatino Linotype" w:hAnsi="Palatino Linotype" w:cs="Tahoma"/>
          <w:b/>
          <w:i/>
        </w:rPr>
        <w:t>a)</w:t>
      </w:r>
      <w:r w:rsidRPr="00FE36A5">
        <w:rPr>
          <w:rFonts w:ascii="Palatino Linotype" w:hAnsi="Palatino Linotype" w:cs="Tahoma"/>
          <w:i/>
        </w:rPr>
        <w:t xml:space="preserve"> Si las afectaciones superan el porcentaje del 15% de contribución de área verde pública, la Municipalidad una vez declarado de utilidad pública, deberá cancelar sobre el área excedente, previa justa valoración de conformidad con la ley; eximiendo de esta manera de la contribución del 15% del área verde pública.</w:t>
      </w:r>
    </w:p>
    <w:p w:rsidR="00FD0B9B" w:rsidRPr="00FE36A5" w:rsidRDefault="009A5507" w:rsidP="00FE36A5">
      <w:pPr>
        <w:spacing w:after="120"/>
        <w:ind w:left="708"/>
        <w:jc w:val="both"/>
        <w:rPr>
          <w:rFonts w:ascii="Palatino Linotype" w:hAnsi="Palatino Linotype" w:cs="Tahoma"/>
          <w:i/>
        </w:rPr>
      </w:pPr>
      <w:r w:rsidRPr="00FE36A5">
        <w:rPr>
          <w:rFonts w:ascii="Palatino Linotype" w:hAnsi="Palatino Linotype" w:cs="Tahoma"/>
          <w:b/>
          <w:i/>
        </w:rPr>
        <w:t>b)</w:t>
      </w:r>
      <w:r w:rsidRPr="00FE36A5">
        <w:rPr>
          <w:rFonts w:ascii="Palatino Linotype" w:hAnsi="Palatino Linotype" w:cs="Tahoma"/>
          <w:i/>
        </w:rPr>
        <w:t xml:space="preserve"> Si las afectaciones son menores al porcentaje del 15% de contribución de área verde pública, la diferencia se podrá compensar por parte del administrado en valor monetario, previa justa valoración de conformidad con la ley, una vez declarado de utilidad pública. </w:t>
      </w:r>
    </w:p>
    <w:p w:rsidR="00B063F7" w:rsidRPr="00FE36A5" w:rsidRDefault="000E050A" w:rsidP="00FE36A5">
      <w:pPr>
        <w:spacing w:after="120"/>
        <w:ind w:left="708"/>
        <w:jc w:val="both"/>
        <w:rPr>
          <w:rFonts w:ascii="Palatino Linotype" w:hAnsi="Palatino Linotype" w:cs="Tahoma"/>
          <w:b/>
          <w:i/>
        </w:rPr>
      </w:pPr>
      <w:r w:rsidRPr="00FE36A5">
        <w:rPr>
          <w:rFonts w:ascii="Palatino Linotype" w:hAnsi="Palatino Linotype" w:cs="Tahoma"/>
          <w:b/>
          <w:i/>
        </w:rPr>
        <w:t>3</w:t>
      </w:r>
      <w:r w:rsidRPr="00FE36A5">
        <w:rPr>
          <w:rFonts w:ascii="Palatino Linotype" w:hAnsi="Palatino Linotype" w:cs="Tahoma"/>
          <w:i/>
        </w:rPr>
        <w:t>. En Particiones judiciales de inmuebles con áreas inferiores a 3000.00 m</w:t>
      </w:r>
      <w:r w:rsidRPr="001A75EA">
        <w:rPr>
          <w:rFonts w:ascii="Palatino Linotype" w:hAnsi="Palatino Linotype" w:cs="Tahoma"/>
          <w:i/>
          <w:vertAlign w:val="superscript"/>
        </w:rPr>
        <w:t>2</w:t>
      </w:r>
      <w:r w:rsidRPr="00FE36A5">
        <w:rPr>
          <w:rFonts w:ascii="Palatino Linotype" w:hAnsi="Palatino Linotype" w:cs="Tahoma"/>
          <w:i/>
        </w:rPr>
        <w:t>, si la contribución del 15% de área verde en forma de cesión gratuita y obligatoria es menor al lote mínimo asignado en la zonificación vigente, el administrado compensará el equivalente al 15% en valor monetario según el avaluó catastral</w:t>
      </w:r>
      <w:r w:rsidR="001A75EA">
        <w:rPr>
          <w:rFonts w:ascii="Palatino Linotype" w:hAnsi="Palatino Linotype" w:cs="Tahoma"/>
          <w:i/>
        </w:rPr>
        <w:t xml:space="preserve"> actualizado</w:t>
      </w:r>
      <w:r w:rsidRPr="00FE36A5">
        <w:rPr>
          <w:rFonts w:ascii="Palatino Linotype" w:hAnsi="Palatino Linotype" w:cs="Tahoma"/>
          <w:i/>
        </w:rPr>
        <w:t>.</w:t>
      </w:r>
      <w:r w:rsidRPr="00FE36A5">
        <w:rPr>
          <w:rFonts w:ascii="Palatino Linotype" w:hAnsi="Palatino Linotype" w:cs="Tahoma"/>
          <w:b/>
          <w:i/>
        </w:rPr>
        <w:t xml:space="preserve"> </w:t>
      </w:r>
    </w:p>
    <w:p w:rsidR="00011164" w:rsidRPr="00FE36A5" w:rsidRDefault="00011164" w:rsidP="00FE36A5">
      <w:pPr>
        <w:spacing w:after="120"/>
        <w:ind w:left="708"/>
        <w:jc w:val="both"/>
        <w:rPr>
          <w:rFonts w:ascii="Palatino Linotype" w:hAnsi="Palatino Linotype" w:cs="Tahoma"/>
          <w:i/>
        </w:rPr>
      </w:pPr>
      <w:r w:rsidRPr="00FE36A5">
        <w:rPr>
          <w:rFonts w:ascii="Palatino Linotype" w:hAnsi="Palatino Linotype" w:cs="Tahoma"/>
          <w:b/>
          <w:i/>
        </w:rPr>
        <w:lastRenderedPageBreak/>
        <w:t>4.</w:t>
      </w:r>
      <w:r w:rsidRPr="00FE36A5">
        <w:rPr>
          <w:rFonts w:ascii="Palatino Linotype" w:hAnsi="Palatino Linotype" w:cs="Tahoma"/>
          <w:i/>
        </w:rPr>
        <w:t xml:space="preserve"> En el caso de la sentencia ejecutoriada dictada dentro del juicio de prescripción extraordinaria adquisitiva de dominio,</w:t>
      </w:r>
      <w:r w:rsidR="009E5F34" w:rsidRPr="00FE36A5">
        <w:rPr>
          <w:rFonts w:ascii="Palatino Linotype" w:hAnsi="Palatino Linotype" w:cs="Tahoma"/>
          <w:i/>
        </w:rPr>
        <w:t xml:space="preserve"> de una </w:t>
      </w:r>
      <w:r w:rsidR="00420599" w:rsidRPr="00FE36A5">
        <w:rPr>
          <w:rFonts w:ascii="Palatino Linotype" w:hAnsi="Palatino Linotype" w:cs="Tahoma"/>
          <w:i/>
        </w:rPr>
        <w:t>parte,</w:t>
      </w:r>
      <w:r w:rsidR="009E5F34" w:rsidRPr="00FE36A5">
        <w:rPr>
          <w:rFonts w:ascii="Palatino Linotype" w:hAnsi="Palatino Linotype" w:cs="Tahoma"/>
          <w:i/>
        </w:rPr>
        <w:t xml:space="preserve"> de un lote </w:t>
      </w:r>
      <w:r w:rsidR="00081379" w:rsidRPr="00FE36A5">
        <w:rPr>
          <w:rFonts w:ascii="Palatino Linotype" w:hAnsi="Palatino Linotype" w:cs="Tahoma"/>
          <w:i/>
        </w:rPr>
        <w:t>que obliga a un fraccionamiento</w:t>
      </w:r>
      <w:r w:rsidR="009E5F34" w:rsidRPr="00FE36A5">
        <w:rPr>
          <w:rFonts w:ascii="Palatino Linotype" w:hAnsi="Palatino Linotype" w:cs="Tahoma"/>
          <w:i/>
        </w:rPr>
        <w:t>,</w:t>
      </w:r>
      <w:r w:rsidRPr="00FE36A5">
        <w:rPr>
          <w:rFonts w:ascii="Palatino Linotype" w:hAnsi="Palatino Linotype" w:cs="Tahoma"/>
          <w:i/>
        </w:rPr>
        <w:t xml:space="preserve"> de conformidad a lo estipulado en el artículo 424 reformado del Código Orgánico de Organización Territorial, Autonomía y Descentralización, se deberá calcular el aporte del 15% del área útil adquirida mediante sentencia.</w:t>
      </w:r>
    </w:p>
    <w:p w:rsidR="00011164" w:rsidRPr="00FE36A5" w:rsidRDefault="00011164" w:rsidP="00FE36A5">
      <w:pPr>
        <w:spacing w:after="120"/>
        <w:ind w:left="708"/>
        <w:jc w:val="both"/>
        <w:rPr>
          <w:rFonts w:ascii="Palatino Linotype" w:hAnsi="Palatino Linotype" w:cs="Tahoma"/>
          <w:i/>
        </w:rPr>
      </w:pPr>
      <w:r w:rsidRPr="00FE36A5">
        <w:rPr>
          <w:rFonts w:ascii="Palatino Linotype" w:hAnsi="Palatino Linotype" w:cs="Tahoma"/>
          <w:i/>
        </w:rPr>
        <w:t>Si el área de la sentencia es inferior a 3000.00 m</w:t>
      </w:r>
      <w:r w:rsidRPr="001A75EA">
        <w:rPr>
          <w:rFonts w:ascii="Palatino Linotype" w:hAnsi="Palatino Linotype" w:cs="Tahoma"/>
          <w:i/>
          <w:vertAlign w:val="superscript"/>
        </w:rPr>
        <w:t>2</w:t>
      </w:r>
      <w:r w:rsidRPr="00FE36A5">
        <w:rPr>
          <w:rFonts w:ascii="Palatino Linotype" w:hAnsi="Palatino Linotype" w:cs="Tahoma"/>
          <w:i/>
        </w:rPr>
        <w:t>, la contribución del 15% del área útil adjudicada, se compensará en valor monetario según el avaluó catastral</w:t>
      </w:r>
      <w:r w:rsidR="001A75EA">
        <w:rPr>
          <w:rFonts w:ascii="Palatino Linotype" w:hAnsi="Palatino Linotype" w:cs="Tahoma"/>
          <w:i/>
        </w:rPr>
        <w:t xml:space="preserve"> actualizado</w:t>
      </w:r>
      <w:r w:rsidRPr="00FE36A5">
        <w:rPr>
          <w:rFonts w:ascii="Palatino Linotype" w:hAnsi="Palatino Linotype" w:cs="Tahoma"/>
          <w:i/>
        </w:rPr>
        <w:t xml:space="preserve">, cuando sea menor al lote mínimo asignado en la zonificación vigente. </w:t>
      </w:r>
    </w:p>
    <w:p w:rsidR="000E050A" w:rsidRPr="00FE36A5" w:rsidRDefault="00505A56" w:rsidP="00FE36A5">
      <w:pPr>
        <w:spacing w:after="120"/>
        <w:ind w:left="708"/>
        <w:jc w:val="both"/>
        <w:rPr>
          <w:rFonts w:ascii="Palatino Linotype" w:hAnsi="Palatino Linotype" w:cs="Tahoma"/>
          <w:b/>
          <w:i/>
          <w:color w:val="000000" w:themeColor="text1"/>
        </w:rPr>
      </w:pPr>
      <w:r w:rsidRPr="00FE36A5">
        <w:rPr>
          <w:rFonts w:ascii="Palatino Linotype" w:hAnsi="Palatino Linotype" w:cs="Tahoma"/>
          <w:b/>
          <w:i/>
          <w:color w:val="000000" w:themeColor="text1"/>
        </w:rPr>
        <w:t>5</w:t>
      </w:r>
      <w:r w:rsidR="000E050A" w:rsidRPr="00FE36A5">
        <w:rPr>
          <w:rFonts w:ascii="Palatino Linotype" w:hAnsi="Palatino Linotype" w:cs="Tahoma"/>
          <w:b/>
          <w:i/>
          <w:color w:val="000000" w:themeColor="text1"/>
        </w:rPr>
        <w:t>.</w:t>
      </w:r>
      <w:r w:rsidR="000E050A" w:rsidRPr="00FE36A5">
        <w:rPr>
          <w:rFonts w:ascii="Palatino Linotype" w:hAnsi="Palatino Linotype" w:cs="Tahoma"/>
          <w:i/>
          <w:color w:val="000000" w:themeColor="text1"/>
        </w:rPr>
        <w:t xml:space="preserve"> En</w:t>
      </w:r>
      <w:r w:rsidR="00651D29" w:rsidRPr="00FE36A5">
        <w:rPr>
          <w:rFonts w:ascii="Palatino Linotype" w:hAnsi="Palatino Linotype" w:cs="Tahoma"/>
          <w:i/>
          <w:color w:val="000000" w:themeColor="text1"/>
        </w:rPr>
        <w:t xml:space="preserve"> las p</w:t>
      </w:r>
      <w:r w:rsidR="00BE3819" w:rsidRPr="00FE36A5">
        <w:rPr>
          <w:rFonts w:ascii="Palatino Linotype" w:hAnsi="Palatino Linotype" w:cs="Tahoma"/>
          <w:i/>
          <w:color w:val="000000" w:themeColor="text1"/>
        </w:rPr>
        <w:t>articiones h</w:t>
      </w:r>
      <w:r w:rsidR="000E050A" w:rsidRPr="00FE36A5">
        <w:rPr>
          <w:rFonts w:ascii="Palatino Linotype" w:hAnsi="Palatino Linotype" w:cs="Tahoma"/>
          <w:i/>
          <w:color w:val="000000" w:themeColor="text1"/>
        </w:rPr>
        <w:t>ereditarias, donaciones y ventas en suelo urbano de inmuebles con áreas inferiores a 3000.00 m</w:t>
      </w:r>
      <w:r w:rsidR="000E050A" w:rsidRPr="00FE36A5">
        <w:rPr>
          <w:rFonts w:ascii="Palatino Linotype" w:hAnsi="Palatino Linotype" w:cs="Tahoma"/>
          <w:i/>
          <w:color w:val="000000" w:themeColor="text1"/>
          <w:vertAlign w:val="superscript"/>
        </w:rPr>
        <w:t>2</w:t>
      </w:r>
      <w:r w:rsidR="000E050A" w:rsidRPr="00FE36A5">
        <w:rPr>
          <w:rFonts w:ascii="Palatino Linotype" w:hAnsi="Palatino Linotype" w:cs="Tahoma"/>
          <w:i/>
          <w:color w:val="000000" w:themeColor="text1"/>
        </w:rPr>
        <w:t>, si la contribución del 15% de área verde en forma de cesión gratuita y obligatoria es menor al lote mínimo asignado en la zonificación vigente, el administrado compensará el equivalente al 15% en valor monetario según el avaluó catastral</w:t>
      </w:r>
      <w:r w:rsidR="001A75EA">
        <w:rPr>
          <w:rFonts w:ascii="Palatino Linotype" w:hAnsi="Palatino Linotype" w:cs="Tahoma"/>
          <w:i/>
          <w:color w:val="000000" w:themeColor="text1"/>
        </w:rPr>
        <w:t xml:space="preserve"> actualizado</w:t>
      </w:r>
      <w:r w:rsidR="000E050A" w:rsidRPr="00FE36A5">
        <w:rPr>
          <w:rFonts w:ascii="Palatino Linotype" w:hAnsi="Palatino Linotype" w:cs="Tahoma"/>
          <w:i/>
          <w:color w:val="000000" w:themeColor="text1"/>
        </w:rPr>
        <w:t>.</w:t>
      </w:r>
      <w:r w:rsidR="000E050A" w:rsidRPr="00FE36A5">
        <w:rPr>
          <w:rFonts w:ascii="Palatino Linotype" w:hAnsi="Palatino Linotype" w:cs="Tahoma"/>
          <w:b/>
          <w:i/>
          <w:color w:val="000000" w:themeColor="text1"/>
        </w:rPr>
        <w:t xml:space="preserve"> </w:t>
      </w:r>
    </w:p>
    <w:p w:rsidR="00BC1783" w:rsidRPr="00FE36A5" w:rsidRDefault="00505A56" w:rsidP="00FE36A5">
      <w:pPr>
        <w:suppressAutoHyphens/>
        <w:spacing w:after="120"/>
        <w:ind w:left="708"/>
        <w:jc w:val="both"/>
        <w:rPr>
          <w:rFonts w:ascii="Palatino Linotype" w:eastAsia="Times New Roman" w:hAnsi="Palatino Linotype" w:cs="Tahoma"/>
          <w:i/>
          <w:color w:val="0000FF"/>
          <w:lang w:eastAsia="ar-SA"/>
        </w:rPr>
      </w:pPr>
      <w:r w:rsidRPr="00FE36A5">
        <w:rPr>
          <w:rFonts w:ascii="Palatino Linotype" w:eastAsia="Times New Roman" w:hAnsi="Palatino Linotype" w:cs="Tahoma"/>
          <w:b/>
          <w:i/>
          <w:lang w:eastAsia="ar-SA"/>
        </w:rPr>
        <w:t>6</w:t>
      </w:r>
      <w:r w:rsidR="00BC1783" w:rsidRPr="00FE36A5">
        <w:rPr>
          <w:rFonts w:ascii="Palatino Linotype" w:eastAsia="Times New Roman" w:hAnsi="Palatino Linotype" w:cs="Tahoma"/>
          <w:b/>
          <w:i/>
          <w:lang w:eastAsia="ar-SA"/>
        </w:rPr>
        <w:t>.</w:t>
      </w:r>
      <w:r w:rsidR="00BC1783" w:rsidRPr="00FE36A5">
        <w:rPr>
          <w:rFonts w:ascii="Palatino Linotype" w:eastAsia="Times New Roman" w:hAnsi="Palatino Linotype" w:cs="Tahoma"/>
          <w:i/>
          <w:lang w:eastAsia="ar-SA"/>
        </w:rPr>
        <w:t xml:space="preserve"> El valor del suelo se calculará en función de la ordenanza metropolitana vigente que aprueba </w:t>
      </w:r>
      <w:r w:rsidR="00DD1DCC" w:rsidRPr="00FE36A5">
        <w:rPr>
          <w:rFonts w:ascii="Palatino Linotype" w:eastAsia="Times New Roman" w:hAnsi="Palatino Linotype" w:cs="Tahoma"/>
          <w:i/>
          <w:lang w:eastAsia="ar-SA"/>
        </w:rPr>
        <w:t>la valoración catastral del inmueble</w:t>
      </w:r>
      <w:r w:rsidR="00BC1783" w:rsidRPr="00FE36A5">
        <w:rPr>
          <w:rFonts w:ascii="Palatino Linotype" w:eastAsia="Times New Roman" w:hAnsi="Palatino Linotype" w:cs="Tahoma"/>
          <w:i/>
          <w:lang w:eastAsia="ar-SA"/>
        </w:rPr>
        <w:t xml:space="preserve"> que rige para cada bienio en el</w:t>
      </w:r>
      <w:r w:rsidR="005E4E7C" w:rsidRPr="00FE36A5">
        <w:rPr>
          <w:rFonts w:ascii="Palatino Linotype" w:eastAsia="Times New Roman" w:hAnsi="Palatino Linotype" w:cs="Tahoma"/>
          <w:i/>
          <w:lang w:eastAsia="ar-SA"/>
        </w:rPr>
        <w:t xml:space="preserve"> Distrito Metropolitano de Quito.</w:t>
      </w:r>
    </w:p>
    <w:p w:rsidR="00BC1783" w:rsidRPr="00FE36A5" w:rsidRDefault="00505A56" w:rsidP="00FE36A5">
      <w:pPr>
        <w:suppressAutoHyphens/>
        <w:spacing w:after="120"/>
        <w:ind w:left="708"/>
        <w:jc w:val="both"/>
        <w:rPr>
          <w:rFonts w:ascii="Palatino Linotype" w:eastAsia="Times New Roman" w:hAnsi="Palatino Linotype" w:cs="Tahoma"/>
          <w:i/>
          <w:lang w:eastAsia="ar-SA"/>
        </w:rPr>
      </w:pPr>
      <w:r w:rsidRPr="00FE36A5">
        <w:rPr>
          <w:rFonts w:ascii="Palatino Linotype" w:eastAsia="Times New Roman" w:hAnsi="Palatino Linotype" w:cs="Tahoma"/>
          <w:b/>
          <w:i/>
          <w:lang w:eastAsia="ar-SA"/>
        </w:rPr>
        <w:t>7</w:t>
      </w:r>
      <w:r w:rsidR="00945D54" w:rsidRPr="00FE36A5">
        <w:rPr>
          <w:rFonts w:ascii="Palatino Linotype" w:eastAsia="Times New Roman" w:hAnsi="Palatino Linotype" w:cs="Tahoma"/>
          <w:b/>
          <w:i/>
          <w:lang w:eastAsia="ar-SA"/>
        </w:rPr>
        <w:t>.</w:t>
      </w:r>
      <w:r w:rsidR="00945D54" w:rsidRPr="00FE36A5">
        <w:rPr>
          <w:rFonts w:ascii="Palatino Linotype" w:eastAsia="Times New Roman" w:hAnsi="Palatino Linotype" w:cs="Tahoma"/>
          <w:i/>
          <w:lang w:eastAsia="ar-SA"/>
        </w:rPr>
        <w:t xml:space="preserve"> Si la compensación en </w:t>
      </w:r>
      <w:r w:rsidR="000E6491" w:rsidRPr="00FE36A5">
        <w:rPr>
          <w:rFonts w:ascii="Palatino Linotype" w:eastAsia="Times New Roman" w:hAnsi="Palatino Linotype" w:cs="Tahoma"/>
          <w:i/>
          <w:lang w:eastAsia="ar-SA"/>
        </w:rPr>
        <w:t>dinero</w:t>
      </w:r>
      <w:r w:rsidR="00945D54" w:rsidRPr="00FE36A5">
        <w:rPr>
          <w:rFonts w:ascii="Palatino Linotype" w:eastAsia="Times New Roman" w:hAnsi="Palatino Linotype" w:cs="Tahoma"/>
          <w:i/>
          <w:lang w:eastAsia="ar-SA"/>
        </w:rPr>
        <w:t xml:space="preserve"> suple o reemplaza la entrega de área verde</w:t>
      </w:r>
      <w:r w:rsidR="00FC1B14" w:rsidRPr="00FE36A5">
        <w:rPr>
          <w:rFonts w:ascii="Palatino Linotype" w:eastAsia="Times New Roman" w:hAnsi="Palatino Linotype" w:cs="Tahoma"/>
          <w:i/>
          <w:lang w:eastAsia="ar-SA"/>
        </w:rPr>
        <w:t xml:space="preserve"> pública</w:t>
      </w:r>
      <w:r w:rsidR="00945D54" w:rsidRPr="00FE36A5">
        <w:rPr>
          <w:rFonts w:ascii="Palatino Linotype" w:eastAsia="Times New Roman" w:hAnsi="Palatino Linotype" w:cs="Tahoma"/>
          <w:i/>
          <w:lang w:eastAsia="ar-SA"/>
        </w:rPr>
        <w:t>, dich</w:t>
      </w:r>
      <w:r w:rsidR="00D5043A" w:rsidRPr="00FE36A5">
        <w:rPr>
          <w:rFonts w:ascii="Palatino Linotype" w:eastAsia="Times New Roman" w:hAnsi="Palatino Linotype" w:cs="Tahoma"/>
          <w:i/>
          <w:lang w:eastAsia="ar-SA"/>
        </w:rPr>
        <w:t>a</w:t>
      </w:r>
      <w:r w:rsidR="00945D54" w:rsidRPr="00FE36A5">
        <w:rPr>
          <w:rFonts w:ascii="Palatino Linotype" w:eastAsia="Times New Roman" w:hAnsi="Palatino Linotype" w:cs="Tahoma"/>
          <w:i/>
          <w:lang w:eastAsia="ar-SA"/>
        </w:rPr>
        <w:t xml:space="preserve"> </w:t>
      </w:r>
      <w:r w:rsidR="006625A4" w:rsidRPr="00FE36A5">
        <w:rPr>
          <w:rFonts w:ascii="Palatino Linotype" w:eastAsia="Times New Roman" w:hAnsi="Palatino Linotype" w:cs="Tahoma"/>
          <w:i/>
          <w:lang w:eastAsia="ar-SA"/>
        </w:rPr>
        <w:t xml:space="preserve">compensación </w:t>
      </w:r>
      <w:r w:rsidR="00945D54" w:rsidRPr="00FE36A5">
        <w:rPr>
          <w:rFonts w:ascii="Palatino Linotype" w:eastAsia="Times New Roman" w:hAnsi="Palatino Linotype" w:cs="Tahoma"/>
          <w:i/>
          <w:lang w:eastAsia="ar-SA"/>
        </w:rPr>
        <w:t>debe ser equivalente</w:t>
      </w:r>
      <w:r w:rsidR="00B171E1" w:rsidRPr="00FE36A5">
        <w:rPr>
          <w:rFonts w:ascii="Palatino Linotype" w:eastAsia="Times New Roman" w:hAnsi="Palatino Linotype" w:cs="Tahoma"/>
          <w:i/>
          <w:lang w:eastAsia="ar-SA"/>
        </w:rPr>
        <w:t>,</w:t>
      </w:r>
      <w:r w:rsidR="00945D54" w:rsidRPr="00FE36A5">
        <w:rPr>
          <w:rFonts w:ascii="Palatino Linotype" w:eastAsia="Times New Roman" w:hAnsi="Palatino Linotype" w:cs="Tahoma"/>
          <w:i/>
          <w:lang w:eastAsia="ar-SA"/>
        </w:rPr>
        <w:t xml:space="preserve"> </w:t>
      </w:r>
      <w:r w:rsidR="004619FB" w:rsidRPr="00FE36A5">
        <w:rPr>
          <w:rFonts w:ascii="Palatino Linotype" w:eastAsia="Times New Roman" w:hAnsi="Palatino Linotype" w:cs="Tahoma"/>
          <w:i/>
          <w:lang w:eastAsia="ar-SA"/>
        </w:rPr>
        <w:t xml:space="preserve">al </w:t>
      </w:r>
      <w:r w:rsidR="00B171E1" w:rsidRPr="00FE36A5">
        <w:rPr>
          <w:rFonts w:ascii="Palatino Linotype" w:eastAsia="Times New Roman" w:hAnsi="Palatino Linotype" w:cs="Tahoma"/>
          <w:i/>
          <w:lang w:eastAsia="ar-SA"/>
        </w:rPr>
        <w:t xml:space="preserve">valor monetario </w:t>
      </w:r>
      <w:r w:rsidR="004619FB" w:rsidRPr="00FE36A5">
        <w:rPr>
          <w:rFonts w:ascii="Palatino Linotype" w:eastAsia="Times New Roman" w:hAnsi="Palatino Linotype" w:cs="Tahoma"/>
          <w:i/>
          <w:lang w:eastAsia="ar-SA"/>
        </w:rPr>
        <w:t xml:space="preserve">correspondiente al 15% </w:t>
      </w:r>
      <w:r w:rsidR="00B171E1" w:rsidRPr="00FE36A5">
        <w:rPr>
          <w:rFonts w:ascii="Palatino Linotype" w:eastAsia="Times New Roman" w:hAnsi="Palatino Linotype" w:cs="Tahoma"/>
          <w:i/>
          <w:lang w:eastAsia="ar-SA"/>
        </w:rPr>
        <w:t xml:space="preserve">del área útil </w:t>
      </w:r>
      <w:r w:rsidR="00041FFB" w:rsidRPr="00FE36A5">
        <w:rPr>
          <w:rFonts w:ascii="Palatino Linotype" w:eastAsia="Times New Roman" w:hAnsi="Palatino Linotype" w:cs="Tahoma"/>
          <w:i/>
          <w:lang w:eastAsia="ar-SA"/>
        </w:rPr>
        <w:t xml:space="preserve">urbanizable </w:t>
      </w:r>
      <w:r w:rsidR="00B171E1" w:rsidRPr="00FE36A5">
        <w:rPr>
          <w:rFonts w:ascii="Palatino Linotype" w:eastAsia="Times New Roman" w:hAnsi="Palatino Linotype" w:cs="Tahoma"/>
          <w:i/>
          <w:lang w:eastAsia="ar-SA"/>
        </w:rPr>
        <w:t>del terreno, según el avalúo catastral</w:t>
      </w:r>
      <w:r w:rsidR="001A75EA">
        <w:rPr>
          <w:rFonts w:ascii="Palatino Linotype" w:eastAsia="Times New Roman" w:hAnsi="Palatino Linotype" w:cs="Tahoma"/>
          <w:i/>
          <w:lang w:eastAsia="ar-SA"/>
        </w:rPr>
        <w:t xml:space="preserve"> actualizado</w:t>
      </w:r>
      <w:r w:rsidR="00B171E1" w:rsidRPr="00FE36A5">
        <w:rPr>
          <w:rFonts w:ascii="Palatino Linotype" w:eastAsia="Times New Roman" w:hAnsi="Palatino Linotype" w:cs="Tahoma"/>
          <w:i/>
          <w:lang w:eastAsia="ar-SA"/>
        </w:rPr>
        <w:t>.</w:t>
      </w:r>
    </w:p>
    <w:p w:rsidR="0056476F" w:rsidRPr="00FE36A5" w:rsidRDefault="00505A56" w:rsidP="00FE36A5">
      <w:pPr>
        <w:spacing w:after="120"/>
        <w:ind w:left="708"/>
        <w:jc w:val="both"/>
        <w:rPr>
          <w:rFonts w:ascii="Palatino Linotype" w:hAnsi="Palatino Linotype" w:cs="Tahoma"/>
          <w:i/>
        </w:rPr>
      </w:pPr>
      <w:r w:rsidRPr="00FE36A5">
        <w:rPr>
          <w:rFonts w:ascii="Palatino Linotype" w:hAnsi="Palatino Linotype" w:cs="Tahoma"/>
          <w:b/>
          <w:i/>
        </w:rPr>
        <w:t>8</w:t>
      </w:r>
      <w:r w:rsidR="0056476F" w:rsidRPr="00FE36A5">
        <w:rPr>
          <w:rFonts w:ascii="Palatino Linotype" w:hAnsi="Palatino Linotype" w:cs="Tahoma"/>
          <w:b/>
          <w:i/>
        </w:rPr>
        <w:t>.</w:t>
      </w:r>
      <w:r w:rsidR="0056476F" w:rsidRPr="00FE36A5">
        <w:rPr>
          <w:rFonts w:ascii="Palatino Linotype" w:hAnsi="Palatino Linotype" w:cs="Tahoma"/>
          <w:i/>
        </w:rPr>
        <w:t xml:space="preserve"> </w:t>
      </w:r>
      <w:r w:rsidR="00041FFB" w:rsidRPr="00FE36A5">
        <w:rPr>
          <w:rFonts w:ascii="Palatino Linotype" w:hAnsi="Palatino Linotype" w:cs="Tahoma"/>
          <w:i/>
        </w:rPr>
        <w:t>Con lo</w:t>
      </w:r>
      <w:r w:rsidR="0056476F" w:rsidRPr="00FE36A5">
        <w:rPr>
          <w:rFonts w:ascii="Palatino Linotype" w:hAnsi="Palatino Linotype" w:cs="Tahoma"/>
          <w:i/>
        </w:rPr>
        <w:t xml:space="preserve">s recursos recaudados en valor monetario por efecto de la compensación, la municipalidad deberá crear un fondo para la adquisición de áreas verdes, equipamiento comunitario y obras para </w:t>
      </w:r>
      <w:r w:rsidR="00C677F4" w:rsidRPr="00FE36A5">
        <w:rPr>
          <w:rFonts w:ascii="Palatino Linotype" w:hAnsi="Palatino Linotype" w:cs="Tahoma"/>
          <w:i/>
        </w:rPr>
        <w:t xml:space="preserve">el </w:t>
      </w:r>
      <w:r w:rsidR="0056476F" w:rsidRPr="00FE36A5">
        <w:rPr>
          <w:rFonts w:ascii="Palatino Linotype" w:hAnsi="Palatino Linotype" w:cs="Tahoma"/>
          <w:i/>
        </w:rPr>
        <w:t>mejoramiento</w:t>
      </w:r>
      <w:r w:rsidR="002578F2" w:rsidRPr="00FE36A5">
        <w:rPr>
          <w:rFonts w:ascii="Palatino Linotype" w:hAnsi="Palatino Linotype" w:cs="Tahoma"/>
          <w:i/>
        </w:rPr>
        <w:t xml:space="preserve"> de preferencia en el </w:t>
      </w:r>
      <w:r w:rsidR="00C677F4" w:rsidRPr="00FE36A5">
        <w:rPr>
          <w:rFonts w:ascii="Palatino Linotype" w:hAnsi="Palatino Linotype" w:cs="Tahoma"/>
          <w:i/>
        </w:rPr>
        <w:t>sector donde se encuentra ubicado el inmueble</w:t>
      </w:r>
      <w:r w:rsidR="0056476F" w:rsidRPr="00FE36A5">
        <w:rPr>
          <w:rFonts w:ascii="Palatino Linotype" w:hAnsi="Palatino Linotype" w:cs="Tahoma"/>
          <w:i/>
        </w:rPr>
        <w:t>, de conformidad a lo establecido en la Ley Orgánica de Ordenamiento Territorial, Uso y Gestión de Suelo.</w:t>
      </w:r>
      <w:r w:rsidR="00FE36A5" w:rsidRPr="00FE36A5">
        <w:rPr>
          <w:rFonts w:ascii="Palatino Linotype" w:hAnsi="Palatino Linotype" w:cs="Tahoma"/>
          <w:i/>
        </w:rPr>
        <w:t>”</w:t>
      </w:r>
      <w:r w:rsidR="0056476F" w:rsidRPr="00FE36A5">
        <w:rPr>
          <w:rFonts w:ascii="Palatino Linotype" w:hAnsi="Palatino Linotype" w:cs="Tahoma"/>
          <w:i/>
        </w:rPr>
        <w:t xml:space="preserve">   </w:t>
      </w:r>
    </w:p>
    <w:p w:rsidR="004C7558" w:rsidRPr="003F2B99" w:rsidRDefault="004C7558" w:rsidP="00FE36A5">
      <w:pPr>
        <w:spacing w:after="120"/>
        <w:jc w:val="both"/>
        <w:rPr>
          <w:rFonts w:ascii="Palatino Linotype" w:hAnsi="Palatino Linotype" w:cs="Tahoma"/>
          <w:b/>
        </w:rPr>
      </w:pPr>
      <w:r w:rsidRPr="00FE36A5">
        <w:rPr>
          <w:rFonts w:ascii="Palatino Linotype" w:hAnsi="Palatino Linotype" w:cs="Tahoma"/>
          <w:b/>
        </w:rPr>
        <w:t xml:space="preserve">Artículo 3.- </w:t>
      </w:r>
      <w:r w:rsidRPr="00FE36A5">
        <w:rPr>
          <w:rFonts w:ascii="Palatino Linotype" w:hAnsi="Palatino Linotype" w:cs="Tahoma"/>
        </w:rPr>
        <w:t xml:space="preserve">En cuanto se refiere a la contribución del área verde </w:t>
      </w:r>
      <w:r w:rsidR="00F77B38" w:rsidRPr="00FE36A5">
        <w:rPr>
          <w:rFonts w:ascii="Palatino Linotype" w:hAnsi="Palatino Linotype" w:cs="Tahoma"/>
        </w:rPr>
        <w:t>e</w:t>
      </w:r>
      <w:r w:rsidRPr="00FE36A5">
        <w:rPr>
          <w:rFonts w:ascii="Palatino Linotype" w:hAnsi="Palatino Linotype" w:cs="Tahoma"/>
        </w:rPr>
        <w:t xml:space="preserve">n </w:t>
      </w:r>
      <w:r w:rsidR="00F77B38" w:rsidRPr="00FE36A5">
        <w:rPr>
          <w:rFonts w:ascii="Palatino Linotype" w:hAnsi="Palatino Linotype" w:cs="Tahoma"/>
        </w:rPr>
        <w:t xml:space="preserve">asentamientos </w:t>
      </w:r>
      <w:r w:rsidR="00FD0B9B" w:rsidRPr="00FE36A5">
        <w:rPr>
          <w:rFonts w:ascii="Palatino Linotype" w:hAnsi="Palatino Linotype" w:cs="Tahoma"/>
        </w:rPr>
        <w:t>humanos de hecho y consolidados</w:t>
      </w:r>
      <w:r w:rsidR="00F77B38" w:rsidRPr="00FE36A5">
        <w:rPr>
          <w:rFonts w:ascii="Palatino Linotype" w:hAnsi="Palatino Linotype" w:cs="Tahoma"/>
        </w:rPr>
        <w:t xml:space="preserve">, se aplicará la Disposición </w:t>
      </w:r>
      <w:r w:rsidR="00020999">
        <w:rPr>
          <w:rFonts w:ascii="Palatino Linotype" w:hAnsi="Palatino Linotype" w:cs="Tahoma"/>
        </w:rPr>
        <w:t xml:space="preserve">Transitoria </w:t>
      </w:r>
      <w:r w:rsidR="00544431" w:rsidRPr="00FE36A5">
        <w:rPr>
          <w:rFonts w:ascii="Palatino Linotype" w:hAnsi="Palatino Linotype" w:cs="Tahoma"/>
        </w:rPr>
        <w:t>Décimo Cuarta reformada de</w:t>
      </w:r>
      <w:r w:rsidR="007A7FF1" w:rsidRPr="00FE36A5">
        <w:rPr>
          <w:rFonts w:ascii="Palatino Linotype" w:hAnsi="Palatino Linotype" w:cs="Tahoma"/>
        </w:rPr>
        <w:t>l Código O</w:t>
      </w:r>
      <w:r w:rsidR="00F77B38" w:rsidRPr="00FE36A5">
        <w:rPr>
          <w:rFonts w:ascii="Palatino Linotype" w:hAnsi="Palatino Linotype" w:cs="Tahoma"/>
        </w:rPr>
        <w:t xml:space="preserve">rgánico de Organización Territorial, Autonomía </w:t>
      </w:r>
      <w:r w:rsidR="00544431" w:rsidRPr="00FE36A5">
        <w:rPr>
          <w:rFonts w:ascii="Palatino Linotype" w:hAnsi="Palatino Linotype" w:cs="Tahoma"/>
        </w:rPr>
        <w:t xml:space="preserve">y </w:t>
      </w:r>
      <w:r w:rsidR="00F77B38" w:rsidRPr="00FE36A5">
        <w:rPr>
          <w:rFonts w:ascii="Palatino Linotype" w:hAnsi="Palatino Linotype" w:cs="Tahoma"/>
        </w:rPr>
        <w:t>Descentralización</w:t>
      </w:r>
      <w:r w:rsidR="00FD0B9B" w:rsidRPr="00FE36A5">
        <w:rPr>
          <w:rFonts w:ascii="Palatino Linotype" w:hAnsi="Palatino Linotype" w:cs="Tahoma"/>
        </w:rPr>
        <w:t xml:space="preserve"> y la ordenanza que regula este tipo de asentamientos.</w:t>
      </w:r>
      <w:r w:rsidR="00FD0B9B" w:rsidRPr="003F2B99">
        <w:rPr>
          <w:rFonts w:ascii="Palatino Linotype" w:hAnsi="Palatino Linotype" w:cs="Tahoma"/>
        </w:rPr>
        <w:t xml:space="preserve"> </w:t>
      </w:r>
      <w:r w:rsidRPr="003F2B99">
        <w:rPr>
          <w:rFonts w:ascii="Palatino Linotype" w:hAnsi="Palatino Linotype" w:cs="Tahoma"/>
          <w:b/>
        </w:rPr>
        <w:t xml:space="preserve"> </w:t>
      </w:r>
    </w:p>
    <w:p w:rsidR="00FE36A5" w:rsidRPr="003C15E1" w:rsidRDefault="00FE36A5" w:rsidP="00FE36A5">
      <w:pPr>
        <w:spacing w:after="120"/>
        <w:jc w:val="both"/>
        <w:rPr>
          <w:rFonts w:ascii="Palatino Linotype" w:hAnsi="Palatino Linotype" w:cs="Arial"/>
        </w:rPr>
      </w:pPr>
      <w:r w:rsidRPr="00E47BAE">
        <w:rPr>
          <w:rFonts w:ascii="Palatino Linotype" w:hAnsi="Palatino Linotype" w:cs="Arial"/>
          <w:b/>
          <w:color w:val="000000"/>
        </w:rPr>
        <w:t>Disposición final.-</w:t>
      </w:r>
      <w:r w:rsidRPr="00E47BAE">
        <w:rPr>
          <w:rFonts w:ascii="Palatino Linotype" w:hAnsi="Palatino Linotype" w:cs="Arial"/>
          <w:color w:val="000000"/>
        </w:rPr>
        <w:t xml:space="preserve">  La presente ordenanza entrará en vigencia a partir</w:t>
      </w:r>
      <w:r w:rsidRPr="003C15E1">
        <w:rPr>
          <w:rFonts w:ascii="Palatino Linotype" w:hAnsi="Palatino Linotype" w:cs="Arial"/>
          <w:color w:val="000000"/>
        </w:rPr>
        <w:t xml:space="preserve"> de su sanción, sin perjuicio de su publicación en la</w:t>
      </w:r>
      <w:r>
        <w:rPr>
          <w:rFonts w:ascii="Palatino Linotype" w:hAnsi="Palatino Linotype" w:cs="Arial"/>
          <w:color w:val="000000"/>
        </w:rPr>
        <w:t xml:space="preserve"> Gaceta Oficial y en la</w:t>
      </w:r>
      <w:r w:rsidRPr="003C15E1">
        <w:rPr>
          <w:rFonts w:ascii="Palatino Linotype" w:hAnsi="Palatino Linotype" w:cs="Arial"/>
          <w:color w:val="000000"/>
        </w:rPr>
        <w:t xml:space="preserve"> página web institucional de la Municipalidad.</w:t>
      </w:r>
    </w:p>
    <w:p w:rsidR="00E56C85" w:rsidRDefault="00E56C85" w:rsidP="00FE36A5">
      <w:pPr>
        <w:pStyle w:val="Cuadrculaclara-nfasis31"/>
        <w:tabs>
          <w:tab w:val="left" w:pos="2410"/>
        </w:tabs>
        <w:suppressAutoHyphens w:val="0"/>
        <w:spacing w:after="120" w:line="276" w:lineRule="auto"/>
        <w:ind w:left="0"/>
        <w:jc w:val="both"/>
        <w:rPr>
          <w:rFonts w:ascii="Palatino Linotype" w:hAnsi="Palatino Linotype"/>
          <w:sz w:val="22"/>
          <w:szCs w:val="22"/>
        </w:rPr>
      </w:pPr>
    </w:p>
    <w:p w:rsidR="00E56C85" w:rsidRDefault="00E56C85" w:rsidP="00FE36A5">
      <w:pPr>
        <w:pStyle w:val="Cuadrculaclara-nfasis31"/>
        <w:tabs>
          <w:tab w:val="left" w:pos="2410"/>
        </w:tabs>
        <w:suppressAutoHyphens w:val="0"/>
        <w:spacing w:after="120" w:line="276" w:lineRule="auto"/>
        <w:ind w:left="0"/>
        <w:jc w:val="both"/>
        <w:rPr>
          <w:rFonts w:ascii="Palatino Linotype" w:hAnsi="Palatino Linotype"/>
          <w:sz w:val="22"/>
          <w:szCs w:val="22"/>
        </w:rPr>
      </w:pPr>
    </w:p>
    <w:p w:rsidR="00FE36A5" w:rsidRDefault="00FE36A5" w:rsidP="00FE36A5">
      <w:pPr>
        <w:pStyle w:val="Cuadrculaclara-nfasis31"/>
        <w:tabs>
          <w:tab w:val="left" w:pos="2410"/>
        </w:tabs>
        <w:suppressAutoHyphens w:val="0"/>
        <w:spacing w:after="120" w:line="276" w:lineRule="auto"/>
        <w:ind w:left="0"/>
        <w:jc w:val="both"/>
        <w:rPr>
          <w:rFonts w:ascii="Palatino Linotype" w:hAnsi="Palatino Linotype"/>
          <w:sz w:val="22"/>
          <w:szCs w:val="22"/>
        </w:rPr>
      </w:pPr>
      <w:r>
        <w:rPr>
          <w:rFonts w:ascii="Palatino Linotype" w:hAnsi="Palatino Linotype"/>
          <w:sz w:val="22"/>
          <w:szCs w:val="22"/>
        </w:rPr>
        <w:lastRenderedPageBreak/>
        <w:t>Dada, en la Sala de Sesione</w:t>
      </w:r>
      <w:bookmarkStart w:id="0" w:name="_GoBack"/>
      <w:bookmarkEnd w:id="0"/>
      <w:r>
        <w:rPr>
          <w:rFonts w:ascii="Palatino Linotype" w:hAnsi="Palatino Linotype"/>
          <w:sz w:val="22"/>
          <w:szCs w:val="22"/>
        </w:rPr>
        <w:t xml:space="preserve">s del Concejo Metropolitano de Quito, el </w:t>
      </w:r>
      <w:r w:rsidR="001A75EA">
        <w:rPr>
          <w:rFonts w:ascii="Palatino Linotype" w:hAnsi="Palatino Linotype"/>
          <w:sz w:val="22"/>
          <w:szCs w:val="22"/>
        </w:rPr>
        <w:t>6</w:t>
      </w:r>
      <w:r>
        <w:rPr>
          <w:rFonts w:ascii="Palatino Linotype" w:hAnsi="Palatino Linotype"/>
          <w:sz w:val="22"/>
          <w:szCs w:val="22"/>
        </w:rPr>
        <w:t xml:space="preserve"> de </w:t>
      </w:r>
      <w:r w:rsidR="001A75EA">
        <w:rPr>
          <w:rFonts w:ascii="Palatino Linotype" w:hAnsi="Palatino Linotype"/>
          <w:sz w:val="22"/>
          <w:szCs w:val="22"/>
        </w:rPr>
        <w:t xml:space="preserve">abril </w:t>
      </w:r>
      <w:r>
        <w:rPr>
          <w:rFonts w:ascii="Palatino Linotype" w:hAnsi="Palatino Linotype"/>
          <w:sz w:val="22"/>
          <w:szCs w:val="22"/>
        </w:rPr>
        <w:t>de 2017.</w:t>
      </w:r>
    </w:p>
    <w:p w:rsidR="00FE36A5" w:rsidRDefault="00FE36A5" w:rsidP="00FE36A5">
      <w:pPr>
        <w:pStyle w:val="Textopredeterminado"/>
        <w:shd w:val="clear" w:color="auto" w:fill="FFFFFF"/>
        <w:jc w:val="both"/>
        <w:rPr>
          <w:rFonts w:ascii="Palatino Linotype" w:hAnsi="Palatino Linotype"/>
          <w:sz w:val="22"/>
          <w:szCs w:val="22"/>
        </w:rPr>
      </w:pPr>
    </w:p>
    <w:p w:rsidR="00FE36A5" w:rsidRDefault="00FE36A5" w:rsidP="00FE36A5">
      <w:pPr>
        <w:pStyle w:val="Textopredeterminado"/>
        <w:shd w:val="clear" w:color="auto" w:fill="FFFFFF"/>
        <w:jc w:val="both"/>
        <w:rPr>
          <w:rFonts w:ascii="Palatino Linotype" w:hAnsi="Palatino Linotype"/>
          <w:sz w:val="22"/>
          <w:szCs w:val="22"/>
        </w:rPr>
      </w:pPr>
    </w:p>
    <w:tbl>
      <w:tblPr>
        <w:tblW w:w="10899" w:type="dxa"/>
        <w:jc w:val="center"/>
        <w:tblInd w:w="-885" w:type="dxa"/>
        <w:tblLook w:val="04A0" w:firstRow="1" w:lastRow="0" w:firstColumn="1" w:lastColumn="0" w:noHBand="0" w:noVBand="1"/>
      </w:tblPr>
      <w:tblGrid>
        <w:gridCol w:w="5575"/>
        <w:gridCol w:w="5324"/>
      </w:tblGrid>
      <w:tr w:rsidR="00FE36A5" w:rsidRPr="003C15E1" w:rsidTr="00AC02D2">
        <w:trPr>
          <w:jc w:val="center"/>
        </w:trPr>
        <w:tc>
          <w:tcPr>
            <w:tcW w:w="5575" w:type="dxa"/>
            <w:hideMark/>
          </w:tcPr>
          <w:p w:rsidR="00FE36A5" w:rsidRPr="003C15E1" w:rsidRDefault="00FE36A5" w:rsidP="00AC02D2">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FE36A5" w:rsidRPr="003C15E1" w:rsidRDefault="00FE36A5" w:rsidP="00AC02D2">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24" w:type="dxa"/>
            <w:hideMark/>
          </w:tcPr>
          <w:p w:rsidR="00FE36A5" w:rsidRPr="003C15E1" w:rsidRDefault="00FE36A5" w:rsidP="00AC02D2">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Pr>
                <w:rFonts w:ascii="Palatino Linotype" w:hAnsi="Palatino Linotype" w:cs="Arial"/>
                <w:sz w:val="19"/>
                <w:szCs w:val="19"/>
              </w:rPr>
              <w:t>Diego Cevallos Salgado</w:t>
            </w:r>
          </w:p>
          <w:p w:rsidR="00FE36A5" w:rsidRPr="003C15E1" w:rsidRDefault="00FE36A5" w:rsidP="00AC02D2">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p w:rsidR="00FE36A5" w:rsidRPr="003C15E1" w:rsidRDefault="00FE36A5" w:rsidP="00AC02D2">
            <w:pPr>
              <w:pStyle w:val="Textopredeterminado"/>
              <w:rPr>
                <w:rFonts w:ascii="Palatino Linotype" w:hAnsi="Palatino Linotype" w:cs="Arial"/>
                <w:b/>
                <w:sz w:val="19"/>
                <w:szCs w:val="19"/>
              </w:rPr>
            </w:pPr>
          </w:p>
        </w:tc>
      </w:tr>
    </w:tbl>
    <w:p w:rsidR="00FE36A5" w:rsidRPr="006336FA" w:rsidRDefault="00FE36A5" w:rsidP="00FE36A5">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FE36A5" w:rsidRPr="006336FA" w:rsidRDefault="00FE36A5" w:rsidP="00FE36A5">
      <w:pPr>
        <w:pStyle w:val="Textosinformato"/>
        <w:jc w:val="both"/>
        <w:rPr>
          <w:rFonts w:ascii="Palatino Linotype" w:eastAsia="MS Mincho" w:hAnsi="Palatino Linotype" w:cs="Arial"/>
          <w:sz w:val="22"/>
          <w:szCs w:val="22"/>
        </w:rPr>
      </w:pPr>
    </w:p>
    <w:p w:rsidR="00FE36A5" w:rsidRPr="006336FA" w:rsidRDefault="00FE36A5" w:rsidP="00FE36A5">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 Secretario</w:t>
      </w:r>
      <w:r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1A75EA">
        <w:rPr>
          <w:rFonts w:ascii="Palatino Linotype" w:eastAsia="MS Mincho" w:hAnsi="Palatino Linotype" w:cs="Arial"/>
          <w:sz w:val="22"/>
          <w:szCs w:val="22"/>
        </w:rPr>
        <w:t>23</w:t>
      </w:r>
      <w:r>
        <w:rPr>
          <w:rFonts w:ascii="Palatino Linotype" w:eastAsia="MS Mincho" w:hAnsi="Palatino Linotype" w:cs="Arial"/>
          <w:sz w:val="22"/>
          <w:szCs w:val="22"/>
        </w:rPr>
        <w:t xml:space="preserve"> de </w:t>
      </w:r>
      <w:r w:rsidR="001A75EA">
        <w:rPr>
          <w:rFonts w:ascii="Palatino Linotype" w:eastAsia="MS Mincho" w:hAnsi="Palatino Linotype" w:cs="Arial"/>
          <w:sz w:val="22"/>
          <w:szCs w:val="22"/>
        </w:rPr>
        <w:t xml:space="preserve">marzo </w:t>
      </w:r>
      <w:r w:rsidRPr="006336FA">
        <w:rPr>
          <w:rFonts w:ascii="Palatino Linotype" w:eastAsia="MS Mincho" w:hAnsi="Palatino Linotype" w:cs="Arial"/>
          <w:sz w:val="22"/>
          <w:szCs w:val="22"/>
        </w:rPr>
        <w:t xml:space="preserve">y </w:t>
      </w:r>
      <w:r w:rsidR="001A75EA">
        <w:rPr>
          <w:rFonts w:ascii="Palatino Linotype" w:eastAsia="MS Mincho" w:hAnsi="Palatino Linotype" w:cs="Arial"/>
          <w:sz w:val="22"/>
          <w:szCs w:val="22"/>
        </w:rPr>
        <w:t>6</w:t>
      </w:r>
      <w:r w:rsidRPr="006336FA">
        <w:rPr>
          <w:rFonts w:ascii="Palatino Linotype" w:eastAsia="MS Mincho" w:hAnsi="Palatino Linotype" w:cs="Arial"/>
          <w:sz w:val="22"/>
          <w:szCs w:val="22"/>
        </w:rPr>
        <w:t xml:space="preserve"> de </w:t>
      </w:r>
      <w:r w:rsidR="001A75EA">
        <w:rPr>
          <w:rFonts w:ascii="Palatino Linotype" w:eastAsia="MS Mincho" w:hAnsi="Palatino Linotype" w:cs="Arial"/>
          <w:sz w:val="22"/>
          <w:szCs w:val="22"/>
        </w:rPr>
        <w:t xml:space="preserve">abril </w:t>
      </w:r>
      <w:r w:rsidRPr="006336FA">
        <w:rPr>
          <w:rFonts w:ascii="Palatino Linotype" w:eastAsia="MS Mincho" w:hAnsi="Palatino Linotype" w:cs="Arial"/>
          <w:sz w:val="22"/>
          <w:szCs w:val="22"/>
        </w:rPr>
        <w:t>de 201</w:t>
      </w:r>
      <w:r>
        <w:rPr>
          <w:rFonts w:ascii="Palatino Linotype" w:eastAsia="MS Mincho" w:hAnsi="Palatino Linotype" w:cs="Arial"/>
          <w:sz w:val="22"/>
          <w:szCs w:val="22"/>
        </w:rPr>
        <w:t>7</w:t>
      </w:r>
      <w:r w:rsidRPr="006336FA">
        <w:rPr>
          <w:rFonts w:ascii="Palatino Linotype" w:eastAsia="MS Mincho" w:hAnsi="Palatino Linotype" w:cs="Arial"/>
          <w:sz w:val="22"/>
          <w:szCs w:val="22"/>
        </w:rPr>
        <w:t>.- Quito,</w:t>
      </w:r>
    </w:p>
    <w:p w:rsidR="00FE36A5" w:rsidRDefault="00FE36A5" w:rsidP="00FE36A5">
      <w:pPr>
        <w:pStyle w:val="Textosinformato"/>
        <w:jc w:val="center"/>
        <w:rPr>
          <w:rFonts w:ascii="Palatino Linotype" w:eastAsia="MS Mincho" w:hAnsi="Palatino Linotype" w:cs="Arial"/>
          <w:sz w:val="22"/>
          <w:szCs w:val="22"/>
        </w:rPr>
      </w:pPr>
    </w:p>
    <w:p w:rsidR="00FE36A5" w:rsidRDefault="00FE36A5" w:rsidP="00FE36A5">
      <w:pPr>
        <w:pStyle w:val="Textosinformato"/>
        <w:jc w:val="center"/>
        <w:rPr>
          <w:rFonts w:ascii="Palatino Linotype" w:eastAsia="MS Mincho" w:hAnsi="Palatino Linotype" w:cs="Arial"/>
          <w:sz w:val="22"/>
          <w:szCs w:val="22"/>
        </w:rPr>
      </w:pPr>
    </w:p>
    <w:p w:rsidR="00FE36A5" w:rsidRDefault="00FE36A5" w:rsidP="00FE36A5">
      <w:pPr>
        <w:pStyle w:val="Textosinformato"/>
        <w:jc w:val="center"/>
        <w:rPr>
          <w:rFonts w:ascii="Palatino Linotype" w:eastAsia="MS Mincho" w:hAnsi="Palatino Linotype" w:cs="Arial"/>
          <w:sz w:val="22"/>
          <w:szCs w:val="22"/>
        </w:rPr>
      </w:pPr>
    </w:p>
    <w:p w:rsidR="00FE36A5" w:rsidRPr="006336FA" w:rsidRDefault="00FE36A5" w:rsidP="00FE36A5">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FE36A5" w:rsidRPr="006336FA" w:rsidRDefault="00FE36A5" w:rsidP="00FE36A5">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FE36A5" w:rsidRDefault="00FE36A5" w:rsidP="00FE36A5">
      <w:pPr>
        <w:pStyle w:val="Textosinformato"/>
        <w:jc w:val="center"/>
        <w:rPr>
          <w:rFonts w:ascii="Palatino Linotype" w:eastAsia="MS Mincho" w:hAnsi="Palatino Linotype" w:cs="Arial"/>
          <w:sz w:val="22"/>
          <w:szCs w:val="22"/>
        </w:rPr>
      </w:pPr>
    </w:p>
    <w:p w:rsidR="00FE36A5" w:rsidRPr="006336FA" w:rsidRDefault="00FE36A5" w:rsidP="00FE36A5">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FE36A5" w:rsidRPr="006336FA" w:rsidRDefault="00FE36A5" w:rsidP="00FE36A5">
      <w:pPr>
        <w:pStyle w:val="Textosinformato"/>
        <w:jc w:val="center"/>
        <w:rPr>
          <w:rFonts w:ascii="Palatino Linotype" w:eastAsia="MS Mincho" w:hAnsi="Palatino Linotype" w:cs="Arial"/>
          <w:b/>
          <w:sz w:val="22"/>
          <w:szCs w:val="22"/>
        </w:rPr>
      </w:pPr>
    </w:p>
    <w:p w:rsidR="00FE36A5" w:rsidRPr="006336FA" w:rsidRDefault="00FE36A5" w:rsidP="00FE36A5">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FE36A5" w:rsidRPr="006336FA" w:rsidRDefault="00FE36A5" w:rsidP="00FE36A5">
      <w:pPr>
        <w:pStyle w:val="Textosinformato"/>
        <w:jc w:val="center"/>
        <w:rPr>
          <w:rFonts w:ascii="Palatino Linotype" w:eastAsia="MS Mincho" w:hAnsi="Palatino Linotype" w:cs="Arial"/>
          <w:sz w:val="22"/>
          <w:szCs w:val="22"/>
        </w:rPr>
      </w:pPr>
    </w:p>
    <w:p w:rsidR="00FE36A5" w:rsidRDefault="00FE36A5" w:rsidP="00FE36A5">
      <w:pPr>
        <w:pStyle w:val="Textosinformato"/>
        <w:jc w:val="center"/>
        <w:rPr>
          <w:rFonts w:ascii="Palatino Linotype" w:eastAsia="MS Mincho" w:hAnsi="Palatino Linotype" w:cs="Arial"/>
          <w:sz w:val="22"/>
          <w:szCs w:val="22"/>
        </w:rPr>
      </w:pPr>
    </w:p>
    <w:p w:rsidR="00FE36A5" w:rsidRDefault="00FE36A5" w:rsidP="00FE36A5">
      <w:pPr>
        <w:pStyle w:val="Textosinformato"/>
        <w:jc w:val="center"/>
        <w:rPr>
          <w:rFonts w:ascii="Palatino Linotype" w:eastAsia="MS Mincho" w:hAnsi="Palatino Linotype" w:cs="Arial"/>
          <w:sz w:val="22"/>
          <w:szCs w:val="22"/>
        </w:rPr>
      </w:pPr>
    </w:p>
    <w:p w:rsidR="00FE36A5" w:rsidRDefault="00FE36A5" w:rsidP="00FE36A5">
      <w:pPr>
        <w:pStyle w:val="Textosinformato"/>
        <w:jc w:val="center"/>
        <w:rPr>
          <w:rFonts w:ascii="Palatino Linotype" w:eastAsia="MS Mincho" w:hAnsi="Palatino Linotype" w:cs="Arial"/>
          <w:sz w:val="22"/>
          <w:szCs w:val="22"/>
        </w:rPr>
      </w:pPr>
    </w:p>
    <w:p w:rsidR="00FE36A5" w:rsidRPr="006336FA" w:rsidRDefault="00FE36A5" w:rsidP="00FE36A5">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FE36A5" w:rsidRPr="006336FA" w:rsidRDefault="00FE36A5" w:rsidP="00FE36A5">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FE36A5" w:rsidRDefault="00FE36A5" w:rsidP="00FE36A5">
      <w:pPr>
        <w:pStyle w:val="Textosinformato"/>
        <w:spacing w:line="276" w:lineRule="auto"/>
        <w:jc w:val="both"/>
        <w:rPr>
          <w:rFonts w:ascii="Palatino Linotype" w:eastAsia="MS Mincho" w:hAnsi="Palatino Linotype" w:cs="Arial"/>
          <w:b/>
          <w:bCs/>
          <w:sz w:val="22"/>
          <w:szCs w:val="22"/>
        </w:rPr>
      </w:pPr>
    </w:p>
    <w:p w:rsidR="00FE36A5" w:rsidRPr="006336FA" w:rsidRDefault="00FE36A5" w:rsidP="00FE36A5">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FE36A5" w:rsidRPr="006336FA" w:rsidRDefault="00FE36A5" w:rsidP="00FE36A5">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FE36A5" w:rsidRDefault="00FE36A5" w:rsidP="00FE36A5">
      <w:pPr>
        <w:pStyle w:val="Textosinformato"/>
        <w:jc w:val="center"/>
        <w:rPr>
          <w:rFonts w:ascii="Palatino Linotype" w:eastAsia="MS Mincho" w:hAnsi="Palatino Linotype" w:cs="Arial"/>
          <w:sz w:val="22"/>
          <w:szCs w:val="22"/>
        </w:rPr>
      </w:pPr>
    </w:p>
    <w:p w:rsidR="00FE36A5" w:rsidRDefault="00FE36A5" w:rsidP="00FE36A5">
      <w:pPr>
        <w:pStyle w:val="Textosinformato"/>
        <w:jc w:val="center"/>
        <w:rPr>
          <w:rFonts w:ascii="Palatino Linotype" w:eastAsia="MS Mincho" w:hAnsi="Palatino Linotype" w:cs="Arial"/>
          <w:sz w:val="22"/>
          <w:szCs w:val="22"/>
        </w:rPr>
      </w:pPr>
    </w:p>
    <w:p w:rsidR="00FE36A5" w:rsidRDefault="00FE36A5" w:rsidP="00FE36A5">
      <w:pPr>
        <w:pStyle w:val="Textosinformato"/>
        <w:jc w:val="center"/>
        <w:rPr>
          <w:rFonts w:ascii="Palatino Linotype" w:eastAsia="MS Mincho" w:hAnsi="Palatino Linotype" w:cs="Arial"/>
          <w:sz w:val="22"/>
          <w:szCs w:val="22"/>
        </w:rPr>
      </w:pPr>
    </w:p>
    <w:p w:rsidR="00FE36A5" w:rsidRPr="006336FA" w:rsidRDefault="00FE36A5" w:rsidP="00FE36A5">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FE36A5" w:rsidRPr="006336FA" w:rsidRDefault="00FE36A5" w:rsidP="00FE36A5">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FE36A5" w:rsidRPr="00E83D58" w:rsidRDefault="00FE36A5" w:rsidP="00FE36A5">
      <w:pPr>
        <w:pStyle w:val="Textopredeterminado"/>
        <w:spacing w:after="120" w:line="276" w:lineRule="auto"/>
        <w:jc w:val="both"/>
        <w:rPr>
          <w:rFonts w:ascii="Palatino Linotype" w:hAnsi="Palatino Linotype"/>
          <w:sz w:val="22"/>
          <w:szCs w:val="22"/>
        </w:rPr>
      </w:pPr>
      <w:proofErr w:type="spellStart"/>
      <w:r w:rsidRPr="003C15E1">
        <w:rPr>
          <w:rFonts w:ascii="Palatino Linotype" w:hAnsi="Palatino Linotype"/>
          <w:sz w:val="14"/>
          <w:szCs w:val="14"/>
          <w:lang w:val="es-ES"/>
        </w:rPr>
        <w:t>DSCS</w:t>
      </w:r>
      <w:proofErr w:type="spellEnd"/>
    </w:p>
    <w:p w:rsidR="00165E29" w:rsidRPr="003F2B99" w:rsidRDefault="00165E29" w:rsidP="00FE36A5">
      <w:pPr>
        <w:suppressAutoHyphens/>
        <w:spacing w:after="120"/>
        <w:jc w:val="both"/>
        <w:rPr>
          <w:rFonts w:ascii="Palatino Linotype" w:eastAsia="Times New Roman" w:hAnsi="Palatino Linotype" w:cs="Tahoma"/>
          <w:color w:val="000000"/>
          <w:lang w:val="es-ES" w:eastAsia="es-EC"/>
        </w:rPr>
      </w:pPr>
    </w:p>
    <w:sectPr w:rsidR="00165E29" w:rsidRPr="003F2B99" w:rsidSect="00FE36A5">
      <w:headerReference w:type="default" r:id="rId11"/>
      <w:footerReference w:type="default" r:id="rId12"/>
      <w:pgSz w:w="11907" w:h="16839" w:code="9"/>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46" w:rsidRDefault="00D60246" w:rsidP="00B40273">
      <w:pPr>
        <w:spacing w:after="0" w:line="240" w:lineRule="auto"/>
      </w:pPr>
      <w:r>
        <w:separator/>
      </w:r>
    </w:p>
  </w:endnote>
  <w:endnote w:type="continuationSeparator" w:id="0">
    <w:p w:rsidR="00D60246" w:rsidRDefault="00D60246" w:rsidP="00B4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273" w:rsidRPr="00B40273" w:rsidRDefault="00B40273" w:rsidP="00FE36A5">
    <w:pPr>
      <w:pStyle w:val="Piedepgina"/>
      <w:jc w:val="center"/>
      <w:rPr>
        <w:rFonts w:ascii="Century Gothic" w:hAnsi="Century Gothic"/>
        <w:sz w:val="20"/>
        <w:szCs w:val="20"/>
      </w:rPr>
    </w:pPr>
  </w:p>
  <w:p w:rsidR="00F041D7" w:rsidRPr="00F041D7" w:rsidRDefault="00F041D7">
    <w:pPr>
      <w:pStyle w:val="Piedepgina"/>
      <w:rPr>
        <w:rFonts w:ascii="Century Gothic" w:hAnsi="Century Gothic"/>
        <w:b/>
        <w:color w:val="0000F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081202"/>
      <w:docPartObj>
        <w:docPartGallery w:val="Page Numbers (Bottom of Page)"/>
        <w:docPartUnique/>
      </w:docPartObj>
    </w:sdtPr>
    <w:sdtEndPr/>
    <w:sdtContent>
      <w:sdt>
        <w:sdtPr>
          <w:id w:val="860082579"/>
          <w:docPartObj>
            <w:docPartGallery w:val="Page Numbers (Top of Page)"/>
            <w:docPartUnique/>
          </w:docPartObj>
        </w:sdtPr>
        <w:sdtEndPr/>
        <w:sdtContent>
          <w:p w:rsidR="00FE36A5" w:rsidRDefault="00FE36A5">
            <w:pPr>
              <w:pStyle w:val="Piedepgina"/>
              <w:jc w:val="right"/>
            </w:pPr>
            <w:r w:rsidRPr="00FE36A5">
              <w:rPr>
                <w:rFonts w:ascii="Palatino Linotype" w:hAnsi="Palatino Linotype"/>
                <w:lang w:val="es-ES"/>
              </w:rPr>
              <w:t xml:space="preserve">Página </w:t>
            </w:r>
            <w:r w:rsidRPr="00FE36A5">
              <w:rPr>
                <w:rFonts w:ascii="Palatino Linotype" w:hAnsi="Palatino Linotype"/>
                <w:b/>
                <w:bCs/>
              </w:rPr>
              <w:fldChar w:fldCharType="begin"/>
            </w:r>
            <w:r w:rsidRPr="00FE36A5">
              <w:rPr>
                <w:rFonts w:ascii="Palatino Linotype" w:hAnsi="Palatino Linotype"/>
                <w:b/>
                <w:bCs/>
              </w:rPr>
              <w:instrText>PAGE</w:instrText>
            </w:r>
            <w:r w:rsidRPr="00FE36A5">
              <w:rPr>
                <w:rFonts w:ascii="Palatino Linotype" w:hAnsi="Palatino Linotype"/>
                <w:b/>
                <w:bCs/>
              </w:rPr>
              <w:fldChar w:fldCharType="separate"/>
            </w:r>
            <w:r w:rsidR="00020999">
              <w:rPr>
                <w:rFonts w:ascii="Palatino Linotype" w:hAnsi="Palatino Linotype"/>
                <w:b/>
                <w:bCs/>
                <w:noProof/>
              </w:rPr>
              <w:t>9</w:t>
            </w:r>
            <w:r w:rsidRPr="00FE36A5">
              <w:rPr>
                <w:rFonts w:ascii="Palatino Linotype" w:hAnsi="Palatino Linotype"/>
                <w:b/>
                <w:bCs/>
              </w:rPr>
              <w:fldChar w:fldCharType="end"/>
            </w:r>
            <w:r w:rsidRPr="00FE36A5">
              <w:rPr>
                <w:rFonts w:ascii="Palatino Linotype" w:hAnsi="Palatino Linotype"/>
                <w:lang w:val="es-ES"/>
              </w:rPr>
              <w:t xml:space="preserve"> de </w:t>
            </w:r>
            <w:r w:rsidR="001A75EA">
              <w:rPr>
                <w:rFonts w:ascii="Palatino Linotype" w:hAnsi="Palatino Linotype"/>
                <w:b/>
                <w:bCs/>
              </w:rPr>
              <w:t>9</w:t>
            </w:r>
          </w:p>
        </w:sdtContent>
      </w:sdt>
    </w:sdtContent>
  </w:sdt>
  <w:p w:rsidR="00FE36A5" w:rsidRPr="00F041D7" w:rsidRDefault="00FE36A5">
    <w:pPr>
      <w:pStyle w:val="Piedepgina"/>
      <w:rPr>
        <w:rFonts w:ascii="Century Gothic" w:hAnsi="Century Gothic"/>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46" w:rsidRDefault="00D60246" w:rsidP="00B40273">
      <w:pPr>
        <w:spacing w:after="0" w:line="240" w:lineRule="auto"/>
      </w:pPr>
      <w:r>
        <w:separator/>
      </w:r>
    </w:p>
  </w:footnote>
  <w:footnote w:type="continuationSeparator" w:id="0">
    <w:p w:rsidR="00D60246" w:rsidRDefault="00D60246" w:rsidP="00B40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99" w:rsidRDefault="003F2B99">
    <w:pPr>
      <w:pStyle w:val="Encabezado"/>
    </w:pPr>
  </w:p>
  <w:p w:rsidR="003F2B99" w:rsidRDefault="003F2B99">
    <w:pPr>
      <w:pStyle w:val="Encabezado"/>
    </w:pPr>
  </w:p>
  <w:p w:rsidR="003F2B99" w:rsidRDefault="003F2B99">
    <w:pPr>
      <w:pStyle w:val="Encabezado"/>
    </w:pPr>
  </w:p>
  <w:p w:rsidR="003F2B99" w:rsidRDefault="003F2B99">
    <w:pPr>
      <w:pStyle w:val="Encabezado"/>
    </w:pPr>
  </w:p>
  <w:p w:rsidR="00FE36A5" w:rsidRDefault="00FE36A5" w:rsidP="003F2B99">
    <w:pPr>
      <w:suppressAutoHyphens/>
      <w:spacing w:after="120"/>
      <w:jc w:val="center"/>
      <w:rPr>
        <w:rFonts w:ascii="Palatino Linotype" w:eastAsia="Palatino Linotype" w:hAnsi="Palatino Linotype" w:cs="Tahoma"/>
        <w:b/>
        <w:lang w:eastAsia="ar-SA"/>
      </w:rPr>
    </w:pPr>
  </w:p>
  <w:p w:rsidR="003F2B99" w:rsidRDefault="003F2B99" w:rsidP="003F2B99">
    <w:pPr>
      <w:suppressAutoHyphens/>
      <w:spacing w:after="120"/>
      <w:jc w:val="center"/>
    </w:pPr>
    <w:r>
      <w:rPr>
        <w:rFonts w:ascii="Palatino Linotype" w:eastAsia="Palatino Linotype" w:hAnsi="Palatino Linotype" w:cs="Tahoma"/>
        <w:b/>
        <w:lang w:eastAsia="ar-SA"/>
      </w:rPr>
      <w:t>ORDENANZA METROPOLITANA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A5" w:rsidRDefault="00FE36A5">
    <w:pPr>
      <w:pStyle w:val="Encabezado"/>
    </w:pPr>
  </w:p>
  <w:p w:rsidR="00FE36A5" w:rsidRDefault="00FE36A5">
    <w:pPr>
      <w:pStyle w:val="Encabezado"/>
    </w:pPr>
  </w:p>
  <w:p w:rsidR="00FE36A5" w:rsidRDefault="00FE36A5">
    <w:pPr>
      <w:pStyle w:val="Encabezado"/>
    </w:pPr>
  </w:p>
  <w:p w:rsidR="00FE36A5" w:rsidRDefault="00FE36A5">
    <w:pPr>
      <w:pStyle w:val="Encabezado"/>
    </w:pPr>
  </w:p>
  <w:p w:rsidR="00FE36A5" w:rsidRDefault="00FE36A5" w:rsidP="003F2B99">
    <w:pPr>
      <w:suppressAutoHyphens/>
      <w:spacing w:after="120"/>
      <w:jc w:val="center"/>
      <w:rPr>
        <w:rFonts w:ascii="Palatino Linotype" w:eastAsia="Palatino Linotype" w:hAnsi="Palatino Linotype" w:cs="Tahoma"/>
        <w:b/>
        <w:lang w:eastAsia="ar-SA"/>
      </w:rPr>
    </w:pPr>
  </w:p>
  <w:p w:rsidR="00FE36A5" w:rsidRDefault="00FE36A5" w:rsidP="003F2B99">
    <w:pPr>
      <w:suppressAutoHyphens/>
      <w:spacing w:after="120"/>
      <w:jc w:val="center"/>
    </w:pPr>
    <w:r>
      <w:rPr>
        <w:rFonts w:ascii="Palatino Linotype" w:eastAsia="Palatino Linotype" w:hAnsi="Palatino Linotype" w:cs="Tahoma"/>
        <w:b/>
        <w:lang w:eastAsia="ar-SA"/>
      </w:rPr>
      <w:t>ORDENANZA METROPOLITANA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339B7"/>
    <w:multiLevelType w:val="hybridMultilevel"/>
    <w:tmpl w:val="7CDC63CA"/>
    <w:lvl w:ilvl="0" w:tplc="097C30B2">
      <w:start w:val="1"/>
      <w:numFmt w:val="lowerLetter"/>
      <w:lvlText w:val="%1)"/>
      <w:lvlJc w:val="left"/>
      <w:pPr>
        <w:ind w:left="1065" w:hanging="360"/>
      </w:pPr>
      <w:rPr>
        <w:rFonts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1">
    <w:nsid w:val="31FD6202"/>
    <w:multiLevelType w:val="hybridMultilevel"/>
    <w:tmpl w:val="85D8537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
    <w:nsid w:val="43903D19"/>
    <w:multiLevelType w:val="hybridMultilevel"/>
    <w:tmpl w:val="8F843478"/>
    <w:lvl w:ilvl="0" w:tplc="291A1888">
      <w:start w:val="1"/>
      <w:numFmt w:val="lowerLetter"/>
      <w:lvlText w:val="%1)"/>
      <w:lvlJc w:val="left"/>
      <w:pPr>
        <w:ind w:left="928" w:hanging="360"/>
      </w:pPr>
      <w:rPr>
        <w:rFonts w:ascii="Century Gothic" w:eastAsia="Times New Roman" w:hAnsi="Century Gothic" w:cs="Tahoma"/>
      </w:rPr>
    </w:lvl>
    <w:lvl w:ilvl="1" w:tplc="300A0019" w:tentative="1">
      <w:start w:val="1"/>
      <w:numFmt w:val="lowerLetter"/>
      <w:lvlText w:val="%2."/>
      <w:lvlJc w:val="left"/>
      <w:pPr>
        <w:ind w:left="1648" w:hanging="360"/>
      </w:pPr>
    </w:lvl>
    <w:lvl w:ilvl="2" w:tplc="300A001B" w:tentative="1">
      <w:start w:val="1"/>
      <w:numFmt w:val="lowerRoman"/>
      <w:lvlText w:val="%3."/>
      <w:lvlJc w:val="right"/>
      <w:pPr>
        <w:ind w:left="2368" w:hanging="180"/>
      </w:pPr>
    </w:lvl>
    <w:lvl w:ilvl="3" w:tplc="300A000F" w:tentative="1">
      <w:start w:val="1"/>
      <w:numFmt w:val="decimal"/>
      <w:lvlText w:val="%4."/>
      <w:lvlJc w:val="left"/>
      <w:pPr>
        <w:ind w:left="3088" w:hanging="360"/>
      </w:pPr>
    </w:lvl>
    <w:lvl w:ilvl="4" w:tplc="300A0019" w:tentative="1">
      <w:start w:val="1"/>
      <w:numFmt w:val="lowerLetter"/>
      <w:lvlText w:val="%5."/>
      <w:lvlJc w:val="left"/>
      <w:pPr>
        <w:ind w:left="3808" w:hanging="360"/>
      </w:pPr>
    </w:lvl>
    <w:lvl w:ilvl="5" w:tplc="300A001B" w:tentative="1">
      <w:start w:val="1"/>
      <w:numFmt w:val="lowerRoman"/>
      <w:lvlText w:val="%6."/>
      <w:lvlJc w:val="right"/>
      <w:pPr>
        <w:ind w:left="4528" w:hanging="180"/>
      </w:pPr>
    </w:lvl>
    <w:lvl w:ilvl="6" w:tplc="300A000F" w:tentative="1">
      <w:start w:val="1"/>
      <w:numFmt w:val="decimal"/>
      <w:lvlText w:val="%7."/>
      <w:lvlJc w:val="left"/>
      <w:pPr>
        <w:ind w:left="5248" w:hanging="360"/>
      </w:pPr>
    </w:lvl>
    <w:lvl w:ilvl="7" w:tplc="300A0019" w:tentative="1">
      <w:start w:val="1"/>
      <w:numFmt w:val="lowerLetter"/>
      <w:lvlText w:val="%8."/>
      <w:lvlJc w:val="left"/>
      <w:pPr>
        <w:ind w:left="5968" w:hanging="360"/>
      </w:pPr>
    </w:lvl>
    <w:lvl w:ilvl="8" w:tplc="300A001B" w:tentative="1">
      <w:start w:val="1"/>
      <w:numFmt w:val="lowerRoman"/>
      <w:lvlText w:val="%9."/>
      <w:lvlJc w:val="right"/>
      <w:pPr>
        <w:ind w:left="6688" w:hanging="180"/>
      </w:pPr>
    </w:lvl>
  </w:abstractNum>
  <w:abstractNum w:abstractNumId="3">
    <w:nsid w:val="681C3EE1"/>
    <w:multiLevelType w:val="hybridMultilevel"/>
    <w:tmpl w:val="AA340F3A"/>
    <w:lvl w:ilvl="0" w:tplc="0FDE29FA">
      <w:numFmt w:val="bullet"/>
      <w:lvlText w:val="-"/>
      <w:lvlJc w:val="left"/>
      <w:pPr>
        <w:ind w:left="720" w:hanging="360"/>
      </w:pPr>
      <w:rPr>
        <w:rFonts w:ascii="Times New Roman" w:eastAsia="Palatino Linotype"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737C2206"/>
    <w:multiLevelType w:val="hybridMultilevel"/>
    <w:tmpl w:val="85D8537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783"/>
    <w:rsid w:val="0000135D"/>
    <w:rsid w:val="00003BDF"/>
    <w:rsid w:val="0000471E"/>
    <w:rsid w:val="00010BCB"/>
    <w:rsid w:val="00011164"/>
    <w:rsid w:val="000117B5"/>
    <w:rsid w:val="00012226"/>
    <w:rsid w:val="000137A7"/>
    <w:rsid w:val="00020999"/>
    <w:rsid w:val="0002163E"/>
    <w:rsid w:val="00041FFB"/>
    <w:rsid w:val="00054301"/>
    <w:rsid w:val="00071181"/>
    <w:rsid w:val="00073214"/>
    <w:rsid w:val="000762C5"/>
    <w:rsid w:val="00081379"/>
    <w:rsid w:val="00083AF9"/>
    <w:rsid w:val="00090016"/>
    <w:rsid w:val="00092D4A"/>
    <w:rsid w:val="000A5075"/>
    <w:rsid w:val="000A7A34"/>
    <w:rsid w:val="000C6757"/>
    <w:rsid w:val="000D0986"/>
    <w:rsid w:val="000E050A"/>
    <w:rsid w:val="000E6491"/>
    <w:rsid w:val="000F2F69"/>
    <w:rsid w:val="001043F4"/>
    <w:rsid w:val="00107408"/>
    <w:rsid w:val="00110EA2"/>
    <w:rsid w:val="00115732"/>
    <w:rsid w:val="001316C2"/>
    <w:rsid w:val="00133D5E"/>
    <w:rsid w:val="00134F16"/>
    <w:rsid w:val="001534BC"/>
    <w:rsid w:val="001542B0"/>
    <w:rsid w:val="00165E29"/>
    <w:rsid w:val="00177F96"/>
    <w:rsid w:val="001866EA"/>
    <w:rsid w:val="001A75EA"/>
    <w:rsid w:val="001B1C60"/>
    <w:rsid w:val="001B2E50"/>
    <w:rsid w:val="001F5058"/>
    <w:rsid w:val="00217654"/>
    <w:rsid w:val="0024244F"/>
    <w:rsid w:val="00255824"/>
    <w:rsid w:val="002578F2"/>
    <w:rsid w:val="002643A1"/>
    <w:rsid w:val="00273C85"/>
    <w:rsid w:val="00280FA4"/>
    <w:rsid w:val="00293243"/>
    <w:rsid w:val="002B2907"/>
    <w:rsid w:val="002B2D0F"/>
    <w:rsid w:val="002E2690"/>
    <w:rsid w:val="002E3437"/>
    <w:rsid w:val="002F17BA"/>
    <w:rsid w:val="002F30E8"/>
    <w:rsid w:val="0031081F"/>
    <w:rsid w:val="00313C89"/>
    <w:rsid w:val="00322718"/>
    <w:rsid w:val="00323A81"/>
    <w:rsid w:val="003843BB"/>
    <w:rsid w:val="003C7AD8"/>
    <w:rsid w:val="003D19F3"/>
    <w:rsid w:val="003D36F0"/>
    <w:rsid w:val="003D66CE"/>
    <w:rsid w:val="003D71BD"/>
    <w:rsid w:val="003E4F75"/>
    <w:rsid w:val="003F14B9"/>
    <w:rsid w:val="003F2B99"/>
    <w:rsid w:val="003F536C"/>
    <w:rsid w:val="004010B2"/>
    <w:rsid w:val="00420599"/>
    <w:rsid w:val="00425A0C"/>
    <w:rsid w:val="00437FAD"/>
    <w:rsid w:val="00451692"/>
    <w:rsid w:val="00454B6D"/>
    <w:rsid w:val="00460251"/>
    <w:rsid w:val="004619FB"/>
    <w:rsid w:val="00476955"/>
    <w:rsid w:val="00476F11"/>
    <w:rsid w:val="004B02DC"/>
    <w:rsid w:val="004C7558"/>
    <w:rsid w:val="004D710F"/>
    <w:rsid w:val="004D73F7"/>
    <w:rsid w:val="004E223F"/>
    <w:rsid w:val="004F13E7"/>
    <w:rsid w:val="004F6B7F"/>
    <w:rsid w:val="00504DE0"/>
    <w:rsid w:val="00505A56"/>
    <w:rsid w:val="00514F15"/>
    <w:rsid w:val="0053221E"/>
    <w:rsid w:val="00544431"/>
    <w:rsid w:val="00554902"/>
    <w:rsid w:val="00560B1F"/>
    <w:rsid w:val="0056476F"/>
    <w:rsid w:val="00593801"/>
    <w:rsid w:val="00594A0A"/>
    <w:rsid w:val="005A3897"/>
    <w:rsid w:val="005B0657"/>
    <w:rsid w:val="005B5BDF"/>
    <w:rsid w:val="005B6847"/>
    <w:rsid w:val="005C4100"/>
    <w:rsid w:val="005E065B"/>
    <w:rsid w:val="005E4E7C"/>
    <w:rsid w:val="005E702F"/>
    <w:rsid w:val="005F4B30"/>
    <w:rsid w:val="005F7DCC"/>
    <w:rsid w:val="006130DF"/>
    <w:rsid w:val="00625C9F"/>
    <w:rsid w:val="00630A79"/>
    <w:rsid w:val="0063428B"/>
    <w:rsid w:val="00651D29"/>
    <w:rsid w:val="00655AAD"/>
    <w:rsid w:val="006625A4"/>
    <w:rsid w:val="00665048"/>
    <w:rsid w:val="00670036"/>
    <w:rsid w:val="00681BC3"/>
    <w:rsid w:val="0068481E"/>
    <w:rsid w:val="00686752"/>
    <w:rsid w:val="00697514"/>
    <w:rsid w:val="006A2193"/>
    <w:rsid w:val="006B4854"/>
    <w:rsid w:val="006B6B72"/>
    <w:rsid w:val="006C3A3C"/>
    <w:rsid w:val="006C3EF7"/>
    <w:rsid w:val="006C6D1E"/>
    <w:rsid w:val="006D6F62"/>
    <w:rsid w:val="006E23BA"/>
    <w:rsid w:val="006F4D83"/>
    <w:rsid w:val="007110B3"/>
    <w:rsid w:val="00711B97"/>
    <w:rsid w:val="00713864"/>
    <w:rsid w:val="00723A19"/>
    <w:rsid w:val="007453F0"/>
    <w:rsid w:val="00747196"/>
    <w:rsid w:val="00750557"/>
    <w:rsid w:val="0075140B"/>
    <w:rsid w:val="0075265A"/>
    <w:rsid w:val="00756DA2"/>
    <w:rsid w:val="00757ABD"/>
    <w:rsid w:val="007626BB"/>
    <w:rsid w:val="00766D70"/>
    <w:rsid w:val="00767F94"/>
    <w:rsid w:val="007736B2"/>
    <w:rsid w:val="0078158B"/>
    <w:rsid w:val="00784F43"/>
    <w:rsid w:val="007A235B"/>
    <w:rsid w:val="007A7FF1"/>
    <w:rsid w:val="007B6317"/>
    <w:rsid w:val="007C2DF1"/>
    <w:rsid w:val="007D10A8"/>
    <w:rsid w:val="007D14AD"/>
    <w:rsid w:val="007D7771"/>
    <w:rsid w:val="007E3F5F"/>
    <w:rsid w:val="00800E86"/>
    <w:rsid w:val="00804899"/>
    <w:rsid w:val="00807A5A"/>
    <w:rsid w:val="008101B8"/>
    <w:rsid w:val="00822652"/>
    <w:rsid w:val="00824304"/>
    <w:rsid w:val="0082509E"/>
    <w:rsid w:val="00834CBD"/>
    <w:rsid w:val="0084041C"/>
    <w:rsid w:val="008422AF"/>
    <w:rsid w:val="008511B2"/>
    <w:rsid w:val="008700BF"/>
    <w:rsid w:val="008905FA"/>
    <w:rsid w:val="00896878"/>
    <w:rsid w:val="008A53E0"/>
    <w:rsid w:val="008B2E8E"/>
    <w:rsid w:val="008B4C81"/>
    <w:rsid w:val="008B6397"/>
    <w:rsid w:val="008C259E"/>
    <w:rsid w:val="008C4A25"/>
    <w:rsid w:val="008F30AD"/>
    <w:rsid w:val="008F476D"/>
    <w:rsid w:val="008F6A6C"/>
    <w:rsid w:val="009009EC"/>
    <w:rsid w:val="009049AF"/>
    <w:rsid w:val="00906818"/>
    <w:rsid w:val="00920F81"/>
    <w:rsid w:val="009245B4"/>
    <w:rsid w:val="009342F8"/>
    <w:rsid w:val="00945D54"/>
    <w:rsid w:val="00946348"/>
    <w:rsid w:val="0094777A"/>
    <w:rsid w:val="009655E2"/>
    <w:rsid w:val="009674A4"/>
    <w:rsid w:val="009A2284"/>
    <w:rsid w:val="009A5507"/>
    <w:rsid w:val="009A6978"/>
    <w:rsid w:val="009D6A56"/>
    <w:rsid w:val="009E4A0F"/>
    <w:rsid w:val="009E5F34"/>
    <w:rsid w:val="009E6F25"/>
    <w:rsid w:val="009F0437"/>
    <w:rsid w:val="009F56EE"/>
    <w:rsid w:val="00A01B87"/>
    <w:rsid w:val="00A177C3"/>
    <w:rsid w:val="00A2444E"/>
    <w:rsid w:val="00A2633A"/>
    <w:rsid w:val="00A30DDB"/>
    <w:rsid w:val="00A354E3"/>
    <w:rsid w:val="00A408B0"/>
    <w:rsid w:val="00A40BE0"/>
    <w:rsid w:val="00A41C6A"/>
    <w:rsid w:val="00A46133"/>
    <w:rsid w:val="00A535F4"/>
    <w:rsid w:val="00A55C03"/>
    <w:rsid w:val="00A56E31"/>
    <w:rsid w:val="00A576FB"/>
    <w:rsid w:val="00A76DEB"/>
    <w:rsid w:val="00A94D46"/>
    <w:rsid w:val="00AA1EF9"/>
    <w:rsid w:val="00AA4371"/>
    <w:rsid w:val="00AB073E"/>
    <w:rsid w:val="00AC0B5D"/>
    <w:rsid w:val="00AC21B8"/>
    <w:rsid w:val="00AD3652"/>
    <w:rsid w:val="00AD5867"/>
    <w:rsid w:val="00AD751E"/>
    <w:rsid w:val="00AE325F"/>
    <w:rsid w:val="00AE3260"/>
    <w:rsid w:val="00AE50E3"/>
    <w:rsid w:val="00AE7153"/>
    <w:rsid w:val="00B023E3"/>
    <w:rsid w:val="00B063F7"/>
    <w:rsid w:val="00B10C68"/>
    <w:rsid w:val="00B16475"/>
    <w:rsid w:val="00B171E1"/>
    <w:rsid w:val="00B2262A"/>
    <w:rsid w:val="00B27EDB"/>
    <w:rsid w:val="00B31CDB"/>
    <w:rsid w:val="00B354BB"/>
    <w:rsid w:val="00B40273"/>
    <w:rsid w:val="00B4101E"/>
    <w:rsid w:val="00B459E8"/>
    <w:rsid w:val="00B55862"/>
    <w:rsid w:val="00B7105C"/>
    <w:rsid w:val="00B72EA8"/>
    <w:rsid w:val="00B84AD4"/>
    <w:rsid w:val="00B85688"/>
    <w:rsid w:val="00B948B6"/>
    <w:rsid w:val="00BA45CC"/>
    <w:rsid w:val="00BB7FEA"/>
    <w:rsid w:val="00BC1783"/>
    <w:rsid w:val="00BC32EA"/>
    <w:rsid w:val="00BD25A6"/>
    <w:rsid w:val="00BE3819"/>
    <w:rsid w:val="00C00B85"/>
    <w:rsid w:val="00C024D0"/>
    <w:rsid w:val="00C13708"/>
    <w:rsid w:val="00C1377E"/>
    <w:rsid w:val="00C22BFE"/>
    <w:rsid w:val="00C23702"/>
    <w:rsid w:val="00C27852"/>
    <w:rsid w:val="00C3452A"/>
    <w:rsid w:val="00C35A54"/>
    <w:rsid w:val="00C40E16"/>
    <w:rsid w:val="00C441A9"/>
    <w:rsid w:val="00C44300"/>
    <w:rsid w:val="00C46B81"/>
    <w:rsid w:val="00C552CC"/>
    <w:rsid w:val="00C677F4"/>
    <w:rsid w:val="00C678F6"/>
    <w:rsid w:val="00C93BEB"/>
    <w:rsid w:val="00C9731E"/>
    <w:rsid w:val="00CA11A3"/>
    <w:rsid w:val="00CA4FB5"/>
    <w:rsid w:val="00CB3A91"/>
    <w:rsid w:val="00CF15EB"/>
    <w:rsid w:val="00CF3D27"/>
    <w:rsid w:val="00CF6415"/>
    <w:rsid w:val="00CF7A47"/>
    <w:rsid w:val="00D01D45"/>
    <w:rsid w:val="00D14230"/>
    <w:rsid w:val="00D17FF1"/>
    <w:rsid w:val="00D45413"/>
    <w:rsid w:val="00D47F0B"/>
    <w:rsid w:val="00D5043A"/>
    <w:rsid w:val="00D60246"/>
    <w:rsid w:val="00D61949"/>
    <w:rsid w:val="00D65083"/>
    <w:rsid w:val="00D6787B"/>
    <w:rsid w:val="00D71EF7"/>
    <w:rsid w:val="00D7304D"/>
    <w:rsid w:val="00D738CA"/>
    <w:rsid w:val="00D8674F"/>
    <w:rsid w:val="00D9552E"/>
    <w:rsid w:val="00DA2FC9"/>
    <w:rsid w:val="00DA3826"/>
    <w:rsid w:val="00DD0FB1"/>
    <w:rsid w:val="00DD1DCC"/>
    <w:rsid w:val="00DD4566"/>
    <w:rsid w:val="00DD7DE9"/>
    <w:rsid w:val="00DE1A77"/>
    <w:rsid w:val="00DE6B1D"/>
    <w:rsid w:val="00E01B51"/>
    <w:rsid w:val="00E03C7E"/>
    <w:rsid w:val="00E06A40"/>
    <w:rsid w:val="00E06F41"/>
    <w:rsid w:val="00E14848"/>
    <w:rsid w:val="00E24CC1"/>
    <w:rsid w:val="00E3202A"/>
    <w:rsid w:val="00E34E3D"/>
    <w:rsid w:val="00E42537"/>
    <w:rsid w:val="00E4440E"/>
    <w:rsid w:val="00E56C85"/>
    <w:rsid w:val="00E71FF3"/>
    <w:rsid w:val="00E81363"/>
    <w:rsid w:val="00EA60E1"/>
    <w:rsid w:val="00EC33FF"/>
    <w:rsid w:val="00EC3DD6"/>
    <w:rsid w:val="00EC5A12"/>
    <w:rsid w:val="00EC6629"/>
    <w:rsid w:val="00ED2806"/>
    <w:rsid w:val="00EE0235"/>
    <w:rsid w:val="00EE6B4B"/>
    <w:rsid w:val="00F01A95"/>
    <w:rsid w:val="00F02B7A"/>
    <w:rsid w:val="00F041D7"/>
    <w:rsid w:val="00F077FB"/>
    <w:rsid w:val="00F1031E"/>
    <w:rsid w:val="00F3355E"/>
    <w:rsid w:val="00F3750D"/>
    <w:rsid w:val="00F37EDC"/>
    <w:rsid w:val="00F57695"/>
    <w:rsid w:val="00F65188"/>
    <w:rsid w:val="00F652E3"/>
    <w:rsid w:val="00F700B2"/>
    <w:rsid w:val="00F72FF3"/>
    <w:rsid w:val="00F7672C"/>
    <w:rsid w:val="00F77B38"/>
    <w:rsid w:val="00F931BA"/>
    <w:rsid w:val="00F93AF9"/>
    <w:rsid w:val="00F97038"/>
    <w:rsid w:val="00FA32C7"/>
    <w:rsid w:val="00FA51BA"/>
    <w:rsid w:val="00FC1B14"/>
    <w:rsid w:val="00FC4537"/>
    <w:rsid w:val="00FD0B9B"/>
    <w:rsid w:val="00FD4CBA"/>
    <w:rsid w:val="00FE0E30"/>
    <w:rsid w:val="00FE36A5"/>
    <w:rsid w:val="00FF2D35"/>
    <w:rsid w:val="00FF337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IMContac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33FF"/>
    <w:pPr>
      <w:ind w:left="720"/>
      <w:contextualSpacing/>
    </w:pPr>
  </w:style>
  <w:style w:type="paragraph" w:styleId="Textodeglobo">
    <w:name w:val="Balloon Text"/>
    <w:basedOn w:val="Normal"/>
    <w:link w:val="TextodegloboCar"/>
    <w:uiPriority w:val="99"/>
    <w:semiHidden/>
    <w:unhideWhenUsed/>
    <w:rsid w:val="00CA11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1A3"/>
    <w:rPr>
      <w:rFonts w:ascii="Tahoma" w:hAnsi="Tahoma" w:cs="Tahoma"/>
      <w:sz w:val="16"/>
      <w:szCs w:val="16"/>
    </w:rPr>
  </w:style>
  <w:style w:type="paragraph" w:styleId="Encabezado">
    <w:name w:val="header"/>
    <w:basedOn w:val="Normal"/>
    <w:link w:val="EncabezadoCar"/>
    <w:uiPriority w:val="99"/>
    <w:unhideWhenUsed/>
    <w:rsid w:val="00B40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0273"/>
  </w:style>
  <w:style w:type="paragraph" w:styleId="Piedepgina">
    <w:name w:val="footer"/>
    <w:basedOn w:val="Normal"/>
    <w:link w:val="PiedepginaCar"/>
    <w:uiPriority w:val="99"/>
    <w:unhideWhenUsed/>
    <w:rsid w:val="00B40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0273"/>
  </w:style>
  <w:style w:type="paragraph" w:customStyle="1" w:styleId="Textopredeterminado">
    <w:name w:val="Texto predeterminado"/>
    <w:basedOn w:val="Normal"/>
    <w:rsid w:val="00FE36A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customStyle="1" w:styleId="Cuadrculaclara-nfasis31">
    <w:name w:val="Cuadrícula clara - Énfasis 31"/>
    <w:basedOn w:val="Normal"/>
    <w:link w:val="Cuadrculaclara-nfasis3Car"/>
    <w:uiPriority w:val="34"/>
    <w:qFormat/>
    <w:rsid w:val="00FE36A5"/>
    <w:pPr>
      <w:suppressAutoHyphens/>
      <w:spacing w:after="0" w:line="100" w:lineRule="atLeast"/>
      <w:ind w:left="708"/>
    </w:pPr>
    <w:rPr>
      <w:rFonts w:ascii="Times New Roman" w:eastAsia="Arial Unicode MS" w:hAnsi="Times New Roman" w:cs="Times New Roman"/>
      <w:kern w:val="1"/>
      <w:sz w:val="24"/>
      <w:szCs w:val="24"/>
      <w:lang w:val="es-ES_tradnl" w:eastAsia="ar-SA"/>
    </w:rPr>
  </w:style>
  <w:style w:type="character" w:customStyle="1" w:styleId="Cuadrculaclara-nfasis3Car">
    <w:name w:val="Cuadrícula clara - Énfasis 3 Car"/>
    <w:link w:val="Cuadrculaclara-nfasis31"/>
    <w:uiPriority w:val="34"/>
    <w:rsid w:val="00FE36A5"/>
    <w:rPr>
      <w:rFonts w:ascii="Times New Roman" w:eastAsia="Arial Unicode MS" w:hAnsi="Times New Roman" w:cs="Times New Roman"/>
      <w:kern w:val="1"/>
      <w:sz w:val="24"/>
      <w:szCs w:val="24"/>
      <w:lang w:val="es-ES_tradnl" w:eastAsia="ar-SA"/>
    </w:rPr>
  </w:style>
  <w:style w:type="paragraph" w:styleId="Textosinformato">
    <w:name w:val="Plain Text"/>
    <w:basedOn w:val="Normal"/>
    <w:link w:val="TextosinformatoCar"/>
    <w:rsid w:val="00FE36A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E36A5"/>
    <w:rPr>
      <w:rFonts w:ascii="Courier New" w:eastAsia="Times New Roman" w:hAnsi="Courier New" w:cs="Times New Roman"/>
      <w:sz w:val="20"/>
      <w:szCs w:val="20"/>
      <w:lang w:val="es-ES" w:eastAsia="es-ES"/>
    </w:rPr>
  </w:style>
  <w:style w:type="character" w:customStyle="1" w:styleId="apple-converted-space">
    <w:name w:val="apple-converted-space"/>
    <w:basedOn w:val="Fuentedeprrafopredeter"/>
    <w:rsid w:val="001A75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33FF"/>
    <w:pPr>
      <w:ind w:left="720"/>
      <w:contextualSpacing/>
    </w:pPr>
  </w:style>
  <w:style w:type="paragraph" w:styleId="Textodeglobo">
    <w:name w:val="Balloon Text"/>
    <w:basedOn w:val="Normal"/>
    <w:link w:val="TextodegloboCar"/>
    <w:uiPriority w:val="99"/>
    <w:semiHidden/>
    <w:unhideWhenUsed/>
    <w:rsid w:val="00CA11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1A3"/>
    <w:rPr>
      <w:rFonts w:ascii="Tahoma" w:hAnsi="Tahoma" w:cs="Tahoma"/>
      <w:sz w:val="16"/>
      <w:szCs w:val="16"/>
    </w:rPr>
  </w:style>
  <w:style w:type="paragraph" w:styleId="Encabezado">
    <w:name w:val="header"/>
    <w:basedOn w:val="Normal"/>
    <w:link w:val="EncabezadoCar"/>
    <w:uiPriority w:val="99"/>
    <w:unhideWhenUsed/>
    <w:rsid w:val="00B402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0273"/>
  </w:style>
  <w:style w:type="paragraph" w:styleId="Piedepgina">
    <w:name w:val="footer"/>
    <w:basedOn w:val="Normal"/>
    <w:link w:val="PiedepginaCar"/>
    <w:uiPriority w:val="99"/>
    <w:unhideWhenUsed/>
    <w:rsid w:val="00B40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0273"/>
  </w:style>
  <w:style w:type="paragraph" w:customStyle="1" w:styleId="Textopredeterminado">
    <w:name w:val="Texto predeterminado"/>
    <w:basedOn w:val="Normal"/>
    <w:rsid w:val="00FE36A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eastAsia="es-ES"/>
    </w:rPr>
  </w:style>
  <w:style w:type="paragraph" w:customStyle="1" w:styleId="Cuadrculaclara-nfasis31">
    <w:name w:val="Cuadrícula clara - Énfasis 31"/>
    <w:basedOn w:val="Normal"/>
    <w:link w:val="Cuadrculaclara-nfasis3Car"/>
    <w:uiPriority w:val="34"/>
    <w:qFormat/>
    <w:rsid w:val="00FE36A5"/>
    <w:pPr>
      <w:suppressAutoHyphens/>
      <w:spacing w:after="0" w:line="100" w:lineRule="atLeast"/>
      <w:ind w:left="708"/>
    </w:pPr>
    <w:rPr>
      <w:rFonts w:ascii="Times New Roman" w:eastAsia="Arial Unicode MS" w:hAnsi="Times New Roman" w:cs="Times New Roman"/>
      <w:kern w:val="1"/>
      <w:sz w:val="24"/>
      <w:szCs w:val="24"/>
      <w:lang w:val="es-ES_tradnl" w:eastAsia="ar-SA"/>
    </w:rPr>
  </w:style>
  <w:style w:type="character" w:customStyle="1" w:styleId="Cuadrculaclara-nfasis3Car">
    <w:name w:val="Cuadrícula clara - Énfasis 3 Car"/>
    <w:link w:val="Cuadrculaclara-nfasis31"/>
    <w:uiPriority w:val="34"/>
    <w:rsid w:val="00FE36A5"/>
    <w:rPr>
      <w:rFonts w:ascii="Times New Roman" w:eastAsia="Arial Unicode MS" w:hAnsi="Times New Roman" w:cs="Times New Roman"/>
      <w:kern w:val="1"/>
      <w:sz w:val="24"/>
      <w:szCs w:val="24"/>
      <w:lang w:val="es-ES_tradnl" w:eastAsia="ar-SA"/>
    </w:rPr>
  </w:style>
  <w:style w:type="paragraph" w:styleId="Textosinformato">
    <w:name w:val="Plain Text"/>
    <w:basedOn w:val="Normal"/>
    <w:link w:val="TextosinformatoCar"/>
    <w:rsid w:val="00FE36A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FE36A5"/>
    <w:rPr>
      <w:rFonts w:ascii="Courier New" w:eastAsia="Times New Roman" w:hAnsi="Courier New" w:cs="Times New Roman"/>
      <w:sz w:val="20"/>
      <w:szCs w:val="20"/>
      <w:lang w:val="es-ES" w:eastAsia="es-ES"/>
    </w:rPr>
  </w:style>
  <w:style w:type="character" w:customStyle="1" w:styleId="apple-converted-space">
    <w:name w:val="apple-converted-space"/>
    <w:basedOn w:val="Fuentedeprrafopredeter"/>
    <w:rsid w:val="001A7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61850">
      <w:bodyDiv w:val="1"/>
      <w:marLeft w:val="0"/>
      <w:marRight w:val="0"/>
      <w:marTop w:val="0"/>
      <w:marBottom w:val="0"/>
      <w:divBdr>
        <w:top w:val="none" w:sz="0" w:space="0" w:color="auto"/>
        <w:left w:val="none" w:sz="0" w:space="0" w:color="auto"/>
        <w:bottom w:val="none" w:sz="0" w:space="0" w:color="auto"/>
        <w:right w:val="none" w:sz="0" w:space="0" w:color="auto"/>
      </w:divBdr>
    </w:div>
    <w:div w:id="213537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456DD-5187-432B-B8DA-56E11B57C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3822</Words>
  <Characters>21025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Patricio Jaramillo Arciniegas</dc:creator>
  <cp:lastModifiedBy>Diego Sebastian Cevallos Salgado</cp:lastModifiedBy>
  <cp:revision>7</cp:revision>
  <cp:lastPrinted>2017-04-04T20:07:00Z</cp:lastPrinted>
  <dcterms:created xsi:type="dcterms:W3CDTF">2017-04-04T19:38:00Z</dcterms:created>
  <dcterms:modified xsi:type="dcterms:W3CDTF">2017-04-06T16:06:00Z</dcterms:modified>
</cp:coreProperties>
</file>