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54" w:rsidRDefault="00F44D54" w:rsidP="0048627B">
      <w:pPr>
        <w:pStyle w:val="Ttulo"/>
        <w:spacing w:before="240" w:line="276" w:lineRule="auto"/>
        <w:rPr>
          <w:rFonts w:ascii="Palatino Linotype" w:hAnsi="Palatino Linotype" w:cs="Arial"/>
          <w:sz w:val="22"/>
          <w:szCs w:val="22"/>
        </w:rPr>
      </w:pPr>
      <w:r>
        <w:rPr>
          <w:rFonts w:ascii="Palatino Linotype" w:hAnsi="Palatino Linotype" w:cs="Arial"/>
          <w:sz w:val="22"/>
          <w:szCs w:val="22"/>
        </w:rPr>
        <w:t>EXPOSICIÓN DE MOTIVOS</w:t>
      </w:r>
    </w:p>
    <w:p w:rsidR="00F44D54" w:rsidRPr="001B78D2" w:rsidRDefault="00F44D54" w:rsidP="0048627B">
      <w:pPr>
        <w:pStyle w:val="Ttulo"/>
        <w:spacing w:before="240" w:line="276" w:lineRule="auto"/>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F44D54" w:rsidRPr="00E9318F" w:rsidRDefault="00F44D54" w:rsidP="0048627B">
      <w:pPr>
        <w:pStyle w:val="Ttulo"/>
        <w:spacing w:before="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de Espacio Público de la Empresa Pública Metropolitana de Movilidad y Obras Públicas –EPMMOP-, promueve procesos 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F44D54" w:rsidRDefault="00F44D54" w:rsidP="0048627B">
      <w:pPr>
        <w:pStyle w:val="Ttulo"/>
        <w:spacing w:before="240" w:line="276" w:lineRule="auto"/>
        <w:jc w:val="both"/>
        <w:rPr>
          <w:rFonts w:ascii="Palatino Linotype" w:hAnsi="Palatino Linotype" w:cs="Arial"/>
          <w:b w:val="0"/>
          <w:sz w:val="22"/>
          <w:szCs w:val="22"/>
        </w:rPr>
      </w:pPr>
      <w:r>
        <w:rPr>
          <w:rFonts w:ascii="Palatino Linotype" w:hAnsi="Palatino Linotype" w:cs="Arial"/>
          <w:b w:val="0"/>
          <w:sz w:val="22"/>
          <w:szCs w:val="22"/>
        </w:rPr>
        <w:t xml:space="preserve">En este sentido, la Administración ha realizado el proceso tendiente a obtener la designación vial de </w:t>
      </w:r>
      <w:r w:rsidR="00BD6B01">
        <w:rPr>
          <w:rFonts w:ascii="Palatino Linotype" w:hAnsi="Palatino Linotype" w:cs="Arial"/>
          <w:b w:val="0"/>
          <w:sz w:val="22"/>
          <w:szCs w:val="22"/>
        </w:rPr>
        <w:t>ocho</w:t>
      </w:r>
      <w:r>
        <w:rPr>
          <w:rFonts w:ascii="Palatino Linotype" w:hAnsi="Palatino Linotype" w:cs="Arial"/>
          <w:b w:val="0"/>
          <w:sz w:val="22"/>
          <w:szCs w:val="22"/>
        </w:rPr>
        <w:t xml:space="preserve"> calles del Comité Barrial “Puertas del Valle”</w:t>
      </w:r>
      <w:r w:rsidR="00BD6B01">
        <w:rPr>
          <w:rFonts w:ascii="Palatino Linotype" w:hAnsi="Palatino Linotype" w:cs="Arial"/>
          <w:b w:val="0"/>
          <w:sz w:val="22"/>
          <w:szCs w:val="22"/>
        </w:rPr>
        <w:t>, ubicado en</w:t>
      </w:r>
      <w:r>
        <w:rPr>
          <w:rFonts w:ascii="Palatino Linotype" w:hAnsi="Palatino Linotype" w:cs="Arial"/>
          <w:b w:val="0"/>
          <w:sz w:val="22"/>
          <w:szCs w:val="22"/>
        </w:rPr>
        <w:t xml:space="preserve"> la parroquia Puengasí, con los nombre</w:t>
      </w:r>
      <w:r w:rsidR="00BD6B01">
        <w:rPr>
          <w:rFonts w:ascii="Palatino Linotype" w:hAnsi="Palatino Linotype" w:cs="Arial"/>
          <w:b w:val="0"/>
          <w:sz w:val="22"/>
          <w:szCs w:val="22"/>
        </w:rPr>
        <w:t>s</w:t>
      </w:r>
      <w:r>
        <w:rPr>
          <w:rFonts w:ascii="Palatino Linotype" w:hAnsi="Palatino Linotype" w:cs="Arial"/>
          <w:b w:val="0"/>
          <w:sz w:val="22"/>
          <w:szCs w:val="22"/>
        </w:rPr>
        <w:t xml:space="preserve"> de los </w:t>
      </w:r>
      <w:r w:rsidR="00BD6B01">
        <w:rPr>
          <w:rFonts w:ascii="Palatino Linotype" w:hAnsi="Palatino Linotype" w:cs="Arial"/>
          <w:b w:val="0"/>
          <w:sz w:val="22"/>
          <w:szCs w:val="22"/>
        </w:rPr>
        <w:t>C</w:t>
      </w:r>
      <w:r>
        <w:rPr>
          <w:rFonts w:ascii="Palatino Linotype" w:hAnsi="Palatino Linotype" w:cs="Arial"/>
          <w:b w:val="0"/>
          <w:sz w:val="22"/>
          <w:szCs w:val="22"/>
        </w:rPr>
        <w:t>erros Soche, Sumaco, Cerro Negro, Sarahurco, Pan de Azúc</w:t>
      </w:r>
      <w:r w:rsidR="00BD6B01">
        <w:rPr>
          <w:rFonts w:ascii="Palatino Linotype" w:hAnsi="Palatino Linotype" w:cs="Arial"/>
          <w:b w:val="0"/>
          <w:sz w:val="22"/>
          <w:szCs w:val="22"/>
        </w:rPr>
        <w:t>ar, Chacana, Cubilche y Mojanda, respectivamente.</w:t>
      </w:r>
    </w:p>
    <w:p w:rsidR="00F44D54" w:rsidRDefault="00F44D54" w:rsidP="0048627B">
      <w:pPr>
        <w:pStyle w:val="Ttulo"/>
        <w:spacing w:before="240" w:line="276" w:lineRule="auto"/>
        <w:rPr>
          <w:rFonts w:ascii="Palatino Linotype" w:hAnsi="Palatino Linotype" w:cs="Arial"/>
          <w:sz w:val="22"/>
          <w:szCs w:val="22"/>
        </w:rPr>
      </w:pPr>
    </w:p>
    <w:p w:rsidR="00F44D54" w:rsidRDefault="00F44D54" w:rsidP="0048627B">
      <w:pPr>
        <w:pStyle w:val="Ttulo"/>
        <w:tabs>
          <w:tab w:val="left" w:pos="1693"/>
          <w:tab w:val="center" w:pos="4394"/>
        </w:tabs>
        <w:spacing w:before="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F44D54" w:rsidRDefault="00F44D54" w:rsidP="0048627B">
      <w:pPr>
        <w:pStyle w:val="Ttulo"/>
        <w:spacing w:before="240" w:line="276" w:lineRule="auto"/>
        <w:rPr>
          <w:rFonts w:ascii="Palatino Linotype" w:hAnsi="Palatino Linotype" w:cs="Arial"/>
          <w:sz w:val="22"/>
          <w:szCs w:val="22"/>
        </w:rPr>
        <w:sectPr w:rsidR="00F44D54" w:rsidSect="00D82CFE">
          <w:headerReference w:type="default" r:id="rId7"/>
          <w:footerReference w:type="default" r:id="rId8"/>
          <w:pgSz w:w="11906" w:h="16838"/>
          <w:pgMar w:top="3402" w:right="1416" w:bottom="567" w:left="1701" w:header="709" w:footer="70" w:gutter="0"/>
          <w:cols w:space="708"/>
          <w:docGrid w:linePitch="360"/>
        </w:sectPr>
      </w:pPr>
    </w:p>
    <w:p w:rsidR="00F44D54" w:rsidRPr="003843CA" w:rsidRDefault="00F44D54" w:rsidP="0048627B">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F44D54" w:rsidRPr="00870361" w:rsidRDefault="00F44D54" w:rsidP="0048627B">
      <w:pPr>
        <w:spacing w:before="240" w:line="276" w:lineRule="auto"/>
        <w:jc w:val="both"/>
        <w:rPr>
          <w:rFonts w:ascii="Palatino Linotype" w:hAnsi="Palatino Linotype" w:cs="Arial"/>
          <w:sz w:val="22"/>
          <w:szCs w:val="22"/>
        </w:rPr>
      </w:pPr>
      <w:r>
        <w:rPr>
          <w:rFonts w:ascii="Palatino Linotype" w:hAnsi="Palatino Linotype" w:cs="Arial"/>
          <w:sz w:val="22"/>
          <w:szCs w:val="22"/>
        </w:rPr>
        <w:t>Visto el</w:t>
      </w:r>
      <w:r w:rsidR="00BD6B01">
        <w:rPr>
          <w:rFonts w:ascii="Palatino Linotype" w:hAnsi="Palatino Linotype" w:cs="Arial"/>
          <w:sz w:val="22"/>
          <w:szCs w:val="22"/>
        </w:rPr>
        <w:t xml:space="preserve"> Informe No. IC-O-2014-038, de </w:t>
      </w:r>
      <w:r w:rsidR="00624D6A">
        <w:rPr>
          <w:rFonts w:ascii="Palatino Linotype" w:hAnsi="Palatino Linotype" w:cs="Arial"/>
          <w:sz w:val="22"/>
          <w:szCs w:val="22"/>
        </w:rPr>
        <w:t>4</w:t>
      </w:r>
      <w:r>
        <w:rPr>
          <w:rFonts w:ascii="Palatino Linotype" w:hAnsi="Palatino Linotype" w:cs="Arial"/>
          <w:sz w:val="22"/>
          <w:szCs w:val="22"/>
        </w:rPr>
        <w:t xml:space="preserve"> de agosto de 2014, expedido por la Comisión de Uso de Suelo.</w:t>
      </w:r>
    </w:p>
    <w:p w:rsidR="00F44D54" w:rsidRPr="003250BA" w:rsidRDefault="00F44D54" w:rsidP="0048627B">
      <w:pPr>
        <w:pStyle w:val="Ttulo4"/>
        <w:spacing w:after="0" w:line="276" w:lineRule="auto"/>
        <w:jc w:val="center"/>
        <w:rPr>
          <w:rFonts w:ascii="Palatino Linotype" w:hAnsi="Palatino Linotype"/>
          <w:sz w:val="22"/>
          <w:szCs w:val="22"/>
        </w:rPr>
      </w:pPr>
      <w:r w:rsidRPr="003250BA">
        <w:rPr>
          <w:rFonts w:ascii="Palatino Linotype" w:hAnsi="Palatino Linotype"/>
          <w:sz w:val="22"/>
          <w:szCs w:val="22"/>
        </w:rPr>
        <w:t>CONSIDERANDO:</w:t>
      </w:r>
    </w:p>
    <w:p w:rsidR="00F44D54" w:rsidRPr="00160CF8" w:rsidRDefault="00F44D54" w:rsidP="0048627B">
      <w:pPr>
        <w:pStyle w:val="Sinespaciado"/>
        <w:spacing w:before="240"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F44D54" w:rsidRPr="00064C9D" w:rsidRDefault="00F44D54" w:rsidP="0048627B">
      <w:pPr>
        <w:pStyle w:val="Sinespaciado"/>
        <w:spacing w:before="240"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F44D54" w:rsidRPr="00064C9D" w:rsidRDefault="00F44D54" w:rsidP="0048627B">
      <w:pPr>
        <w:pStyle w:val="Sinespaciado"/>
        <w:spacing w:before="240"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F44D54" w:rsidRDefault="00F44D54" w:rsidP="0048627B">
      <w:pPr>
        <w:pStyle w:val="Sinespaciado"/>
        <w:spacing w:before="240"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F44D54" w:rsidRPr="008E6EB0" w:rsidRDefault="00F44D54" w:rsidP="0048627B">
      <w:pPr>
        <w:pStyle w:val="Sinespaciado"/>
        <w:spacing w:before="240"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F44D54" w:rsidRDefault="00F44D54" w:rsidP="0048627B">
      <w:pPr>
        <w:spacing w:before="240"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lastRenderedPageBreak/>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014-AMH de 22 de enero de 2014,</w:t>
      </w:r>
      <w:r>
        <w:rPr>
          <w:rFonts w:ascii="Palatino Linotype" w:eastAsia="Calibri" w:hAnsi="Palatino Linotype"/>
          <w:sz w:val="22"/>
          <w:szCs w:val="22"/>
          <w:lang w:val="es-EC" w:eastAsia="en-US"/>
        </w:rPr>
        <w:t xml:space="preserve"> el Dr. Juan Paz y Miño, Ex Cronista de la Ciudad  y Director del Archivo Metropolitano de Historia, emite informe favorable para la designación vial de ocho calles del barrio “Puertas del Valle” de la parroquia Puengasí;</w:t>
      </w:r>
    </w:p>
    <w:p w:rsidR="00F44D54" w:rsidRDefault="00F44D54" w:rsidP="0048627B">
      <w:pPr>
        <w:spacing w:before="240"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xml:space="preserve">, mediante oficio No. UEP-089-SG-426 de 30 de enero de 2014, remite la documentación tendiente a la designación vial de ocho </w:t>
      </w:r>
      <w:r>
        <w:rPr>
          <w:rFonts w:ascii="Palatino Linotype" w:eastAsia="Calibri" w:hAnsi="Palatino Linotype"/>
          <w:sz w:val="22"/>
          <w:szCs w:val="22"/>
          <w:lang w:val="es-EC" w:eastAsia="en-US"/>
        </w:rPr>
        <w:t>calles del barrio “Puertas del Valle” de la parroquia Puengasí;</w:t>
      </w:r>
    </w:p>
    <w:p w:rsidR="00F44D54" w:rsidRPr="00634FE5" w:rsidRDefault="00F44D54" w:rsidP="0048627B">
      <w:pPr>
        <w:spacing w:before="240" w:line="276" w:lineRule="auto"/>
        <w:ind w:left="703" w:hanging="703"/>
        <w:jc w:val="both"/>
        <w:rPr>
          <w:rFonts w:ascii="Palatino Linotype" w:hAnsi="Palatino Linotype" w:cs="Arial"/>
          <w:b/>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STHV-GT-432 de 5 de febrero de 2014, la Secretaría de Territorio, Hábitat y Vivienda, emite informe técnico favorable respecto de la designación vial propuesta; y,</w:t>
      </w:r>
    </w:p>
    <w:p w:rsidR="00F44D54" w:rsidRDefault="00F44D54" w:rsidP="0048627B">
      <w:pPr>
        <w:spacing w:before="240"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 xml:space="preserve">Procuraduría Metropolitana, mediante oficio No. 2014- 00411 </w:t>
      </w:r>
      <w:r w:rsidRPr="00085728">
        <w:rPr>
          <w:rFonts w:ascii="Palatino Linotype" w:hAnsi="Palatino Linotype" w:cs="Arial"/>
          <w:sz w:val="22"/>
          <w:szCs w:val="22"/>
        </w:rPr>
        <w:t xml:space="preserve">de </w:t>
      </w:r>
      <w:r>
        <w:rPr>
          <w:rFonts w:ascii="Palatino Linotype" w:hAnsi="Palatino Linotype" w:cs="Arial"/>
          <w:sz w:val="22"/>
          <w:szCs w:val="22"/>
        </w:rPr>
        <w:t>8</w:t>
      </w:r>
      <w:r w:rsidRPr="00085728">
        <w:rPr>
          <w:rFonts w:ascii="Palatino Linotype" w:hAnsi="Palatino Linotype" w:cs="Arial"/>
          <w:sz w:val="22"/>
          <w:szCs w:val="22"/>
        </w:rPr>
        <w:t xml:space="preserve"> de </w:t>
      </w:r>
      <w:r>
        <w:rPr>
          <w:rFonts w:ascii="Palatino Linotype" w:hAnsi="Palatino Linotype" w:cs="Arial"/>
          <w:sz w:val="22"/>
          <w:szCs w:val="22"/>
        </w:rPr>
        <w:t>marzo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de las referidas calles.</w:t>
      </w:r>
    </w:p>
    <w:p w:rsidR="00F44D54" w:rsidRPr="0054657B" w:rsidRDefault="00F44D54" w:rsidP="0048627B">
      <w:pPr>
        <w:spacing w:before="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F44D54" w:rsidRDefault="00F44D54" w:rsidP="0048627B">
      <w:pPr>
        <w:spacing w:before="240" w:line="276" w:lineRule="auto"/>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48627B">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F44D54" w:rsidRDefault="00F44D54" w:rsidP="0048627B">
      <w:pPr>
        <w:spacing w:before="240" w:line="276" w:lineRule="auto"/>
        <w:jc w:val="center"/>
        <w:rPr>
          <w:rFonts w:ascii="Palatino Linotype" w:hAnsi="Palatino Linotype" w:cs="Arial"/>
          <w:b/>
          <w:sz w:val="22"/>
          <w:szCs w:val="22"/>
        </w:rPr>
      </w:pP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DESIGNACIÓN VIAL </w:t>
      </w:r>
      <w:r w:rsidR="00BD6B01">
        <w:rPr>
          <w:rFonts w:ascii="Palatino Linotype" w:hAnsi="Palatino Linotype" w:cs="Arial"/>
          <w:b/>
          <w:sz w:val="22"/>
          <w:szCs w:val="22"/>
        </w:rPr>
        <w:t xml:space="preserve">DE LAS </w:t>
      </w:r>
      <w:r>
        <w:rPr>
          <w:rFonts w:ascii="Palatino Linotype" w:hAnsi="Palatino Linotype" w:cs="Arial"/>
          <w:b/>
          <w:sz w:val="22"/>
          <w:szCs w:val="22"/>
        </w:rPr>
        <w:t>CALLES DEL COMITÉ BARRIAL PUERTAS DEL VALLE</w:t>
      </w:r>
      <w:r w:rsidR="00BD6B01">
        <w:rPr>
          <w:rFonts w:ascii="Palatino Linotype" w:hAnsi="Palatino Linotype" w:cs="Arial"/>
          <w:b/>
          <w:sz w:val="22"/>
          <w:szCs w:val="22"/>
        </w:rPr>
        <w:t>,</w:t>
      </w:r>
      <w:r>
        <w:rPr>
          <w:rFonts w:ascii="Palatino Linotype" w:hAnsi="Palatino Linotype" w:cs="Arial"/>
          <w:b/>
          <w:sz w:val="22"/>
          <w:szCs w:val="22"/>
        </w:rPr>
        <w:t xml:space="preserve"> </w:t>
      </w:r>
      <w:r w:rsidR="00BD6B01">
        <w:rPr>
          <w:rFonts w:ascii="Palatino Linotype" w:hAnsi="Palatino Linotype" w:cs="Arial"/>
          <w:b/>
          <w:sz w:val="22"/>
          <w:szCs w:val="22"/>
        </w:rPr>
        <w:t xml:space="preserve">UBICADO EN </w:t>
      </w:r>
      <w:r>
        <w:rPr>
          <w:rFonts w:ascii="Palatino Linotype" w:hAnsi="Palatino Linotype" w:cs="Arial"/>
          <w:b/>
          <w:sz w:val="22"/>
          <w:szCs w:val="22"/>
        </w:rPr>
        <w:t xml:space="preserve">LA PARROQUIA PUENGASÍ </w:t>
      </w:r>
    </w:p>
    <w:p w:rsidR="00F44D54" w:rsidRDefault="00F44D54" w:rsidP="0048627B">
      <w:pPr>
        <w:tabs>
          <w:tab w:val="left" w:pos="1080"/>
        </w:tabs>
        <w:spacing w:before="240" w:line="276" w:lineRule="auto"/>
        <w:ind w:hanging="11"/>
        <w:jc w:val="both"/>
        <w:rPr>
          <w:rFonts w:ascii="Palatino Linotype" w:eastAsia="Calibri" w:hAnsi="Palatino Linotype"/>
          <w:sz w:val="22"/>
          <w:szCs w:val="22"/>
          <w:lang w:eastAsia="en-US"/>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Pr>
          <w:rFonts w:ascii="Palatino Linotype" w:eastAsia="Calibri" w:hAnsi="Palatino Linotype"/>
          <w:sz w:val="22"/>
          <w:szCs w:val="22"/>
          <w:lang w:eastAsia="en-US"/>
        </w:rPr>
        <w:t>e</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 xml:space="preserve">a </w:t>
      </w:r>
      <w:r w:rsidR="00BD6B01">
        <w:rPr>
          <w:rFonts w:ascii="Palatino Linotype" w:eastAsia="Calibri" w:hAnsi="Palatino Linotype"/>
          <w:sz w:val="22"/>
          <w:szCs w:val="22"/>
          <w:lang w:eastAsia="en-US"/>
        </w:rPr>
        <w:t>las</w:t>
      </w:r>
      <w:r>
        <w:rPr>
          <w:rFonts w:ascii="Palatino Linotype" w:eastAsia="Calibri" w:hAnsi="Palatino Linotype"/>
          <w:sz w:val="22"/>
          <w:szCs w:val="22"/>
          <w:lang w:eastAsia="en-US"/>
        </w:rPr>
        <w:t xml:space="preserve"> calles pertenecientes al </w:t>
      </w:r>
      <w:r w:rsidR="00BD6B01">
        <w:rPr>
          <w:rFonts w:ascii="Palatino Linotype" w:eastAsia="Calibri" w:hAnsi="Palatino Linotype"/>
          <w:sz w:val="22"/>
          <w:szCs w:val="22"/>
          <w:lang w:eastAsia="en-US"/>
        </w:rPr>
        <w:t>C</w:t>
      </w:r>
      <w:r>
        <w:rPr>
          <w:rFonts w:ascii="Palatino Linotype" w:eastAsia="Calibri" w:hAnsi="Palatino Linotype"/>
          <w:sz w:val="22"/>
          <w:szCs w:val="22"/>
          <w:lang w:eastAsia="en-US"/>
        </w:rPr>
        <w:t xml:space="preserve">omité </w:t>
      </w:r>
      <w:r w:rsidR="00BD6B01">
        <w:rPr>
          <w:rFonts w:ascii="Palatino Linotype" w:eastAsia="Calibri" w:hAnsi="Palatino Linotype"/>
          <w:sz w:val="22"/>
          <w:szCs w:val="22"/>
          <w:lang w:eastAsia="en-US"/>
        </w:rPr>
        <w:t>B</w:t>
      </w:r>
      <w:r>
        <w:rPr>
          <w:rFonts w:ascii="Palatino Linotype" w:eastAsia="Calibri" w:hAnsi="Palatino Linotype"/>
          <w:sz w:val="22"/>
          <w:szCs w:val="22"/>
          <w:lang w:eastAsia="en-US"/>
        </w:rPr>
        <w:t xml:space="preserve">arrial Puertas del Valle, </w:t>
      </w:r>
      <w:r w:rsidR="00BD6B01">
        <w:rPr>
          <w:rFonts w:ascii="Palatino Linotype" w:eastAsia="Calibri" w:hAnsi="Palatino Linotype"/>
          <w:sz w:val="22"/>
          <w:szCs w:val="22"/>
          <w:lang w:eastAsia="en-US"/>
        </w:rPr>
        <w:t xml:space="preserve">ubicado en la </w:t>
      </w:r>
      <w:r>
        <w:rPr>
          <w:rFonts w:ascii="Palatino Linotype" w:eastAsia="Calibri" w:hAnsi="Palatino Linotype"/>
          <w:sz w:val="22"/>
          <w:szCs w:val="22"/>
          <w:lang w:eastAsia="en-US"/>
        </w:rPr>
        <w:t>parroquia Puengasí</w:t>
      </w:r>
      <w:r w:rsidR="00BD6B01">
        <w:rPr>
          <w:rFonts w:ascii="Palatino Linotype" w:eastAsia="Calibri" w:hAnsi="Palatino Linotype"/>
          <w:sz w:val="22"/>
          <w:szCs w:val="22"/>
          <w:lang w:eastAsia="en-US"/>
        </w:rPr>
        <w:t>,</w:t>
      </w:r>
      <w:r>
        <w:rPr>
          <w:rFonts w:ascii="Palatino Linotype" w:eastAsia="Calibri" w:hAnsi="Palatino Linotype"/>
          <w:sz w:val="22"/>
          <w:szCs w:val="22"/>
          <w:lang w:eastAsia="en-US"/>
        </w:rPr>
        <w:t xml:space="preserve"> de conformidad al </w:t>
      </w:r>
      <w:r w:rsidR="00BD6B01">
        <w:rPr>
          <w:rFonts w:ascii="Palatino Linotype" w:eastAsia="Calibri" w:hAnsi="Palatino Linotype"/>
          <w:sz w:val="22"/>
          <w:szCs w:val="22"/>
          <w:lang w:eastAsia="en-US"/>
        </w:rPr>
        <w:t xml:space="preserve">siguiente </w:t>
      </w:r>
      <w:r>
        <w:rPr>
          <w:rFonts w:ascii="Palatino Linotype" w:eastAsia="Calibri" w:hAnsi="Palatino Linotype"/>
          <w:sz w:val="22"/>
          <w:szCs w:val="22"/>
          <w:lang w:eastAsia="en-US"/>
        </w:rPr>
        <w:t>detalle</w:t>
      </w:r>
      <w:r w:rsidR="00BD6B01">
        <w:rPr>
          <w:rFonts w:ascii="Palatino Linotype" w:eastAsia="Calibri" w:hAnsi="Palatino Linotype"/>
          <w:sz w:val="22"/>
          <w:szCs w:val="22"/>
          <w:lang w:eastAsia="en-US"/>
        </w:rPr>
        <w:t>:</w:t>
      </w:r>
    </w:p>
    <w:tbl>
      <w:tblPr>
        <w:tblStyle w:val="Tablaconcuadrcula"/>
        <w:tblW w:w="0" w:type="auto"/>
        <w:tblInd w:w="2660" w:type="dxa"/>
        <w:tblLook w:val="04A0"/>
      </w:tblPr>
      <w:tblGrid>
        <w:gridCol w:w="1276"/>
        <w:gridCol w:w="2976"/>
      </w:tblGrid>
      <w:tr w:rsidR="00BD6B01" w:rsidRPr="00624D6A" w:rsidTr="0001521D">
        <w:tc>
          <w:tcPr>
            <w:tcW w:w="1276" w:type="dxa"/>
          </w:tcPr>
          <w:p w:rsidR="00BD6B01" w:rsidRPr="00624D6A" w:rsidRDefault="00BD6B01" w:rsidP="0048627B">
            <w:pPr>
              <w:tabs>
                <w:tab w:val="left" w:pos="-426"/>
              </w:tabs>
              <w:spacing w:before="240" w:line="276" w:lineRule="auto"/>
              <w:jc w:val="center"/>
              <w:rPr>
                <w:rFonts w:ascii="Palatino Linotype" w:hAnsi="Palatino Linotype" w:cs="Arial"/>
                <w:b/>
                <w:sz w:val="22"/>
                <w:szCs w:val="22"/>
              </w:rPr>
            </w:pPr>
            <w:r w:rsidRPr="00624D6A">
              <w:rPr>
                <w:rFonts w:ascii="Palatino Linotype" w:hAnsi="Palatino Linotype" w:cs="Arial"/>
                <w:b/>
                <w:sz w:val="22"/>
                <w:szCs w:val="22"/>
              </w:rPr>
              <w:t>Código</w:t>
            </w:r>
          </w:p>
        </w:tc>
        <w:tc>
          <w:tcPr>
            <w:tcW w:w="2976" w:type="dxa"/>
          </w:tcPr>
          <w:p w:rsidR="00BD6B01" w:rsidRPr="00624D6A" w:rsidRDefault="00BD6B01" w:rsidP="0048627B">
            <w:pPr>
              <w:tabs>
                <w:tab w:val="left" w:pos="-426"/>
              </w:tabs>
              <w:spacing w:before="240" w:line="276" w:lineRule="auto"/>
              <w:jc w:val="center"/>
              <w:rPr>
                <w:rFonts w:ascii="Palatino Linotype" w:hAnsi="Palatino Linotype" w:cs="Arial"/>
                <w:b/>
                <w:sz w:val="22"/>
                <w:szCs w:val="22"/>
              </w:rPr>
            </w:pPr>
            <w:r w:rsidRPr="00624D6A">
              <w:rPr>
                <w:rFonts w:ascii="Palatino Linotype" w:hAnsi="Palatino Linotype" w:cs="Arial"/>
                <w:b/>
                <w:sz w:val="22"/>
                <w:szCs w:val="22"/>
              </w:rPr>
              <w:t>Nombres</w:t>
            </w:r>
          </w:p>
        </w:tc>
      </w:tr>
      <w:tr w:rsidR="00BD6B01" w:rsidRPr="00624D6A" w:rsidTr="0001521D">
        <w:tc>
          <w:tcPr>
            <w:tcW w:w="12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p>
        </w:tc>
        <w:tc>
          <w:tcPr>
            <w:tcW w:w="29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Soche</w:t>
            </w:r>
          </w:p>
        </w:tc>
      </w:tr>
      <w:tr w:rsidR="00BD6B01" w:rsidRPr="00624D6A" w:rsidTr="0001521D">
        <w:tc>
          <w:tcPr>
            <w:tcW w:w="12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p>
        </w:tc>
        <w:tc>
          <w:tcPr>
            <w:tcW w:w="29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Sumaco</w:t>
            </w:r>
          </w:p>
        </w:tc>
      </w:tr>
      <w:tr w:rsidR="00BD6B01" w:rsidRPr="00624D6A" w:rsidTr="0001521D">
        <w:tc>
          <w:tcPr>
            <w:tcW w:w="12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p>
        </w:tc>
        <w:tc>
          <w:tcPr>
            <w:tcW w:w="29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Cerro Negro</w:t>
            </w:r>
          </w:p>
        </w:tc>
      </w:tr>
      <w:tr w:rsidR="00BD6B01" w:rsidRPr="00624D6A" w:rsidTr="0001521D">
        <w:tc>
          <w:tcPr>
            <w:tcW w:w="12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p>
        </w:tc>
        <w:tc>
          <w:tcPr>
            <w:tcW w:w="29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Sarahurco</w:t>
            </w:r>
          </w:p>
        </w:tc>
      </w:tr>
      <w:tr w:rsidR="00BD6B01" w:rsidRPr="00624D6A" w:rsidTr="0001521D">
        <w:tc>
          <w:tcPr>
            <w:tcW w:w="12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p>
        </w:tc>
        <w:tc>
          <w:tcPr>
            <w:tcW w:w="29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 xml:space="preserve">Pan </w:t>
            </w:r>
            <w:r>
              <w:rPr>
                <w:rFonts w:ascii="Palatino Linotype" w:hAnsi="Palatino Linotype" w:cs="Arial"/>
                <w:sz w:val="22"/>
                <w:szCs w:val="22"/>
              </w:rPr>
              <w:t>d</w:t>
            </w:r>
            <w:r w:rsidRPr="00624D6A">
              <w:rPr>
                <w:rFonts w:ascii="Palatino Linotype" w:hAnsi="Palatino Linotype" w:cs="Arial"/>
                <w:sz w:val="22"/>
                <w:szCs w:val="22"/>
              </w:rPr>
              <w:t>e Azúcar</w:t>
            </w:r>
          </w:p>
        </w:tc>
      </w:tr>
      <w:tr w:rsidR="00BD6B01" w:rsidRPr="00624D6A" w:rsidTr="0001521D">
        <w:tc>
          <w:tcPr>
            <w:tcW w:w="12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S5B</w:t>
            </w:r>
          </w:p>
        </w:tc>
        <w:tc>
          <w:tcPr>
            <w:tcW w:w="29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Chacana</w:t>
            </w:r>
          </w:p>
        </w:tc>
      </w:tr>
      <w:tr w:rsidR="00BD6B01" w:rsidRPr="00624D6A" w:rsidTr="0001521D">
        <w:tc>
          <w:tcPr>
            <w:tcW w:w="12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p>
        </w:tc>
        <w:tc>
          <w:tcPr>
            <w:tcW w:w="29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Cubilche</w:t>
            </w:r>
          </w:p>
        </w:tc>
      </w:tr>
      <w:tr w:rsidR="00BD6B01" w:rsidRPr="00624D6A" w:rsidTr="0001521D">
        <w:tc>
          <w:tcPr>
            <w:tcW w:w="12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E21A</w:t>
            </w:r>
          </w:p>
        </w:tc>
        <w:tc>
          <w:tcPr>
            <w:tcW w:w="2976" w:type="dxa"/>
          </w:tcPr>
          <w:p w:rsidR="00BD6B01" w:rsidRPr="00624D6A" w:rsidRDefault="00BD6B01" w:rsidP="0048627B">
            <w:pPr>
              <w:tabs>
                <w:tab w:val="left" w:pos="-426"/>
              </w:tabs>
              <w:spacing w:before="240" w:line="276" w:lineRule="auto"/>
              <w:jc w:val="both"/>
              <w:rPr>
                <w:rFonts w:ascii="Palatino Linotype" w:hAnsi="Palatino Linotype" w:cs="Arial"/>
                <w:sz w:val="22"/>
                <w:szCs w:val="22"/>
              </w:rPr>
            </w:pPr>
            <w:r w:rsidRPr="00624D6A">
              <w:rPr>
                <w:rFonts w:ascii="Palatino Linotype" w:hAnsi="Palatino Linotype" w:cs="Arial"/>
                <w:sz w:val="22"/>
                <w:szCs w:val="22"/>
              </w:rPr>
              <w:t>Mojanda</w:t>
            </w:r>
          </w:p>
        </w:tc>
      </w:tr>
    </w:tbl>
    <w:p w:rsidR="00F44D54" w:rsidRPr="00B311F6" w:rsidRDefault="00F44D54" w:rsidP="0048627B">
      <w:pPr>
        <w:spacing w:before="240" w:line="276" w:lineRule="auto"/>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 xml:space="preserve">rdenanza entrará en </w:t>
      </w:r>
      <w:r w:rsidR="00BD6B01">
        <w:rPr>
          <w:rFonts w:ascii="Palatino Linotype" w:hAnsi="Palatino Linotype" w:cs="Arial"/>
          <w:bCs/>
          <w:sz w:val="22"/>
          <w:szCs w:val="22"/>
          <w:lang w:val="es-ES_tradnl"/>
        </w:rPr>
        <w:t>vigencia a partir de su sanción, sin perjuicio de su publicación en la Gaceta Oficial y en el dominio web de la Municipalidad.</w:t>
      </w:r>
    </w:p>
    <w:p w:rsidR="00F44D54" w:rsidRPr="003843CA" w:rsidRDefault="00F44D54" w:rsidP="0048627B">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48627B">
        <w:rPr>
          <w:rFonts w:ascii="Palatino Linotype" w:hAnsi="Palatino Linotype" w:cs="Arial"/>
          <w:sz w:val="22"/>
          <w:szCs w:val="22"/>
        </w:rPr>
        <w:t>18</w:t>
      </w:r>
      <w:r w:rsidRPr="003843CA">
        <w:rPr>
          <w:rFonts w:ascii="Palatino Linotype" w:hAnsi="Palatino Linotype" w:cs="Arial"/>
          <w:sz w:val="22"/>
          <w:szCs w:val="22"/>
        </w:rPr>
        <w:t xml:space="preserve"> de </w:t>
      </w:r>
      <w:r w:rsidR="0048627B">
        <w:rPr>
          <w:rFonts w:ascii="Palatino Linotype" w:hAnsi="Palatino Linotype" w:cs="Arial"/>
          <w:sz w:val="22"/>
          <w:szCs w:val="22"/>
        </w:rPr>
        <w:t xml:space="preserve">septiembre </w:t>
      </w:r>
      <w:r w:rsidRPr="003843CA">
        <w:rPr>
          <w:rFonts w:ascii="Palatino Linotype" w:hAnsi="Palatino Linotype" w:cs="Arial"/>
          <w:sz w:val="22"/>
          <w:szCs w:val="22"/>
        </w:rPr>
        <w:t>de 201</w:t>
      </w:r>
      <w:r>
        <w:rPr>
          <w:rFonts w:ascii="Palatino Linotype" w:hAnsi="Palatino Linotype" w:cs="Arial"/>
          <w:sz w:val="22"/>
          <w:szCs w:val="22"/>
        </w:rPr>
        <w:t>4</w:t>
      </w:r>
      <w:r w:rsidRPr="003843CA">
        <w:rPr>
          <w:rFonts w:ascii="Palatino Linotype" w:hAnsi="Palatino Linotype" w:cs="Arial"/>
          <w:sz w:val="22"/>
          <w:szCs w:val="22"/>
        </w:rPr>
        <w:t>.</w:t>
      </w:r>
    </w:p>
    <w:p w:rsidR="00F44D54" w:rsidRDefault="00F44D54" w:rsidP="00F44D54">
      <w:pPr>
        <w:pStyle w:val="Textopredeterminado"/>
        <w:shd w:val="clear" w:color="auto" w:fill="FFFFFF"/>
        <w:jc w:val="both"/>
        <w:rPr>
          <w:rFonts w:ascii="Palatino Linotype" w:hAnsi="Palatino Linotype" w:cs="Arial"/>
          <w:sz w:val="22"/>
          <w:szCs w:val="22"/>
          <w:lang w:val="es-ES"/>
        </w:rPr>
      </w:pPr>
    </w:p>
    <w:p w:rsidR="0048627B" w:rsidRDefault="0048627B" w:rsidP="00F44D54">
      <w:pPr>
        <w:pStyle w:val="Textopredeterminado"/>
        <w:shd w:val="clear" w:color="auto" w:fill="FFFFFF"/>
        <w:jc w:val="both"/>
        <w:rPr>
          <w:rFonts w:ascii="Palatino Linotype" w:hAnsi="Palatino Linotype" w:cs="Arial"/>
          <w:sz w:val="22"/>
          <w:szCs w:val="22"/>
          <w:lang w:val="es-ES"/>
        </w:rPr>
      </w:pPr>
    </w:p>
    <w:p w:rsidR="00F44D54" w:rsidRPr="003843CA" w:rsidRDefault="00F44D54" w:rsidP="00F44D54">
      <w:pPr>
        <w:pStyle w:val="Textopredeterminado"/>
        <w:shd w:val="clear" w:color="auto" w:fill="FFFFFF"/>
        <w:jc w:val="both"/>
        <w:rPr>
          <w:rFonts w:ascii="Palatino Linotype" w:hAnsi="Palatino Linotype" w:cs="Arial"/>
          <w:sz w:val="22"/>
          <w:szCs w:val="22"/>
          <w:lang w:val="es-ES"/>
        </w:rPr>
      </w:pPr>
    </w:p>
    <w:tbl>
      <w:tblPr>
        <w:tblW w:w="10836" w:type="dxa"/>
        <w:jc w:val="center"/>
        <w:tblInd w:w="-885" w:type="dxa"/>
        <w:tblLook w:val="04A0"/>
      </w:tblPr>
      <w:tblGrid>
        <w:gridCol w:w="5575"/>
        <w:gridCol w:w="5261"/>
      </w:tblGrid>
      <w:tr w:rsidR="00F44D54" w:rsidRPr="00680EAC" w:rsidTr="00EF2966">
        <w:trPr>
          <w:jc w:val="center"/>
        </w:trPr>
        <w:tc>
          <w:tcPr>
            <w:tcW w:w="5575" w:type="dxa"/>
            <w:hideMark/>
          </w:tcPr>
          <w:p w:rsidR="00F44D54" w:rsidRPr="00680EAC" w:rsidRDefault="00F44D54" w:rsidP="001C2DB7">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F44D54" w:rsidRPr="00680EAC" w:rsidRDefault="00F44D54" w:rsidP="001C2DB7">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261" w:type="dxa"/>
            <w:hideMark/>
          </w:tcPr>
          <w:p w:rsidR="00F44D54" w:rsidRPr="00680EAC" w:rsidRDefault="00F44D54" w:rsidP="001C2DB7">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F44D54" w:rsidRDefault="00F44D54" w:rsidP="001C2DB7">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EF2966" w:rsidRPr="00680EAC" w:rsidRDefault="00EF2966" w:rsidP="001C2DB7">
            <w:pPr>
              <w:pStyle w:val="Textopredeterminado"/>
              <w:jc w:val="center"/>
              <w:rPr>
                <w:rFonts w:ascii="Palatino Linotype" w:hAnsi="Palatino Linotype" w:cs="Arial"/>
                <w:b/>
                <w:sz w:val="19"/>
                <w:szCs w:val="19"/>
              </w:rPr>
            </w:pPr>
          </w:p>
        </w:tc>
      </w:tr>
    </w:tbl>
    <w:p w:rsidR="00F44D54" w:rsidRPr="003843CA" w:rsidRDefault="00F44D54" w:rsidP="00F44D54">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F44D54" w:rsidRPr="003843CA" w:rsidRDefault="00F44D54" w:rsidP="00F44D54">
      <w:pPr>
        <w:pStyle w:val="Textosinformato"/>
        <w:jc w:val="both"/>
        <w:rPr>
          <w:rFonts w:ascii="Palatino Linotype" w:eastAsia="MS Mincho" w:hAnsi="Palatino Linotype" w:cs="Arial"/>
          <w:sz w:val="22"/>
          <w:szCs w:val="22"/>
        </w:rPr>
      </w:pPr>
    </w:p>
    <w:p w:rsidR="00F44D54" w:rsidRPr="003843CA" w:rsidRDefault="00F44D54" w:rsidP="00F44D54">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48627B">
        <w:rPr>
          <w:rFonts w:ascii="Palatino Linotype" w:eastAsia="MS Mincho" w:hAnsi="Palatino Linotype" w:cs="Arial"/>
          <w:sz w:val="22"/>
          <w:szCs w:val="22"/>
        </w:rPr>
        <w:t>11</w:t>
      </w:r>
      <w:r>
        <w:rPr>
          <w:rFonts w:ascii="Palatino Linotype" w:eastAsia="MS Mincho" w:hAnsi="Palatino Linotype" w:cs="Arial"/>
          <w:sz w:val="22"/>
          <w:szCs w:val="22"/>
        </w:rPr>
        <w:t xml:space="preserve"> y </w:t>
      </w:r>
      <w:r w:rsidR="0048627B">
        <w:rPr>
          <w:rFonts w:ascii="Palatino Linotype" w:eastAsia="MS Mincho" w:hAnsi="Palatino Linotype" w:cs="Arial"/>
          <w:sz w:val="22"/>
          <w:szCs w:val="22"/>
        </w:rPr>
        <w:t>18</w:t>
      </w:r>
      <w:r w:rsidRPr="003843CA">
        <w:rPr>
          <w:rFonts w:ascii="Palatino Linotype" w:eastAsia="MS Mincho" w:hAnsi="Palatino Linotype" w:cs="Arial"/>
          <w:sz w:val="22"/>
          <w:szCs w:val="22"/>
        </w:rPr>
        <w:t xml:space="preserve"> de </w:t>
      </w:r>
      <w:r w:rsidR="0048627B">
        <w:rPr>
          <w:rFonts w:ascii="Palatino Linotype" w:eastAsia="MS Mincho" w:hAnsi="Palatino Linotype" w:cs="Arial"/>
          <w:sz w:val="22"/>
          <w:szCs w:val="22"/>
        </w:rPr>
        <w:t xml:space="preserve">septiembre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F44D54" w:rsidRPr="003843CA" w:rsidRDefault="00F44D54" w:rsidP="00F44D54">
      <w:pPr>
        <w:pStyle w:val="Textosinformato"/>
        <w:jc w:val="both"/>
        <w:rPr>
          <w:rFonts w:ascii="Palatino Linotype" w:eastAsia="MS Mincho" w:hAnsi="Palatino Linotype" w:cs="Arial"/>
          <w:sz w:val="22"/>
          <w:szCs w:val="22"/>
        </w:rPr>
      </w:pPr>
    </w:p>
    <w:p w:rsidR="00F44D54" w:rsidRPr="003843CA" w:rsidRDefault="00F44D54" w:rsidP="00F44D54">
      <w:pPr>
        <w:pStyle w:val="Textosinformato"/>
        <w:jc w:val="both"/>
        <w:rPr>
          <w:rFonts w:ascii="Palatino Linotype" w:eastAsia="MS Mincho" w:hAnsi="Palatino Linotype" w:cs="Arial"/>
          <w:sz w:val="22"/>
          <w:szCs w:val="22"/>
        </w:rPr>
      </w:pPr>
    </w:p>
    <w:p w:rsidR="00F44D54" w:rsidRDefault="00F44D54" w:rsidP="00F44D54">
      <w:pPr>
        <w:pStyle w:val="Textosinformato"/>
        <w:jc w:val="center"/>
        <w:rPr>
          <w:rFonts w:ascii="Palatino Linotype" w:eastAsia="MS Mincho" w:hAnsi="Palatino Linotype" w:cs="Arial"/>
          <w:sz w:val="22"/>
          <w:szCs w:val="22"/>
        </w:rPr>
      </w:pPr>
    </w:p>
    <w:p w:rsidR="0048627B" w:rsidRDefault="0048627B" w:rsidP="00F44D54">
      <w:pPr>
        <w:pStyle w:val="Textosinformato"/>
        <w:jc w:val="center"/>
        <w:rPr>
          <w:rFonts w:ascii="Palatino Linotype" w:eastAsia="MS Mincho" w:hAnsi="Palatino Linotype" w:cs="Arial"/>
          <w:sz w:val="22"/>
          <w:szCs w:val="22"/>
        </w:rPr>
      </w:pPr>
    </w:p>
    <w:p w:rsidR="00F44D54" w:rsidRPr="003843CA" w:rsidRDefault="00F44D54" w:rsidP="00F44D54">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F44D54" w:rsidRDefault="00F44D54" w:rsidP="00F44D54">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F44D54" w:rsidRDefault="00F44D54" w:rsidP="00F44D54">
      <w:pPr>
        <w:pStyle w:val="Textosinformato"/>
        <w:jc w:val="center"/>
        <w:rPr>
          <w:rFonts w:ascii="Palatino Linotype" w:eastAsia="MS Mincho" w:hAnsi="Palatino Linotype" w:cs="Arial"/>
          <w:sz w:val="22"/>
          <w:szCs w:val="22"/>
        </w:rPr>
      </w:pPr>
    </w:p>
    <w:p w:rsidR="00F44D54" w:rsidRPr="003843CA" w:rsidRDefault="00F44D54" w:rsidP="00F44D54">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F44D54" w:rsidRDefault="00F44D54" w:rsidP="00F44D54">
      <w:pPr>
        <w:pStyle w:val="Textosinformato"/>
        <w:jc w:val="center"/>
        <w:rPr>
          <w:rFonts w:ascii="Palatino Linotype" w:eastAsia="MS Mincho" w:hAnsi="Palatino Linotype" w:cs="Arial"/>
          <w:b/>
          <w:sz w:val="22"/>
          <w:szCs w:val="22"/>
        </w:rPr>
      </w:pPr>
    </w:p>
    <w:p w:rsidR="00F44D54" w:rsidRPr="003843CA" w:rsidRDefault="00F44D54" w:rsidP="00F44D54">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F44D54" w:rsidRPr="003843CA" w:rsidRDefault="00F44D54" w:rsidP="00F44D54">
      <w:pPr>
        <w:pStyle w:val="Textosinformato"/>
        <w:jc w:val="center"/>
        <w:rPr>
          <w:rFonts w:ascii="Palatino Linotype" w:eastAsia="MS Mincho" w:hAnsi="Palatino Linotype" w:cs="Arial"/>
          <w:sz w:val="22"/>
          <w:szCs w:val="22"/>
        </w:rPr>
      </w:pPr>
    </w:p>
    <w:p w:rsidR="00F44D54" w:rsidRDefault="00F44D54" w:rsidP="00F44D54">
      <w:pPr>
        <w:pStyle w:val="Textosinformato"/>
        <w:jc w:val="center"/>
        <w:rPr>
          <w:rFonts w:ascii="Palatino Linotype" w:eastAsia="MS Mincho" w:hAnsi="Palatino Linotype" w:cs="Arial"/>
          <w:sz w:val="22"/>
          <w:szCs w:val="22"/>
        </w:rPr>
      </w:pPr>
    </w:p>
    <w:p w:rsidR="00F44D54" w:rsidRDefault="00F44D54" w:rsidP="00F44D54">
      <w:pPr>
        <w:pStyle w:val="Textosinformato"/>
        <w:jc w:val="center"/>
        <w:rPr>
          <w:rFonts w:ascii="Palatino Linotype" w:eastAsia="MS Mincho" w:hAnsi="Palatino Linotype" w:cs="Arial"/>
          <w:sz w:val="22"/>
          <w:szCs w:val="22"/>
        </w:rPr>
      </w:pPr>
    </w:p>
    <w:p w:rsidR="0048627B" w:rsidRPr="003843CA" w:rsidRDefault="0048627B" w:rsidP="00F44D54">
      <w:pPr>
        <w:pStyle w:val="Textosinformato"/>
        <w:jc w:val="center"/>
        <w:rPr>
          <w:rFonts w:ascii="Palatino Linotype" w:eastAsia="MS Mincho" w:hAnsi="Palatino Linotype" w:cs="Arial"/>
          <w:sz w:val="22"/>
          <w:szCs w:val="22"/>
        </w:rPr>
      </w:pPr>
    </w:p>
    <w:p w:rsidR="00F44D54" w:rsidRPr="003843CA" w:rsidRDefault="00F44D54" w:rsidP="00F44D54">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F44D54" w:rsidRPr="003843CA" w:rsidRDefault="00F44D54" w:rsidP="00F44D54">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F44D54" w:rsidRDefault="00F44D54" w:rsidP="00F44D54">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F44D54" w:rsidRPr="003843CA" w:rsidRDefault="00F44D54" w:rsidP="00F44D54">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F44D54" w:rsidRPr="003843CA" w:rsidRDefault="00F44D54" w:rsidP="00F44D54">
      <w:pPr>
        <w:pStyle w:val="Textosinformato"/>
        <w:jc w:val="center"/>
        <w:rPr>
          <w:rFonts w:ascii="Palatino Linotype" w:eastAsia="MS Mincho" w:hAnsi="Palatino Linotype" w:cs="Arial"/>
          <w:sz w:val="22"/>
          <w:szCs w:val="22"/>
        </w:rPr>
      </w:pPr>
    </w:p>
    <w:p w:rsidR="00F44D54" w:rsidRDefault="00F44D54" w:rsidP="00F44D54">
      <w:pPr>
        <w:pStyle w:val="Textosinformato"/>
        <w:jc w:val="center"/>
        <w:rPr>
          <w:rFonts w:ascii="Palatino Linotype" w:eastAsia="MS Mincho" w:hAnsi="Palatino Linotype" w:cs="Arial"/>
          <w:sz w:val="22"/>
          <w:szCs w:val="22"/>
        </w:rPr>
      </w:pPr>
    </w:p>
    <w:p w:rsidR="00EF2966" w:rsidRPr="003843CA" w:rsidRDefault="00EF2966" w:rsidP="00F44D54">
      <w:pPr>
        <w:pStyle w:val="Textosinformato"/>
        <w:jc w:val="center"/>
        <w:rPr>
          <w:rFonts w:ascii="Palatino Linotype" w:eastAsia="MS Mincho" w:hAnsi="Palatino Linotype" w:cs="Arial"/>
          <w:sz w:val="22"/>
          <w:szCs w:val="22"/>
        </w:rPr>
      </w:pPr>
    </w:p>
    <w:p w:rsidR="00F44D54" w:rsidRDefault="00F44D54" w:rsidP="00F44D54">
      <w:pPr>
        <w:pStyle w:val="Textosinformato"/>
        <w:jc w:val="center"/>
        <w:rPr>
          <w:rFonts w:ascii="Palatino Linotype" w:eastAsia="MS Mincho" w:hAnsi="Palatino Linotype" w:cs="Arial"/>
          <w:sz w:val="22"/>
          <w:szCs w:val="22"/>
        </w:rPr>
      </w:pPr>
    </w:p>
    <w:p w:rsidR="00F44D54" w:rsidRPr="003843CA" w:rsidRDefault="00F44D54" w:rsidP="00F44D54">
      <w:pPr>
        <w:pStyle w:val="Textosinformato"/>
        <w:jc w:val="center"/>
        <w:rPr>
          <w:rFonts w:ascii="Palatino Linotype" w:eastAsia="MS Mincho" w:hAnsi="Palatino Linotype" w:cs="Arial"/>
          <w:sz w:val="22"/>
          <w:szCs w:val="22"/>
        </w:rPr>
      </w:pPr>
    </w:p>
    <w:p w:rsidR="00F44D54" w:rsidRPr="003843CA" w:rsidRDefault="00F44D54" w:rsidP="00F44D54">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F44D54" w:rsidRDefault="00F44D54" w:rsidP="00F44D54">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F44D54" w:rsidRPr="0048627B" w:rsidRDefault="0048627B" w:rsidP="0048627B">
      <w:pPr>
        <w:pStyle w:val="Ttulo"/>
        <w:jc w:val="left"/>
        <w:rPr>
          <w:rFonts w:ascii="Palatino Linotype" w:hAnsi="Palatino Linotype" w:cs="Arial"/>
          <w:b w:val="0"/>
          <w:sz w:val="16"/>
          <w:szCs w:val="16"/>
        </w:rPr>
      </w:pPr>
      <w:bookmarkStart w:id="0" w:name="_GoBack"/>
      <w:bookmarkEnd w:id="0"/>
      <w:r>
        <w:rPr>
          <w:rFonts w:ascii="Palatino Linotype" w:hAnsi="Palatino Linotype" w:cs="Arial"/>
          <w:b w:val="0"/>
          <w:sz w:val="16"/>
          <w:szCs w:val="16"/>
        </w:rPr>
        <w:t>DSCS</w:t>
      </w:r>
    </w:p>
    <w:p w:rsidR="00F44D54" w:rsidRPr="001969C7" w:rsidRDefault="00F44D54" w:rsidP="00F44D54">
      <w:pPr>
        <w:jc w:val="center"/>
        <w:rPr>
          <w:rFonts w:ascii="Palatino Linotype" w:hAnsi="Palatino Linotype" w:cs="Arial"/>
          <w:sz w:val="22"/>
          <w:szCs w:val="22"/>
        </w:rPr>
      </w:pPr>
    </w:p>
    <w:p w:rsidR="00F44D54" w:rsidRDefault="00F44D54" w:rsidP="00F44D54"/>
    <w:p w:rsidR="00F44D54" w:rsidRDefault="00F44D54" w:rsidP="00F44D54"/>
    <w:p w:rsidR="00F44D54" w:rsidRDefault="00F44D54" w:rsidP="00F44D54"/>
    <w:p w:rsidR="00624D6A" w:rsidRDefault="00624D6A" w:rsidP="00F44D54"/>
    <w:p w:rsidR="00624D6A" w:rsidRDefault="00624D6A" w:rsidP="00F44D54"/>
    <w:p w:rsidR="00624D6A" w:rsidRDefault="00624D6A" w:rsidP="00F44D54"/>
    <w:p w:rsidR="00624D6A" w:rsidRDefault="00624D6A" w:rsidP="00F44D54"/>
    <w:p w:rsidR="00624D6A" w:rsidRDefault="00624D6A" w:rsidP="00F44D54"/>
    <w:p w:rsidR="00624D6A" w:rsidRDefault="00624D6A" w:rsidP="00F44D54"/>
    <w:p w:rsidR="00624D6A" w:rsidRDefault="00624D6A" w:rsidP="00F44D54"/>
    <w:p w:rsidR="00624D6A" w:rsidRDefault="00624D6A" w:rsidP="00F44D54"/>
    <w:p w:rsidR="00F44D54" w:rsidRPr="00624D6A" w:rsidRDefault="00F44D54" w:rsidP="00F44D54">
      <w:pPr>
        <w:jc w:val="center"/>
        <w:rPr>
          <w:rFonts w:ascii="Palatino Linotype" w:hAnsi="Palatino Linotype"/>
          <w:b/>
          <w:sz w:val="22"/>
          <w:szCs w:val="22"/>
        </w:rPr>
      </w:pPr>
    </w:p>
    <w:p w:rsidR="00F44D54" w:rsidRPr="00624D6A" w:rsidRDefault="00F44D54" w:rsidP="00F44D54">
      <w:pPr>
        <w:rPr>
          <w:rFonts w:ascii="Palatino Linotype" w:hAnsi="Palatino Linotype"/>
          <w:b/>
          <w:sz w:val="22"/>
          <w:szCs w:val="22"/>
        </w:rPr>
      </w:pPr>
    </w:p>
    <w:p w:rsidR="00F44D54" w:rsidRPr="00624D6A" w:rsidRDefault="00F44D54" w:rsidP="00F44D54">
      <w:pPr>
        <w:rPr>
          <w:rFonts w:ascii="Palatino Linotype" w:hAnsi="Palatino Linotype"/>
          <w:b/>
          <w:sz w:val="22"/>
          <w:szCs w:val="22"/>
        </w:rPr>
      </w:pPr>
    </w:p>
    <w:p w:rsidR="00F44D54" w:rsidRPr="00624D6A" w:rsidRDefault="00F44D54" w:rsidP="00F44D54">
      <w:pPr>
        <w:rPr>
          <w:rFonts w:ascii="Palatino Linotype" w:hAnsi="Palatino Linotype"/>
          <w:b/>
          <w:sz w:val="22"/>
          <w:szCs w:val="22"/>
        </w:rPr>
      </w:pPr>
    </w:p>
    <w:p w:rsidR="00F44D54" w:rsidRPr="00624D6A" w:rsidRDefault="00F44D54" w:rsidP="00F44D54">
      <w:pPr>
        <w:rPr>
          <w:rFonts w:ascii="Palatino Linotype" w:hAnsi="Palatino Linotype"/>
          <w:b/>
          <w:sz w:val="22"/>
          <w:szCs w:val="22"/>
        </w:rPr>
      </w:pPr>
    </w:p>
    <w:p w:rsidR="00F44D54" w:rsidRPr="00C7325B" w:rsidRDefault="00F44D54" w:rsidP="00F44D54">
      <w:pPr>
        <w:rPr>
          <w:rFonts w:ascii="Palatino Linotype" w:hAnsi="Palatino Linotype"/>
          <w:b/>
        </w:rPr>
      </w:pPr>
    </w:p>
    <w:p w:rsidR="00F44D54" w:rsidRPr="00C7325B" w:rsidRDefault="00F44D54" w:rsidP="00F44D54">
      <w:pPr>
        <w:rPr>
          <w:rFonts w:ascii="Palatino Linotype" w:hAnsi="Palatino Linotype"/>
          <w:b/>
        </w:rPr>
      </w:pPr>
    </w:p>
    <w:p w:rsidR="00F44D54" w:rsidRPr="00C7325B" w:rsidRDefault="00F44D54" w:rsidP="00F44D54">
      <w:pPr>
        <w:rPr>
          <w:rFonts w:ascii="Palatino Linotype" w:hAnsi="Palatino Linotype"/>
          <w:b/>
        </w:rPr>
      </w:pPr>
    </w:p>
    <w:p w:rsidR="00F44D54" w:rsidRPr="00256064" w:rsidRDefault="00F44D54" w:rsidP="00F44D54">
      <w:pPr>
        <w:jc w:val="center"/>
        <w:rPr>
          <w:rFonts w:ascii="Palatino Linotype" w:hAnsi="Palatino Linotype"/>
          <w:b/>
        </w:rPr>
      </w:pPr>
    </w:p>
    <w:p w:rsidR="00F44D54" w:rsidRPr="00256064" w:rsidRDefault="00F44D54" w:rsidP="00F44D54">
      <w:pPr>
        <w:jc w:val="center"/>
        <w:rPr>
          <w:rFonts w:ascii="Palatino Linotype" w:hAnsi="Palatino Linotype"/>
          <w:b/>
        </w:rPr>
      </w:pPr>
    </w:p>
    <w:p w:rsidR="00F44D54" w:rsidRPr="0025606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Default="00F44D54" w:rsidP="00F44D54">
      <w:pPr>
        <w:jc w:val="center"/>
        <w:rPr>
          <w:rFonts w:ascii="Palatino Linotype" w:hAnsi="Palatino Linotype"/>
          <w:b/>
        </w:rPr>
      </w:pPr>
    </w:p>
    <w:p w:rsidR="00F44D54" w:rsidRPr="003843CA" w:rsidRDefault="00F44D54" w:rsidP="00F44D54">
      <w:pPr>
        <w:spacing w:before="240" w:line="276" w:lineRule="auto"/>
        <w:rPr>
          <w:rFonts w:ascii="Palatino Linotype" w:eastAsia="MS Mincho" w:hAnsi="Palatino Linotype" w:cs="Arial"/>
          <w:bCs/>
          <w:sz w:val="22"/>
          <w:szCs w:val="22"/>
        </w:rPr>
      </w:pPr>
    </w:p>
    <w:p w:rsidR="00F44D54" w:rsidRDefault="00F44D54" w:rsidP="00F44D54"/>
    <w:p w:rsidR="0099305B" w:rsidRDefault="0099305B"/>
    <w:sectPr w:rsidR="0099305B" w:rsidSect="003078EC">
      <w:headerReference w:type="even" r:id="rId9"/>
      <w:headerReference w:type="default" r:id="rId10"/>
      <w:footerReference w:type="default" r:id="rId11"/>
      <w:headerReference w:type="first" r:id="rId12"/>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687" w:rsidRDefault="00032687" w:rsidP="002C2874">
      <w:r>
        <w:separator/>
      </w:r>
    </w:p>
  </w:endnote>
  <w:endnote w:type="continuationSeparator" w:id="1">
    <w:p w:rsidR="00032687" w:rsidRDefault="00032687" w:rsidP="002C28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032687">
    <w:pPr>
      <w:pStyle w:val="Piedepgina"/>
      <w:jc w:val="right"/>
      <w:rPr>
        <w:rFonts w:ascii="Palatino Linotype" w:hAnsi="Palatino Linotype"/>
      </w:rPr>
    </w:pPr>
  </w:p>
  <w:p w:rsidR="001B78D2" w:rsidRDefault="000326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48627B" w:rsidRDefault="00624D6A" w:rsidP="003078EC">
    <w:pPr>
      <w:pStyle w:val="Piedepgina"/>
      <w:jc w:val="right"/>
      <w:rPr>
        <w:rFonts w:ascii="Palatino Linotype" w:hAnsi="Palatino Linotype"/>
        <w:sz w:val="22"/>
        <w:szCs w:val="22"/>
      </w:rPr>
    </w:pPr>
    <w:r w:rsidRPr="0048627B">
      <w:rPr>
        <w:rFonts w:ascii="Palatino Linotype" w:hAnsi="Palatino Linotype"/>
        <w:sz w:val="22"/>
        <w:szCs w:val="22"/>
      </w:rPr>
      <w:t xml:space="preserve">Página </w:t>
    </w:r>
    <w:r w:rsidR="00AB38A3" w:rsidRPr="0048627B">
      <w:rPr>
        <w:rFonts w:ascii="Palatino Linotype" w:hAnsi="Palatino Linotype"/>
        <w:b/>
        <w:sz w:val="22"/>
        <w:szCs w:val="22"/>
      </w:rPr>
      <w:fldChar w:fldCharType="begin"/>
    </w:r>
    <w:r w:rsidRPr="0048627B">
      <w:rPr>
        <w:rFonts w:ascii="Palatino Linotype" w:hAnsi="Palatino Linotype"/>
        <w:b/>
        <w:sz w:val="22"/>
        <w:szCs w:val="22"/>
      </w:rPr>
      <w:instrText>PAGE</w:instrText>
    </w:r>
    <w:r w:rsidR="00AB38A3" w:rsidRPr="0048627B">
      <w:rPr>
        <w:rFonts w:ascii="Palatino Linotype" w:hAnsi="Palatino Linotype"/>
        <w:b/>
        <w:sz w:val="22"/>
        <w:szCs w:val="22"/>
      </w:rPr>
      <w:fldChar w:fldCharType="separate"/>
    </w:r>
    <w:r w:rsidR="00EF2966">
      <w:rPr>
        <w:rFonts w:ascii="Palatino Linotype" w:hAnsi="Palatino Linotype"/>
        <w:b/>
        <w:noProof/>
        <w:sz w:val="22"/>
        <w:szCs w:val="22"/>
      </w:rPr>
      <w:t>4</w:t>
    </w:r>
    <w:r w:rsidR="00AB38A3" w:rsidRPr="0048627B">
      <w:rPr>
        <w:rFonts w:ascii="Palatino Linotype" w:hAnsi="Palatino Linotype"/>
        <w:b/>
        <w:sz w:val="22"/>
        <w:szCs w:val="22"/>
      </w:rPr>
      <w:fldChar w:fldCharType="end"/>
    </w:r>
    <w:r w:rsidRPr="0048627B">
      <w:rPr>
        <w:rFonts w:ascii="Palatino Linotype" w:hAnsi="Palatino Linotype"/>
        <w:sz w:val="22"/>
        <w:szCs w:val="22"/>
      </w:rPr>
      <w:t xml:space="preserve"> de </w:t>
    </w:r>
    <w:r w:rsidRPr="0048627B">
      <w:rPr>
        <w:rFonts w:ascii="Palatino Linotype" w:hAnsi="Palatino Linotype"/>
        <w:b/>
        <w:sz w:val="22"/>
        <w:szCs w:val="22"/>
      </w:rPr>
      <w:t>4</w:t>
    </w:r>
  </w:p>
  <w:p w:rsidR="001B78D2" w:rsidRDefault="000326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687" w:rsidRDefault="00032687" w:rsidP="002C2874">
      <w:r>
        <w:separator/>
      </w:r>
    </w:p>
  </w:footnote>
  <w:footnote w:type="continuationSeparator" w:id="1">
    <w:p w:rsidR="00032687" w:rsidRDefault="00032687" w:rsidP="002C2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32687">
    <w:pPr>
      <w:pStyle w:val="Encabezado"/>
      <w:rPr>
        <w:lang w:val="es-EC"/>
      </w:rPr>
    </w:pPr>
  </w:p>
  <w:p w:rsidR="001B78D2" w:rsidRDefault="00032687">
    <w:pPr>
      <w:pStyle w:val="Encabezado"/>
      <w:rPr>
        <w:lang w:val="es-EC"/>
      </w:rPr>
    </w:pPr>
  </w:p>
  <w:p w:rsidR="001B78D2" w:rsidRDefault="00032687">
    <w:pPr>
      <w:pStyle w:val="Encabezado"/>
      <w:rPr>
        <w:lang w:val="es-EC"/>
      </w:rPr>
    </w:pPr>
  </w:p>
  <w:p w:rsidR="001B78D2" w:rsidRDefault="00032687">
    <w:pPr>
      <w:pStyle w:val="Encabezado"/>
      <w:rPr>
        <w:lang w:val="es-EC"/>
      </w:rPr>
    </w:pPr>
  </w:p>
  <w:p w:rsidR="001B78D2" w:rsidRDefault="00032687" w:rsidP="00150606">
    <w:pPr>
      <w:pStyle w:val="Ttulo"/>
      <w:rPr>
        <w:rFonts w:ascii="Palatino Linotype" w:hAnsi="Palatino Linotype" w:cs="Arial"/>
        <w:sz w:val="22"/>
        <w:szCs w:val="22"/>
      </w:rPr>
    </w:pPr>
  </w:p>
  <w:p w:rsidR="001B78D2" w:rsidRDefault="00032687" w:rsidP="00150606">
    <w:pPr>
      <w:pStyle w:val="Ttulo"/>
      <w:rPr>
        <w:rFonts w:ascii="Palatino Linotype" w:hAnsi="Palatino Linotype" w:cs="Arial"/>
        <w:sz w:val="22"/>
        <w:szCs w:val="22"/>
      </w:rPr>
    </w:pPr>
  </w:p>
  <w:p w:rsidR="0048627B" w:rsidRDefault="0048627B" w:rsidP="00150606">
    <w:pPr>
      <w:pStyle w:val="Ttulo"/>
      <w:rPr>
        <w:rFonts w:ascii="Palatino Linotype" w:hAnsi="Palatino Linotype" w:cs="Arial"/>
        <w:sz w:val="22"/>
        <w:szCs w:val="22"/>
      </w:rPr>
    </w:pPr>
  </w:p>
  <w:p w:rsidR="0048627B" w:rsidRDefault="0048627B" w:rsidP="00150606">
    <w:pPr>
      <w:pStyle w:val="Ttulo"/>
      <w:rPr>
        <w:rFonts w:ascii="Palatino Linotype" w:hAnsi="Palatino Linotype" w:cs="Arial"/>
        <w:sz w:val="22"/>
        <w:szCs w:val="22"/>
      </w:rPr>
    </w:pPr>
  </w:p>
  <w:p w:rsidR="001B78D2" w:rsidRPr="00476B21" w:rsidRDefault="00624D6A"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032687">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3268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32687" w:rsidP="002D3569">
    <w:pPr>
      <w:pStyle w:val="Ttulo"/>
      <w:rPr>
        <w:rFonts w:ascii="Palatino Linotype" w:hAnsi="Palatino Linotype" w:cs="Arial"/>
        <w:sz w:val="22"/>
        <w:szCs w:val="22"/>
      </w:rPr>
    </w:pPr>
  </w:p>
  <w:p w:rsidR="001B78D2" w:rsidRDefault="00032687" w:rsidP="002D3569">
    <w:pPr>
      <w:pStyle w:val="Ttulo"/>
      <w:rPr>
        <w:rFonts w:ascii="Palatino Linotype" w:hAnsi="Palatino Linotype" w:cs="Arial"/>
        <w:sz w:val="22"/>
        <w:szCs w:val="22"/>
      </w:rPr>
    </w:pPr>
  </w:p>
  <w:p w:rsidR="001B78D2" w:rsidRDefault="00032687" w:rsidP="002D3569">
    <w:pPr>
      <w:pStyle w:val="Ttulo"/>
      <w:rPr>
        <w:rFonts w:ascii="Palatino Linotype" w:hAnsi="Palatino Linotype" w:cs="Arial"/>
        <w:sz w:val="22"/>
        <w:szCs w:val="22"/>
      </w:rPr>
    </w:pPr>
  </w:p>
  <w:p w:rsidR="001B78D2" w:rsidRDefault="00032687" w:rsidP="002D3569">
    <w:pPr>
      <w:pStyle w:val="Ttulo"/>
      <w:rPr>
        <w:rFonts w:ascii="Palatino Linotype" w:hAnsi="Palatino Linotype" w:cs="Arial"/>
        <w:sz w:val="22"/>
        <w:szCs w:val="22"/>
      </w:rPr>
    </w:pPr>
  </w:p>
  <w:p w:rsidR="001B78D2" w:rsidRDefault="00032687" w:rsidP="002D3569">
    <w:pPr>
      <w:pStyle w:val="Ttulo"/>
      <w:rPr>
        <w:rFonts w:ascii="Palatino Linotype" w:hAnsi="Palatino Linotype" w:cs="Arial"/>
        <w:sz w:val="22"/>
        <w:szCs w:val="22"/>
      </w:rPr>
    </w:pPr>
  </w:p>
  <w:p w:rsidR="001B78D2" w:rsidRDefault="00032687" w:rsidP="002D3569">
    <w:pPr>
      <w:pStyle w:val="Ttulo"/>
      <w:rPr>
        <w:rFonts w:ascii="Palatino Linotype" w:hAnsi="Palatino Linotype" w:cs="Arial"/>
        <w:sz w:val="22"/>
        <w:szCs w:val="22"/>
      </w:rPr>
    </w:pPr>
  </w:p>
  <w:p w:rsidR="001B78D2" w:rsidRDefault="00032687" w:rsidP="002D3569">
    <w:pPr>
      <w:pStyle w:val="Ttulo"/>
      <w:rPr>
        <w:rFonts w:ascii="Palatino Linotype" w:hAnsi="Palatino Linotype" w:cs="Arial"/>
        <w:sz w:val="22"/>
        <w:szCs w:val="22"/>
      </w:rPr>
    </w:pPr>
  </w:p>
  <w:p w:rsidR="001B78D2" w:rsidRPr="00476B21" w:rsidRDefault="00624D6A"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032687">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03268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F44D54"/>
    <w:rsid w:val="00032687"/>
    <w:rsid w:val="002C2874"/>
    <w:rsid w:val="0048627B"/>
    <w:rsid w:val="00624D6A"/>
    <w:rsid w:val="00690158"/>
    <w:rsid w:val="008142A3"/>
    <w:rsid w:val="0099305B"/>
    <w:rsid w:val="00A736A1"/>
    <w:rsid w:val="00AB38A3"/>
    <w:rsid w:val="00B1542B"/>
    <w:rsid w:val="00BD6B01"/>
    <w:rsid w:val="00DE30D4"/>
    <w:rsid w:val="00EF2966"/>
    <w:rsid w:val="00F44D54"/>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54"/>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F44D54"/>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44D54"/>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F44D54"/>
    <w:pPr>
      <w:tabs>
        <w:tab w:val="center" w:pos="4252"/>
        <w:tab w:val="right" w:pos="8504"/>
      </w:tabs>
    </w:pPr>
  </w:style>
  <w:style w:type="character" w:customStyle="1" w:styleId="EncabezadoCar">
    <w:name w:val="Encabezado Car"/>
    <w:basedOn w:val="Fuentedeprrafopredeter"/>
    <w:link w:val="Encabezado"/>
    <w:rsid w:val="00F44D54"/>
    <w:rPr>
      <w:rFonts w:ascii="Times New Roman" w:eastAsia="Times New Roman" w:hAnsi="Times New Roman" w:cs="Times New Roman"/>
      <w:sz w:val="20"/>
      <w:szCs w:val="20"/>
      <w:lang w:val="es-ES" w:eastAsia="es-ES"/>
    </w:rPr>
  </w:style>
  <w:style w:type="paragraph" w:styleId="Ttulo">
    <w:name w:val="Title"/>
    <w:basedOn w:val="Normal"/>
    <w:link w:val="TtuloCar"/>
    <w:qFormat/>
    <w:rsid w:val="00F44D54"/>
    <w:pPr>
      <w:jc w:val="center"/>
    </w:pPr>
    <w:rPr>
      <w:b/>
      <w:bCs/>
      <w:sz w:val="24"/>
      <w:szCs w:val="24"/>
    </w:rPr>
  </w:style>
  <w:style w:type="character" w:customStyle="1" w:styleId="TtuloCar">
    <w:name w:val="Título Car"/>
    <w:basedOn w:val="Fuentedeprrafopredeter"/>
    <w:link w:val="Ttulo"/>
    <w:rsid w:val="00F44D54"/>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F44D54"/>
    <w:rPr>
      <w:rFonts w:ascii="Courier New" w:hAnsi="Courier New"/>
    </w:rPr>
  </w:style>
  <w:style w:type="character" w:customStyle="1" w:styleId="TextosinformatoCar">
    <w:name w:val="Texto sin formato Car"/>
    <w:basedOn w:val="Fuentedeprrafopredeter"/>
    <w:link w:val="Textosinformato"/>
    <w:rsid w:val="00F44D54"/>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F44D54"/>
    <w:rPr>
      <w:sz w:val="24"/>
      <w:lang w:val="es-ES_tradnl"/>
    </w:rPr>
  </w:style>
  <w:style w:type="paragraph" w:styleId="Piedepgina">
    <w:name w:val="footer"/>
    <w:basedOn w:val="Normal"/>
    <w:link w:val="PiedepginaCar"/>
    <w:uiPriority w:val="99"/>
    <w:rsid w:val="00F44D54"/>
    <w:pPr>
      <w:tabs>
        <w:tab w:val="center" w:pos="4419"/>
        <w:tab w:val="right" w:pos="8838"/>
      </w:tabs>
    </w:pPr>
  </w:style>
  <w:style w:type="character" w:customStyle="1" w:styleId="PiedepginaCar">
    <w:name w:val="Pie de página Car"/>
    <w:basedOn w:val="Fuentedeprrafopredeter"/>
    <w:link w:val="Piedepgina"/>
    <w:uiPriority w:val="99"/>
    <w:rsid w:val="00F44D54"/>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F44D54"/>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F44D54"/>
    <w:rPr>
      <w:rFonts w:ascii="Calibri" w:eastAsia="Calibri" w:hAnsi="Calibri" w:cs="Times New Roman"/>
    </w:rPr>
  </w:style>
  <w:style w:type="table" w:styleId="Tablaconcuadrcula">
    <w:name w:val="Table Grid"/>
    <w:basedOn w:val="Tablanormal"/>
    <w:uiPriority w:val="59"/>
    <w:rsid w:val="00F44D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B41F3-2AFA-4432-8EDA-862CBC88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1023</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dcevallos</cp:lastModifiedBy>
  <cp:revision>5</cp:revision>
  <cp:lastPrinted>2014-09-16T13:07:00Z</cp:lastPrinted>
  <dcterms:created xsi:type="dcterms:W3CDTF">2014-08-11T14:30:00Z</dcterms:created>
  <dcterms:modified xsi:type="dcterms:W3CDTF">2014-09-18T16:22:00Z</dcterms:modified>
</cp:coreProperties>
</file>