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725931">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661E84">
        <w:rPr>
          <w:rFonts w:ascii="Palatino Linotype" w:hAnsi="Palatino Linotype" w:cs="Arial"/>
          <w:b w:val="0"/>
          <w:sz w:val="22"/>
          <w:szCs w:val="22"/>
        </w:rPr>
        <w:t>“</w:t>
      </w:r>
      <w:r w:rsidR="00960F6B">
        <w:rPr>
          <w:rFonts w:ascii="Palatino Linotype" w:hAnsi="Palatino Linotype" w:cs="Arial"/>
          <w:b w:val="0"/>
          <w:sz w:val="22"/>
          <w:szCs w:val="22"/>
        </w:rPr>
        <w:t>San Pedro de la Victoria Central</w:t>
      </w:r>
      <w:r w:rsidR="00661E84">
        <w:rPr>
          <w:rFonts w:ascii="Palatino Linotype" w:hAnsi="Palatino Linotype" w:cs="Arial"/>
          <w:b w:val="0"/>
          <w:sz w:val="22"/>
          <w:szCs w:val="22"/>
        </w:rPr>
        <w:t>”</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960F6B">
        <w:rPr>
          <w:rFonts w:ascii="Palatino Linotype" w:hAnsi="Palatino Linotype" w:cs="Arial"/>
          <w:b w:val="0"/>
          <w:sz w:val="22"/>
          <w:szCs w:val="22"/>
        </w:rPr>
        <w:t>11</w:t>
      </w:r>
      <w:r w:rsidRPr="00BA196D">
        <w:rPr>
          <w:rFonts w:ascii="Palatino Linotype" w:hAnsi="Palatino Linotype" w:cs="Arial"/>
          <w:b w:val="0"/>
          <w:sz w:val="22"/>
          <w:szCs w:val="22"/>
        </w:rPr>
        <w:t xml:space="preserve"> años de asentamiento</w:t>
      </w:r>
      <w:r w:rsidR="001D27BC">
        <w:rPr>
          <w:rFonts w:ascii="Palatino Linotype" w:hAnsi="Palatino Linotype" w:cs="Arial"/>
          <w:b w:val="0"/>
          <w:sz w:val="22"/>
          <w:szCs w:val="22"/>
        </w:rPr>
        <w:t xml:space="preserve">, </w:t>
      </w:r>
      <w:r w:rsidR="00960F6B">
        <w:rPr>
          <w:rFonts w:ascii="Palatino Linotype" w:hAnsi="Palatino Linotype" w:cs="Arial"/>
          <w:b w:val="0"/>
          <w:sz w:val="22"/>
          <w:szCs w:val="22"/>
        </w:rPr>
        <w:t>29</w:t>
      </w:r>
      <w:r w:rsidR="001D27BC">
        <w:rPr>
          <w:rFonts w:ascii="Palatino Linotype" w:hAnsi="Palatino Linotype" w:cs="Arial"/>
          <w:b w:val="0"/>
          <w:sz w:val="22"/>
          <w:szCs w:val="22"/>
        </w:rPr>
        <w:t xml:space="preserve"> socios, </w:t>
      </w:r>
      <w:r w:rsidR="00960F6B">
        <w:rPr>
          <w:rFonts w:ascii="Palatino Linotype" w:hAnsi="Palatino Linotype" w:cs="Arial"/>
          <w:b w:val="0"/>
          <w:sz w:val="22"/>
          <w:szCs w:val="22"/>
        </w:rPr>
        <w:t>29</w:t>
      </w:r>
      <w:r w:rsidR="001D27BC">
        <w:rPr>
          <w:rFonts w:ascii="Palatino Linotype" w:hAnsi="Palatino Linotype" w:cs="Arial"/>
          <w:b w:val="0"/>
          <w:sz w:val="22"/>
          <w:szCs w:val="22"/>
        </w:rPr>
        <w:t xml:space="preserve"> lotes</w:t>
      </w:r>
      <w:r>
        <w:rPr>
          <w:rFonts w:ascii="Palatino Linotype" w:hAnsi="Palatino Linotype" w:cs="Arial"/>
          <w:b w:val="0"/>
          <w:sz w:val="22"/>
          <w:szCs w:val="22"/>
        </w:rPr>
        <w:t xml:space="preserve"> y </w:t>
      </w:r>
      <w:r w:rsidR="001D27BC">
        <w:rPr>
          <w:rFonts w:ascii="Palatino Linotype" w:hAnsi="Palatino Linotype" w:cs="Arial"/>
          <w:b w:val="0"/>
          <w:sz w:val="22"/>
          <w:szCs w:val="22"/>
        </w:rPr>
        <w:t>1</w:t>
      </w:r>
      <w:r w:rsidR="00960F6B">
        <w:rPr>
          <w:rFonts w:ascii="Palatino Linotype" w:hAnsi="Palatino Linotype" w:cs="Arial"/>
          <w:b w:val="0"/>
          <w:sz w:val="22"/>
          <w:szCs w:val="22"/>
        </w:rPr>
        <w:t>68</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661E84">
        <w:rPr>
          <w:rFonts w:ascii="Palatino Linotype" w:hAnsi="Palatino Linotype" w:cs="Arial"/>
          <w:b w:val="0"/>
          <w:sz w:val="22"/>
          <w:szCs w:val="22"/>
        </w:rPr>
        <w:t>“</w:t>
      </w:r>
      <w:r w:rsidR="00960F6B">
        <w:rPr>
          <w:rFonts w:ascii="Palatino Linotype" w:hAnsi="Palatino Linotype" w:cs="Arial"/>
          <w:b w:val="0"/>
          <w:sz w:val="22"/>
          <w:szCs w:val="22"/>
        </w:rPr>
        <w:t>San Pedro de la Victoria Central</w:t>
      </w:r>
      <w:r w:rsidR="00661E84">
        <w:rPr>
          <w:rFonts w:ascii="Palatino Linotype" w:hAnsi="Palatino Linotype" w:cs="Arial"/>
          <w:b w:val="0"/>
          <w:sz w:val="22"/>
          <w:szCs w:val="22"/>
        </w:rPr>
        <w:t>”</w:t>
      </w:r>
      <w:r>
        <w:rPr>
          <w:rFonts w:ascii="Palatino Linotype" w:hAnsi="Palatino Linotype" w:cs="Arial"/>
          <w:b w:val="0"/>
          <w:sz w:val="22"/>
          <w:szCs w:val="22"/>
        </w:rPr>
        <w:t>, a fin de garantizar a los beneficiarios el ejercicio de su derecho a la vivienda y el acceso a servicios básicos de calidad</w:t>
      </w:r>
      <w:r w:rsidR="005848EF">
        <w:rPr>
          <w:rFonts w:ascii="Palatino Linotype" w:hAnsi="Palatino Linotype" w:cs="Arial"/>
          <w:b w:val="0"/>
          <w:sz w:val="22"/>
          <w:szCs w:val="22"/>
        </w:rPr>
        <w:t>.</w:t>
      </w:r>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BB7291" w:rsidRPr="006336FA" w:rsidRDefault="00BB7291" w:rsidP="00BB7291">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Pr>
          <w:rFonts w:ascii="Palatino Linotype" w:hAnsi="Palatino Linotype" w:cs="Arial"/>
          <w:sz w:val="22"/>
          <w:szCs w:val="22"/>
        </w:rPr>
        <w:t>los</w:t>
      </w:r>
      <w:r w:rsidRPr="006336FA">
        <w:rPr>
          <w:rFonts w:ascii="Palatino Linotype" w:hAnsi="Palatino Linotype" w:cs="Arial"/>
          <w:sz w:val="22"/>
          <w:szCs w:val="22"/>
        </w:rPr>
        <w:t xml:space="preserve"> Informe</w:t>
      </w:r>
      <w:r>
        <w:rPr>
          <w:rFonts w:ascii="Palatino Linotype" w:hAnsi="Palatino Linotype" w:cs="Arial"/>
          <w:sz w:val="22"/>
          <w:szCs w:val="22"/>
        </w:rPr>
        <w:t>s</w:t>
      </w:r>
      <w:r w:rsidRPr="006336FA">
        <w:rPr>
          <w:rFonts w:ascii="Palatino Linotype" w:hAnsi="Palatino Linotype" w:cs="Arial"/>
          <w:sz w:val="22"/>
          <w:szCs w:val="22"/>
        </w:rPr>
        <w:t xml:space="preserve"> No</w:t>
      </w:r>
      <w:r>
        <w:rPr>
          <w:rFonts w:ascii="Palatino Linotype" w:hAnsi="Palatino Linotype" w:cs="Arial"/>
          <w:sz w:val="22"/>
          <w:szCs w:val="22"/>
        </w:rPr>
        <w:t>s</w:t>
      </w:r>
      <w:r w:rsidRPr="006336FA">
        <w:rPr>
          <w:rFonts w:ascii="Palatino Linotype" w:hAnsi="Palatino Linotype" w:cs="Arial"/>
          <w:sz w:val="22"/>
          <w:szCs w:val="22"/>
        </w:rPr>
        <w:t>. 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 xml:space="preserve">043 e </w:t>
      </w:r>
      <w:r w:rsidRPr="006336FA">
        <w:rPr>
          <w:rFonts w:ascii="Palatino Linotype" w:hAnsi="Palatino Linotype" w:cs="Arial"/>
          <w:sz w:val="22"/>
          <w:szCs w:val="22"/>
        </w:rPr>
        <w:t>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131</w:t>
      </w:r>
      <w:r w:rsidRPr="006336FA">
        <w:rPr>
          <w:rFonts w:ascii="Palatino Linotype" w:hAnsi="Palatino Linotype" w:cs="Arial"/>
          <w:sz w:val="22"/>
          <w:szCs w:val="22"/>
        </w:rPr>
        <w:t xml:space="preserve">, de </w:t>
      </w:r>
      <w:r>
        <w:rPr>
          <w:rFonts w:ascii="Palatino Linotype" w:hAnsi="Palatino Linotype" w:cs="Arial"/>
          <w:sz w:val="22"/>
          <w:szCs w:val="22"/>
        </w:rPr>
        <w:t>23</w:t>
      </w:r>
      <w:r w:rsidRPr="006336FA">
        <w:rPr>
          <w:rFonts w:ascii="Palatino Linotype" w:hAnsi="Palatino Linotype" w:cs="Arial"/>
          <w:sz w:val="22"/>
          <w:szCs w:val="22"/>
        </w:rPr>
        <w:t xml:space="preserve"> de </w:t>
      </w:r>
      <w:r>
        <w:rPr>
          <w:rFonts w:ascii="Palatino Linotype" w:hAnsi="Palatino Linotype" w:cs="Arial"/>
          <w:sz w:val="22"/>
          <w:szCs w:val="22"/>
        </w:rPr>
        <w:t>febrero y 11 de julio de 2016</w:t>
      </w:r>
      <w:r w:rsidRPr="006336FA">
        <w:rPr>
          <w:rFonts w:ascii="Palatino Linotype" w:hAnsi="Palatino Linotype" w:cs="Arial"/>
          <w:sz w:val="22"/>
          <w:szCs w:val="22"/>
        </w:rPr>
        <w:t xml:space="preserve">, </w:t>
      </w:r>
      <w:r>
        <w:rPr>
          <w:rFonts w:ascii="Palatino Linotype" w:hAnsi="Palatino Linotype" w:cs="Arial"/>
          <w:sz w:val="22"/>
          <w:szCs w:val="22"/>
        </w:rPr>
        <w:t xml:space="preserve">respectivamente, </w:t>
      </w:r>
      <w:r w:rsidRPr="006336FA">
        <w:rPr>
          <w:rFonts w:ascii="Palatino Linotype" w:hAnsi="Palatino Linotype" w:cs="Arial"/>
          <w:sz w:val="22"/>
          <w:szCs w:val="22"/>
        </w:rPr>
        <w:t>expedido</w:t>
      </w:r>
      <w:r>
        <w:rPr>
          <w:rFonts w:ascii="Palatino Linotype" w:hAnsi="Palatino Linotype" w:cs="Arial"/>
          <w:sz w:val="22"/>
          <w:szCs w:val="22"/>
        </w:rPr>
        <w:t>s</w:t>
      </w:r>
      <w:r w:rsidRPr="006336FA">
        <w:rPr>
          <w:rFonts w:ascii="Palatino Linotype" w:hAnsi="Palatino Linotype" w:cs="Arial"/>
          <w:sz w:val="22"/>
          <w:szCs w:val="22"/>
        </w:rPr>
        <w:t xml:space="preserve"> por la Comisión de Ordenamiento Territorial.</w:t>
      </w:r>
    </w:p>
    <w:p w:rsidR="001123C1" w:rsidRPr="006336FA" w:rsidRDefault="001123C1" w:rsidP="00725931">
      <w:pPr>
        <w:spacing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725931">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960F6B" w:rsidRPr="007E3D3E" w:rsidRDefault="00960F6B" w:rsidP="00960F6B">
      <w:pPr>
        <w:pStyle w:val="Sinespaciado"/>
        <w:spacing w:after="240" w:line="276" w:lineRule="auto"/>
        <w:ind w:left="709" w:hanging="709"/>
        <w:jc w:val="both"/>
        <w:rPr>
          <w:rFonts w:ascii="Palatino Linotype" w:hAnsi="Palatino Linotype" w:cs="Arial"/>
          <w:bCs/>
          <w:i/>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la Disposición Transitoria Décima Cuarta del COOTAD, señala: “</w:t>
      </w:r>
      <w:r w:rsidRPr="007E3D3E">
        <w:rPr>
          <w:rFonts w:ascii="Palatino Linotype" w:hAnsi="Palatino Linotype" w:cs="Arial"/>
          <w:bCs/>
          <w:i/>
        </w:rPr>
        <w:t xml:space="preserve">(…) </w:t>
      </w:r>
      <w:r w:rsidRPr="007E3D3E">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7E3D3E">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E608E3" w:rsidRPr="00D003F3" w:rsidRDefault="00E608E3" w:rsidP="00E608E3">
      <w:pPr>
        <w:pStyle w:val="Sinespaciado"/>
        <w:spacing w:after="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la Disposición Transitoria Sexta de la Ley Orgánica de Ordenamiento Territorial, Uso y Gestión de Suelo, establece que: “</w:t>
      </w:r>
      <w:r w:rsidRPr="00D003F3">
        <w:rPr>
          <w:rFonts w:ascii="Palatino Linotype" w:hAnsi="Palatino Linotype" w:cs="Arial"/>
          <w:bCs/>
          <w:i/>
        </w:rPr>
        <w:t xml:space="preserve">(…) </w:t>
      </w:r>
      <w:r w:rsidRPr="00D003F3">
        <w:rPr>
          <w:rFonts w:ascii="Palatino Linotype" w:eastAsia="Times New Roman" w:hAnsi="Palatino Linotype"/>
          <w:i/>
          <w:lang w:val="es-ES"/>
        </w:rPr>
        <w:t>Las licencias, permisos y autorizaciones concedidas de conformidad con la legislación existente anterior a la fecha de entrada en vigencia de la presente Ley, subsistirán por el tiempo en que fueren concedidos. (…) Las licencias, permisos y autorizaciones que se encuentren en trámite de aprobación deberán cumplir la normativa municipal existente anterior a la fecha de entrada en vigencia de la presente Ley.</w:t>
      </w:r>
      <w:r>
        <w:rPr>
          <w:rFonts w:ascii="Palatino Linotype" w:eastAsia="Times New Roman" w:hAnsi="Palatino Linotype"/>
          <w:lang w:val="es-ES"/>
        </w:rPr>
        <w:t>”;</w:t>
      </w:r>
    </w:p>
    <w:p w:rsidR="00725931"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la Unidad Regula Tu Barrio es la dependencia encargada de procesar, canalizar y resolver los procedimientos para la regularización de la ocupación informal del suelo, </w:t>
      </w:r>
      <w:r w:rsidRPr="006336FA">
        <w:rPr>
          <w:rFonts w:ascii="Palatino Linotype" w:hAnsi="Palatino Linotype" w:cs="Arial"/>
        </w:rPr>
        <w:lastRenderedPageBreak/>
        <w:t>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725931" w:rsidRPr="00725931" w:rsidRDefault="00725931" w:rsidP="00725931">
      <w:pPr>
        <w:pStyle w:val="Sinespaciado"/>
        <w:spacing w:after="240" w:line="276" w:lineRule="auto"/>
        <w:ind w:left="709" w:hanging="709"/>
        <w:jc w:val="both"/>
        <w:rPr>
          <w:rFonts w:ascii="Palatino Linotype" w:hAnsi="Palatino Linotype" w:cs="Arial"/>
        </w:rPr>
      </w:pPr>
      <w:r w:rsidRPr="00AA4753">
        <w:rPr>
          <w:rFonts w:ascii="Palatino Linotype" w:hAnsi="Palatino Linotype" w:cs="Arial"/>
          <w:b/>
          <w:bCs/>
        </w:rPr>
        <w:t>Que,</w:t>
      </w:r>
      <w:r>
        <w:rPr>
          <w:rFonts w:ascii="Palatino Linotype" w:hAnsi="Palatino Linotype" w:cs="Arial"/>
          <w:b/>
          <w:bCs/>
        </w:rPr>
        <w:t xml:space="preserve"> </w:t>
      </w:r>
      <w:r w:rsidR="00E608E3">
        <w:rPr>
          <w:rFonts w:ascii="Palatino Linotype" w:hAnsi="Palatino Linotype" w:cs="Arial"/>
          <w:b/>
          <w:bCs/>
        </w:rPr>
        <w:tab/>
      </w:r>
      <w:r w:rsidRPr="009145DF">
        <w:rPr>
          <w:rFonts w:ascii="Palatino Linotype" w:hAnsi="Palatino Linotype"/>
        </w:rPr>
        <w:t>la Mesa Institu</w:t>
      </w:r>
      <w:r>
        <w:rPr>
          <w:rFonts w:ascii="Palatino Linotype" w:hAnsi="Palatino Linotype"/>
        </w:rPr>
        <w:t xml:space="preserve">cional de Trabajo, reunida el </w:t>
      </w:r>
      <w:r w:rsidR="00960F6B">
        <w:rPr>
          <w:rFonts w:ascii="Palatino Linotype" w:hAnsi="Palatino Linotype"/>
        </w:rPr>
        <w:t>22</w:t>
      </w:r>
      <w:r>
        <w:rPr>
          <w:rFonts w:ascii="Palatino Linotype" w:hAnsi="Palatino Linotype"/>
        </w:rPr>
        <w:t xml:space="preserve"> de </w:t>
      </w:r>
      <w:r w:rsidR="00960F6B">
        <w:rPr>
          <w:rFonts w:ascii="Palatino Linotype" w:hAnsi="Palatino Linotype"/>
        </w:rPr>
        <w:t xml:space="preserve">octubre </w:t>
      </w:r>
      <w:r w:rsidRPr="009145DF">
        <w:rPr>
          <w:rFonts w:ascii="Palatino Linotype" w:hAnsi="Palatino Linotype"/>
        </w:rPr>
        <w:t>de 2015, en la Administración Zonal Quitumbe, integrada por los representantes de los siguientes órganos y dependencias: Dr. Julio Cesar Añasco, Administrador Zonal Quitumbe; Arq. Miguel Hidalgo, Coordinador UERB-Q</w:t>
      </w:r>
      <w:r>
        <w:rPr>
          <w:rFonts w:ascii="Palatino Linotype" w:hAnsi="Palatino Linotype"/>
        </w:rPr>
        <w:t xml:space="preserve"> (E)</w:t>
      </w:r>
      <w:r w:rsidR="00960F6B">
        <w:rPr>
          <w:rFonts w:ascii="Palatino Linotype" w:hAnsi="Palatino Linotype"/>
        </w:rPr>
        <w:t xml:space="preserve"> y Responsable Técnico</w:t>
      </w:r>
      <w:r>
        <w:rPr>
          <w:rFonts w:ascii="Palatino Linotype" w:hAnsi="Palatino Linotype"/>
        </w:rPr>
        <w:t xml:space="preserve">; Arq. </w:t>
      </w:r>
      <w:r w:rsidR="00960F6B">
        <w:rPr>
          <w:rFonts w:ascii="Palatino Linotype" w:hAnsi="Palatino Linotype"/>
        </w:rPr>
        <w:t>É</w:t>
      </w:r>
      <w:r>
        <w:rPr>
          <w:rFonts w:ascii="Palatino Linotype" w:hAnsi="Palatino Linotype"/>
        </w:rPr>
        <w:t>dgar Flores</w:t>
      </w:r>
      <w:r w:rsidR="00960F6B">
        <w:rPr>
          <w:rFonts w:ascii="Palatino Linotype" w:hAnsi="Palatino Linotype"/>
        </w:rPr>
        <w:t xml:space="preserve"> Delgado</w:t>
      </w:r>
      <w:r>
        <w:rPr>
          <w:rFonts w:ascii="Palatino Linotype" w:hAnsi="Palatino Linotype"/>
        </w:rPr>
        <w:t>, D</w:t>
      </w:r>
      <w:r w:rsidRPr="009145DF">
        <w:rPr>
          <w:rFonts w:ascii="Palatino Linotype" w:hAnsi="Palatino Linotype"/>
        </w:rPr>
        <w:t>elegado de la Secretaría de Territorio, Hábitat y</w:t>
      </w:r>
      <w:r>
        <w:rPr>
          <w:rFonts w:ascii="Palatino Linotype" w:hAnsi="Palatino Linotype"/>
        </w:rPr>
        <w:t xml:space="preserve"> Vivienda; </w:t>
      </w:r>
      <w:r w:rsidR="00960F6B">
        <w:rPr>
          <w:rFonts w:ascii="Palatino Linotype" w:hAnsi="Palatino Linotype"/>
        </w:rPr>
        <w:t>Arq. Víctor Aguilar</w:t>
      </w:r>
      <w:r>
        <w:rPr>
          <w:rFonts w:ascii="Palatino Linotype" w:hAnsi="Palatino Linotype"/>
        </w:rPr>
        <w:t>, D</w:t>
      </w:r>
      <w:r w:rsidRPr="009145DF">
        <w:rPr>
          <w:rFonts w:ascii="Palatino Linotype" w:hAnsi="Palatino Linotype"/>
        </w:rPr>
        <w:t>elegado de la Dirección Metropolitana de C</w:t>
      </w:r>
      <w:r>
        <w:rPr>
          <w:rFonts w:ascii="Palatino Linotype" w:hAnsi="Palatino Linotype"/>
        </w:rPr>
        <w:t xml:space="preserve">atastro; Ing. Marco </w:t>
      </w:r>
      <w:proofErr w:type="spellStart"/>
      <w:r>
        <w:rPr>
          <w:rFonts w:ascii="Palatino Linotype" w:hAnsi="Palatino Linotype"/>
        </w:rPr>
        <w:t>Manobanda</w:t>
      </w:r>
      <w:proofErr w:type="spellEnd"/>
      <w:r>
        <w:rPr>
          <w:rFonts w:ascii="Palatino Linotype" w:hAnsi="Palatino Linotype"/>
        </w:rPr>
        <w:t>, D</w:t>
      </w:r>
      <w:r w:rsidRPr="009145DF">
        <w:rPr>
          <w:rFonts w:ascii="Palatino Linotype" w:hAnsi="Palatino Linotype"/>
        </w:rPr>
        <w:t xml:space="preserve">elegado de la </w:t>
      </w:r>
      <w:r w:rsidR="00960F6B">
        <w:rPr>
          <w:rFonts w:ascii="Palatino Linotype" w:hAnsi="Palatino Linotype"/>
        </w:rPr>
        <w:t xml:space="preserve">Dirección Metropolitana </w:t>
      </w:r>
      <w:r w:rsidRPr="009145DF">
        <w:rPr>
          <w:rFonts w:ascii="Palatino Linotype" w:hAnsi="Palatino Linotype"/>
        </w:rPr>
        <w:t>de Gestión de Riesgos; Arq. Alfonso Cevallos, Dirección de Gestión del Territorio Zonal Quitumbe, Dr. Patricio Endara, Dirección de Asesoría Jurídica Zona</w:t>
      </w:r>
      <w:r>
        <w:rPr>
          <w:rFonts w:ascii="Palatino Linotype" w:hAnsi="Palatino Linotype"/>
        </w:rPr>
        <w:t xml:space="preserve">l Quitumbe; </w:t>
      </w:r>
      <w:r w:rsidRPr="00D0713F">
        <w:rPr>
          <w:rFonts w:ascii="Palatino Linotype" w:hAnsi="Palatino Linotype"/>
        </w:rPr>
        <w:t xml:space="preserve">Lcda. </w:t>
      </w:r>
      <w:proofErr w:type="spellStart"/>
      <w:r w:rsidRPr="00D0713F">
        <w:rPr>
          <w:rFonts w:ascii="Palatino Linotype" w:hAnsi="Palatino Linotype"/>
        </w:rPr>
        <w:t>Gianyna</w:t>
      </w:r>
      <w:proofErr w:type="spellEnd"/>
      <w:r w:rsidRPr="00D0713F">
        <w:rPr>
          <w:rFonts w:ascii="Palatino Linotype" w:hAnsi="Palatino Linotype"/>
        </w:rPr>
        <w:t xml:space="preserve"> Rosero, Responsable Socio- Organizativo, de la Unidad Especial Regula Tu Barrio, </w:t>
      </w:r>
      <w:r w:rsidRPr="00D0713F">
        <w:rPr>
          <w:rFonts w:ascii="Palatino Linotype" w:hAnsi="Palatino Linotype"/>
          <w:iCs/>
        </w:rPr>
        <w:t xml:space="preserve">emitió el </w:t>
      </w:r>
      <w:r w:rsidRPr="00D0713F">
        <w:rPr>
          <w:rFonts w:ascii="Palatino Linotype" w:hAnsi="Palatino Linotype"/>
        </w:rPr>
        <w:t xml:space="preserve">informe No. </w:t>
      </w:r>
      <w:r w:rsidRPr="00C32F4F">
        <w:rPr>
          <w:rFonts w:ascii="Palatino Linotype" w:hAnsi="Palatino Linotype"/>
        </w:rPr>
        <w:t>0</w:t>
      </w:r>
      <w:r w:rsidR="00960F6B">
        <w:rPr>
          <w:rFonts w:ascii="Palatino Linotype" w:hAnsi="Palatino Linotype"/>
        </w:rPr>
        <w:t>16</w:t>
      </w:r>
      <w:r w:rsidRPr="00C32F4F">
        <w:rPr>
          <w:rFonts w:ascii="Palatino Linotype" w:hAnsi="Palatino Linotype"/>
        </w:rPr>
        <w:t>-</w:t>
      </w:r>
      <w:r w:rsidRPr="00A37016">
        <w:rPr>
          <w:rFonts w:ascii="Palatino Linotype" w:hAnsi="Palatino Linotype"/>
        </w:rPr>
        <w:t>UERB</w:t>
      </w:r>
      <w:r w:rsidRPr="00D0713F">
        <w:rPr>
          <w:rFonts w:ascii="Palatino Linotype" w:hAnsi="Palatino Linotype"/>
        </w:rPr>
        <w:t xml:space="preserve">-Q-SOLT-2015, para la aprobación del Asentamiento Humano de Hecho y </w:t>
      </w:r>
      <w:r w:rsidRPr="00A848D9">
        <w:rPr>
          <w:rFonts w:ascii="Palatino Linotype" w:hAnsi="Palatino Linotype"/>
        </w:rPr>
        <w:t xml:space="preserve">Consolidado denominado </w:t>
      </w:r>
      <w:r w:rsidRPr="00A848D9">
        <w:rPr>
          <w:rFonts w:ascii="Palatino Linotype" w:hAnsi="Palatino Linotype" w:cstheme="minorHAnsi"/>
        </w:rPr>
        <w:t>“</w:t>
      </w:r>
      <w:r w:rsidR="00960F6B">
        <w:rPr>
          <w:rFonts w:ascii="Palatino Linotype" w:hAnsi="Palatino Linotype" w:cstheme="minorHAnsi"/>
        </w:rPr>
        <w:t>San Pedro de la Victoria Central</w:t>
      </w:r>
      <w:r w:rsidRPr="00A848D9">
        <w:rPr>
          <w:rFonts w:ascii="Palatino Linotype" w:hAnsi="Palatino Linotype" w:cstheme="minorHAnsi"/>
        </w:rPr>
        <w:t>”</w:t>
      </w:r>
      <w:r w:rsidR="00960F6B">
        <w:rPr>
          <w:rFonts w:ascii="Palatino Linotype" w:hAnsi="Palatino Linotype" w:cstheme="minorHAnsi"/>
        </w:rPr>
        <w:t>,</w:t>
      </w:r>
      <w:r>
        <w:rPr>
          <w:rFonts w:ascii="Palatino Linotype" w:hAnsi="Palatino Linotype" w:cstheme="minorHAnsi"/>
        </w:rPr>
        <w:t xml:space="preserve"> a </w:t>
      </w:r>
      <w:r w:rsidR="00960F6B">
        <w:rPr>
          <w:rFonts w:ascii="Palatino Linotype" w:hAnsi="Palatino Linotype" w:cstheme="minorHAnsi"/>
        </w:rPr>
        <w:t>f</w:t>
      </w:r>
      <w:r w:rsidRPr="00A848D9">
        <w:rPr>
          <w:rFonts w:ascii="Palatino Linotype" w:hAnsi="Palatino Linotype" w:cstheme="minorHAnsi"/>
        </w:rPr>
        <w:t xml:space="preserve">avor de sus </w:t>
      </w:r>
      <w:r>
        <w:rPr>
          <w:rFonts w:ascii="Palatino Linotype" w:hAnsi="Palatino Linotype" w:cstheme="minorHAnsi"/>
        </w:rPr>
        <w:t>c</w:t>
      </w:r>
      <w:r w:rsidRPr="00A848D9">
        <w:rPr>
          <w:rFonts w:ascii="Palatino Linotype" w:hAnsi="Palatino Linotype" w:cstheme="minorHAnsi"/>
        </w:rPr>
        <w:t>opropietarios.</w:t>
      </w:r>
    </w:p>
    <w:p w:rsidR="008079C6" w:rsidRPr="00D23741" w:rsidRDefault="008079C6" w:rsidP="00725931">
      <w:pPr>
        <w:pStyle w:val="Sinespaciado"/>
        <w:spacing w:after="240" w:line="276" w:lineRule="auto"/>
        <w:jc w:val="both"/>
        <w:outlineLvl w:val="0"/>
        <w:rPr>
          <w:rFonts w:ascii="Palatino Linotype" w:hAnsi="Palatino Linotype" w:cs="Arial"/>
          <w:b/>
        </w:rPr>
      </w:pPr>
      <w:r w:rsidRPr="00D23741">
        <w:rPr>
          <w:rFonts w:ascii="Palatino Linotype" w:hAnsi="Palatino Linotype" w:cs="Arial"/>
          <w:b/>
          <w:bCs/>
        </w:rPr>
        <w:t xml:space="preserve">En </w:t>
      </w:r>
      <w:r w:rsidRPr="00D23741">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816DB2" w:rsidRDefault="00C52450" w:rsidP="00725931">
      <w:pPr>
        <w:spacing w:after="240" w:line="276" w:lineRule="auto"/>
        <w:jc w:val="center"/>
        <w:rPr>
          <w:rFonts w:ascii="Palatino Linotype" w:hAnsi="Palatino Linotype"/>
          <w:b/>
          <w:sz w:val="22"/>
          <w:szCs w:val="22"/>
        </w:rPr>
      </w:pPr>
      <w:r w:rsidRPr="00816DB2">
        <w:rPr>
          <w:rFonts w:ascii="Palatino Linotype" w:hAnsi="Palatino Linotype"/>
          <w:b/>
          <w:sz w:val="22"/>
          <w:szCs w:val="22"/>
        </w:rPr>
        <w:t>EXPIDE</w:t>
      </w:r>
      <w:r w:rsidR="00B452F1" w:rsidRPr="00816DB2">
        <w:rPr>
          <w:rFonts w:ascii="Palatino Linotype" w:hAnsi="Palatino Linotype"/>
          <w:b/>
          <w:sz w:val="22"/>
          <w:szCs w:val="22"/>
        </w:rPr>
        <w:t xml:space="preserve"> LA SIGUIENTE</w:t>
      </w:r>
      <w:r w:rsidR="007863C1" w:rsidRPr="00816DB2">
        <w:rPr>
          <w:rFonts w:ascii="Palatino Linotype" w:hAnsi="Palatino Linotype"/>
          <w:b/>
          <w:sz w:val="22"/>
          <w:szCs w:val="22"/>
        </w:rPr>
        <w:t>:</w:t>
      </w:r>
    </w:p>
    <w:p w:rsidR="00725931" w:rsidRPr="00816DB2" w:rsidRDefault="00725931" w:rsidP="00725931">
      <w:pPr>
        <w:spacing w:after="240" w:line="276" w:lineRule="auto"/>
        <w:jc w:val="center"/>
        <w:rPr>
          <w:rFonts w:ascii="Palatino Linotype" w:hAnsi="Palatino Linotype"/>
          <w:b/>
          <w:bCs/>
          <w:sz w:val="22"/>
          <w:szCs w:val="22"/>
          <w:lang w:val="es-EC"/>
        </w:rPr>
      </w:pPr>
      <w:r w:rsidRPr="00816DB2">
        <w:rPr>
          <w:rFonts w:ascii="Palatino Linotype" w:hAnsi="Palatino Linotype" w:cs="Arial"/>
          <w:b/>
          <w:sz w:val="22"/>
          <w:szCs w:val="22"/>
        </w:rPr>
        <w:t xml:space="preserve">ORDENANZA QUE RECONOCE Y APRUEBA EL ASENTAMIENTO HUMANO DE HECHO Y CONSOLIDADO DENOMINADO </w:t>
      </w:r>
      <w:r w:rsidRPr="00816DB2">
        <w:rPr>
          <w:rFonts w:ascii="Palatino Linotype" w:hAnsi="Palatino Linotype" w:cstheme="minorHAnsi"/>
          <w:sz w:val="22"/>
          <w:szCs w:val="22"/>
        </w:rPr>
        <w:t>“</w:t>
      </w:r>
      <w:r w:rsidR="00960F6B">
        <w:rPr>
          <w:rFonts w:ascii="Palatino Linotype" w:hAnsi="Palatino Linotype" w:cstheme="minorHAnsi"/>
          <w:b/>
          <w:sz w:val="22"/>
          <w:szCs w:val="22"/>
        </w:rPr>
        <w:t>SAN PEDRO DE LA VICTORIA CENTRAL</w:t>
      </w:r>
      <w:r w:rsidRPr="00816DB2">
        <w:rPr>
          <w:rFonts w:ascii="Palatino Linotype" w:hAnsi="Palatino Linotype" w:cstheme="minorHAnsi"/>
          <w:b/>
          <w:sz w:val="22"/>
          <w:szCs w:val="22"/>
        </w:rPr>
        <w:t>”</w:t>
      </w:r>
      <w:r w:rsidRPr="00816DB2">
        <w:rPr>
          <w:rFonts w:ascii="Palatino Linotype" w:hAnsi="Palatino Linotype" w:cs="Arial"/>
          <w:b/>
          <w:sz w:val="22"/>
          <w:szCs w:val="22"/>
        </w:rPr>
        <w:t>, A FAVOR</w:t>
      </w:r>
      <w:r w:rsidR="00BB7291">
        <w:rPr>
          <w:rFonts w:ascii="Palatino Linotype" w:hAnsi="Palatino Linotype" w:cs="Arial"/>
          <w:b/>
          <w:sz w:val="22"/>
          <w:szCs w:val="22"/>
        </w:rPr>
        <w:t xml:space="preserve"> DE SU</w:t>
      </w:r>
      <w:r w:rsidRPr="00816DB2">
        <w:rPr>
          <w:rFonts w:ascii="Palatino Linotype" w:hAnsi="Palatino Linotype" w:cs="Arial"/>
          <w:b/>
          <w:sz w:val="22"/>
          <w:szCs w:val="22"/>
        </w:rPr>
        <w:t>S COPROPIETARIOS</w:t>
      </w:r>
    </w:p>
    <w:p w:rsidR="00725931"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 </w:t>
      </w:r>
      <w:r w:rsidRPr="0061158F">
        <w:rPr>
          <w:rFonts w:ascii="Palatino Linotype" w:hAnsi="Palatino Linotype"/>
          <w:b/>
          <w:sz w:val="22"/>
          <w:szCs w:val="22"/>
          <w:lang w:val="es-EC"/>
        </w:rPr>
        <w:t>De los planos y documentos presentados.-</w:t>
      </w:r>
      <w:r>
        <w:rPr>
          <w:rFonts w:ascii="Palatino Linotype" w:hAnsi="Palatino Linotype"/>
          <w:sz w:val="22"/>
          <w:szCs w:val="22"/>
          <w:lang w:val="es-EC"/>
        </w:rPr>
        <w:t xml:space="preserve"> </w:t>
      </w:r>
      <w:r w:rsidRPr="00AA4753">
        <w:rPr>
          <w:rFonts w:ascii="Palatino Linotype" w:hAnsi="Palatino Linotype"/>
          <w:sz w:val="22"/>
          <w:szCs w:val="22"/>
          <w:lang w:val="es-EC"/>
        </w:rPr>
        <w:t>Los planos y documentos presentados son de exclusiva responsabilidad del</w:t>
      </w:r>
      <w:r>
        <w:rPr>
          <w:rFonts w:ascii="Palatino Linotype" w:hAnsi="Palatino Linotype"/>
          <w:sz w:val="22"/>
          <w:szCs w:val="22"/>
          <w:lang w:val="es-EC"/>
        </w:rPr>
        <w:t xml:space="preserve"> </w:t>
      </w:r>
      <w:r w:rsidRPr="00E608E3">
        <w:rPr>
          <w:rFonts w:ascii="Palatino Linotype" w:hAnsi="Palatino Linotype"/>
          <w:sz w:val="22"/>
          <w:szCs w:val="22"/>
          <w:lang w:val="es-EC"/>
        </w:rPr>
        <w:t xml:space="preserve">proyectista, y dirigentes del predio donde se encuentra el Asentamiento Humano de Hecho y Consolidado denominado </w:t>
      </w:r>
      <w:r w:rsidRPr="00E608E3">
        <w:rPr>
          <w:rFonts w:ascii="Palatino Linotype" w:hAnsi="Palatino Linotype" w:cstheme="minorHAnsi"/>
          <w:sz w:val="22"/>
          <w:szCs w:val="22"/>
        </w:rPr>
        <w:t>“</w:t>
      </w:r>
      <w:r w:rsidR="00960F6B" w:rsidRPr="00E608E3">
        <w:rPr>
          <w:rFonts w:ascii="Palatino Linotype" w:hAnsi="Palatino Linotype" w:cstheme="minorHAnsi"/>
          <w:sz w:val="22"/>
          <w:szCs w:val="22"/>
        </w:rPr>
        <w:t>San Pedro de la Victoria Central</w:t>
      </w:r>
      <w:r w:rsidRPr="00E608E3">
        <w:rPr>
          <w:rFonts w:ascii="Palatino Linotype" w:hAnsi="Palatino Linotype" w:cstheme="minorHAnsi"/>
          <w:sz w:val="22"/>
          <w:szCs w:val="22"/>
        </w:rPr>
        <w:t>”</w:t>
      </w:r>
      <w:r w:rsidRPr="00E608E3">
        <w:rPr>
          <w:rFonts w:ascii="Palatino Linotype" w:eastAsia="Calibri" w:hAnsi="Palatino Linotype"/>
          <w:sz w:val="22"/>
          <w:szCs w:val="22"/>
          <w:lang w:val="es-EC" w:eastAsia="en-US"/>
        </w:rPr>
        <w:t>,</w:t>
      </w:r>
      <w:r w:rsidRPr="00E608E3">
        <w:rPr>
          <w:rFonts w:ascii="Palatino Linotype" w:hAnsi="Palatino Linotype"/>
          <w:sz w:val="22"/>
          <w:szCs w:val="22"/>
          <w:lang w:val="es-EC"/>
        </w:rPr>
        <w:t xml:space="preserve"> sin perjuicio de la responsabilidad de quienes revisaron los planos y los documentos legales, excepto en caso de que hayan sido inducidos a engaño.</w:t>
      </w:r>
    </w:p>
    <w:p w:rsidR="00725931" w:rsidRPr="00F0318F" w:rsidRDefault="00725931" w:rsidP="00725931">
      <w:pPr>
        <w:spacing w:after="240" w:line="276" w:lineRule="auto"/>
        <w:jc w:val="both"/>
        <w:rPr>
          <w:rFonts w:ascii="Palatino Linotype" w:hAnsi="Palatino Linotype"/>
          <w:sz w:val="22"/>
          <w:szCs w:val="22"/>
          <w:lang w:val="es-EC"/>
        </w:rPr>
      </w:pPr>
      <w:r w:rsidRPr="00F0318F">
        <w:rPr>
          <w:rFonts w:ascii="Palatino Linotype" w:hAnsi="Palatino Linotype"/>
          <w:sz w:val="22"/>
          <w:szCs w:val="22"/>
          <w:lang w:val="es-EC"/>
        </w:rPr>
        <w:lastRenderedPageBreak/>
        <w:t xml:space="preserve">En caso de comprobarse ocultación o falsedad en planos, datos, documentos; o de existir reclamos de terceros afectados, será de exclusiva responsabilidad </w:t>
      </w:r>
      <w:r>
        <w:rPr>
          <w:rFonts w:ascii="Palatino Linotype" w:hAnsi="Palatino Linotype"/>
          <w:sz w:val="22"/>
          <w:szCs w:val="22"/>
          <w:lang w:val="es-EC"/>
        </w:rPr>
        <w:t xml:space="preserve">del técnico y de los dirigentes de </w:t>
      </w:r>
      <w:r w:rsidRPr="00A848D9">
        <w:rPr>
          <w:rFonts w:ascii="Palatino Linotype" w:hAnsi="Palatino Linotype" w:cstheme="minorHAnsi"/>
          <w:sz w:val="22"/>
          <w:szCs w:val="22"/>
        </w:rPr>
        <w:t>“</w:t>
      </w:r>
      <w:r w:rsidR="00960F6B" w:rsidRPr="00960F6B">
        <w:rPr>
          <w:rFonts w:ascii="Palatino Linotype" w:hAnsi="Palatino Linotype" w:cstheme="minorHAnsi"/>
          <w:sz w:val="22"/>
          <w:szCs w:val="22"/>
        </w:rPr>
        <w:t>San Pedro de la Victoria Central</w:t>
      </w:r>
      <w:r w:rsidRPr="00960F6B">
        <w:rPr>
          <w:rFonts w:ascii="Palatino Linotype" w:hAnsi="Palatino Linotype" w:cstheme="minorHAnsi"/>
          <w:sz w:val="22"/>
          <w:szCs w:val="22"/>
        </w:rPr>
        <w:t xml:space="preserve">” </w:t>
      </w:r>
      <w:r w:rsidRPr="00960F6B">
        <w:rPr>
          <w:rFonts w:ascii="Palatino Linotype" w:eastAsia="Calibri" w:hAnsi="Palatino Linotype"/>
          <w:sz w:val="22"/>
          <w:szCs w:val="22"/>
          <w:lang w:val="es-EC" w:eastAsia="en-US"/>
        </w:rPr>
        <w:t>y</w:t>
      </w:r>
      <w:r>
        <w:rPr>
          <w:rFonts w:ascii="Palatino Linotype" w:eastAsia="Calibri" w:hAnsi="Palatino Linotype"/>
          <w:sz w:val="22"/>
          <w:szCs w:val="22"/>
          <w:lang w:val="es-EC" w:eastAsia="en-US"/>
        </w:rPr>
        <w:t xml:space="preserve"> sus copropietarios</w:t>
      </w:r>
      <w:r w:rsidRPr="00F0318F">
        <w:rPr>
          <w:rFonts w:ascii="Palatino Linotype" w:hAnsi="Palatino Linotype"/>
          <w:sz w:val="22"/>
          <w:szCs w:val="22"/>
          <w:lang w:val="es-EC"/>
        </w:rPr>
        <w:t>.</w:t>
      </w:r>
      <w:r w:rsidRPr="00F0318F">
        <w:rPr>
          <w:rFonts w:ascii="Palatino Linotype" w:hAnsi="Palatino Linotype"/>
          <w:sz w:val="22"/>
          <w:szCs w:val="22"/>
        </w:rPr>
        <w:t xml:space="preserve"> </w:t>
      </w:r>
      <w:r w:rsidRPr="00F0318F">
        <w:rPr>
          <w:rFonts w:ascii="Palatino Linotype" w:hAnsi="Palatino Linotype"/>
          <w:sz w:val="22"/>
          <w:szCs w:val="22"/>
          <w:lang w:val="es-EC"/>
        </w:rPr>
        <w:t xml:space="preserve"> </w:t>
      </w:r>
    </w:p>
    <w:p w:rsidR="00725931"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sz w:val="22"/>
          <w:szCs w:val="22"/>
          <w:lang w:val="es-EC"/>
        </w:rPr>
        <w:t>Las dimensiones y superficies de los lotes son las determinadas en el plano aprobatorio siendo en el futuro indivisibles.</w:t>
      </w:r>
    </w:p>
    <w:p w:rsidR="00725931" w:rsidRDefault="00725931" w:rsidP="00725931">
      <w:pPr>
        <w:spacing w:after="240" w:line="276" w:lineRule="auto"/>
        <w:jc w:val="both"/>
        <w:rPr>
          <w:rFonts w:ascii="Palatino Linotype" w:hAnsi="Palatino Linotype"/>
          <w:sz w:val="22"/>
          <w:szCs w:val="22"/>
          <w:lang w:val="es-EC"/>
        </w:rPr>
      </w:pPr>
      <w:r>
        <w:rPr>
          <w:rFonts w:ascii="Palatino Linotype" w:hAnsi="Palatino Linotype"/>
          <w:sz w:val="22"/>
          <w:szCs w:val="22"/>
          <w:lang w:val="es-EC"/>
        </w:rPr>
        <w:t>Por las condiciones de asentamiento humano de hecho y consolidado, se lo aprueba considerándolo de interés social.</w:t>
      </w:r>
    </w:p>
    <w:p w:rsidR="00725931" w:rsidRPr="00725931" w:rsidRDefault="00725931" w:rsidP="00725931">
      <w:pPr>
        <w:spacing w:after="240" w:line="276" w:lineRule="auto"/>
        <w:jc w:val="both"/>
        <w:rPr>
          <w:rFonts w:ascii="Palatino Linotype" w:hAnsi="Palatino Linotype"/>
          <w:b/>
          <w:bCs/>
          <w:sz w:val="22"/>
          <w:szCs w:val="22"/>
          <w:lang w:val="es-EC"/>
        </w:rPr>
      </w:pPr>
      <w:r w:rsidRPr="00725931">
        <w:rPr>
          <w:rFonts w:ascii="Palatino Linotype" w:hAnsi="Palatino Linotype"/>
          <w:b/>
          <w:bCs/>
          <w:sz w:val="22"/>
          <w:szCs w:val="22"/>
          <w:lang w:val="es-EC"/>
        </w:rPr>
        <w:t>Artículo 2.- Especificaciones técnicas.-</w:t>
      </w:r>
    </w:p>
    <w:p w:rsidR="00725931" w:rsidRPr="00725931" w:rsidRDefault="00725931" w:rsidP="00725931">
      <w:pPr>
        <w:spacing w:after="240" w:line="276" w:lineRule="auto"/>
        <w:jc w:val="both"/>
        <w:rPr>
          <w:rFonts w:ascii="Palatino Linotype" w:hAnsi="Palatino Linotype"/>
          <w:b/>
          <w:bCs/>
          <w:sz w:val="22"/>
          <w:szCs w:val="22"/>
          <w:lang w:val="es-EC"/>
        </w:rPr>
      </w:pPr>
      <w:r w:rsidRPr="00725931">
        <w:rPr>
          <w:rFonts w:ascii="Palatino Linotype" w:hAnsi="Palatino Linotype" w:cs="Calibri"/>
          <w:b/>
          <w:sz w:val="22"/>
          <w:szCs w:val="22"/>
        </w:rPr>
        <w:t>Zonificación:</w:t>
      </w:r>
      <w:r w:rsidRPr="00725931">
        <w:rPr>
          <w:rFonts w:ascii="Palatino Linotype" w:hAnsi="Palatino Linotype" w:cs="Calibri"/>
          <w:sz w:val="22"/>
          <w:szCs w:val="22"/>
        </w:rPr>
        <w:t xml:space="preserve"> </w:t>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r>
      <w:proofErr w:type="gramStart"/>
      <w:r w:rsidRPr="00725931">
        <w:rPr>
          <w:rFonts w:ascii="Palatino Linotype" w:hAnsi="Palatino Linotype" w:cs="Calibri"/>
          <w:sz w:val="22"/>
          <w:szCs w:val="22"/>
        </w:rPr>
        <w:t>D</w:t>
      </w:r>
      <w:r w:rsidR="00960F6B">
        <w:rPr>
          <w:rFonts w:ascii="Palatino Linotype" w:hAnsi="Palatino Linotype" w:cs="Calibri"/>
          <w:sz w:val="22"/>
          <w:szCs w:val="22"/>
        </w:rPr>
        <w:t>3</w:t>
      </w:r>
      <w:r w:rsidRPr="00725931">
        <w:rPr>
          <w:rFonts w:ascii="Palatino Linotype" w:hAnsi="Palatino Linotype" w:cs="Calibri"/>
          <w:sz w:val="22"/>
          <w:szCs w:val="22"/>
        </w:rPr>
        <w:t>(</w:t>
      </w:r>
      <w:proofErr w:type="gramEnd"/>
      <w:r w:rsidRPr="00725931">
        <w:rPr>
          <w:rFonts w:ascii="Palatino Linotype" w:hAnsi="Palatino Linotype" w:cs="Calibri"/>
          <w:sz w:val="22"/>
          <w:szCs w:val="22"/>
        </w:rPr>
        <w:t>D</w:t>
      </w:r>
      <w:r w:rsidR="00960F6B">
        <w:rPr>
          <w:rFonts w:ascii="Palatino Linotype" w:hAnsi="Palatino Linotype" w:cs="Calibri"/>
          <w:sz w:val="22"/>
          <w:szCs w:val="22"/>
        </w:rPr>
        <w:t>203</w:t>
      </w:r>
      <w:r w:rsidRPr="00725931">
        <w:rPr>
          <w:rFonts w:ascii="Palatino Linotype" w:hAnsi="Palatino Linotype" w:cs="Calibri"/>
          <w:sz w:val="22"/>
          <w:szCs w:val="22"/>
        </w:rPr>
        <w:t>-80)</w:t>
      </w:r>
    </w:p>
    <w:p w:rsidR="00725931" w:rsidRPr="00725931" w:rsidRDefault="00725931" w:rsidP="00725931">
      <w:pPr>
        <w:spacing w:after="240" w:line="276" w:lineRule="auto"/>
        <w:jc w:val="both"/>
        <w:rPr>
          <w:rFonts w:ascii="Palatino Linotype" w:hAnsi="Palatino Linotype"/>
          <w:b/>
          <w:bCs/>
          <w:sz w:val="22"/>
          <w:szCs w:val="22"/>
          <w:lang w:val="es-EC"/>
        </w:rPr>
      </w:pPr>
      <w:r w:rsidRPr="00725931">
        <w:rPr>
          <w:rFonts w:ascii="Palatino Linotype" w:hAnsi="Palatino Linotype" w:cs="Calibri"/>
          <w:b/>
          <w:sz w:val="22"/>
          <w:szCs w:val="22"/>
        </w:rPr>
        <w:t>Lote mínimo:</w:t>
      </w:r>
      <w:r w:rsidRPr="00725931">
        <w:rPr>
          <w:rFonts w:ascii="Palatino Linotype" w:hAnsi="Palatino Linotype" w:cs="Calibri"/>
          <w:sz w:val="22"/>
          <w:szCs w:val="22"/>
        </w:rPr>
        <w:t xml:space="preserve"> </w:t>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r>
      <w:r w:rsidR="00960F6B">
        <w:rPr>
          <w:rFonts w:ascii="Palatino Linotype" w:hAnsi="Palatino Linotype" w:cs="Calibri"/>
          <w:sz w:val="22"/>
          <w:szCs w:val="22"/>
        </w:rPr>
        <w:t>2</w:t>
      </w:r>
      <w:r w:rsidRPr="00725931">
        <w:rPr>
          <w:rFonts w:ascii="Palatino Linotype" w:hAnsi="Palatino Linotype" w:cs="Calibri"/>
          <w:sz w:val="22"/>
          <w:szCs w:val="22"/>
        </w:rPr>
        <w:t>00 m</w:t>
      </w:r>
      <w:r w:rsidRPr="00725931">
        <w:rPr>
          <w:rFonts w:ascii="Palatino Linotype" w:hAnsi="Palatino Linotype" w:cs="Calibri"/>
          <w:sz w:val="22"/>
          <w:szCs w:val="22"/>
          <w:vertAlign w:val="superscript"/>
        </w:rPr>
        <w:t>2</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hAnsi="Palatino Linotype" w:cs="Calibri"/>
          <w:b/>
          <w:sz w:val="22"/>
          <w:szCs w:val="22"/>
        </w:rPr>
        <w:t>Forma de ocupación del suelo:</w:t>
      </w:r>
      <w:r w:rsidRPr="00725931">
        <w:rPr>
          <w:rFonts w:ascii="Palatino Linotype" w:hAnsi="Palatino Linotype" w:cs="Calibri"/>
          <w:sz w:val="22"/>
          <w:szCs w:val="22"/>
        </w:rPr>
        <w:t xml:space="preserve"> </w:t>
      </w:r>
      <w:r w:rsidRPr="00725931">
        <w:rPr>
          <w:rFonts w:ascii="Palatino Linotype" w:hAnsi="Palatino Linotype" w:cs="Calibri"/>
          <w:sz w:val="22"/>
          <w:szCs w:val="22"/>
        </w:rPr>
        <w:tab/>
        <w:t>(D) Sobre línea de fábrica</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hAnsi="Palatino Linotype" w:cs="Calibri"/>
          <w:b/>
          <w:sz w:val="22"/>
          <w:szCs w:val="22"/>
        </w:rPr>
        <w:t>Uso principal del suelo:</w:t>
      </w:r>
      <w:r w:rsidR="00960F6B">
        <w:rPr>
          <w:rFonts w:ascii="Palatino Linotype" w:hAnsi="Palatino Linotype" w:cs="Calibri"/>
          <w:sz w:val="22"/>
          <w:szCs w:val="22"/>
        </w:rPr>
        <w:t xml:space="preserve"> </w:t>
      </w:r>
      <w:r w:rsidR="00960F6B">
        <w:rPr>
          <w:rFonts w:ascii="Palatino Linotype" w:hAnsi="Palatino Linotype" w:cs="Calibri"/>
          <w:sz w:val="22"/>
          <w:szCs w:val="22"/>
        </w:rPr>
        <w:tab/>
      </w:r>
      <w:r w:rsidR="00960F6B">
        <w:rPr>
          <w:rFonts w:ascii="Palatino Linotype" w:hAnsi="Palatino Linotype" w:cs="Calibri"/>
          <w:sz w:val="22"/>
          <w:szCs w:val="22"/>
        </w:rPr>
        <w:tab/>
        <w:t>(R2</w:t>
      </w:r>
      <w:r w:rsidRPr="00725931">
        <w:rPr>
          <w:rFonts w:ascii="Palatino Linotype" w:hAnsi="Palatino Linotype" w:cs="Calibri"/>
          <w:sz w:val="22"/>
          <w:szCs w:val="22"/>
        </w:rPr>
        <w:t xml:space="preserve">) Residencia </w:t>
      </w:r>
      <w:r w:rsidR="00960F6B">
        <w:rPr>
          <w:rFonts w:ascii="Palatino Linotype" w:hAnsi="Palatino Linotype" w:cs="Calibri"/>
          <w:sz w:val="22"/>
          <w:szCs w:val="22"/>
        </w:rPr>
        <w:t xml:space="preserve">mediana </w:t>
      </w:r>
      <w:r w:rsidRPr="00725931">
        <w:rPr>
          <w:rFonts w:ascii="Palatino Linotype" w:hAnsi="Palatino Linotype" w:cs="Calibri"/>
          <w:sz w:val="22"/>
          <w:szCs w:val="22"/>
        </w:rPr>
        <w:t xml:space="preserve">densidad  </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hAnsi="Palatino Linotype" w:cs="Calibri"/>
          <w:b/>
          <w:sz w:val="22"/>
          <w:szCs w:val="22"/>
        </w:rPr>
        <w:t>Número de lotes</w:t>
      </w:r>
      <w:r w:rsidRPr="00725931">
        <w:rPr>
          <w:rFonts w:ascii="Palatino Linotype" w:hAnsi="Palatino Linotype" w:cs="Calibri"/>
          <w:b/>
          <w:sz w:val="22"/>
          <w:szCs w:val="22"/>
        </w:rPr>
        <w:tab/>
      </w:r>
      <w:r w:rsidRPr="00725931">
        <w:rPr>
          <w:rFonts w:ascii="Palatino Linotype" w:hAnsi="Palatino Linotype" w:cs="Calibri"/>
          <w:b/>
          <w:sz w:val="22"/>
          <w:szCs w:val="22"/>
        </w:rPr>
        <w:tab/>
      </w:r>
      <w:r w:rsidRPr="00725931">
        <w:rPr>
          <w:rFonts w:ascii="Palatino Linotype" w:hAnsi="Palatino Linotype" w:cs="Calibri"/>
          <w:b/>
          <w:sz w:val="22"/>
          <w:szCs w:val="22"/>
        </w:rPr>
        <w:tab/>
      </w:r>
      <w:r w:rsidR="00960F6B">
        <w:rPr>
          <w:rFonts w:ascii="Palatino Linotype" w:hAnsi="Palatino Linotype" w:cs="Calibri"/>
          <w:sz w:val="22"/>
          <w:szCs w:val="22"/>
        </w:rPr>
        <w:t>29</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ú</w:t>
      </w:r>
      <w:r w:rsidRPr="00725931">
        <w:rPr>
          <w:rFonts w:ascii="Palatino Linotype" w:eastAsia="Calibri" w:hAnsi="Palatino Linotype"/>
          <w:b/>
          <w:bCs/>
          <w:color w:val="000000"/>
          <w:kern w:val="24"/>
          <w:sz w:val="22"/>
          <w:szCs w:val="22"/>
        </w:rPr>
        <w:t xml:space="preserve">til de </w:t>
      </w:r>
      <w:r>
        <w:rPr>
          <w:rFonts w:ascii="Palatino Linotype" w:eastAsia="Calibri" w:hAnsi="Palatino Linotype"/>
          <w:b/>
          <w:bCs/>
          <w:color w:val="000000"/>
          <w:kern w:val="24"/>
          <w:sz w:val="22"/>
          <w:szCs w:val="22"/>
        </w:rPr>
        <w:t>l</w:t>
      </w:r>
      <w:r w:rsidRPr="00725931">
        <w:rPr>
          <w:rFonts w:ascii="Palatino Linotype" w:eastAsia="Calibri" w:hAnsi="Palatino Linotype"/>
          <w:b/>
          <w:bCs/>
          <w:color w:val="000000"/>
          <w:kern w:val="24"/>
          <w:sz w:val="22"/>
          <w:szCs w:val="22"/>
        </w:rPr>
        <w:t>otes:</w:t>
      </w:r>
      <w:r w:rsidRPr="00725931">
        <w:rPr>
          <w:rFonts w:ascii="Palatino Linotype" w:eastAsia="Calibri" w:hAnsi="Palatino Linotype"/>
          <w:b/>
          <w:bCs/>
          <w:kern w:val="24"/>
          <w:sz w:val="22"/>
          <w:szCs w:val="22"/>
        </w:rPr>
        <w:t xml:space="preserve"> </w:t>
      </w:r>
      <w:r w:rsidRPr="00725931">
        <w:rPr>
          <w:rFonts w:ascii="Palatino Linotype" w:eastAsia="Calibri" w:hAnsi="Palatino Linotype"/>
          <w:b/>
          <w:bCs/>
          <w:kern w:val="24"/>
          <w:sz w:val="22"/>
          <w:szCs w:val="22"/>
        </w:rPr>
        <w:tab/>
      </w:r>
      <w:r w:rsidRPr="00725931">
        <w:rPr>
          <w:rFonts w:ascii="Palatino Linotype" w:eastAsia="Calibri" w:hAnsi="Palatino Linotype"/>
          <w:b/>
          <w:bCs/>
          <w:kern w:val="24"/>
          <w:sz w:val="22"/>
          <w:szCs w:val="22"/>
        </w:rPr>
        <w:tab/>
      </w:r>
      <w:r w:rsidRPr="00725931">
        <w:rPr>
          <w:rFonts w:ascii="Palatino Linotype" w:eastAsia="Calibri" w:hAnsi="Palatino Linotype"/>
          <w:b/>
          <w:bCs/>
          <w:kern w:val="24"/>
          <w:sz w:val="22"/>
          <w:szCs w:val="22"/>
        </w:rPr>
        <w:tab/>
      </w:r>
      <w:r w:rsidR="00960F6B">
        <w:rPr>
          <w:rFonts w:ascii="Palatino Linotype" w:eastAsia="Calibri" w:hAnsi="Palatino Linotype"/>
          <w:bCs/>
          <w:kern w:val="24"/>
          <w:sz w:val="22"/>
          <w:szCs w:val="22"/>
        </w:rPr>
        <w:t>6</w:t>
      </w:r>
      <w:r w:rsidRPr="00725931">
        <w:rPr>
          <w:rFonts w:ascii="Palatino Linotype" w:eastAsia="Calibri" w:hAnsi="Palatino Linotype"/>
          <w:bCs/>
          <w:kern w:val="24"/>
          <w:sz w:val="22"/>
          <w:szCs w:val="22"/>
        </w:rPr>
        <w:t>.</w:t>
      </w:r>
      <w:r w:rsidR="00960F6B">
        <w:rPr>
          <w:rFonts w:ascii="Palatino Linotype" w:eastAsia="Calibri" w:hAnsi="Palatino Linotype"/>
          <w:bCs/>
          <w:kern w:val="24"/>
          <w:sz w:val="22"/>
          <w:szCs w:val="22"/>
        </w:rPr>
        <w:t>610</w:t>
      </w:r>
      <w:r w:rsidRPr="00725931">
        <w:rPr>
          <w:rFonts w:ascii="Palatino Linotype" w:eastAsia="Calibri" w:hAnsi="Palatino Linotype"/>
          <w:bCs/>
          <w:kern w:val="24"/>
          <w:sz w:val="22"/>
          <w:szCs w:val="22"/>
        </w:rPr>
        <w:t>,</w:t>
      </w:r>
      <w:r w:rsidR="00960F6B">
        <w:rPr>
          <w:rFonts w:ascii="Palatino Linotype" w:eastAsia="Calibri" w:hAnsi="Palatino Linotype"/>
          <w:bCs/>
          <w:kern w:val="24"/>
          <w:sz w:val="22"/>
          <w:szCs w:val="22"/>
        </w:rPr>
        <w:t>24</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00960F6B">
        <w:rPr>
          <w:rFonts w:ascii="Palatino Linotype" w:eastAsia="Calibri" w:hAnsi="Palatino Linotype"/>
          <w:bCs/>
          <w:kern w:val="24"/>
          <w:sz w:val="22"/>
          <w:szCs w:val="22"/>
        </w:rPr>
        <w:t>61</w:t>
      </w:r>
      <w:r w:rsidRPr="00725931">
        <w:rPr>
          <w:rFonts w:ascii="Palatino Linotype" w:eastAsia="Calibri" w:hAnsi="Palatino Linotype"/>
          <w:bCs/>
          <w:kern w:val="24"/>
          <w:sz w:val="22"/>
          <w:szCs w:val="22"/>
        </w:rPr>
        <w:t>,</w:t>
      </w:r>
      <w:r w:rsidR="00960F6B">
        <w:rPr>
          <w:rFonts w:ascii="Palatino Linotype" w:eastAsia="Calibri" w:hAnsi="Palatino Linotype"/>
          <w:bCs/>
          <w:kern w:val="24"/>
          <w:sz w:val="22"/>
          <w:szCs w:val="22"/>
        </w:rPr>
        <w:t>58</w:t>
      </w:r>
      <w:r w:rsidRPr="00725931">
        <w:rPr>
          <w:rFonts w:ascii="Palatino Linotype" w:eastAsia="Calibri" w:hAnsi="Palatino Linotype"/>
          <w:bCs/>
          <w:kern w:val="24"/>
          <w:sz w:val="22"/>
          <w:szCs w:val="22"/>
        </w:rPr>
        <w:t>%</w:t>
      </w:r>
    </w:p>
    <w:p w:rsidR="00725931" w:rsidRDefault="00725931" w:rsidP="00725931">
      <w:pPr>
        <w:spacing w:after="240" w:line="276" w:lineRule="auto"/>
        <w:jc w:val="both"/>
        <w:rPr>
          <w:rFonts w:ascii="Palatino Linotype" w:eastAsia="Calibri" w:hAnsi="Palatino Linotype"/>
          <w:bCs/>
          <w:kern w:val="24"/>
          <w:sz w:val="22"/>
          <w:szCs w:val="22"/>
        </w:rPr>
      </w:pPr>
      <w:r w:rsidRPr="00725931">
        <w:rPr>
          <w:rFonts w:ascii="Palatino Linotype" w:eastAsia="Calibri" w:hAnsi="Palatino Linotype"/>
          <w:b/>
          <w:bCs/>
          <w:color w:val="000000"/>
          <w:kern w:val="24"/>
          <w:sz w:val="22"/>
          <w:szCs w:val="22"/>
        </w:rPr>
        <w:t xml:space="preserve">Área de </w:t>
      </w:r>
      <w:r>
        <w:rPr>
          <w:rFonts w:ascii="Palatino Linotype" w:eastAsia="Calibri" w:hAnsi="Palatino Linotype"/>
          <w:b/>
          <w:bCs/>
          <w:color w:val="000000"/>
          <w:kern w:val="24"/>
          <w:sz w:val="22"/>
          <w:szCs w:val="22"/>
        </w:rPr>
        <w:t>v</w:t>
      </w:r>
      <w:r w:rsidRPr="00725931">
        <w:rPr>
          <w:rFonts w:ascii="Palatino Linotype" w:eastAsia="Calibri" w:hAnsi="Palatino Linotype"/>
          <w:b/>
          <w:bCs/>
          <w:color w:val="000000"/>
          <w:kern w:val="24"/>
          <w:sz w:val="22"/>
          <w:szCs w:val="22"/>
        </w:rPr>
        <w:t xml:space="preserve">ías y </w:t>
      </w:r>
      <w:r>
        <w:rPr>
          <w:rFonts w:ascii="Palatino Linotype" w:eastAsia="Calibri" w:hAnsi="Palatino Linotype"/>
          <w:b/>
          <w:bCs/>
          <w:color w:val="000000"/>
          <w:kern w:val="24"/>
          <w:sz w:val="22"/>
          <w:szCs w:val="22"/>
        </w:rPr>
        <w:t>p</w:t>
      </w:r>
      <w:r w:rsidRPr="00725931">
        <w:rPr>
          <w:rFonts w:ascii="Palatino Linotype" w:eastAsia="Calibri" w:hAnsi="Palatino Linotype"/>
          <w:b/>
          <w:bCs/>
          <w:color w:val="000000"/>
          <w:kern w:val="24"/>
          <w:sz w:val="22"/>
          <w:szCs w:val="22"/>
        </w:rPr>
        <w:t>asajes:</w:t>
      </w:r>
      <w:r w:rsidRPr="00725931">
        <w:rPr>
          <w:rFonts w:ascii="Palatino Linotype" w:eastAsia="Calibri" w:hAnsi="Palatino Linotype"/>
          <w:b/>
          <w:bCs/>
          <w:kern w:val="24"/>
          <w:sz w:val="22"/>
          <w:szCs w:val="22"/>
        </w:rPr>
        <w:t xml:space="preserve"> </w:t>
      </w:r>
      <w:r w:rsidRPr="00725931">
        <w:rPr>
          <w:rFonts w:ascii="Palatino Linotype" w:eastAsia="Calibri" w:hAnsi="Palatino Linotype"/>
          <w:b/>
          <w:bCs/>
          <w:kern w:val="24"/>
          <w:sz w:val="22"/>
          <w:szCs w:val="22"/>
        </w:rPr>
        <w:tab/>
      </w:r>
      <w:r w:rsidRPr="00725931">
        <w:rPr>
          <w:rFonts w:ascii="Palatino Linotype" w:eastAsia="Calibri" w:hAnsi="Palatino Linotype"/>
          <w:b/>
          <w:bCs/>
          <w:kern w:val="24"/>
          <w:sz w:val="22"/>
          <w:szCs w:val="22"/>
        </w:rPr>
        <w:tab/>
      </w:r>
      <w:r w:rsidR="00960F6B">
        <w:rPr>
          <w:rFonts w:ascii="Palatino Linotype" w:eastAsia="Calibri" w:hAnsi="Palatino Linotype"/>
          <w:bCs/>
          <w:kern w:val="24"/>
          <w:sz w:val="22"/>
          <w:szCs w:val="22"/>
        </w:rPr>
        <w:t>1.679</w:t>
      </w:r>
      <w:r w:rsidRPr="00725931">
        <w:rPr>
          <w:rFonts w:ascii="Palatino Linotype" w:eastAsia="Calibri" w:hAnsi="Palatino Linotype"/>
          <w:bCs/>
          <w:kern w:val="24"/>
          <w:sz w:val="22"/>
          <w:szCs w:val="22"/>
        </w:rPr>
        <w:t>,</w:t>
      </w:r>
      <w:r w:rsidR="00960F6B">
        <w:rPr>
          <w:rFonts w:ascii="Palatino Linotype" w:eastAsia="Calibri" w:hAnsi="Palatino Linotype"/>
          <w:bCs/>
          <w:kern w:val="24"/>
          <w:sz w:val="22"/>
          <w:szCs w:val="22"/>
        </w:rPr>
        <w:t>33</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00960F6B">
        <w:rPr>
          <w:rFonts w:ascii="Palatino Linotype" w:eastAsia="Calibri" w:hAnsi="Palatino Linotype"/>
          <w:bCs/>
          <w:kern w:val="24"/>
          <w:sz w:val="22"/>
          <w:szCs w:val="22"/>
        </w:rPr>
        <w:t>15</w:t>
      </w:r>
      <w:r w:rsidRPr="00725931">
        <w:rPr>
          <w:rFonts w:ascii="Palatino Linotype" w:eastAsia="Calibri" w:hAnsi="Palatino Linotype"/>
          <w:bCs/>
          <w:kern w:val="24"/>
          <w:sz w:val="22"/>
          <w:szCs w:val="22"/>
        </w:rPr>
        <w:t>,</w:t>
      </w:r>
      <w:r w:rsidR="00960F6B">
        <w:rPr>
          <w:rFonts w:ascii="Palatino Linotype" w:eastAsia="Calibri" w:hAnsi="Palatino Linotype"/>
          <w:bCs/>
          <w:kern w:val="24"/>
          <w:sz w:val="22"/>
          <w:szCs w:val="22"/>
        </w:rPr>
        <w:t>6</w:t>
      </w:r>
      <w:r w:rsidRPr="00725931">
        <w:rPr>
          <w:rFonts w:ascii="Palatino Linotype" w:eastAsia="Calibri" w:hAnsi="Palatino Linotype"/>
          <w:bCs/>
          <w:kern w:val="24"/>
          <w:sz w:val="22"/>
          <w:szCs w:val="22"/>
        </w:rPr>
        <w:t>4%</w:t>
      </w:r>
    </w:p>
    <w:p w:rsidR="00960F6B" w:rsidRPr="00725931" w:rsidRDefault="00960F6B" w:rsidP="00960F6B">
      <w:pPr>
        <w:spacing w:after="240" w:line="276" w:lineRule="auto"/>
        <w:jc w:val="both"/>
        <w:rPr>
          <w:rFonts w:ascii="Palatino Linotype" w:hAnsi="Palatino Linotype"/>
          <w:bCs/>
          <w:sz w:val="22"/>
          <w:szCs w:val="22"/>
          <w:lang w:val="es-EC"/>
        </w:rPr>
      </w:pPr>
      <w:r w:rsidRPr="00725931">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verde y comunal</w:t>
      </w:r>
      <w:r w:rsidRPr="00725931">
        <w:rPr>
          <w:rFonts w:ascii="Palatino Linotype" w:eastAsia="Calibri" w:hAnsi="Palatino Linotype"/>
          <w:b/>
          <w:bCs/>
          <w:color w:val="000000"/>
          <w:kern w:val="24"/>
          <w:sz w:val="22"/>
          <w:szCs w:val="22"/>
        </w:rPr>
        <w:t>:</w:t>
      </w:r>
      <w:r w:rsidRPr="00725931">
        <w:rPr>
          <w:rFonts w:ascii="Palatino Linotype" w:eastAsia="Calibri" w:hAnsi="Palatino Linotype"/>
          <w:b/>
          <w:bCs/>
          <w:kern w:val="24"/>
          <w:sz w:val="22"/>
          <w:szCs w:val="22"/>
        </w:rPr>
        <w:t xml:space="preserve"> </w:t>
      </w:r>
      <w:r w:rsidRPr="00725931">
        <w:rPr>
          <w:rFonts w:ascii="Palatino Linotype" w:eastAsia="Calibri" w:hAnsi="Palatino Linotype"/>
          <w:b/>
          <w:bCs/>
          <w:kern w:val="24"/>
          <w:sz w:val="22"/>
          <w:szCs w:val="22"/>
        </w:rPr>
        <w:tab/>
      </w:r>
      <w:r w:rsidRPr="00725931">
        <w:rPr>
          <w:rFonts w:ascii="Palatino Linotype" w:eastAsia="Calibri" w:hAnsi="Palatino Linotype"/>
          <w:b/>
          <w:bCs/>
          <w:kern w:val="24"/>
          <w:sz w:val="22"/>
          <w:szCs w:val="22"/>
        </w:rPr>
        <w:tab/>
      </w:r>
      <w:r>
        <w:rPr>
          <w:rFonts w:ascii="Palatino Linotype" w:eastAsia="Calibri" w:hAnsi="Palatino Linotype"/>
          <w:bCs/>
          <w:kern w:val="24"/>
          <w:sz w:val="22"/>
          <w:szCs w:val="22"/>
        </w:rPr>
        <w:t>1.018</w:t>
      </w:r>
      <w:r w:rsidRPr="00725931">
        <w:rPr>
          <w:rFonts w:ascii="Palatino Linotype" w:eastAsia="Calibri" w:hAnsi="Palatino Linotype"/>
          <w:bCs/>
          <w:kern w:val="24"/>
          <w:sz w:val="22"/>
          <w:szCs w:val="22"/>
        </w:rPr>
        <w:t>,</w:t>
      </w:r>
      <w:r>
        <w:rPr>
          <w:rFonts w:ascii="Palatino Linotype" w:eastAsia="Calibri" w:hAnsi="Palatino Linotype"/>
          <w:bCs/>
          <w:kern w:val="24"/>
          <w:sz w:val="22"/>
          <w:szCs w:val="22"/>
        </w:rPr>
        <w:t>92</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Pr>
          <w:rFonts w:ascii="Palatino Linotype" w:eastAsia="Calibri" w:hAnsi="Palatino Linotype"/>
          <w:bCs/>
          <w:kern w:val="24"/>
          <w:sz w:val="22"/>
          <w:szCs w:val="22"/>
        </w:rPr>
        <w:t>9</w:t>
      </w:r>
      <w:r w:rsidRPr="00725931">
        <w:rPr>
          <w:rFonts w:ascii="Palatino Linotype" w:eastAsia="Calibri" w:hAnsi="Palatino Linotype"/>
          <w:bCs/>
          <w:kern w:val="24"/>
          <w:sz w:val="22"/>
          <w:szCs w:val="22"/>
        </w:rPr>
        <w:t>,</w:t>
      </w:r>
      <w:r>
        <w:rPr>
          <w:rFonts w:ascii="Palatino Linotype" w:eastAsia="Calibri" w:hAnsi="Palatino Linotype"/>
          <w:bCs/>
          <w:kern w:val="24"/>
          <w:sz w:val="22"/>
          <w:szCs w:val="22"/>
        </w:rPr>
        <w:t>49</w:t>
      </w:r>
      <w:r w:rsidRPr="00725931">
        <w:rPr>
          <w:rFonts w:ascii="Palatino Linotype" w:eastAsia="Calibri" w:hAnsi="Palatino Linotype"/>
          <w:bCs/>
          <w:kern w:val="24"/>
          <w:sz w:val="22"/>
          <w:szCs w:val="22"/>
        </w:rPr>
        <w:t>%</w:t>
      </w:r>
    </w:p>
    <w:p w:rsidR="00960F6B" w:rsidRPr="00960F6B" w:rsidRDefault="00960F6B" w:rsidP="00725931">
      <w:pPr>
        <w:spacing w:after="240" w:line="276" w:lineRule="auto"/>
        <w:jc w:val="both"/>
        <w:rPr>
          <w:rFonts w:ascii="Palatino Linotype" w:hAnsi="Palatino Linotype"/>
          <w:b/>
          <w:bCs/>
          <w:sz w:val="22"/>
          <w:szCs w:val="22"/>
          <w:lang w:val="es-EC"/>
        </w:rPr>
      </w:pPr>
      <w:r w:rsidRPr="00960F6B">
        <w:rPr>
          <w:rFonts w:ascii="Palatino Linotype" w:hAnsi="Palatino Linotype"/>
          <w:b/>
          <w:bCs/>
          <w:sz w:val="22"/>
          <w:szCs w:val="22"/>
          <w:lang w:val="es-EC"/>
        </w:rPr>
        <w:t>Lotes con juicio de prescripción</w:t>
      </w:r>
    </w:p>
    <w:p w:rsidR="00960F6B" w:rsidRPr="00725931" w:rsidRDefault="00960F6B" w:rsidP="00960F6B">
      <w:pPr>
        <w:spacing w:after="240" w:line="276" w:lineRule="auto"/>
        <w:jc w:val="both"/>
        <w:rPr>
          <w:rFonts w:ascii="Palatino Linotype" w:hAnsi="Palatino Linotype"/>
          <w:bCs/>
          <w:sz w:val="22"/>
          <w:szCs w:val="22"/>
          <w:lang w:val="es-EC"/>
        </w:rPr>
      </w:pPr>
      <w:proofErr w:type="gramStart"/>
      <w:r>
        <w:rPr>
          <w:rFonts w:ascii="Palatino Linotype" w:hAnsi="Palatino Linotype"/>
          <w:b/>
          <w:bCs/>
          <w:sz w:val="22"/>
          <w:szCs w:val="22"/>
          <w:lang w:val="es-EC"/>
        </w:rPr>
        <w:t>s</w:t>
      </w:r>
      <w:r w:rsidRPr="00960F6B">
        <w:rPr>
          <w:rFonts w:ascii="Palatino Linotype" w:hAnsi="Palatino Linotype"/>
          <w:b/>
          <w:bCs/>
          <w:sz w:val="22"/>
          <w:szCs w:val="22"/>
          <w:lang w:val="es-EC"/>
        </w:rPr>
        <w:t>ancionados</w:t>
      </w:r>
      <w:proofErr w:type="gramEnd"/>
      <w:r w:rsidRPr="00960F6B">
        <w:rPr>
          <w:rFonts w:ascii="Palatino Linotype" w:hAnsi="Palatino Linotype"/>
          <w:b/>
          <w:bCs/>
          <w:sz w:val="22"/>
          <w:szCs w:val="22"/>
          <w:lang w:val="es-EC"/>
        </w:rPr>
        <w:t xml:space="preserve"> sin inscripción:</w:t>
      </w:r>
      <w:r>
        <w:rPr>
          <w:rFonts w:ascii="Palatino Linotype" w:hAnsi="Palatino Linotype"/>
          <w:b/>
          <w:bCs/>
          <w:sz w:val="22"/>
          <w:szCs w:val="22"/>
          <w:lang w:val="es-EC"/>
        </w:rPr>
        <w:tab/>
      </w:r>
      <w:r>
        <w:rPr>
          <w:rFonts w:ascii="Palatino Linotype" w:hAnsi="Palatino Linotype"/>
          <w:b/>
          <w:bCs/>
          <w:sz w:val="22"/>
          <w:szCs w:val="22"/>
          <w:lang w:val="es-EC"/>
        </w:rPr>
        <w:tab/>
      </w:r>
      <w:r>
        <w:rPr>
          <w:rFonts w:ascii="Palatino Linotype" w:eastAsia="Calibri" w:hAnsi="Palatino Linotype"/>
          <w:bCs/>
          <w:kern w:val="24"/>
          <w:sz w:val="22"/>
          <w:szCs w:val="22"/>
        </w:rPr>
        <w:t>1.427</w:t>
      </w:r>
      <w:r w:rsidRPr="00725931">
        <w:rPr>
          <w:rFonts w:ascii="Palatino Linotype" w:eastAsia="Calibri" w:hAnsi="Palatino Linotype"/>
          <w:bCs/>
          <w:kern w:val="24"/>
          <w:sz w:val="22"/>
          <w:szCs w:val="22"/>
        </w:rPr>
        <w:t>,</w:t>
      </w:r>
      <w:r>
        <w:rPr>
          <w:rFonts w:ascii="Palatino Linotype" w:eastAsia="Calibri" w:hAnsi="Palatino Linotype"/>
          <w:bCs/>
          <w:kern w:val="24"/>
          <w:sz w:val="22"/>
          <w:szCs w:val="22"/>
        </w:rPr>
        <w:t>04</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Pr>
          <w:rFonts w:ascii="Palatino Linotype" w:eastAsia="Calibri" w:hAnsi="Palatino Linotype"/>
          <w:bCs/>
          <w:kern w:val="24"/>
          <w:sz w:val="22"/>
          <w:szCs w:val="22"/>
        </w:rPr>
        <w:t>13</w:t>
      </w:r>
      <w:r w:rsidRPr="00725931">
        <w:rPr>
          <w:rFonts w:ascii="Palatino Linotype" w:eastAsia="Calibri" w:hAnsi="Palatino Linotype"/>
          <w:bCs/>
          <w:kern w:val="24"/>
          <w:sz w:val="22"/>
          <w:szCs w:val="22"/>
        </w:rPr>
        <w:t>,</w:t>
      </w:r>
      <w:r>
        <w:rPr>
          <w:rFonts w:ascii="Palatino Linotype" w:eastAsia="Calibri" w:hAnsi="Palatino Linotype"/>
          <w:bCs/>
          <w:kern w:val="24"/>
          <w:sz w:val="22"/>
          <w:szCs w:val="22"/>
        </w:rPr>
        <w:t>29</w:t>
      </w:r>
      <w:r w:rsidRPr="00725931">
        <w:rPr>
          <w:rFonts w:ascii="Palatino Linotype" w:eastAsia="Calibri" w:hAnsi="Palatino Linotype"/>
          <w:bCs/>
          <w:kern w:val="24"/>
          <w:sz w:val="22"/>
          <w:szCs w:val="22"/>
        </w:rPr>
        <w:t>%</w:t>
      </w:r>
    </w:p>
    <w:p w:rsidR="00725931" w:rsidRPr="00725931" w:rsidRDefault="00725931" w:rsidP="00725931">
      <w:pPr>
        <w:spacing w:after="240" w:line="276" w:lineRule="auto"/>
        <w:jc w:val="both"/>
        <w:rPr>
          <w:rFonts w:ascii="Palatino Linotype" w:hAnsi="Palatino Linotype"/>
          <w:b/>
          <w:bCs/>
          <w:sz w:val="22"/>
          <w:szCs w:val="22"/>
        </w:rPr>
      </w:pPr>
      <w:r w:rsidRPr="00725931">
        <w:rPr>
          <w:rFonts w:ascii="Palatino Linotype" w:eastAsia="Calibri" w:hAnsi="Palatino Linotype"/>
          <w:b/>
          <w:bCs/>
          <w:color w:val="000000"/>
          <w:kern w:val="24"/>
          <w:sz w:val="22"/>
          <w:szCs w:val="22"/>
        </w:rPr>
        <w:t>Área bruta del terreno (</w:t>
      </w:r>
      <w:r>
        <w:rPr>
          <w:rFonts w:ascii="Palatino Linotype" w:eastAsia="Calibri" w:hAnsi="Palatino Linotype"/>
          <w:b/>
          <w:bCs/>
          <w:color w:val="000000"/>
          <w:kern w:val="24"/>
          <w:sz w:val="22"/>
          <w:szCs w:val="22"/>
        </w:rPr>
        <w:t>á</w:t>
      </w:r>
      <w:r w:rsidRPr="00725931">
        <w:rPr>
          <w:rFonts w:ascii="Palatino Linotype" w:eastAsia="Calibri" w:hAnsi="Palatino Linotype"/>
          <w:b/>
          <w:bCs/>
          <w:color w:val="000000"/>
          <w:kern w:val="24"/>
          <w:sz w:val="22"/>
          <w:szCs w:val="22"/>
        </w:rPr>
        <w:t xml:space="preserve">rea </w:t>
      </w:r>
      <w:r>
        <w:rPr>
          <w:rFonts w:ascii="Palatino Linotype" w:eastAsia="Calibri" w:hAnsi="Palatino Linotype"/>
          <w:b/>
          <w:bCs/>
          <w:color w:val="000000"/>
          <w:kern w:val="24"/>
          <w:sz w:val="22"/>
          <w:szCs w:val="22"/>
        </w:rPr>
        <w:t>t</w:t>
      </w:r>
      <w:r w:rsidRPr="00725931">
        <w:rPr>
          <w:rFonts w:ascii="Palatino Linotype" w:eastAsia="Calibri" w:hAnsi="Palatino Linotype"/>
          <w:b/>
          <w:bCs/>
          <w:color w:val="000000"/>
          <w:kern w:val="24"/>
          <w:sz w:val="22"/>
          <w:szCs w:val="22"/>
        </w:rPr>
        <w:t>otal):</w:t>
      </w:r>
      <w:r w:rsidR="00960F6B">
        <w:rPr>
          <w:rFonts w:ascii="Palatino Linotype" w:eastAsia="Calibri" w:hAnsi="Palatino Linotype"/>
          <w:b/>
          <w:bCs/>
          <w:kern w:val="24"/>
          <w:sz w:val="22"/>
          <w:szCs w:val="22"/>
        </w:rPr>
        <w:tab/>
      </w:r>
      <w:r w:rsidR="00960F6B">
        <w:rPr>
          <w:rFonts w:ascii="Palatino Linotype" w:eastAsia="Calibri" w:hAnsi="Palatino Linotype"/>
          <w:bCs/>
          <w:kern w:val="24"/>
          <w:sz w:val="22"/>
          <w:szCs w:val="22"/>
        </w:rPr>
        <w:t>10</w:t>
      </w:r>
      <w:r w:rsidRPr="00725931">
        <w:rPr>
          <w:rFonts w:ascii="Palatino Linotype" w:eastAsia="Calibri" w:hAnsi="Palatino Linotype"/>
          <w:bCs/>
          <w:kern w:val="24"/>
          <w:sz w:val="22"/>
          <w:szCs w:val="22"/>
        </w:rPr>
        <w:t>.</w:t>
      </w:r>
      <w:r w:rsidR="00960F6B">
        <w:rPr>
          <w:rFonts w:ascii="Palatino Linotype" w:eastAsia="Calibri" w:hAnsi="Palatino Linotype"/>
          <w:bCs/>
          <w:kern w:val="24"/>
          <w:sz w:val="22"/>
          <w:szCs w:val="22"/>
        </w:rPr>
        <w:t>735</w:t>
      </w:r>
      <w:r w:rsidRPr="00725931">
        <w:rPr>
          <w:rFonts w:ascii="Palatino Linotype" w:eastAsia="Calibri" w:hAnsi="Palatino Linotype"/>
          <w:bCs/>
          <w:kern w:val="24"/>
          <w:sz w:val="22"/>
          <w:szCs w:val="22"/>
        </w:rPr>
        <w:t>,</w:t>
      </w:r>
      <w:r w:rsidR="00960F6B">
        <w:rPr>
          <w:rFonts w:ascii="Palatino Linotype" w:eastAsia="Calibri" w:hAnsi="Palatino Linotype"/>
          <w:bCs/>
          <w:kern w:val="24"/>
          <w:sz w:val="22"/>
          <w:szCs w:val="22"/>
        </w:rPr>
        <w:t>53</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rPr>
        <w:tab/>
      </w:r>
      <w:r w:rsidRPr="00725931">
        <w:rPr>
          <w:rFonts w:ascii="Palatino Linotype" w:hAnsi="Palatino Linotype" w:cs="Calibri"/>
          <w:bCs/>
          <w:sz w:val="22"/>
          <w:szCs w:val="22"/>
        </w:rPr>
        <w:tab/>
      </w:r>
      <w:r w:rsidRPr="00725931">
        <w:rPr>
          <w:rFonts w:ascii="Palatino Linotype" w:hAnsi="Palatino Linotype" w:cs="Calibri"/>
          <w:bCs/>
          <w:sz w:val="22"/>
          <w:szCs w:val="22"/>
        </w:rPr>
        <w:tab/>
      </w:r>
      <w:r w:rsidRPr="00725931">
        <w:rPr>
          <w:rFonts w:ascii="Palatino Linotype" w:eastAsia="Calibri" w:hAnsi="Palatino Linotype"/>
          <w:bCs/>
          <w:kern w:val="24"/>
          <w:sz w:val="22"/>
          <w:szCs w:val="22"/>
        </w:rPr>
        <w:t>100%</w:t>
      </w:r>
    </w:p>
    <w:p w:rsidR="00725931" w:rsidRPr="00725931" w:rsidRDefault="00725931" w:rsidP="00725931">
      <w:pPr>
        <w:spacing w:after="240" w:line="276" w:lineRule="auto"/>
        <w:jc w:val="both"/>
        <w:rPr>
          <w:rFonts w:ascii="Palatino Linotype" w:hAnsi="Palatino Linotype" w:cs="Arial"/>
          <w:sz w:val="22"/>
          <w:szCs w:val="22"/>
        </w:rPr>
      </w:pPr>
      <w:r w:rsidRPr="00725931">
        <w:rPr>
          <w:rFonts w:ascii="Palatino Linotype" w:hAnsi="Palatino Linotype" w:cs="Arial"/>
          <w:b/>
          <w:sz w:val="22"/>
          <w:szCs w:val="22"/>
        </w:rPr>
        <w:t xml:space="preserve">Área </w:t>
      </w:r>
      <w:r w:rsidR="00960F6B">
        <w:rPr>
          <w:rFonts w:ascii="Palatino Linotype" w:hAnsi="Palatino Linotype" w:cs="Arial"/>
          <w:b/>
          <w:sz w:val="22"/>
          <w:szCs w:val="22"/>
        </w:rPr>
        <w:t xml:space="preserve">total </w:t>
      </w:r>
      <w:r w:rsidRPr="00725931">
        <w:rPr>
          <w:rFonts w:ascii="Palatino Linotype" w:hAnsi="Palatino Linotype" w:cs="Arial"/>
          <w:b/>
          <w:sz w:val="22"/>
          <w:szCs w:val="22"/>
        </w:rPr>
        <w:t xml:space="preserve">de </w:t>
      </w:r>
      <w:r>
        <w:rPr>
          <w:rFonts w:ascii="Palatino Linotype" w:hAnsi="Palatino Linotype" w:cs="Arial"/>
          <w:b/>
          <w:sz w:val="22"/>
          <w:szCs w:val="22"/>
        </w:rPr>
        <w:t>e</w:t>
      </w:r>
      <w:r w:rsidRPr="00725931">
        <w:rPr>
          <w:rFonts w:ascii="Palatino Linotype" w:hAnsi="Palatino Linotype" w:cs="Arial"/>
          <w:b/>
          <w:sz w:val="22"/>
          <w:szCs w:val="22"/>
        </w:rPr>
        <w:t>scritura:</w:t>
      </w:r>
      <w:r w:rsidRPr="00725931">
        <w:rPr>
          <w:rFonts w:ascii="Palatino Linotype" w:hAnsi="Palatino Linotype" w:cs="Arial"/>
          <w:b/>
          <w:sz w:val="22"/>
          <w:szCs w:val="22"/>
        </w:rPr>
        <w:tab/>
      </w:r>
      <w:r w:rsidRPr="00725931">
        <w:rPr>
          <w:rFonts w:ascii="Palatino Linotype" w:hAnsi="Palatino Linotype" w:cs="Arial"/>
          <w:b/>
          <w:sz w:val="22"/>
          <w:szCs w:val="22"/>
        </w:rPr>
        <w:tab/>
      </w:r>
      <w:r w:rsidR="00960F6B">
        <w:rPr>
          <w:rFonts w:ascii="Palatino Linotype" w:hAnsi="Palatino Linotype" w:cs="Calibri"/>
          <w:bCs/>
          <w:color w:val="000000"/>
          <w:sz w:val="22"/>
          <w:szCs w:val="22"/>
        </w:rPr>
        <w:t>13</w:t>
      </w:r>
      <w:r w:rsidRPr="00725931">
        <w:rPr>
          <w:rFonts w:ascii="Palatino Linotype" w:hAnsi="Palatino Linotype" w:cs="Calibri"/>
          <w:bCs/>
          <w:color w:val="000000"/>
          <w:sz w:val="22"/>
          <w:szCs w:val="22"/>
        </w:rPr>
        <w:t>.</w:t>
      </w:r>
      <w:r w:rsidR="00960F6B">
        <w:rPr>
          <w:rFonts w:ascii="Palatino Linotype" w:hAnsi="Palatino Linotype" w:cs="Calibri"/>
          <w:bCs/>
          <w:color w:val="000000"/>
          <w:sz w:val="22"/>
          <w:szCs w:val="22"/>
        </w:rPr>
        <w:t>092,00</w:t>
      </w:r>
      <w:r w:rsidRPr="00725931">
        <w:rPr>
          <w:rFonts w:ascii="Palatino Linotype" w:hAnsi="Palatino Linotype" w:cs="Calibri"/>
          <w:bCs/>
          <w:color w:val="000000"/>
          <w:sz w:val="22"/>
          <w:szCs w:val="22"/>
        </w:rPr>
        <w:t xml:space="preserve"> m</w:t>
      </w:r>
      <w:r w:rsidRPr="00725931">
        <w:rPr>
          <w:rFonts w:ascii="Palatino Linotype" w:hAnsi="Palatino Linotype" w:cs="Calibri"/>
          <w:bCs/>
          <w:color w:val="000000"/>
          <w:sz w:val="22"/>
          <w:szCs w:val="22"/>
          <w:vertAlign w:val="superscript"/>
        </w:rPr>
        <w:t>2</w:t>
      </w:r>
    </w:p>
    <w:p w:rsidR="00725931" w:rsidRPr="00725931" w:rsidRDefault="00725931" w:rsidP="00725931">
      <w:pPr>
        <w:spacing w:after="240" w:line="276" w:lineRule="auto"/>
        <w:jc w:val="both"/>
        <w:rPr>
          <w:rFonts w:ascii="Palatino Linotype" w:hAnsi="Palatino Linotype"/>
          <w:bCs/>
          <w:sz w:val="22"/>
          <w:szCs w:val="22"/>
          <w:lang w:val="es-EC"/>
        </w:rPr>
      </w:pPr>
      <w:r w:rsidRPr="00725931">
        <w:rPr>
          <w:rFonts w:ascii="Palatino Linotype" w:hAnsi="Palatino Linotype"/>
          <w:sz w:val="22"/>
          <w:szCs w:val="22"/>
          <w:lang w:val="es-EC"/>
        </w:rPr>
        <w:t>El número total de lotes es de 2</w:t>
      </w:r>
      <w:r w:rsidR="00960F6B">
        <w:rPr>
          <w:rFonts w:ascii="Palatino Linotype" w:hAnsi="Palatino Linotype"/>
          <w:sz w:val="22"/>
          <w:szCs w:val="22"/>
          <w:lang w:val="es-EC"/>
        </w:rPr>
        <w:t>9</w:t>
      </w:r>
      <w:r w:rsidRPr="00725931">
        <w:rPr>
          <w:rFonts w:ascii="Palatino Linotype" w:hAnsi="Palatino Linotype" w:cs="Arial"/>
          <w:sz w:val="22"/>
          <w:szCs w:val="22"/>
        </w:rPr>
        <w:t xml:space="preserve">, signados del uno (1) al  veinte y </w:t>
      </w:r>
      <w:r w:rsidR="00960F6B">
        <w:rPr>
          <w:rFonts w:ascii="Palatino Linotype" w:hAnsi="Palatino Linotype" w:cs="Arial"/>
          <w:sz w:val="22"/>
          <w:szCs w:val="22"/>
        </w:rPr>
        <w:t xml:space="preserve">nueve </w:t>
      </w:r>
      <w:r w:rsidRPr="00725931">
        <w:rPr>
          <w:rFonts w:ascii="Palatino Linotype" w:hAnsi="Palatino Linotype" w:cs="Arial"/>
          <w:sz w:val="22"/>
          <w:szCs w:val="22"/>
        </w:rPr>
        <w:t>(2</w:t>
      </w:r>
      <w:r w:rsidR="00960F6B">
        <w:rPr>
          <w:rFonts w:ascii="Palatino Linotype" w:hAnsi="Palatino Linotype" w:cs="Arial"/>
          <w:sz w:val="22"/>
          <w:szCs w:val="22"/>
        </w:rPr>
        <w:t>9</w:t>
      </w:r>
      <w:r w:rsidRPr="00725931">
        <w:rPr>
          <w:rFonts w:ascii="Palatino Linotype" w:hAnsi="Palatino Linotype" w:cs="Arial"/>
          <w:sz w:val="22"/>
          <w:szCs w:val="22"/>
        </w:rPr>
        <w:t>)</w:t>
      </w:r>
      <w:r w:rsidRPr="00725931">
        <w:rPr>
          <w:rFonts w:ascii="Palatino Linotype" w:hAnsi="Palatino Linotype"/>
          <w:sz w:val="22"/>
          <w:szCs w:val="22"/>
          <w:lang w:val="es-EC"/>
        </w:rPr>
        <w:t>,</w:t>
      </w:r>
      <w:r w:rsidRPr="00725931">
        <w:rPr>
          <w:rFonts w:ascii="Palatino Linotype" w:eastAsia="Calibri" w:hAnsi="Palatino Linotype" w:cs="Calibri"/>
          <w:sz w:val="22"/>
          <w:szCs w:val="22"/>
          <w:lang w:eastAsia="en-US"/>
        </w:rPr>
        <w:t xml:space="preserve"> </w:t>
      </w:r>
      <w:r w:rsidRPr="00725931">
        <w:rPr>
          <w:rFonts w:ascii="Palatino Linotype" w:hAnsi="Palatino Linotype"/>
          <w:sz w:val="22"/>
          <w:szCs w:val="22"/>
          <w:lang w:val="es-EC"/>
        </w:rPr>
        <w:t xml:space="preserve">cuyo detalle es el que consta </w:t>
      </w:r>
      <w:r w:rsidRPr="00725931">
        <w:rPr>
          <w:rFonts w:ascii="Palatino Linotype" w:hAnsi="Palatino Linotype"/>
          <w:bCs/>
          <w:sz w:val="22"/>
          <w:szCs w:val="22"/>
          <w:lang w:val="es-EC"/>
        </w:rPr>
        <w:t xml:space="preserve">adjunto al plano aprobatorio, </w:t>
      </w:r>
      <w:r w:rsidR="00960F6B">
        <w:rPr>
          <w:rFonts w:ascii="Palatino Linotype" w:hAnsi="Palatino Linotype"/>
          <w:bCs/>
          <w:sz w:val="22"/>
          <w:szCs w:val="22"/>
          <w:lang w:val="es-EC"/>
        </w:rPr>
        <w:t xml:space="preserve">el mismo </w:t>
      </w:r>
      <w:r w:rsidRPr="00725931">
        <w:rPr>
          <w:rFonts w:ascii="Palatino Linotype" w:hAnsi="Palatino Linotype"/>
          <w:bCs/>
          <w:sz w:val="22"/>
          <w:szCs w:val="22"/>
          <w:lang w:val="es-EC"/>
        </w:rPr>
        <w:t>que forma parte de la presente ordenanza.</w:t>
      </w:r>
    </w:p>
    <w:p w:rsidR="00725931" w:rsidRPr="00960F6B" w:rsidRDefault="00725931" w:rsidP="00725931">
      <w:pPr>
        <w:spacing w:after="240" w:line="276" w:lineRule="auto"/>
        <w:jc w:val="both"/>
        <w:rPr>
          <w:rFonts w:ascii="Palatino Linotype" w:hAnsi="Palatino Linotype" w:cstheme="minorHAnsi"/>
          <w:sz w:val="22"/>
          <w:szCs w:val="22"/>
        </w:rPr>
      </w:pPr>
      <w:r w:rsidRPr="00A27A9A">
        <w:rPr>
          <w:rFonts w:ascii="Palatino Linotype" w:hAnsi="Palatino Linotype" w:cs="Arial"/>
          <w:b/>
          <w:bCs/>
          <w:sz w:val="22"/>
          <w:szCs w:val="22"/>
        </w:rPr>
        <w:lastRenderedPageBreak/>
        <w:t>Artículo 3</w:t>
      </w:r>
      <w:r w:rsidRPr="00C32F4F">
        <w:rPr>
          <w:rFonts w:ascii="Palatino Linotype" w:hAnsi="Palatino Linotype" w:cs="Arial"/>
          <w:b/>
          <w:bCs/>
          <w:sz w:val="22"/>
          <w:szCs w:val="22"/>
        </w:rPr>
        <w:t xml:space="preserve">.- Zonificación de los lotes.- </w:t>
      </w:r>
      <w:r>
        <w:rPr>
          <w:rFonts w:ascii="Palatino Linotype" w:hAnsi="Palatino Linotype" w:cs="Arial"/>
          <w:bCs/>
          <w:sz w:val="22"/>
          <w:szCs w:val="22"/>
        </w:rPr>
        <w:t>L</w:t>
      </w:r>
      <w:r w:rsidRPr="00C32F4F">
        <w:rPr>
          <w:rFonts w:ascii="Palatino Linotype" w:hAnsi="Palatino Linotype" w:cs="Arial"/>
          <w:bCs/>
          <w:sz w:val="22"/>
          <w:szCs w:val="22"/>
        </w:rPr>
        <w:t xml:space="preserve">os lotes fraccionados </w:t>
      </w:r>
      <w:r>
        <w:rPr>
          <w:rFonts w:ascii="Palatino Linotype" w:hAnsi="Palatino Linotype" w:cs="Arial"/>
          <w:bCs/>
          <w:sz w:val="22"/>
          <w:szCs w:val="22"/>
        </w:rPr>
        <w:t xml:space="preserve">mantendrán </w:t>
      </w:r>
      <w:r w:rsidRPr="00C32F4F">
        <w:rPr>
          <w:rFonts w:ascii="Palatino Linotype" w:hAnsi="Palatino Linotype" w:cs="Arial"/>
          <w:bCs/>
          <w:sz w:val="22"/>
          <w:szCs w:val="22"/>
        </w:rPr>
        <w:t>la</w:t>
      </w:r>
      <w:r w:rsidRPr="00C32F4F">
        <w:rPr>
          <w:rFonts w:ascii="Palatino Linotype" w:hAnsi="Palatino Linotype"/>
          <w:sz w:val="22"/>
          <w:szCs w:val="22"/>
          <w:lang w:val="es-EC"/>
        </w:rPr>
        <w:t xml:space="preserve"> </w:t>
      </w:r>
      <w:r>
        <w:rPr>
          <w:rFonts w:ascii="Palatino Linotype" w:hAnsi="Palatino Linotype"/>
          <w:sz w:val="22"/>
          <w:szCs w:val="22"/>
          <w:lang w:val="es-EC"/>
        </w:rPr>
        <w:t xml:space="preserve">siguiente </w:t>
      </w:r>
      <w:r w:rsidRPr="00C32F4F">
        <w:rPr>
          <w:rFonts w:ascii="Palatino Linotype" w:hAnsi="Palatino Linotype"/>
          <w:sz w:val="22"/>
          <w:szCs w:val="22"/>
          <w:lang w:val="es-EC"/>
        </w:rPr>
        <w:t>zonificación:</w:t>
      </w:r>
      <w:r w:rsidRPr="00C32F4F">
        <w:rPr>
          <w:rFonts w:ascii="Palatino Linotype" w:hAnsi="Palatino Linotype" w:cstheme="minorHAnsi"/>
          <w:sz w:val="22"/>
          <w:szCs w:val="22"/>
        </w:rPr>
        <w:t xml:space="preserve"> D</w:t>
      </w:r>
      <w:r w:rsidR="00960F6B">
        <w:rPr>
          <w:rFonts w:ascii="Palatino Linotype" w:hAnsi="Palatino Linotype" w:cstheme="minorHAnsi"/>
          <w:sz w:val="22"/>
          <w:szCs w:val="22"/>
        </w:rPr>
        <w:t>3</w:t>
      </w:r>
      <w:r w:rsidRPr="00C32F4F">
        <w:rPr>
          <w:rFonts w:ascii="Palatino Linotype" w:hAnsi="Palatino Linotype" w:cstheme="minorHAnsi"/>
          <w:sz w:val="22"/>
          <w:szCs w:val="22"/>
        </w:rPr>
        <w:t xml:space="preserve"> (D</w:t>
      </w:r>
      <w:r w:rsidR="00960F6B">
        <w:rPr>
          <w:rFonts w:ascii="Palatino Linotype" w:hAnsi="Palatino Linotype" w:cstheme="minorHAnsi"/>
          <w:sz w:val="22"/>
          <w:szCs w:val="22"/>
        </w:rPr>
        <w:t>203</w:t>
      </w:r>
      <w:r w:rsidRPr="00C32F4F">
        <w:rPr>
          <w:rFonts w:ascii="Palatino Linotype" w:hAnsi="Palatino Linotype" w:cstheme="minorHAnsi"/>
          <w:sz w:val="22"/>
          <w:szCs w:val="22"/>
        </w:rPr>
        <w:t>-80)</w:t>
      </w:r>
      <w:r w:rsidR="00960F6B">
        <w:rPr>
          <w:rFonts w:ascii="Palatino Linotype" w:hAnsi="Palatino Linotype" w:cstheme="minorHAnsi"/>
          <w:sz w:val="22"/>
          <w:szCs w:val="22"/>
        </w:rPr>
        <w:t>,</w:t>
      </w:r>
      <w:r w:rsidRPr="00C32F4F">
        <w:rPr>
          <w:rFonts w:ascii="Palatino Linotype" w:hAnsi="Palatino Linotype" w:cstheme="minorHAnsi"/>
          <w:sz w:val="22"/>
          <w:szCs w:val="22"/>
        </w:rPr>
        <w:t xml:space="preserve"> con área de lote mínimo</w:t>
      </w:r>
      <w:r w:rsidR="00E608E3">
        <w:rPr>
          <w:rFonts w:ascii="Palatino Linotype" w:hAnsi="Palatino Linotype" w:cstheme="minorHAnsi"/>
          <w:sz w:val="22"/>
          <w:szCs w:val="22"/>
        </w:rPr>
        <w:t>:</w:t>
      </w:r>
      <w:r w:rsidRPr="00C32F4F">
        <w:rPr>
          <w:rFonts w:ascii="Palatino Linotype" w:hAnsi="Palatino Linotype" w:cstheme="minorHAnsi"/>
          <w:sz w:val="22"/>
          <w:szCs w:val="22"/>
        </w:rPr>
        <w:t xml:space="preserve"> </w:t>
      </w:r>
      <w:r w:rsidR="00960F6B">
        <w:rPr>
          <w:rFonts w:ascii="Palatino Linotype" w:hAnsi="Palatino Linotype" w:cstheme="minorHAnsi"/>
          <w:sz w:val="22"/>
          <w:szCs w:val="22"/>
        </w:rPr>
        <w:t>2</w:t>
      </w:r>
      <w:r w:rsidRPr="00C32F4F">
        <w:rPr>
          <w:rFonts w:ascii="Palatino Linotype" w:hAnsi="Palatino Linotype" w:cstheme="minorHAnsi"/>
          <w:sz w:val="22"/>
          <w:szCs w:val="22"/>
        </w:rPr>
        <w:t>00 m</w:t>
      </w:r>
      <w:r w:rsidRPr="00725931">
        <w:rPr>
          <w:rFonts w:ascii="Palatino Linotype" w:hAnsi="Palatino Linotype" w:cstheme="minorHAnsi"/>
          <w:sz w:val="22"/>
          <w:szCs w:val="22"/>
          <w:vertAlign w:val="superscript"/>
        </w:rPr>
        <w:t>2</w:t>
      </w:r>
      <w:r w:rsidRPr="00C32F4F">
        <w:rPr>
          <w:rFonts w:ascii="Palatino Linotype" w:hAnsi="Palatino Linotype" w:cstheme="minorHAnsi"/>
          <w:sz w:val="22"/>
          <w:szCs w:val="22"/>
        </w:rPr>
        <w:t xml:space="preserve">, uso principal </w:t>
      </w:r>
      <w:r>
        <w:rPr>
          <w:rFonts w:ascii="Palatino Linotype" w:hAnsi="Palatino Linotype" w:cstheme="minorHAnsi"/>
          <w:sz w:val="22"/>
          <w:szCs w:val="22"/>
        </w:rPr>
        <w:t>del suelo: (R</w:t>
      </w:r>
      <w:r w:rsidR="00960F6B">
        <w:rPr>
          <w:rFonts w:ascii="Palatino Linotype" w:hAnsi="Palatino Linotype" w:cstheme="minorHAnsi"/>
          <w:sz w:val="22"/>
          <w:szCs w:val="22"/>
        </w:rPr>
        <w:t>2</w:t>
      </w:r>
      <w:r w:rsidRPr="00C32F4F">
        <w:rPr>
          <w:rFonts w:ascii="Palatino Linotype" w:hAnsi="Palatino Linotype" w:cstheme="minorHAnsi"/>
          <w:sz w:val="22"/>
          <w:szCs w:val="22"/>
        </w:rPr>
        <w:t xml:space="preserve">) </w:t>
      </w:r>
      <w:r w:rsidRPr="00960F6B">
        <w:rPr>
          <w:rFonts w:ascii="Palatino Linotype" w:hAnsi="Palatino Linotype" w:cstheme="minorHAnsi"/>
          <w:sz w:val="22"/>
          <w:szCs w:val="22"/>
        </w:rPr>
        <w:t>Residencia Mediana Densidad; y, forma de ocupación del suelo: (D) Sobre línea de fábrica.</w:t>
      </w:r>
    </w:p>
    <w:p w:rsidR="00E608E3" w:rsidRDefault="00725931" w:rsidP="00E608E3">
      <w:pPr>
        <w:spacing w:after="240" w:line="276" w:lineRule="auto"/>
        <w:jc w:val="both"/>
        <w:rPr>
          <w:rFonts w:ascii="Palatino Linotype" w:hAnsi="Palatino Linotype" w:cstheme="minorHAnsi"/>
          <w:sz w:val="22"/>
          <w:szCs w:val="22"/>
        </w:rPr>
      </w:pPr>
      <w:r w:rsidRPr="00960F6B">
        <w:rPr>
          <w:rFonts w:ascii="Palatino Linotype" w:hAnsi="Palatino Linotype"/>
          <w:b/>
          <w:sz w:val="22"/>
          <w:szCs w:val="22"/>
          <w:lang w:val="es-EC"/>
        </w:rPr>
        <w:t xml:space="preserve">Artículo 4.- Lotes por excepción.- </w:t>
      </w:r>
      <w:r w:rsidRPr="00960F6B">
        <w:rPr>
          <w:rFonts w:ascii="Palatino Linotype" w:hAnsi="Palatino Linotype" w:cs="Arial"/>
          <w:bCs/>
          <w:sz w:val="22"/>
          <w:szCs w:val="22"/>
        </w:rPr>
        <w:t xml:space="preserve">Por tratarse de un asentamiento humano de hecho y consolidado, se aprueba por excepción </w:t>
      </w:r>
      <w:r w:rsidR="00960F6B">
        <w:rPr>
          <w:rFonts w:ascii="Palatino Linotype" w:hAnsi="Palatino Linotype" w:cs="Arial"/>
          <w:bCs/>
          <w:sz w:val="22"/>
          <w:szCs w:val="22"/>
        </w:rPr>
        <w:t xml:space="preserve">el lote No. 20, </w:t>
      </w:r>
      <w:r w:rsidRPr="00960F6B">
        <w:rPr>
          <w:rFonts w:ascii="Palatino Linotype" w:hAnsi="Palatino Linotype" w:cs="Arial"/>
          <w:bCs/>
          <w:sz w:val="22"/>
          <w:szCs w:val="22"/>
        </w:rPr>
        <w:t>de menor superficie conforme el plano adjunto</w:t>
      </w:r>
      <w:r w:rsidRPr="00960F6B">
        <w:rPr>
          <w:rFonts w:ascii="Palatino Linotype" w:hAnsi="Palatino Linotype" w:cstheme="minorHAnsi"/>
          <w:sz w:val="22"/>
          <w:szCs w:val="22"/>
        </w:rPr>
        <w:t>.</w:t>
      </w:r>
    </w:p>
    <w:p w:rsidR="00E608E3" w:rsidRDefault="00725931" w:rsidP="00E608E3">
      <w:pPr>
        <w:spacing w:after="240" w:line="276" w:lineRule="auto"/>
        <w:jc w:val="both"/>
        <w:rPr>
          <w:rFonts w:ascii="Palatino Linotype" w:hAnsi="Palatino Linotype" w:cstheme="minorHAnsi"/>
          <w:sz w:val="22"/>
          <w:szCs w:val="22"/>
        </w:rPr>
      </w:pPr>
      <w:r>
        <w:rPr>
          <w:rFonts w:ascii="Palatino Linotype" w:hAnsi="Palatino Linotype"/>
          <w:b/>
          <w:bCs/>
          <w:sz w:val="22"/>
          <w:szCs w:val="22"/>
          <w:lang w:val="es-EC"/>
        </w:rPr>
        <w:t>Artículo 5</w:t>
      </w:r>
      <w:r w:rsidRPr="00223768">
        <w:rPr>
          <w:rFonts w:ascii="Palatino Linotype" w:hAnsi="Palatino Linotype"/>
          <w:b/>
          <w:bCs/>
          <w:sz w:val="22"/>
          <w:szCs w:val="22"/>
          <w:lang w:val="es-EC"/>
        </w:rPr>
        <w:t xml:space="preserve">.- Excedentes o </w:t>
      </w:r>
      <w:r>
        <w:rPr>
          <w:rFonts w:ascii="Palatino Linotype" w:hAnsi="Palatino Linotype"/>
          <w:b/>
          <w:bCs/>
          <w:sz w:val="22"/>
          <w:szCs w:val="22"/>
          <w:lang w:val="es-EC"/>
        </w:rPr>
        <w:t>d</w:t>
      </w:r>
      <w:r w:rsidRPr="00223768">
        <w:rPr>
          <w:rFonts w:ascii="Palatino Linotype" w:hAnsi="Palatino Linotype"/>
          <w:b/>
          <w:bCs/>
          <w:sz w:val="22"/>
          <w:szCs w:val="22"/>
          <w:lang w:val="es-EC"/>
        </w:rPr>
        <w:t>iferencias de áreas.-</w:t>
      </w:r>
      <w:r w:rsidRPr="00E3169E">
        <w:rPr>
          <w:rFonts w:ascii="Palatino Linotype" w:hAnsi="Palatino Linotype"/>
          <w:b/>
          <w:bCs/>
          <w:sz w:val="22"/>
          <w:szCs w:val="22"/>
          <w:lang w:val="es-EC"/>
        </w:rPr>
        <w:t xml:space="preserve"> </w:t>
      </w:r>
      <w:r w:rsidRPr="008C378E">
        <w:rPr>
          <w:rFonts w:ascii="Palatino Linotype" w:hAnsi="Palatino Linotype"/>
          <w:bCs/>
          <w:sz w:val="22"/>
          <w:szCs w:val="22"/>
          <w:lang w:val="es-EC"/>
        </w:rPr>
        <w:t>Por cuanto dentro del proceso</w:t>
      </w:r>
      <w:r>
        <w:rPr>
          <w:rFonts w:ascii="Palatino Linotype" w:hAnsi="Palatino Linotype"/>
          <w:bCs/>
          <w:sz w:val="22"/>
          <w:szCs w:val="22"/>
          <w:lang w:val="es-EC"/>
        </w:rPr>
        <w:t xml:space="preserve"> de regularización se </w:t>
      </w:r>
      <w:proofErr w:type="gramStart"/>
      <w:r>
        <w:rPr>
          <w:rFonts w:ascii="Palatino Linotype" w:hAnsi="Palatino Linotype"/>
          <w:bCs/>
          <w:sz w:val="22"/>
          <w:szCs w:val="22"/>
          <w:lang w:val="es-EC"/>
        </w:rPr>
        <w:t>detectó</w:t>
      </w:r>
      <w:proofErr w:type="gramEnd"/>
      <w:r>
        <w:rPr>
          <w:rFonts w:ascii="Palatino Linotype" w:hAnsi="Palatino Linotype"/>
          <w:bCs/>
          <w:sz w:val="22"/>
          <w:szCs w:val="22"/>
          <w:lang w:val="es-EC"/>
        </w:rPr>
        <w:t xml:space="preserve"> la existencia de una variación de área, previo a la protocolización e inscripción de la presente Ordenanza se deberá regularizar el área, de conformidad con lo establecido en la </w:t>
      </w:r>
      <w:r w:rsidR="00960F6B">
        <w:rPr>
          <w:rFonts w:ascii="Palatino Linotype" w:hAnsi="Palatino Linotype"/>
          <w:bCs/>
          <w:sz w:val="22"/>
          <w:szCs w:val="22"/>
          <w:lang w:val="es-EC"/>
        </w:rPr>
        <w:t>normativa metropolitana vigente</w:t>
      </w:r>
      <w:r>
        <w:rPr>
          <w:rFonts w:ascii="Palatino Linotype" w:hAnsi="Palatino Linotype"/>
          <w:bCs/>
          <w:sz w:val="22"/>
          <w:szCs w:val="22"/>
          <w:lang w:val="es-EC"/>
        </w:rPr>
        <w:t>.</w:t>
      </w:r>
    </w:p>
    <w:p w:rsidR="00A63C31" w:rsidRPr="00E608E3" w:rsidRDefault="00960F6B" w:rsidP="00E608E3">
      <w:pPr>
        <w:spacing w:after="240" w:line="276" w:lineRule="auto"/>
        <w:jc w:val="both"/>
        <w:rPr>
          <w:rFonts w:ascii="Palatino Linotype" w:hAnsi="Palatino Linotype" w:cstheme="minorHAnsi"/>
          <w:sz w:val="22"/>
          <w:szCs w:val="22"/>
        </w:rPr>
      </w:pPr>
      <w:r w:rsidRPr="00E608E3">
        <w:rPr>
          <w:rFonts w:ascii="Palatino Linotype" w:hAnsi="Palatino Linotype"/>
          <w:b/>
          <w:bCs/>
          <w:sz w:val="22"/>
          <w:szCs w:val="22"/>
        </w:rPr>
        <w:t xml:space="preserve">Artículo 6.- Del área verde y comunal.- </w:t>
      </w:r>
      <w:r w:rsidR="00A63C31" w:rsidRPr="00E608E3">
        <w:rPr>
          <w:rFonts w:ascii="Palatino Linotype" w:hAnsi="Palatino Linotype"/>
          <w:bCs/>
          <w:sz w:val="22"/>
          <w:szCs w:val="22"/>
          <w:lang w:val="es-EC"/>
        </w:rPr>
        <w:t xml:space="preserve">Los dirigentes del </w:t>
      </w:r>
      <w:r w:rsidR="00A63C31" w:rsidRPr="00E608E3">
        <w:rPr>
          <w:rFonts w:ascii="Palatino Linotype" w:hAnsi="Palatino Linotype" w:cs="Arial"/>
          <w:sz w:val="22"/>
          <w:szCs w:val="22"/>
        </w:rPr>
        <w:t xml:space="preserve">Asentamiento Humano de Hecho y Consolidado denominado </w:t>
      </w:r>
      <w:r w:rsidR="00A63C31" w:rsidRPr="00E608E3">
        <w:rPr>
          <w:rFonts w:ascii="Palatino Linotype" w:hAnsi="Palatino Linotype"/>
          <w:sz w:val="22"/>
          <w:szCs w:val="22"/>
          <w:lang w:val="es-EC"/>
        </w:rPr>
        <w:t>“</w:t>
      </w:r>
      <w:r w:rsidR="00A63C31" w:rsidRPr="00E608E3">
        <w:rPr>
          <w:rFonts w:ascii="Palatino Linotype" w:hAnsi="Palatino Linotype" w:cstheme="minorHAnsi"/>
          <w:sz w:val="22"/>
          <w:szCs w:val="22"/>
        </w:rPr>
        <w:t>San Pedro de la Victoria Central</w:t>
      </w:r>
      <w:r w:rsidR="00A63C31" w:rsidRPr="00E608E3">
        <w:rPr>
          <w:rFonts w:ascii="Palatino Linotype" w:eastAsia="Calibri" w:hAnsi="Palatino Linotype"/>
          <w:sz w:val="22"/>
          <w:szCs w:val="22"/>
          <w:lang w:val="es-EC" w:eastAsia="en-US"/>
        </w:rPr>
        <w:t>”,</w:t>
      </w:r>
      <w:r w:rsidR="00A63C31" w:rsidRPr="00E608E3">
        <w:rPr>
          <w:rFonts w:ascii="Palatino Linotype" w:hAnsi="Palatino Linotype"/>
          <w:bCs/>
          <w:sz w:val="22"/>
          <w:szCs w:val="22"/>
          <w:lang w:val="es-EC"/>
        </w:rPr>
        <w:t xml:space="preserve"> </w:t>
      </w:r>
      <w:r w:rsidR="00A63C31" w:rsidRPr="00E608E3">
        <w:rPr>
          <w:rFonts w:ascii="Palatino Linotype" w:hAnsi="Palatino Linotype" w:cs="Arial"/>
          <w:sz w:val="22"/>
          <w:szCs w:val="22"/>
        </w:rPr>
        <w:t xml:space="preserve">transfieren al Municipio del Distrito Metropolitano de Quito, como contribución de área verde, un área total de </w:t>
      </w:r>
      <w:r w:rsidR="00A63C31" w:rsidRPr="00E608E3">
        <w:rPr>
          <w:rFonts w:ascii="Palatino Linotype" w:hAnsi="Palatino Linotype" w:cstheme="minorHAnsi"/>
          <w:sz w:val="22"/>
          <w:szCs w:val="22"/>
        </w:rPr>
        <w:t>1.018,92</w:t>
      </w:r>
      <w:r w:rsidR="00A63C31" w:rsidRPr="00E608E3">
        <w:rPr>
          <w:rFonts w:ascii="Palatino Linotype" w:hAnsi="Palatino Linotype" w:cs="Arial"/>
          <w:sz w:val="22"/>
          <w:szCs w:val="22"/>
        </w:rPr>
        <w:t xml:space="preserve"> m</w:t>
      </w:r>
      <w:r w:rsidR="00A63C31" w:rsidRPr="00E608E3">
        <w:rPr>
          <w:rFonts w:ascii="Palatino Linotype" w:hAnsi="Palatino Linotype" w:cs="Arial"/>
          <w:sz w:val="22"/>
          <w:szCs w:val="22"/>
          <w:vertAlign w:val="superscript"/>
        </w:rPr>
        <w:t>2</w:t>
      </w:r>
      <w:r w:rsidR="00A63C31" w:rsidRPr="00E608E3">
        <w:rPr>
          <w:rFonts w:ascii="Palatino Linotype" w:hAnsi="Palatino Linotype" w:cs="Arial"/>
          <w:sz w:val="22"/>
          <w:szCs w:val="22"/>
        </w:rPr>
        <w:t>, equivalente al 15,41</w:t>
      </w:r>
      <w:r w:rsidR="00A63C31" w:rsidRPr="00E608E3">
        <w:rPr>
          <w:rFonts w:ascii="Palatino Linotype" w:hAnsi="Palatino Linotype" w:cstheme="minorHAnsi"/>
          <w:sz w:val="22"/>
          <w:szCs w:val="22"/>
        </w:rPr>
        <w:t xml:space="preserve">% </w:t>
      </w:r>
      <w:r w:rsidR="00A63C31" w:rsidRPr="00E608E3">
        <w:rPr>
          <w:rFonts w:ascii="Palatino Linotype" w:hAnsi="Palatino Linotype" w:cs="Arial"/>
          <w:sz w:val="22"/>
          <w:szCs w:val="22"/>
        </w:rPr>
        <w:t xml:space="preserve">del área útil de los lotes, de conformidad al siguiente detalle: </w:t>
      </w:r>
    </w:p>
    <w:p w:rsidR="00A63C31" w:rsidRPr="00CB56E6" w:rsidRDefault="00A63C31" w:rsidP="00A63C31">
      <w:pPr>
        <w:spacing w:after="240" w:line="276" w:lineRule="auto"/>
        <w:rPr>
          <w:rFonts w:ascii="Palatino Linotype" w:hAnsi="Palatino Linotype" w:cs="Calibri"/>
          <w:b/>
          <w:sz w:val="22"/>
          <w:szCs w:val="22"/>
          <w:u w:val="single"/>
        </w:rPr>
      </w:pPr>
      <w:r w:rsidRPr="00CB56E6">
        <w:rPr>
          <w:rFonts w:ascii="Palatino Linotype" w:hAnsi="Palatino Linotype" w:cs="Calibri"/>
          <w:b/>
          <w:sz w:val="22"/>
          <w:szCs w:val="22"/>
          <w:u w:val="single"/>
        </w:rPr>
        <w:t xml:space="preserve">Área Verde y Comunal </w:t>
      </w:r>
    </w:p>
    <w:p w:rsidR="00A63C31" w:rsidRPr="00176D18" w:rsidRDefault="00A63C31" w:rsidP="00A63C31">
      <w:pPr>
        <w:spacing w:after="240" w:line="276" w:lineRule="auto"/>
        <w:contextualSpacing/>
        <w:rPr>
          <w:rFonts w:ascii="Palatino Linotype" w:hAnsi="Palatino Linotype" w:cstheme="minorHAnsi"/>
          <w:sz w:val="22"/>
          <w:szCs w:val="22"/>
        </w:rPr>
      </w:pPr>
      <w:r w:rsidRPr="00CB56E6">
        <w:rPr>
          <w:rFonts w:ascii="Palatino Linotype" w:hAnsi="Palatino Linotype" w:cstheme="minorHAnsi"/>
          <w:b/>
          <w:sz w:val="22"/>
          <w:szCs w:val="22"/>
        </w:rPr>
        <w:t xml:space="preserve">Área </w:t>
      </w:r>
      <w:r>
        <w:rPr>
          <w:rFonts w:ascii="Palatino Linotype" w:hAnsi="Palatino Linotype" w:cstheme="minorHAnsi"/>
          <w:b/>
          <w:sz w:val="22"/>
          <w:szCs w:val="22"/>
        </w:rPr>
        <w:t>v</w:t>
      </w:r>
      <w:r w:rsidRPr="00CB56E6">
        <w:rPr>
          <w:rFonts w:ascii="Palatino Linotype" w:hAnsi="Palatino Linotype" w:cstheme="minorHAnsi"/>
          <w:b/>
          <w:sz w:val="22"/>
          <w:szCs w:val="22"/>
        </w:rPr>
        <w:t xml:space="preserve">erde y </w:t>
      </w:r>
      <w:r>
        <w:rPr>
          <w:rFonts w:ascii="Palatino Linotype" w:hAnsi="Palatino Linotype" w:cstheme="minorHAnsi"/>
          <w:b/>
          <w:sz w:val="22"/>
          <w:szCs w:val="22"/>
        </w:rPr>
        <w:t>c</w:t>
      </w:r>
      <w:r w:rsidRPr="00CB56E6">
        <w:rPr>
          <w:rFonts w:ascii="Palatino Linotype" w:hAnsi="Palatino Linotype" w:cstheme="minorHAnsi"/>
          <w:b/>
          <w:sz w:val="22"/>
          <w:szCs w:val="22"/>
        </w:rPr>
        <w:t>omunal en relación al área útil de lotes</w:t>
      </w:r>
      <w:r>
        <w:rPr>
          <w:rFonts w:ascii="Palatino Linotype" w:hAnsi="Palatino Linotype" w:cstheme="minorHAnsi"/>
          <w:b/>
          <w:sz w:val="22"/>
          <w:szCs w:val="22"/>
        </w:rPr>
        <w:t xml:space="preserve">: </w:t>
      </w:r>
      <w:r>
        <w:rPr>
          <w:rFonts w:ascii="Palatino Linotype" w:hAnsi="Palatino Linotype" w:cstheme="minorHAnsi"/>
          <w:sz w:val="22"/>
          <w:szCs w:val="22"/>
        </w:rPr>
        <w:t>1.018</w:t>
      </w:r>
      <w:r w:rsidRPr="00CB56E6">
        <w:rPr>
          <w:rFonts w:ascii="Palatino Linotype" w:hAnsi="Palatino Linotype" w:cstheme="minorHAnsi"/>
          <w:sz w:val="22"/>
          <w:szCs w:val="22"/>
        </w:rPr>
        <w:t>,</w:t>
      </w:r>
      <w:r>
        <w:rPr>
          <w:rFonts w:ascii="Palatino Linotype" w:hAnsi="Palatino Linotype" w:cstheme="minorHAnsi"/>
          <w:sz w:val="22"/>
          <w:szCs w:val="22"/>
        </w:rPr>
        <w:t>92</w:t>
      </w:r>
      <w:r w:rsidRPr="00CB56E6">
        <w:rPr>
          <w:rFonts w:ascii="Palatino Linotype" w:hAnsi="Palatino Linotype" w:cs="Arial"/>
          <w:sz w:val="22"/>
          <w:szCs w:val="22"/>
        </w:rPr>
        <w:t xml:space="preserve"> m</w:t>
      </w:r>
      <w:r w:rsidRPr="00CB56E6">
        <w:rPr>
          <w:rFonts w:ascii="Palatino Linotype" w:hAnsi="Palatino Linotype" w:cs="Arial"/>
          <w:sz w:val="22"/>
          <w:szCs w:val="22"/>
          <w:vertAlign w:val="superscript"/>
        </w:rPr>
        <w:t>2</w:t>
      </w:r>
      <w:r w:rsidRPr="00176D18">
        <w:rPr>
          <w:rFonts w:ascii="Palatino Linotype" w:hAnsi="Palatino Linotype" w:cstheme="minorHAnsi"/>
          <w:bCs/>
          <w:sz w:val="22"/>
          <w:szCs w:val="22"/>
        </w:rPr>
        <w:t xml:space="preserve"> (</w:t>
      </w:r>
      <w:r w:rsidRPr="00176D18">
        <w:rPr>
          <w:rFonts w:ascii="Palatino Linotype" w:hAnsi="Palatino Linotype" w:cstheme="minorHAnsi"/>
          <w:sz w:val="22"/>
          <w:szCs w:val="22"/>
        </w:rPr>
        <w:t>1</w:t>
      </w:r>
      <w:r>
        <w:rPr>
          <w:rFonts w:ascii="Palatino Linotype" w:hAnsi="Palatino Linotype" w:cstheme="minorHAnsi"/>
          <w:sz w:val="22"/>
          <w:szCs w:val="22"/>
        </w:rPr>
        <w:t>5</w:t>
      </w:r>
      <w:r w:rsidRPr="00176D18">
        <w:rPr>
          <w:rFonts w:ascii="Palatino Linotype" w:hAnsi="Palatino Linotype" w:cstheme="minorHAnsi"/>
          <w:sz w:val="22"/>
          <w:szCs w:val="22"/>
        </w:rPr>
        <w:t>,</w:t>
      </w:r>
      <w:r>
        <w:rPr>
          <w:rFonts w:ascii="Palatino Linotype" w:hAnsi="Palatino Linotype" w:cstheme="minorHAnsi"/>
          <w:sz w:val="22"/>
          <w:szCs w:val="22"/>
        </w:rPr>
        <w:t>41</w:t>
      </w:r>
      <w:r w:rsidRPr="00176D18">
        <w:rPr>
          <w:rFonts w:ascii="Palatino Linotype" w:hAnsi="Palatino Linotype" w:cstheme="minorHAnsi"/>
          <w:sz w:val="22"/>
          <w:szCs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851"/>
        <w:gridCol w:w="2640"/>
        <w:gridCol w:w="1255"/>
        <w:gridCol w:w="1255"/>
        <w:gridCol w:w="1533"/>
      </w:tblGrid>
      <w:tr w:rsidR="00A63C31" w:rsidRPr="00CB56E6" w:rsidTr="00A63C31">
        <w:tc>
          <w:tcPr>
            <w:tcW w:w="8897" w:type="dxa"/>
            <w:gridSpan w:val="6"/>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b/>
                <w:sz w:val="22"/>
                <w:szCs w:val="22"/>
              </w:rPr>
              <w:t>Área verde y comunal</w:t>
            </w:r>
          </w:p>
        </w:tc>
      </w:tr>
      <w:tr w:rsidR="00A63C31" w:rsidRPr="00CB56E6" w:rsidTr="00A63C31">
        <w:tc>
          <w:tcPr>
            <w:tcW w:w="1363" w:type="dxa"/>
            <w:vMerge w:val="restart"/>
            <w:shd w:val="clear" w:color="auto" w:fill="auto"/>
            <w:vAlign w:val="center"/>
          </w:tcPr>
          <w:p w:rsidR="00E608E3" w:rsidRDefault="00E608E3" w:rsidP="00A63C31">
            <w:pPr>
              <w:spacing w:after="240" w:line="276" w:lineRule="auto"/>
              <w:jc w:val="center"/>
              <w:rPr>
                <w:rFonts w:ascii="Palatino Linotype" w:hAnsi="Palatino Linotype" w:cstheme="minorHAnsi"/>
                <w:b/>
                <w:sz w:val="22"/>
                <w:szCs w:val="22"/>
              </w:rPr>
            </w:pPr>
          </w:p>
          <w:p w:rsidR="00A63C31" w:rsidRPr="00CB56E6" w:rsidRDefault="00A63C31" w:rsidP="00A63C31">
            <w:pPr>
              <w:spacing w:after="240" w:line="276" w:lineRule="auto"/>
              <w:jc w:val="center"/>
              <w:rPr>
                <w:rFonts w:ascii="Palatino Linotype" w:hAnsi="Palatino Linotype" w:cstheme="minorHAnsi"/>
                <w:b/>
                <w:sz w:val="22"/>
                <w:szCs w:val="22"/>
              </w:rPr>
            </w:pPr>
            <w:r>
              <w:rPr>
                <w:rFonts w:ascii="Palatino Linotype" w:hAnsi="Palatino Linotype" w:cstheme="minorHAnsi"/>
                <w:b/>
                <w:sz w:val="22"/>
                <w:szCs w:val="22"/>
              </w:rPr>
              <w:t>Área v</w:t>
            </w:r>
            <w:r w:rsidRPr="00CB56E6">
              <w:rPr>
                <w:rFonts w:ascii="Palatino Linotype" w:hAnsi="Palatino Linotype" w:cstheme="minorHAnsi"/>
                <w:b/>
                <w:sz w:val="22"/>
                <w:szCs w:val="22"/>
              </w:rPr>
              <w:t xml:space="preserve">erde </w:t>
            </w:r>
          </w:p>
          <w:p w:rsidR="00A63C31" w:rsidRPr="00CB56E6" w:rsidRDefault="00A63C31" w:rsidP="00A63C31">
            <w:pPr>
              <w:spacing w:after="240" w:line="276" w:lineRule="auto"/>
              <w:jc w:val="center"/>
              <w:rPr>
                <w:rFonts w:ascii="Palatino Linotype" w:hAnsi="Palatino Linotype" w:cstheme="minorHAnsi"/>
                <w:sz w:val="22"/>
                <w:szCs w:val="22"/>
              </w:rPr>
            </w:pPr>
          </w:p>
        </w:tc>
        <w:tc>
          <w:tcPr>
            <w:tcW w:w="851" w:type="dxa"/>
            <w:tcBorders>
              <w:right w:val="single" w:sz="4" w:space="0" w:color="auto"/>
            </w:tcBorders>
            <w:shd w:val="clear" w:color="auto" w:fill="auto"/>
          </w:tcPr>
          <w:p w:rsidR="00A63C31" w:rsidRPr="00CB56E6" w:rsidRDefault="00A63C31" w:rsidP="00A63C31">
            <w:pPr>
              <w:spacing w:after="240" w:line="276" w:lineRule="auto"/>
              <w:rPr>
                <w:rFonts w:ascii="Palatino Linotype" w:hAnsi="Palatino Linotype" w:cstheme="minorHAnsi"/>
                <w:b/>
                <w:sz w:val="22"/>
                <w:szCs w:val="22"/>
              </w:rPr>
            </w:pPr>
          </w:p>
        </w:tc>
        <w:tc>
          <w:tcPr>
            <w:tcW w:w="2640" w:type="dxa"/>
            <w:tcBorders>
              <w:left w:val="single" w:sz="4" w:space="0" w:color="auto"/>
            </w:tcBorders>
            <w:shd w:val="clear" w:color="auto" w:fill="auto"/>
          </w:tcPr>
          <w:p w:rsidR="00A63C31" w:rsidRPr="00CB56E6" w:rsidRDefault="00A63C31" w:rsidP="00A63C31">
            <w:pPr>
              <w:spacing w:after="240" w:line="276" w:lineRule="auto"/>
              <w:jc w:val="center"/>
              <w:rPr>
                <w:rFonts w:ascii="Palatino Linotype" w:hAnsi="Palatino Linotype" w:cstheme="minorHAnsi"/>
                <w:b/>
                <w:sz w:val="22"/>
                <w:szCs w:val="22"/>
              </w:rPr>
            </w:pPr>
            <w:r w:rsidRPr="00CB56E6">
              <w:rPr>
                <w:rFonts w:ascii="Palatino Linotype" w:hAnsi="Palatino Linotype" w:cstheme="minorHAnsi"/>
                <w:b/>
                <w:sz w:val="22"/>
                <w:szCs w:val="22"/>
              </w:rPr>
              <w:t>Lindero</w:t>
            </w:r>
          </w:p>
        </w:tc>
        <w:tc>
          <w:tcPr>
            <w:tcW w:w="1255" w:type="dxa"/>
            <w:tcBorders>
              <w:left w:val="single" w:sz="4" w:space="0" w:color="auto"/>
              <w:right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b/>
                <w:sz w:val="22"/>
                <w:szCs w:val="22"/>
              </w:rPr>
            </w:pPr>
            <w:r w:rsidRPr="00CB56E6">
              <w:rPr>
                <w:rFonts w:ascii="Palatino Linotype" w:hAnsi="Palatino Linotype" w:cstheme="minorHAnsi"/>
                <w:b/>
                <w:sz w:val="22"/>
                <w:szCs w:val="22"/>
              </w:rPr>
              <w:t>En parte</w:t>
            </w:r>
          </w:p>
        </w:tc>
        <w:tc>
          <w:tcPr>
            <w:tcW w:w="1255" w:type="dxa"/>
            <w:tcBorders>
              <w:left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b/>
                <w:sz w:val="22"/>
                <w:szCs w:val="22"/>
              </w:rPr>
            </w:pPr>
            <w:r w:rsidRPr="00CB56E6">
              <w:rPr>
                <w:rFonts w:ascii="Palatino Linotype" w:hAnsi="Palatino Linotype" w:cstheme="minorHAnsi"/>
                <w:b/>
                <w:sz w:val="22"/>
                <w:szCs w:val="22"/>
              </w:rPr>
              <w:t>Total</w:t>
            </w:r>
          </w:p>
        </w:tc>
        <w:tc>
          <w:tcPr>
            <w:tcW w:w="1533" w:type="dxa"/>
            <w:tcBorders>
              <w:top w:val="single" w:sz="4" w:space="0" w:color="auto"/>
              <w:bottom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rPr>
            </w:pPr>
            <w:r w:rsidRPr="00CB56E6">
              <w:rPr>
                <w:rFonts w:ascii="Palatino Linotype" w:hAnsi="Palatino Linotype" w:cstheme="minorHAnsi"/>
                <w:b/>
                <w:sz w:val="22"/>
                <w:szCs w:val="22"/>
              </w:rPr>
              <w:t>Superficie</w:t>
            </w:r>
          </w:p>
        </w:tc>
      </w:tr>
      <w:tr w:rsidR="00A63C31" w:rsidRPr="00CB56E6" w:rsidTr="00A63C31">
        <w:trPr>
          <w:trHeight w:val="293"/>
        </w:trPr>
        <w:tc>
          <w:tcPr>
            <w:tcW w:w="1363" w:type="dxa"/>
            <w:vMerge/>
            <w:shd w:val="clear" w:color="auto" w:fill="auto"/>
          </w:tcPr>
          <w:p w:rsidR="00A63C31" w:rsidRPr="00CB56E6" w:rsidRDefault="00A63C31" w:rsidP="00A63C31">
            <w:pPr>
              <w:spacing w:after="240" w:line="276" w:lineRule="auto"/>
              <w:rPr>
                <w:rFonts w:ascii="Palatino Linotype" w:hAnsi="Palatino Linotype" w:cstheme="minorHAnsi"/>
                <w:sz w:val="22"/>
                <w:szCs w:val="22"/>
              </w:rPr>
            </w:pPr>
          </w:p>
        </w:tc>
        <w:tc>
          <w:tcPr>
            <w:tcW w:w="851" w:type="dxa"/>
            <w:shd w:val="clear" w:color="auto" w:fill="auto"/>
          </w:tcPr>
          <w:p w:rsidR="00A63C31" w:rsidRPr="00CB56E6" w:rsidRDefault="00A63C31" w:rsidP="00A63C31">
            <w:pPr>
              <w:spacing w:after="240" w:line="276" w:lineRule="auto"/>
              <w:rPr>
                <w:rFonts w:ascii="Palatino Linotype" w:hAnsi="Palatino Linotype" w:cstheme="minorHAnsi"/>
                <w:b/>
                <w:sz w:val="22"/>
                <w:szCs w:val="22"/>
              </w:rPr>
            </w:pPr>
            <w:r w:rsidRPr="00CB56E6">
              <w:rPr>
                <w:rFonts w:ascii="Palatino Linotype" w:hAnsi="Palatino Linotype" w:cstheme="minorHAnsi"/>
                <w:b/>
                <w:sz w:val="22"/>
                <w:szCs w:val="22"/>
              </w:rPr>
              <w:t>Norte:</w:t>
            </w:r>
          </w:p>
        </w:tc>
        <w:tc>
          <w:tcPr>
            <w:tcW w:w="2640" w:type="dxa"/>
            <w:shd w:val="clear" w:color="auto" w:fill="auto"/>
          </w:tcPr>
          <w:p w:rsidR="00A63C31" w:rsidRPr="00CB56E6" w:rsidRDefault="00A63C31" w:rsidP="00E608E3">
            <w:pPr>
              <w:spacing w:after="240" w:line="276" w:lineRule="auto"/>
              <w:rPr>
                <w:rFonts w:ascii="Palatino Linotype" w:hAnsi="Palatino Linotype" w:cstheme="minorHAnsi"/>
                <w:sz w:val="22"/>
                <w:szCs w:val="22"/>
                <w:lang w:val="es-EC"/>
              </w:rPr>
            </w:pPr>
            <w:r w:rsidRPr="00CB56E6">
              <w:rPr>
                <w:rFonts w:ascii="Palatino Linotype" w:hAnsi="Palatino Linotype" w:cstheme="minorHAnsi"/>
                <w:sz w:val="22"/>
                <w:szCs w:val="22"/>
                <w:lang w:val="es-EC"/>
              </w:rPr>
              <w:t xml:space="preserve">Propiedad </w:t>
            </w:r>
            <w:r w:rsidR="00E608E3">
              <w:rPr>
                <w:rFonts w:ascii="Palatino Linotype" w:hAnsi="Palatino Linotype" w:cstheme="minorHAnsi"/>
                <w:sz w:val="22"/>
                <w:szCs w:val="22"/>
                <w:lang w:val="es-EC"/>
              </w:rPr>
              <w:t>p</w:t>
            </w:r>
            <w:r w:rsidRPr="00CB56E6">
              <w:rPr>
                <w:rFonts w:ascii="Palatino Linotype" w:hAnsi="Palatino Linotype" w:cstheme="minorHAnsi"/>
                <w:sz w:val="22"/>
                <w:szCs w:val="22"/>
                <w:lang w:val="es-EC"/>
              </w:rPr>
              <w:t xml:space="preserve">articular  </w:t>
            </w:r>
          </w:p>
        </w:tc>
        <w:tc>
          <w:tcPr>
            <w:tcW w:w="1255" w:type="dxa"/>
            <w:tcBorders>
              <w:right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lang w:val="en-US"/>
              </w:rPr>
            </w:pPr>
            <w:r w:rsidRPr="00CB56E6">
              <w:rPr>
                <w:rFonts w:ascii="Palatino Linotype" w:hAnsi="Palatino Linotype" w:cstheme="minorHAnsi"/>
                <w:sz w:val="22"/>
                <w:szCs w:val="22"/>
              </w:rPr>
              <w:t>---</w:t>
            </w:r>
          </w:p>
        </w:tc>
        <w:tc>
          <w:tcPr>
            <w:tcW w:w="1255" w:type="dxa"/>
            <w:tcBorders>
              <w:left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46</w:t>
            </w:r>
            <w:r w:rsidRPr="00CB56E6">
              <w:rPr>
                <w:rFonts w:ascii="Palatino Linotype" w:hAnsi="Palatino Linotype" w:cstheme="minorHAnsi"/>
                <w:sz w:val="22"/>
                <w:szCs w:val="22"/>
              </w:rPr>
              <w:t>,</w:t>
            </w:r>
            <w:r>
              <w:rPr>
                <w:rFonts w:ascii="Palatino Linotype" w:hAnsi="Palatino Linotype" w:cstheme="minorHAnsi"/>
                <w:sz w:val="22"/>
                <w:szCs w:val="22"/>
              </w:rPr>
              <w:t>59</w:t>
            </w:r>
            <w:r w:rsidRPr="00CB56E6">
              <w:rPr>
                <w:rFonts w:ascii="Palatino Linotype" w:hAnsi="Palatino Linotype" w:cstheme="minorHAnsi"/>
                <w:sz w:val="22"/>
                <w:szCs w:val="22"/>
              </w:rPr>
              <w:t xml:space="preserve"> m</w:t>
            </w:r>
          </w:p>
        </w:tc>
        <w:tc>
          <w:tcPr>
            <w:tcW w:w="1533" w:type="dxa"/>
            <w:vMerge w:val="restart"/>
            <w:tcBorders>
              <w:top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1.018</w:t>
            </w:r>
            <w:r w:rsidRPr="00CB56E6">
              <w:rPr>
                <w:rFonts w:ascii="Palatino Linotype" w:hAnsi="Palatino Linotype" w:cstheme="minorHAnsi"/>
                <w:sz w:val="22"/>
                <w:szCs w:val="22"/>
              </w:rPr>
              <w:t>,</w:t>
            </w:r>
            <w:r>
              <w:rPr>
                <w:rFonts w:ascii="Palatino Linotype" w:hAnsi="Palatino Linotype" w:cstheme="minorHAnsi"/>
                <w:sz w:val="22"/>
                <w:szCs w:val="22"/>
              </w:rPr>
              <w:t>92</w:t>
            </w:r>
            <w:r w:rsidRPr="00CB56E6">
              <w:rPr>
                <w:rFonts w:ascii="Palatino Linotype" w:hAnsi="Palatino Linotype" w:cs="Arial"/>
                <w:sz w:val="22"/>
                <w:szCs w:val="22"/>
              </w:rPr>
              <w:t xml:space="preserve"> m</w:t>
            </w:r>
            <w:r w:rsidRPr="00CB56E6">
              <w:rPr>
                <w:rFonts w:ascii="Palatino Linotype" w:hAnsi="Palatino Linotype" w:cs="Arial"/>
                <w:sz w:val="22"/>
                <w:szCs w:val="22"/>
                <w:vertAlign w:val="superscript"/>
              </w:rPr>
              <w:t>2</w:t>
            </w:r>
          </w:p>
        </w:tc>
      </w:tr>
      <w:tr w:rsidR="00A63C31" w:rsidRPr="00CB56E6" w:rsidTr="00A63C31">
        <w:tc>
          <w:tcPr>
            <w:tcW w:w="1363" w:type="dxa"/>
            <w:vMerge/>
            <w:shd w:val="clear" w:color="auto" w:fill="auto"/>
          </w:tcPr>
          <w:p w:rsidR="00A63C31" w:rsidRPr="00CB56E6" w:rsidRDefault="00A63C31" w:rsidP="00A63C31">
            <w:pPr>
              <w:spacing w:after="240" w:line="276" w:lineRule="auto"/>
              <w:rPr>
                <w:rFonts w:ascii="Palatino Linotype" w:hAnsi="Palatino Linotype" w:cstheme="minorHAnsi"/>
                <w:sz w:val="22"/>
                <w:szCs w:val="22"/>
              </w:rPr>
            </w:pPr>
          </w:p>
        </w:tc>
        <w:tc>
          <w:tcPr>
            <w:tcW w:w="851" w:type="dxa"/>
            <w:shd w:val="clear" w:color="auto" w:fill="auto"/>
          </w:tcPr>
          <w:p w:rsidR="00A63C31" w:rsidRPr="00CB56E6" w:rsidRDefault="00A63C31" w:rsidP="00A63C31">
            <w:pPr>
              <w:spacing w:after="240" w:line="276" w:lineRule="auto"/>
              <w:rPr>
                <w:rFonts w:ascii="Palatino Linotype" w:hAnsi="Palatino Linotype" w:cstheme="minorHAnsi"/>
                <w:b/>
                <w:sz w:val="22"/>
                <w:szCs w:val="22"/>
              </w:rPr>
            </w:pPr>
            <w:r w:rsidRPr="00CB56E6">
              <w:rPr>
                <w:rFonts w:ascii="Palatino Linotype" w:hAnsi="Palatino Linotype" w:cstheme="minorHAnsi"/>
                <w:b/>
                <w:sz w:val="22"/>
                <w:szCs w:val="22"/>
              </w:rPr>
              <w:t>Sur:</w:t>
            </w:r>
          </w:p>
        </w:tc>
        <w:tc>
          <w:tcPr>
            <w:tcW w:w="2640" w:type="dxa"/>
            <w:shd w:val="clear" w:color="auto" w:fill="auto"/>
          </w:tcPr>
          <w:p w:rsidR="00A63C31" w:rsidRDefault="00A63C31" w:rsidP="00A63C31">
            <w:pPr>
              <w:spacing w:after="240" w:line="276" w:lineRule="auto"/>
              <w:rPr>
                <w:rFonts w:ascii="Palatino Linotype" w:hAnsi="Palatino Linotype" w:cstheme="minorHAnsi"/>
                <w:sz w:val="22"/>
                <w:szCs w:val="22"/>
              </w:rPr>
            </w:pPr>
            <w:r>
              <w:rPr>
                <w:rFonts w:ascii="Palatino Linotype" w:hAnsi="Palatino Linotype" w:cstheme="minorHAnsi"/>
                <w:sz w:val="22"/>
                <w:szCs w:val="22"/>
              </w:rPr>
              <w:t>Lote No. 26</w:t>
            </w:r>
          </w:p>
          <w:p w:rsidR="00A63C31" w:rsidRDefault="00A63C31" w:rsidP="00A63C31">
            <w:pPr>
              <w:spacing w:after="240" w:line="276" w:lineRule="auto"/>
              <w:rPr>
                <w:rFonts w:ascii="Palatino Linotype" w:hAnsi="Palatino Linotype" w:cstheme="minorHAnsi"/>
                <w:sz w:val="22"/>
                <w:szCs w:val="22"/>
              </w:rPr>
            </w:pPr>
            <w:r>
              <w:rPr>
                <w:rFonts w:ascii="Palatino Linotype" w:hAnsi="Palatino Linotype" w:cstheme="minorHAnsi"/>
                <w:sz w:val="22"/>
                <w:szCs w:val="22"/>
              </w:rPr>
              <w:t>Lote No. 26</w:t>
            </w:r>
          </w:p>
          <w:p w:rsidR="00A63C31" w:rsidRDefault="00A63C31" w:rsidP="00A63C31">
            <w:pPr>
              <w:spacing w:after="240" w:line="276" w:lineRule="auto"/>
              <w:rPr>
                <w:rFonts w:ascii="Palatino Linotype" w:hAnsi="Palatino Linotype" w:cstheme="minorHAnsi"/>
                <w:sz w:val="22"/>
                <w:szCs w:val="22"/>
              </w:rPr>
            </w:pPr>
            <w:r>
              <w:rPr>
                <w:rFonts w:ascii="Palatino Linotype" w:hAnsi="Palatino Linotype" w:cstheme="minorHAnsi"/>
                <w:sz w:val="22"/>
                <w:szCs w:val="22"/>
              </w:rPr>
              <w:t>Lote No. 25</w:t>
            </w:r>
          </w:p>
          <w:p w:rsidR="00A63C31" w:rsidRDefault="00A63C31" w:rsidP="00A63C31">
            <w:pPr>
              <w:spacing w:after="240" w:line="276" w:lineRule="auto"/>
              <w:rPr>
                <w:rFonts w:ascii="Palatino Linotype" w:hAnsi="Palatino Linotype" w:cstheme="minorHAnsi"/>
                <w:sz w:val="22"/>
                <w:szCs w:val="22"/>
              </w:rPr>
            </w:pPr>
            <w:r>
              <w:rPr>
                <w:rFonts w:ascii="Palatino Linotype" w:hAnsi="Palatino Linotype" w:cstheme="minorHAnsi"/>
                <w:sz w:val="22"/>
                <w:szCs w:val="22"/>
              </w:rPr>
              <w:t>Lote No. 24</w:t>
            </w:r>
          </w:p>
          <w:p w:rsidR="00A63C31" w:rsidRPr="00CB56E6" w:rsidRDefault="00A63C31" w:rsidP="00A63C31">
            <w:pPr>
              <w:spacing w:after="240" w:line="276" w:lineRule="auto"/>
              <w:rPr>
                <w:rFonts w:ascii="Palatino Linotype" w:hAnsi="Palatino Linotype" w:cstheme="minorHAnsi"/>
                <w:sz w:val="22"/>
                <w:szCs w:val="22"/>
              </w:rPr>
            </w:pPr>
            <w:r>
              <w:rPr>
                <w:rFonts w:ascii="Palatino Linotype" w:hAnsi="Palatino Linotype" w:cstheme="minorHAnsi"/>
                <w:sz w:val="22"/>
                <w:szCs w:val="22"/>
              </w:rPr>
              <w:t>Lote No. 29</w:t>
            </w:r>
          </w:p>
        </w:tc>
        <w:tc>
          <w:tcPr>
            <w:tcW w:w="1255" w:type="dxa"/>
            <w:tcBorders>
              <w:right w:val="single" w:sz="4" w:space="0" w:color="auto"/>
            </w:tcBorders>
            <w:shd w:val="clear" w:color="auto" w:fill="auto"/>
            <w:vAlign w:val="center"/>
          </w:tcPr>
          <w:p w:rsidR="00A63C31"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14,44 m</w:t>
            </w:r>
          </w:p>
          <w:p w:rsidR="00A63C31"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11,00 m</w:t>
            </w:r>
          </w:p>
          <w:p w:rsidR="00A63C31"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11,00 m</w:t>
            </w:r>
          </w:p>
          <w:p w:rsidR="00A63C31"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3,51 m</w:t>
            </w:r>
          </w:p>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20,65 m</w:t>
            </w:r>
          </w:p>
        </w:tc>
        <w:tc>
          <w:tcPr>
            <w:tcW w:w="1255" w:type="dxa"/>
            <w:tcBorders>
              <w:left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60</w:t>
            </w:r>
            <w:r w:rsidRPr="00CB56E6">
              <w:rPr>
                <w:rFonts w:ascii="Palatino Linotype" w:hAnsi="Palatino Linotype" w:cstheme="minorHAnsi"/>
                <w:sz w:val="22"/>
                <w:szCs w:val="22"/>
              </w:rPr>
              <w:t>,</w:t>
            </w:r>
            <w:r>
              <w:rPr>
                <w:rFonts w:ascii="Palatino Linotype" w:hAnsi="Palatino Linotype" w:cstheme="minorHAnsi"/>
                <w:sz w:val="22"/>
                <w:szCs w:val="22"/>
              </w:rPr>
              <w:t>60</w:t>
            </w:r>
            <w:r w:rsidRPr="00CB56E6">
              <w:rPr>
                <w:rFonts w:ascii="Palatino Linotype" w:hAnsi="Palatino Linotype" w:cstheme="minorHAnsi"/>
                <w:sz w:val="22"/>
                <w:szCs w:val="22"/>
              </w:rPr>
              <w:t xml:space="preserve"> m.</w:t>
            </w:r>
          </w:p>
        </w:tc>
        <w:tc>
          <w:tcPr>
            <w:tcW w:w="1533" w:type="dxa"/>
            <w:vMerge/>
            <w:shd w:val="clear" w:color="auto" w:fill="auto"/>
          </w:tcPr>
          <w:p w:rsidR="00A63C31" w:rsidRPr="00CB56E6" w:rsidRDefault="00A63C31" w:rsidP="00A63C31">
            <w:pPr>
              <w:spacing w:after="240" w:line="276" w:lineRule="auto"/>
              <w:rPr>
                <w:rFonts w:ascii="Palatino Linotype" w:hAnsi="Palatino Linotype" w:cstheme="minorHAnsi"/>
                <w:sz w:val="22"/>
                <w:szCs w:val="22"/>
              </w:rPr>
            </w:pPr>
          </w:p>
        </w:tc>
      </w:tr>
      <w:tr w:rsidR="00A63C31" w:rsidRPr="00CB56E6" w:rsidTr="00A63C31">
        <w:tc>
          <w:tcPr>
            <w:tcW w:w="1363" w:type="dxa"/>
            <w:vMerge/>
            <w:shd w:val="clear" w:color="auto" w:fill="auto"/>
          </w:tcPr>
          <w:p w:rsidR="00A63C31" w:rsidRPr="00CB56E6" w:rsidRDefault="00A63C31" w:rsidP="00A63C31">
            <w:pPr>
              <w:spacing w:after="240" w:line="276" w:lineRule="auto"/>
              <w:rPr>
                <w:rFonts w:ascii="Palatino Linotype" w:hAnsi="Palatino Linotype" w:cstheme="minorHAnsi"/>
                <w:sz w:val="22"/>
                <w:szCs w:val="22"/>
              </w:rPr>
            </w:pPr>
          </w:p>
        </w:tc>
        <w:tc>
          <w:tcPr>
            <w:tcW w:w="851" w:type="dxa"/>
            <w:shd w:val="clear" w:color="auto" w:fill="auto"/>
            <w:vAlign w:val="center"/>
          </w:tcPr>
          <w:p w:rsidR="00A63C31" w:rsidRPr="00CB56E6" w:rsidRDefault="00A63C31" w:rsidP="00A63C31">
            <w:pPr>
              <w:spacing w:after="240" w:line="276" w:lineRule="auto"/>
              <w:rPr>
                <w:rFonts w:ascii="Palatino Linotype" w:hAnsi="Palatino Linotype" w:cstheme="minorHAnsi"/>
                <w:b/>
                <w:sz w:val="22"/>
                <w:szCs w:val="22"/>
              </w:rPr>
            </w:pPr>
            <w:r w:rsidRPr="00CB56E6">
              <w:rPr>
                <w:rFonts w:ascii="Palatino Linotype" w:hAnsi="Palatino Linotype" w:cstheme="minorHAnsi"/>
                <w:b/>
                <w:sz w:val="22"/>
                <w:szCs w:val="22"/>
              </w:rPr>
              <w:t>Este:</w:t>
            </w:r>
          </w:p>
        </w:tc>
        <w:tc>
          <w:tcPr>
            <w:tcW w:w="2640" w:type="dxa"/>
            <w:shd w:val="clear" w:color="auto" w:fill="auto"/>
          </w:tcPr>
          <w:p w:rsidR="00A63C31" w:rsidRDefault="00A63C31" w:rsidP="00E608E3">
            <w:pPr>
              <w:spacing w:after="240" w:line="276" w:lineRule="auto"/>
              <w:jc w:val="both"/>
              <w:rPr>
                <w:rFonts w:ascii="Palatino Linotype" w:hAnsi="Palatino Linotype" w:cstheme="minorHAnsi"/>
                <w:sz w:val="22"/>
                <w:szCs w:val="22"/>
              </w:rPr>
            </w:pPr>
            <w:r>
              <w:rPr>
                <w:rFonts w:ascii="Palatino Linotype" w:hAnsi="Palatino Linotype" w:cstheme="minorHAnsi"/>
                <w:sz w:val="22"/>
                <w:szCs w:val="22"/>
              </w:rPr>
              <w:t>Calle proyectada por I.MQ.</w:t>
            </w:r>
            <w:r w:rsidRPr="00CB56E6">
              <w:rPr>
                <w:rFonts w:ascii="Palatino Linotype" w:hAnsi="Palatino Linotype" w:cstheme="minorHAnsi"/>
                <w:sz w:val="22"/>
                <w:szCs w:val="22"/>
              </w:rPr>
              <w:t xml:space="preserve"> </w:t>
            </w:r>
          </w:p>
          <w:p w:rsidR="00A63C31" w:rsidRDefault="00A63C31" w:rsidP="00E608E3">
            <w:pPr>
              <w:spacing w:after="240" w:line="276" w:lineRule="auto"/>
              <w:jc w:val="both"/>
              <w:rPr>
                <w:rFonts w:ascii="Palatino Linotype" w:hAnsi="Palatino Linotype" w:cstheme="minorHAnsi"/>
                <w:sz w:val="22"/>
                <w:szCs w:val="22"/>
              </w:rPr>
            </w:pPr>
            <w:r>
              <w:rPr>
                <w:rFonts w:ascii="Palatino Linotype" w:hAnsi="Palatino Linotype" w:cstheme="minorHAnsi"/>
                <w:sz w:val="22"/>
                <w:szCs w:val="22"/>
              </w:rPr>
              <w:t xml:space="preserve">Calle proyectada por </w:t>
            </w:r>
            <w:r>
              <w:rPr>
                <w:rFonts w:ascii="Palatino Linotype" w:hAnsi="Palatino Linotype" w:cstheme="minorHAnsi"/>
                <w:sz w:val="22"/>
                <w:szCs w:val="22"/>
              </w:rPr>
              <w:lastRenderedPageBreak/>
              <w:t>I.MQ.</w:t>
            </w:r>
          </w:p>
          <w:p w:rsidR="00A63C31" w:rsidRPr="00CB56E6" w:rsidRDefault="00A63C31" w:rsidP="00E608E3">
            <w:pPr>
              <w:spacing w:after="240" w:line="276" w:lineRule="auto"/>
              <w:jc w:val="both"/>
              <w:rPr>
                <w:rFonts w:ascii="Palatino Linotype" w:hAnsi="Palatino Linotype" w:cstheme="minorHAnsi"/>
                <w:sz w:val="22"/>
                <w:szCs w:val="22"/>
              </w:rPr>
            </w:pPr>
            <w:r>
              <w:rPr>
                <w:rFonts w:ascii="Palatino Linotype" w:hAnsi="Palatino Linotype" w:cstheme="minorHAnsi"/>
                <w:sz w:val="22"/>
                <w:szCs w:val="22"/>
              </w:rPr>
              <w:t>Calle proyectada por I.MQ.</w:t>
            </w:r>
          </w:p>
        </w:tc>
        <w:tc>
          <w:tcPr>
            <w:tcW w:w="1255" w:type="dxa"/>
            <w:tcBorders>
              <w:right w:val="single" w:sz="4" w:space="0" w:color="auto"/>
            </w:tcBorders>
            <w:shd w:val="clear" w:color="auto" w:fill="auto"/>
            <w:vAlign w:val="center"/>
          </w:tcPr>
          <w:p w:rsidR="00A63C31"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lastRenderedPageBreak/>
              <w:t>22,52 m</w:t>
            </w:r>
          </w:p>
          <w:p w:rsidR="00A63C31"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5,30 m</w:t>
            </w:r>
          </w:p>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lastRenderedPageBreak/>
              <w:t>14,73 m</w:t>
            </w:r>
          </w:p>
        </w:tc>
        <w:tc>
          <w:tcPr>
            <w:tcW w:w="1255" w:type="dxa"/>
            <w:tcBorders>
              <w:left w:val="single" w:sz="4" w:space="0" w:color="auto"/>
            </w:tcBorders>
            <w:shd w:val="clear" w:color="auto" w:fill="auto"/>
            <w:vAlign w:val="center"/>
          </w:tcPr>
          <w:p w:rsidR="00E608E3" w:rsidRDefault="00E608E3" w:rsidP="00A63C31">
            <w:pPr>
              <w:spacing w:after="240" w:line="276" w:lineRule="auto"/>
              <w:jc w:val="center"/>
              <w:rPr>
                <w:rFonts w:ascii="Palatino Linotype" w:hAnsi="Palatino Linotype" w:cstheme="minorHAnsi"/>
                <w:sz w:val="22"/>
                <w:szCs w:val="22"/>
              </w:rPr>
            </w:pPr>
          </w:p>
          <w:p w:rsidR="00A63C31" w:rsidRPr="00CB56E6" w:rsidRDefault="00A63C31" w:rsidP="00A63C31">
            <w:pPr>
              <w:spacing w:after="240" w:line="276" w:lineRule="auto"/>
              <w:jc w:val="center"/>
              <w:rPr>
                <w:rFonts w:ascii="Palatino Linotype" w:hAnsi="Palatino Linotype" w:cstheme="minorHAnsi"/>
                <w:sz w:val="22"/>
                <w:szCs w:val="22"/>
              </w:rPr>
            </w:pPr>
            <w:r w:rsidRPr="00CB56E6">
              <w:rPr>
                <w:rFonts w:ascii="Palatino Linotype" w:hAnsi="Palatino Linotype" w:cstheme="minorHAnsi"/>
                <w:sz w:val="22"/>
                <w:szCs w:val="22"/>
              </w:rPr>
              <w:t>4</w:t>
            </w:r>
            <w:r>
              <w:rPr>
                <w:rFonts w:ascii="Palatino Linotype" w:hAnsi="Palatino Linotype" w:cstheme="minorHAnsi"/>
                <w:sz w:val="22"/>
                <w:szCs w:val="22"/>
              </w:rPr>
              <w:t>2</w:t>
            </w:r>
            <w:r w:rsidRPr="00CB56E6">
              <w:rPr>
                <w:rFonts w:ascii="Palatino Linotype" w:hAnsi="Palatino Linotype" w:cstheme="minorHAnsi"/>
                <w:sz w:val="22"/>
                <w:szCs w:val="22"/>
              </w:rPr>
              <w:t>,</w:t>
            </w:r>
            <w:r>
              <w:rPr>
                <w:rFonts w:ascii="Palatino Linotype" w:hAnsi="Palatino Linotype" w:cstheme="minorHAnsi"/>
                <w:sz w:val="22"/>
                <w:szCs w:val="22"/>
              </w:rPr>
              <w:t>55</w:t>
            </w:r>
            <w:r w:rsidRPr="00CB56E6">
              <w:rPr>
                <w:rFonts w:ascii="Palatino Linotype" w:hAnsi="Palatino Linotype" w:cstheme="minorHAnsi"/>
                <w:sz w:val="22"/>
                <w:szCs w:val="22"/>
              </w:rPr>
              <w:t xml:space="preserve"> m. </w:t>
            </w:r>
          </w:p>
        </w:tc>
        <w:tc>
          <w:tcPr>
            <w:tcW w:w="1533" w:type="dxa"/>
            <w:vMerge/>
            <w:shd w:val="clear" w:color="auto" w:fill="auto"/>
          </w:tcPr>
          <w:p w:rsidR="00A63C31" w:rsidRPr="00CB56E6" w:rsidRDefault="00A63C31" w:rsidP="00A63C31">
            <w:pPr>
              <w:spacing w:after="240" w:line="276" w:lineRule="auto"/>
              <w:rPr>
                <w:rFonts w:ascii="Palatino Linotype" w:hAnsi="Palatino Linotype" w:cstheme="minorHAnsi"/>
                <w:sz w:val="22"/>
                <w:szCs w:val="22"/>
              </w:rPr>
            </w:pPr>
          </w:p>
        </w:tc>
      </w:tr>
      <w:tr w:rsidR="00A63C31" w:rsidRPr="00CB56E6" w:rsidTr="00A63C31">
        <w:tc>
          <w:tcPr>
            <w:tcW w:w="1363" w:type="dxa"/>
            <w:vMerge/>
            <w:shd w:val="clear" w:color="auto" w:fill="auto"/>
          </w:tcPr>
          <w:p w:rsidR="00A63C31" w:rsidRPr="00CB56E6" w:rsidRDefault="00A63C31" w:rsidP="00A63C31">
            <w:pPr>
              <w:spacing w:after="240" w:line="276" w:lineRule="auto"/>
              <w:rPr>
                <w:rFonts w:ascii="Palatino Linotype" w:hAnsi="Palatino Linotype" w:cstheme="minorHAnsi"/>
                <w:sz w:val="22"/>
                <w:szCs w:val="22"/>
              </w:rPr>
            </w:pPr>
          </w:p>
        </w:tc>
        <w:tc>
          <w:tcPr>
            <w:tcW w:w="851" w:type="dxa"/>
            <w:shd w:val="clear" w:color="auto" w:fill="auto"/>
          </w:tcPr>
          <w:p w:rsidR="00A63C31" w:rsidRPr="00CB56E6" w:rsidRDefault="00A63C31" w:rsidP="00A63C31">
            <w:pPr>
              <w:spacing w:after="240" w:line="276" w:lineRule="auto"/>
              <w:rPr>
                <w:rFonts w:ascii="Palatino Linotype" w:hAnsi="Palatino Linotype" w:cstheme="minorHAnsi"/>
                <w:b/>
                <w:sz w:val="22"/>
                <w:szCs w:val="22"/>
              </w:rPr>
            </w:pPr>
            <w:r w:rsidRPr="00CB56E6">
              <w:rPr>
                <w:rFonts w:ascii="Palatino Linotype" w:hAnsi="Palatino Linotype" w:cstheme="minorHAnsi"/>
                <w:b/>
                <w:sz w:val="22"/>
                <w:szCs w:val="22"/>
              </w:rPr>
              <w:t>Oeste:</w:t>
            </w:r>
          </w:p>
        </w:tc>
        <w:tc>
          <w:tcPr>
            <w:tcW w:w="2640" w:type="dxa"/>
            <w:shd w:val="clear" w:color="auto" w:fill="auto"/>
          </w:tcPr>
          <w:p w:rsidR="00A63C31" w:rsidRPr="00CB56E6" w:rsidRDefault="00A63C31" w:rsidP="00E608E3">
            <w:pPr>
              <w:spacing w:after="240" w:line="276" w:lineRule="auto"/>
              <w:jc w:val="both"/>
              <w:rPr>
                <w:rFonts w:ascii="Palatino Linotype" w:hAnsi="Palatino Linotype" w:cstheme="minorHAnsi"/>
                <w:sz w:val="22"/>
                <w:szCs w:val="22"/>
              </w:rPr>
            </w:pPr>
            <w:r>
              <w:rPr>
                <w:rFonts w:ascii="Palatino Linotype" w:hAnsi="Palatino Linotype" w:cstheme="minorHAnsi"/>
                <w:sz w:val="22"/>
                <w:szCs w:val="22"/>
              </w:rPr>
              <w:t>Curva de retorno de la Calle “A”</w:t>
            </w:r>
          </w:p>
        </w:tc>
        <w:tc>
          <w:tcPr>
            <w:tcW w:w="1255" w:type="dxa"/>
            <w:tcBorders>
              <w:right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w:t>
            </w:r>
          </w:p>
        </w:tc>
        <w:tc>
          <w:tcPr>
            <w:tcW w:w="1255" w:type="dxa"/>
            <w:tcBorders>
              <w:left w:val="single" w:sz="4" w:space="0" w:color="auto"/>
            </w:tcBorders>
            <w:shd w:val="clear" w:color="auto" w:fill="auto"/>
            <w:vAlign w:val="center"/>
          </w:tcPr>
          <w:p w:rsidR="00A63C31" w:rsidRPr="00CB56E6" w:rsidRDefault="00A63C31" w:rsidP="00A63C31">
            <w:pPr>
              <w:spacing w:after="240" w:line="276" w:lineRule="auto"/>
              <w:jc w:val="center"/>
              <w:rPr>
                <w:rFonts w:ascii="Palatino Linotype" w:hAnsi="Palatino Linotype" w:cstheme="minorHAnsi"/>
                <w:sz w:val="22"/>
                <w:szCs w:val="22"/>
              </w:rPr>
            </w:pPr>
            <w:r>
              <w:rPr>
                <w:rFonts w:ascii="Palatino Linotype" w:hAnsi="Palatino Linotype" w:cstheme="minorHAnsi"/>
                <w:sz w:val="22"/>
                <w:szCs w:val="22"/>
              </w:rPr>
              <w:t>14</w:t>
            </w:r>
            <w:r w:rsidRPr="00CB56E6">
              <w:rPr>
                <w:rFonts w:ascii="Palatino Linotype" w:hAnsi="Palatino Linotype" w:cstheme="minorHAnsi"/>
                <w:sz w:val="22"/>
                <w:szCs w:val="22"/>
              </w:rPr>
              <w:t>,</w:t>
            </w:r>
            <w:r>
              <w:rPr>
                <w:rFonts w:ascii="Palatino Linotype" w:hAnsi="Palatino Linotype" w:cstheme="minorHAnsi"/>
                <w:sz w:val="22"/>
                <w:szCs w:val="22"/>
              </w:rPr>
              <w:t>89</w:t>
            </w:r>
            <w:r w:rsidRPr="00CB56E6">
              <w:rPr>
                <w:rFonts w:ascii="Palatino Linotype" w:hAnsi="Palatino Linotype" w:cstheme="minorHAnsi"/>
                <w:sz w:val="22"/>
                <w:szCs w:val="22"/>
              </w:rPr>
              <w:t xml:space="preserve"> m. </w:t>
            </w:r>
            <w:r>
              <w:rPr>
                <w:rFonts w:ascii="Palatino Linotype" w:hAnsi="Palatino Linotype" w:cstheme="minorHAnsi"/>
                <w:sz w:val="22"/>
                <w:szCs w:val="22"/>
              </w:rPr>
              <w:t xml:space="preserve"> </w:t>
            </w:r>
            <w:proofErr w:type="spellStart"/>
            <w:r>
              <w:rPr>
                <w:rFonts w:ascii="Palatino Linotype" w:hAnsi="Palatino Linotype" w:cstheme="minorHAnsi"/>
                <w:sz w:val="22"/>
                <w:szCs w:val="22"/>
              </w:rPr>
              <w:t>ld</w:t>
            </w:r>
            <w:proofErr w:type="spellEnd"/>
          </w:p>
        </w:tc>
        <w:tc>
          <w:tcPr>
            <w:tcW w:w="1533" w:type="dxa"/>
            <w:vMerge/>
            <w:shd w:val="clear" w:color="auto" w:fill="auto"/>
          </w:tcPr>
          <w:p w:rsidR="00A63C31" w:rsidRPr="00CB56E6" w:rsidRDefault="00A63C31" w:rsidP="00A63C31">
            <w:pPr>
              <w:spacing w:after="240" w:line="276" w:lineRule="auto"/>
              <w:rPr>
                <w:rFonts w:ascii="Palatino Linotype" w:hAnsi="Palatino Linotype" w:cstheme="minorHAnsi"/>
                <w:sz w:val="22"/>
                <w:szCs w:val="22"/>
              </w:rPr>
            </w:pPr>
          </w:p>
        </w:tc>
      </w:tr>
    </w:tbl>
    <w:p w:rsidR="00E608E3" w:rsidRDefault="00E608E3" w:rsidP="00725931">
      <w:pPr>
        <w:pStyle w:val="Sinespaciado"/>
        <w:spacing w:after="240" w:line="276" w:lineRule="auto"/>
        <w:jc w:val="both"/>
        <w:rPr>
          <w:rFonts w:ascii="Palatino Linotype" w:hAnsi="Palatino Linotype"/>
          <w:b/>
          <w:bCs/>
        </w:rPr>
      </w:pPr>
    </w:p>
    <w:p w:rsidR="00725931" w:rsidRDefault="00725931" w:rsidP="00725931">
      <w:pPr>
        <w:pStyle w:val="Sinespaciado"/>
        <w:spacing w:after="240" w:line="276" w:lineRule="auto"/>
        <w:jc w:val="both"/>
        <w:rPr>
          <w:rFonts w:ascii="Palatino Linotype" w:hAnsi="Palatino Linotype"/>
          <w:iCs/>
        </w:rPr>
      </w:pPr>
      <w:r>
        <w:rPr>
          <w:rFonts w:ascii="Palatino Linotype" w:hAnsi="Palatino Linotype"/>
          <w:b/>
          <w:bCs/>
        </w:rPr>
        <w:t xml:space="preserve">Artículo </w:t>
      </w:r>
      <w:r w:rsidR="00A63C31">
        <w:rPr>
          <w:rFonts w:ascii="Palatino Linotype" w:hAnsi="Palatino Linotype"/>
          <w:b/>
          <w:bCs/>
        </w:rPr>
        <w:t>7</w:t>
      </w:r>
      <w:r w:rsidRPr="002E70F1">
        <w:rPr>
          <w:rFonts w:ascii="Palatino Linotype" w:hAnsi="Palatino Linotype"/>
          <w:b/>
          <w:bCs/>
        </w:rPr>
        <w:t xml:space="preserve">.- De las vías.- </w:t>
      </w:r>
      <w:r w:rsidRPr="002E70F1">
        <w:rPr>
          <w:rFonts w:ascii="Palatino Linotype" w:hAnsi="Palatino Linotype"/>
          <w:bCs/>
          <w:iCs/>
        </w:rPr>
        <w:t xml:space="preserve">El </w:t>
      </w:r>
      <w:r>
        <w:rPr>
          <w:rFonts w:ascii="Palatino Linotype" w:hAnsi="Palatino Linotype"/>
          <w:bCs/>
          <w:iCs/>
        </w:rPr>
        <w:t>a</w:t>
      </w:r>
      <w:r w:rsidRPr="002E70F1">
        <w:rPr>
          <w:rFonts w:ascii="Palatino Linotype" w:hAnsi="Palatino Linotype"/>
          <w:bCs/>
          <w:iCs/>
        </w:rPr>
        <w:t xml:space="preserve">sentamiento </w:t>
      </w:r>
      <w:r>
        <w:rPr>
          <w:rFonts w:ascii="Palatino Linotype" w:hAnsi="Palatino Linotype"/>
          <w:bCs/>
          <w:iCs/>
        </w:rPr>
        <w:t>h</w:t>
      </w:r>
      <w:r w:rsidRPr="002E70F1">
        <w:rPr>
          <w:rFonts w:ascii="Palatino Linotype" w:hAnsi="Palatino Linotype"/>
          <w:bCs/>
          <w:iCs/>
        </w:rPr>
        <w:t xml:space="preserve">umano de </w:t>
      </w:r>
      <w:r>
        <w:rPr>
          <w:rFonts w:ascii="Palatino Linotype" w:hAnsi="Palatino Linotype"/>
          <w:bCs/>
          <w:iCs/>
        </w:rPr>
        <w:t>h</w:t>
      </w:r>
      <w:r w:rsidRPr="002E70F1">
        <w:rPr>
          <w:rFonts w:ascii="Palatino Linotype" w:hAnsi="Palatino Linotype"/>
          <w:bCs/>
          <w:iCs/>
        </w:rPr>
        <w:t xml:space="preserve">echo y </w:t>
      </w:r>
      <w:r>
        <w:rPr>
          <w:rFonts w:ascii="Palatino Linotype" w:hAnsi="Palatino Linotype"/>
          <w:bCs/>
          <w:iCs/>
        </w:rPr>
        <w:t>c</w:t>
      </w:r>
      <w:r w:rsidRPr="002E70F1">
        <w:rPr>
          <w:rFonts w:ascii="Palatino Linotype" w:hAnsi="Palatino Linotype"/>
          <w:bCs/>
          <w:iCs/>
        </w:rPr>
        <w:t xml:space="preserve">onsolidado </w:t>
      </w:r>
      <w:r w:rsidRPr="002E70F1">
        <w:rPr>
          <w:rFonts w:ascii="Palatino Linotype" w:hAnsi="Palatino Linotype"/>
          <w:iCs/>
        </w:rPr>
        <w:t>contempla un sistema vial de uso público, debido a que éste es un asentamiento hum</w:t>
      </w:r>
      <w:r>
        <w:rPr>
          <w:rFonts w:ascii="Palatino Linotype" w:hAnsi="Palatino Linotype"/>
          <w:iCs/>
        </w:rPr>
        <w:t xml:space="preserve">ano de hecho y consolidado </w:t>
      </w:r>
      <w:r w:rsidRPr="003F5A5A">
        <w:rPr>
          <w:rFonts w:ascii="Palatino Linotype" w:hAnsi="Palatino Linotype"/>
          <w:iCs/>
        </w:rPr>
        <w:t xml:space="preserve">de </w:t>
      </w:r>
      <w:r w:rsidR="00A63C31">
        <w:rPr>
          <w:rFonts w:ascii="Palatino Linotype" w:hAnsi="Palatino Linotype"/>
          <w:iCs/>
        </w:rPr>
        <w:t>11</w:t>
      </w:r>
      <w:r w:rsidRPr="003F5A5A">
        <w:rPr>
          <w:rFonts w:ascii="Palatino Linotype" w:hAnsi="Palatino Linotype"/>
          <w:iCs/>
        </w:rPr>
        <w:t xml:space="preserve"> años de existencia, con un </w:t>
      </w:r>
      <w:r w:rsidR="00A63C31">
        <w:rPr>
          <w:rFonts w:ascii="Palatino Linotype" w:hAnsi="Palatino Linotype"/>
          <w:iCs/>
        </w:rPr>
        <w:t>62,07</w:t>
      </w:r>
      <w:r w:rsidRPr="003F5A5A">
        <w:rPr>
          <w:rFonts w:ascii="Palatino Linotype" w:hAnsi="Palatino Linotype"/>
          <w:iCs/>
        </w:rPr>
        <w:t>% de consolidación</w:t>
      </w:r>
      <w:r w:rsidRPr="002E70F1">
        <w:rPr>
          <w:rFonts w:ascii="Palatino Linotype" w:hAnsi="Palatino Linotype"/>
          <w:iCs/>
        </w:rPr>
        <w:t xml:space="preserve"> de viviendas, se aprueban los anchos de vías y pasajes</w:t>
      </w:r>
      <w:r w:rsidR="00A63C31">
        <w:rPr>
          <w:rFonts w:ascii="Palatino Linotype" w:hAnsi="Palatino Linotype"/>
          <w:iCs/>
        </w:rPr>
        <w:t xml:space="preserve"> de conformidad con el plano aprobatorio adjunto a la presente ordenanza</w:t>
      </w:r>
      <w:r w:rsidRPr="002E70F1">
        <w:rPr>
          <w:rFonts w:ascii="Palatino Linotype" w:hAnsi="Palatino Linotype"/>
          <w:iCs/>
        </w:rPr>
        <w:t xml:space="preserve">. </w:t>
      </w:r>
    </w:p>
    <w:p w:rsidR="00E608E3" w:rsidRDefault="00725931" w:rsidP="00725931">
      <w:pPr>
        <w:pStyle w:val="Sinespaciado"/>
        <w:spacing w:after="240" w:line="276" w:lineRule="auto"/>
        <w:jc w:val="both"/>
        <w:rPr>
          <w:rFonts w:ascii="Palatino Linotype" w:hAnsi="Palatino Linotype"/>
          <w:iCs/>
        </w:rPr>
      </w:pPr>
      <w:r w:rsidRPr="00725931">
        <w:rPr>
          <w:rFonts w:ascii="Palatino Linotype" w:hAnsi="Palatino Linotype"/>
          <w:iCs/>
        </w:rPr>
        <w:t xml:space="preserve">Los anchos de vías y pasajes que se aprueban son las siguientes: </w:t>
      </w:r>
    </w:p>
    <w:p w:rsidR="00725931" w:rsidRPr="00725931" w:rsidRDefault="00A63C31" w:rsidP="00725931">
      <w:pPr>
        <w:pStyle w:val="Sinespaciado"/>
        <w:spacing w:after="240" w:line="276" w:lineRule="auto"/>
        <w:jc w:val="both"/>
        <w:rPr>
          <w:rFonts w:ascii="Palatino Linotype" w:hAnsi="Palatino Linotype"/>
          <w:iCs/>
        </w:rPr>
      </w:pPr>
      <w:r>
        <w:rPr>
          <w:rFonts w:ascii="Palatino Linotype" w:hAnsi="Palatino Linotype" w:cs="Calibri"/>
        </w:rPr>
        <w:t>Calle “</w:t>
      </w:r>
      <w:r w:rsidR="00725931" w:rsidRPr="00725931">
        <w:rPr>
          <w:rFonts w:ascii="Palatino Linotype" w:hAnsi="Palatino Linotype" w:cs="Calibri"/>
        </w:rPr>
        <w:t>A”</w:t>
      </w:r>
      <w:r w:rsidR="00E608E3">
        <w:rPr>
          <w:rFonts w:ascii="Palatino Linotype" w:hAnsi="Palatino Linotype" w:cs="Calibri"/>
        </w:rPr>
        <w:t>:</w:t>
      </w:r>
      <w:r w:rsidR="00E608E3">
        <w:rPr>
          <w:rFonts w:ascii="Palatino Linotype" w:hAnsi="Palatino Linotype" w:cs="Calibri"/>
        </w:rPr>
        <w:tab/>
      </w:r>
      <w:r w:rsidR="00E608E3">
        <w:rPr>
          <w:rFonts w:ascii="Palatino Linotype" w:hAnsi="Palatino Linotype" w:cs="Calibri"/>
        </w:rPr>
        <w:tab/>
      </w:r>
      <w:r>
        <w:rPr>
          <w:rFonts w:ascii="Palatino Linotype" w:hAnsi="Palatino Linotype" w:cs="Calibri"/>
        </w:rPr>
        <w:t xml:space="preserve">variable </w:t>
      </w:r>
      <w:r w:rsidR="00725931" w:rsidRPr="00725931">
        <w:rPr>
          <w:rFonts w:ascii="Palatino Linotype" w:hAnsi="Palatino Linotype" w:cs="Calibri"/>
        </w:rPr>
        <w:t xml:space="preserve">de </w:t>
      </w:r>
      <w:r>
        <w:rPr>
          <w:rFonts w:ascii="Palatino Linotype" w:hAnsi="Palatino Linotype" w:cs="Calibri"/>
        </w:rPr>
        <w:t>9</w:t>
      </w:r>
      <w:r w:rsidR="00725931" w:rsidRPr="00725931">
        <w:rPr>
          <w:rFonts w:ascii="Palatino Linotype" w:hAnsi="Palatino Linotype" w:cs="Calibri"/>
        </w:rPr>
        <w:t>,</w:t>
      </w:r>
      <w:r>
        <w:rPr>
          <w:rFonts w:ascii="Palatino Linotype" w:hAnsi="Palatino Linotype" w:cs="Calibri"/>
        </w:rPr>
        <w:t>58</w:t>
      </w:r>
      <w:r w:rsidR="00725931" w:rsidRPr="00725931">
        <w:rPr>
          <w:rFonts w:ascii="Palatino Linotype" w:hAnsi="Palatino Linotype" w:cs="Calibri"/>
        </w:rPr>
        <w:t xml:space="preserve"> m</w:t>
      </w:r>
      <w:r>
        <w:rPr>
          <w:rFonts w:ascii="Palatino Linotype" w:hAnsi="Palatino Linotype" w:cs="Calibri"/>
        </w:rPr>
        <w:t xml:space="preserve"> a 9</w:t>
      </w:r>
      <w:r w:rsidRPr="00725931">
        <w:rPr>
          <w:rFonts w:ascii="Palatino Linotype" w:hAnsi="Palatino Linotype" w:cs="Calibri"/>
        </w:rPr>
        <w:t>,</w:t>
      </w:r>
      <w:r>
        <w:rPr>
          <w:rFonts w:ascii="Palatino Linotype" w:hAnsi="Palatino Linotype" w:cs="Calibri"/>
        </w:rPr>
        <w:t>64</w:t>
      </w:r>
      <w:r w:rsidRPr="00725931">
        <w:rPr>
          <w:rFonts w:ascii="Palatino Linotype" w:hAnsi="Palatino Linotype" w:cs="Calibri"/>
        </w:rPr>
        <w:t xml:space="preserve"> m</w:t>
      </w:r>
      <w:r w:rsidR="00725931">
        <w:rPr>
          <w:rFonts w:ascii="Palatino Linotype" w:hAnsi="Palatino Linotype" w:cs="Calibri"/>
        </w:rPr>
        <w:t>.</w:t>
      </w:r>
    </w:p>
    <w:p w:rsidR="00725931" w:rsidRPr="00EF40FF" w:rsidRDefault="00A63C31" w:rsidP="00725931">
      <w:pPr>
        <w:spacing w:after="240" w:line="276" w:lineRule="auto"/>
        <w:jc w:val="both"/>
        <w:rPr>
          <w:rFonts w:ascii="Palatino Linotype" w:hAnsi="Palatino Linotype"/>
          <w:bCs/>
          <w:sz w:val="22"/>
          <w:szCs w:val="22"/>
          <w:lang w:val="es-EC"/>
        </w:rPr>
      </w:pPr>
      <w:r>
        <w:rPr>
          <w:rFonts w:ascii="Palatino Linotype" w:hAnsi="Palatino Linotype"/>
          <w:b/>
          <w:bCs/>
          <w:sz w:val="22"/>
          <w:szCs w:val="22"/>
          <w:lang w:val="es-EC"/>
        </w:rPr>
        <w:t>Artículo 8</w:t>
      </w:r>
      <w:r w:rsidR="00725931" w:rsidRPr="00EF40FF">
        <w:rPr>
          <w:rFonts w:ascii="Palatino Linotype" w:hAnsi="Palatino Linotype"/>
          <w:b/>
          <w:bCs/>
          <w:sz w:val="22"/>
          <w:szCs w:val="22"/>
          <w:lang w:val="es-EC"/>
        </w:rPr>
        <w:t xml:space="preserve">.- De las obras a ejecutarse.- </w:t>
      </w:r>
      <w:r w:rsidR="00725931" w:rsidRPr="00EF40FF">
        <w:rPr>
          <w:rFonts w:ascii="Palatino Linotype" w:hAnsi="Palatino Linotype"/>
          <w:sz w:val="22"/>
          <w:szCs w:val="22"/>
          <w:lang w:val="es-EC"/>
        </w:rPr>
        <w:t xml:space="preserve">Las obras a ejecutarse en el asentamiento </w:t>
      </w:r>
      <w:r w:rsidR="00725931">
        <w:rPr>
          <w:rFonts w:ascii="Palatino Linotype" w:hAnsi="Palatino Linotype"/>
          <w:sz w:val="22"/>
          <w:szCs w:val="22"/>
          <w:lang w:val="es-EC"/>
        </w:rPr>
        <w:t xml:space="preserve">humano de hecho y consolidado </w:t>
      </w:r>
      <w:r w:rsidR="00725931" w:rsidRPr="00EF40FF">
        <w:rPr>
          <w:rFonts w:ascii="Palatino Linotype" w:hAnsi="Palatino Linotype"/>
          <w:sz w:val="22"/>
          <w:szCs w:val="22"/>
          <w:lang w:val="es-EC"/>
        </w:rPr>
        <w:t>son las siguientes:</w:t>
      </w:r>
    </w:p>
    <w:p w:rsidR="00A63C31" w:rsidRPr="00CB56E6" w:rsidRDefault="00A63C31" w:rsidP="00A63C31">
      <w:pPr>
        <w:spacing w:after="240" w:line="276" w:lineRule="auto"/>
        <w:jc w:val="both"/>
        <w:rPr>
          <w:rFonts w:ascii="Palatino Linotype" w:hAnsi="Palatino Linotype"/>
          <w:sz w:val="22"/>
          <w:szCs w:val="22"/>
          <w:lang w:val="es-EC"/>
        </w:rPr>
      </w:pPr>
      <w:r w:rsidRPr="00CB56E6">
        <w:rPr>
          <w:rFonts w:ascii="Palatino Linotype" w:hAnsi="Palatino Linotype"/>
          <w:sz w:val="22"/>
          <w:szCs w:val="22"/>
          <w:lang w:val="es-EC"/>
        </w:rPr>
        <w:t>Calzadas</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69</w:t>
      </w:r>
      <w:r w:rsidRPr="00CB56E6">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r>
      <w:r w:rsidRPr="00CB56E6">
        <w:rPr>
          <w:rFonts w:ascii="Palatino Linotype" w:hAnsi="Palatino Linotype"/>
          <w:sz w:val="22"/>
          <w:szCs w:val="22"/>
          <w:lang w:val="es-EC"/>
        </w:rPr>
        <w:t>Aceras</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sidRPr="00CB56E6">
        <w:rPr>
          <w:rFonts w:ascii="Palatino Linotype" w:hAnsi="Palatino Linotype"/>
          <w:sz w:val="22"/>
          <w:szCs w:val="22"/>
          <w:lang w:val="es-EC"/>
        </w:rPr>
        <w:t>1</w:t>
      </w:r>
      <w:r>
        <w:rPr>
          <w:rFonts w:ascii="Palatino Linotype" w:hAnsi="Palatino Linotype"/>
          <w:sz w:val="22"/>
          <w:szCs w:val="22"/>
          <w:lang w:val="es-EC"/>
        </w:rPr>
        <w:t>8</w:t>
      </w:r>
      <w:r w:rsidRPr="00CB56E6">
        <w:rPr>
          <w:rFonts w:ascii="Palatino Linotype" w:hAnsi="Palatino Linotype"/>
          <w:sz w:val="22"/>
          <w:szCs w:val="22"/>
          <w:lang w:val="es-EC"/>
        </w:rPr>
        <w:t>%</w:t>
      </w:r>
    </w:p>
    <w:p w:rsidR="00A63C31" w:rsidRPr="00CB56E6" w:rsidRDefault="00A63C31" w:rsidP="00A63C31">
      <w:pPr>
        <w:spacing w:after="240" w:line="276" w:lineRule="auto"/>
        <w:jc w:val="both"/>
        <w:rPr>
          <w:rFonts w:ascii="Palatino Linotype" w:hAnsi="Palatino Linotype"/>
          <w:sz w:val="22"/>
          <w:szCs w:val="22"/>
          <w:lang w:val="es-EC"/>
        </w:rPr>
      </w:pPr>
      <w:r w:rsidRPr="00CB56E6">
        <w:rPr>
          <w:rFonts w:ascii="Palatino Linotype" w:hAnsi="Palatino Linotype"/>
          <w:sz w:val="22"/>
          <w:szCs w:val="22"/>
          <w:lang w:val="es-EC"/>
        </w:rPr>
        <w:t>Bordillos</w:t>
      </w:r>
      <w:r>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13</w:t>
      </w:r>
      <w:r w:rsidRPr="00CB56E6">
        <w:rPr>
          <w:rFonts w:ascii="Palatino Linotype" w:hAnsi="Palatino Linotype"/>
          <w:sz w:val="22"/>
          <w:szCs w:val="22"/>
          <w:lang w:val="es-EC"/>
        </w:rPr>
        <w:t>%</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r>
    </w:p>
    <w:p w:rsidR="00725931" w:rsidRPr="00816DB2" w:rsidRDefault="00725931" w:rsidP="00725931">
      <w:pPr>
        <w:spacing w:after="240" w:line="276" w:lineRule="auto"/>
        <w:jc w:val="both"/>
        <w:rPr>
          <w:rFonts w:ascii="Palatino Linotype" w:hAnsi="Palatino Linotype" w:cstheme="minorHAnsi"/>
          <w:sz w:val="22"/>
          <w:szCs w:val="22"/>
        </w:rPr>
      </w:pPr>
      <w:r w:rsidRPr="00816DB2">
        <w:rPr>
          <w:rFonts w:ascii="Palatino Linotype" w:hAnsi="Palatino Linotype"/>
          <w:b/>
          <w:bCs/>
          <w:sz w:val="22"/>
          <w:szCs w:val="22"/>
        </w:rPr>
        <w:t xml:space="preserve">Artículo </w:t>
      </w:r>
      <w:r w:rsidR="00A63C31">
        <w:rPr>
          <w:rFonts w:ascii="Palatino Linotype" w:hAnsi="Palatino Linotype"/>
          <w:b/>
          <w:bCs/>
          <w:sz w:val="22"/>
          <w:szCs w:val="22"/>
        </w:rPr>
        <w:t>9</w:t>
      </w:r>
      <w:r w:rsidRPr="00816DB2">
        <w:rPr>
          <w:rFonts w:ascii="Palatino Linotype" w:hAnsi="Palatino Linotype"/>
          <w:b/>
          <w:bCs/>
          <w:i/>
          <w:sz w:val="22"/>
          <w:szCs w:val="22"/>
        </w:rPr>
        <w:t>.-</w:t>
      </w:r>
      <w:r w:rsidRPr="00816DB2">
        <w:rPr>
          <w:rFonts w:ascii="Palatino Linotype" w:hAnsi="Palatino Linotype"/>
          <w:b/>
          <w:bCs/>
          <w:sz w:val="22"/>
          <w:szCs w:val="22"/>
        </w:rPr>
        <w:t xml:space="preserve"> Informe Técnico de  Evaluación de Riesgos de la Secretaría General de Seguridad y Gobernabilidad.-</w:t>
      </w:r>
      <w:r w:rsidRPr="00816DB2">
        <w:rPr>
          <w:rFonts w:ascii="Palatino Linotype" w:hAnsi="Palatino Linotype"/>
          <w:b/>
          <w:bCs/>
          <w:sz w:val="22"/>
          <w:szCs w:val="22"/>
          <w:lang w:eastAsia="es-EC"/>
        </w:rPr>
        <w:t> </w:t>
      </w:r>
      <w:r w:rsidR="00816DB2" w:rsidRPr="00816DB2">
        <w:rPr>
          <w:rFonts w:ascii="Palatino Linotype" w:hAnsi="Palatino Linotype"/>
          <w:sz w:val="22"/>
          <w:szCs w:val="22"/>
          <w:lang w:eastAsia="es-EC"/>
        </w:rPr>
        <w:t xml:space="preserve">Los dirigentes del predio que se regulariza, deberán cumplir con las recomendaciones que se encuentra determinadas en el informe de la Dirección Metropolitana de Gestión de Riesgos </w:t>
      </w:r>
      <w:r w:rsidRPr="00816DB2">
        <w:rPr>
          <w:rFonts w:ascii="Palatino Linotype" w:hAnsi="Palatino Linotype" w:cstheme="minorHAnsi"/>
          <w:sz w:val="22"/>
          <w:szCs w:val="22"/>
        </w:rPr>
        <w:t>No.</w:t>
      </w:r>
      <w:r w:rsidR="00A63C31">
        <w:rPr>
          <w:rFonts w:ascii="Palatino Linotype" w:hAnsi="Palatino Linotype" w:cstheme="minorHAnsi"/>
          <w:sz w:val="22"/>
          <w:szCs w:val="22"/>
        </w:rPr>
        <w:t xml:space="preserve"> </w:t>
      </w:r>
      <w:r w:rsidRPr="00816DB2">
        <w:rPr>
          <w:rFonts w:ascii="Palatino Linotype" w:hAnsi="Palatino Linotype" w:cstheme="minorHAnsi"/>
          <w:sz w:val="22"/>
          <w:szCs w:val="22"/>
        </w:rPr>
        <w:t>1</w:t>
      </w:r>
      <w:r w:rsidR="00A63C31">
        <w:rPr>
          <w:rFonts w:ascii="Palatino Linotype" w:hAnsi="Palatino Linotype" w:cstheme="minorHAnsi"/>
          <w:sz w:val="22"/>
          <w:szCs w:val="22"/>
        </w:rPr>
        <w:t>08-</w:t>
      </w:r>
      <w:r w:rsidRPr="00816DB2">
        <w:rPr>
          <w:rFonts w:ascii="Palatino Linotype" w:hAnsi="Palatino Linotype" w:cstheme="minorHAnsi"/>
          <w:sz w:val="22"/>
          <w:szCs w:val="22"/>
        </w:rPr>
        <w:t xml:space="preserve">AT-DMGR-2015, de </w:t>
      </w:r>
      <w:r w:rsidR="00A63C31">
        <w:rPr>
          <w:rFonts w:ascii="Palatino Linotype" w:hAnsi="Palatino Linotype" w:cstheme="minorHAnsi"/>
          <w:sz w:val="22"/>
          <w:szCs w:val="22"/>
        </w:rPr>
        <w:t>21</w:t>
      </w:r>
      <w:r w:rsidRPr="00816DB2">
        <w:rPr>
          <w:rFonts w:ascii="Palatino Linotype" w:hAnsi="Palatino Linotype" w:cstheme="minorHAnsi"/>
          <w:sz w:val="22"/>
          <w:szCs w:val="22"/>
        </w:rPr>
        <w:t xml:space="preserve"> de </w:t>
      </w:r>
      <w:r w:rsidR="00A63C31">
        <w:rPr>
          <w:rFonts w:ascii="Palatino Linotype" w:hAnsi="Palatino Linotype" w:cstheme="minorHAnsi"/>
          <w:sz w:val="22"/>
          <w:szCs w:val="22"/>
        </w:rPr>
        <w:t>sept</w:t>
      </w:r>
      <w:r w:rsidRPr="00816DB2">
        <w:rPr>
          <w:rFonts w:ascii="Palatino Linotype" w:hAnsi="Palatino Linotype" w:cstheme="minorHAnsi"/>
          <w:sz w:val="22"/>
          <w:szCs w:val="22"/>
        </w:rPr>
        <w:t>iembre de 2015, en el mismo que determina</w:t>
      </w:r>
      <w:r w:rsidR="00816DB2">
        <w:rPr>
          <w:rFonts w:ascii="Palatino Linotype" w:hAnsi="Palatino Linotype" w:cstheme="minorHAnsi"/>
          <w:sz w:val="22"/>
          <w:szCs w:val="22"/>
        </w:rPr>
        <w:t xml:space="preserve"> lo siguiente</w:t>
      </w:r>
      <w:r w:rsidRPr="00816DB2">
        <w:rPr>
          <w:rFonts w:ascii="Palatino Linotype" w:hAnsi="Palatino Linotype" w:cstheme="minorHAnsi"/>
          <w:sz w:val="22"/>
          <w:szCs w:val="22"/>
        </w:rPr>
        <w:t xml:space="preserve">: </w:t>
      </w:r>
    </w:p>
    <w:p w:rsidR="00725931" w:rsidRPr="00816DB2"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sz w:val="22"/>
          <w:szCs w:val="22"/>
        </w:rPr>
        <w:t>“</w:t>
      </w:r>
      <w:r w:rsidRPr="00816DB2">
        <w:rPr>
          <w:rFonts w:ascii="Palatino Linotype" w:hAnsi="Palatino Linotype" w:cs="Calibri"/>
          <w:i/>
          <w:sz w:val="22"/>
          <w:szCs w:val="22"/>
        </w:rPr>
        <w:t>La zona en estudio, una vez realizada la inspección técnica al AHHYC “</w:t>
      </w:r>
      <w:r w:rsidR="00A63C31">
        <w:rPr>
          <w:rFonts w:ascii="Palatino Linotype" w:hAnsi="Palatino Linotype" w:cs="Calibri"/>
          <w:i/>
          <w:sz w:val="22"/>
          <w:szCs w:val="22"/>
        </w:rPr>
        <w:t>San Pedro de la Victoria Central</w:t>
      </w:r>
      <w:r w:rsidRPr="00816DB2">
        <w:rPr>
          <w:rFonts w:ascii="Palatino Linotype" w:hAnsi="Palatino Linotype" w:cs="Calibri"/>
          <w:i/>
          <w:sz w:val="22"/>
          <w:szCs w:val="22"/>
        </w:rPr>
        <w:t>” de la Parroquia Guama</w:t>
      </w:r>
      <w:r w:rsidR="00816DB2">
        <w:rPr>
          <w:rFonts w:ascii="Palatino Linotype" w:hAnsi="Palatino Linotype" w:cs="Calibri"/>
          <w:i/>
          <w:sz w:val="22"/>
          <w:szCs w:val="22"/>
        </w:rPr>
        <w:t>ní</w:t>
      </w:r>
      <w:r w:rsidRPr="00816DB2">
        <w:rPr>
          <w:rFonts w:ascii="Palatino Linotype" w:hAnsi="Palatino Linotype" w:cs="Calibri"/>
          <w:i/>
          <w:sz w:val="22"/>
          <w:szCs w:val="22"/>
        </w:rPr>
        <w:t>, considerando los elementos expuestos, viviendas construidas hasta la actualidad con elementos estructurales artesanales, condiciones socioeconómicas, la pendiente del terreno, susceptibilidad</w:t>
      </w:r>
      <w:r w:rsidR="00A63C31">
        <w:rPr>
          <w:rFonts w:ascii="Palatino Linotype" w:hAnsi="Palatino Linotype" w:cs="Calibri"/>
          <w:i/>
          <w:sz w:val="22"/>
          <w:szCs w:val="22"/>
        </w:rPr>
        <w:t>es</w:t>
      </w:r>
      <w:r w:rsidRPr="00816DB2">
        <w:rPr>
          <w:rFonts w:ascii="Palatino Linotype" w:hAnsi="Palatino Linotype" w:cs="Calibri"/>
          <w:i/>
          <w:sz w:val="22"/>
          <w:szCs w:val="22"/>
        </w:rPr>
        <w:t xml:space="preserve"> por fenómenos de inestabilidad de terrenos. Se manifiesta que presenta un Riesgo Bajo </w:t>
      </w:r>
      <w:r w:rsidR="00A63C31">
        <w:rPr>
          <w:rFonts w:ascii="Palatino Linotype" w:hAnsi="Palatino Linotype" w:cs="Calibri"/>
          <w:i/>
          <w:sz w:val="22"/>
          <w:szCs w:val="22"/>
        </w:rPr>
        <w:t>Moderado</w:t>
      </w:r>
      <w:r w:rsidRPr="00816DB2">
        <w:rPr>
          <w:rFonts w:ascii="Palatino Linotype" w:hAnsi="Palatino Linotype" w:cs="Calibri"/>
          <w:i/>
          <w:sz w:val="22"/>
          <w:szCs w:val="22"/>
        </w:rPr>
        <w:t>.”</w:t>
      </w:r>
    </w:p>
    <w:p w:rsidR="00725931"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i/>
          <w:sz w:val="22"/>
          <w:szCs w:val="22"/>
        </w:rPr>
        <w:t xml:space="preserve">“La calificación de la evaluación de la condición del riesgo está dada en base a la probabilidad de ocurrencia de eventos adversos y a las perdidas con su consecuente afectación. Por lo tanto, desde el análisis de la DMGR expresa que es factible continuar con el proceso de </w:t>
      </w:r>
      <w:r w:rsidRPr="00816DB2">
        <w:rPr>
          <w:rFonts w:ascii="Palatino Linotype" w:hAnsi="Palatino Linotype" w:cs="Calibri"/>
          <w:i/>
          <w:sz w:val="22"/>
          <w:szCs w:val="22"/>
        </w:rPr>
        <w:lastRenderedPageBreak/>
        <w:t>regularización y que se deberá cumplir con las siguientes recomendaciones que a continuación se detallan.”</w:t>
      </w:r>
    </w:p>
    <w:p w:rsidR="00A63C31" w:rsidRDefault="00A63C31" w:rsidP="00816DB2">
      <w:pPr>
        <w:pStyle w:val="Prrafodelista"/>
        <w:numPr>
          <w:ilvl w:val="0"/>
          <w:numId w:val="40"/>
        </w:numPr>
        <w:spacing w:after="240" w:line="276" w:lineRule="auto"/>
        <w:contextualSpacing/>
        <w:jc w:val="both"/>
        <w:rPr>
          <w:rFonts w:ascii="Palatino Linotype" w:hAnsi="Palatino Linotype" w:cs="Calibri"/>
          <w:i/>
          <w:sz w:val="22"/>
          <w:szCs w:val="22"/>
        </w:rPr>
      </w:pPr>
      <w:r>
        <w:rPr>
          <w:rFonts w:ascii="Palatino Linotype" w:hAnsi="Palatino Linotype" w:cs="Calibri"/>
          <w:i/>
          <w:sz w:val="22"/>
          <w:szCs w:val="22"/>
        </w:rPr>
        <w:t>“Tomar en cuenta el artículo 13 de la Ley Orgánica Reformatoria al COOTAD en su artículo 140, sobre el ejercicio de la competencia de gestión de riesgos, que establece que: “La gestión de riesgos que incluye las acciones de prevención, reacción, mitigación, reconstrucción y transferencia, para enfrentar todas las amenazas de origen natural y antrópicos que afecten el territorio se gestionará de manera concurrente y de forma articulada por todos los niveles de gobierno de acuerdo con las políticas y los planes emitidos por el organismo nacional responsable,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725931" w:rsidRPr="00816DB2" w:rsidRDefault="00725931" w:rsidP="00816DB2">
      <w:pPr>
        <w:pStyle w:val="Prrafodelista"/>
        <w:numPr>
          <w:ilvl w:val="0"/>
          <w:numId w:val="40"/>
        </w:numPr>
        <w:spacing w:after="240" w:line="276" w:lineRule="auto"/>
        <w:jc w:val="both"/>
        <w:rPr>
          <w:rFonts w:ascii="Palatino Linotype" w:hAnsi="Palatino Linotype" w:cs="Calibri"/>
          <w:i/>
          <w:sz w:val="22"/>
          <w:szCs w:val="22"/>
        </w:rPr>
      </w:pPr>
      <w:r w:rsidRPr="00816DB2">
        <w:rPr>
          <w:rFonts w:ascii="Palatino Linotype" w:hAnsi="Palatino Linotype" w:cs="Calibri"/>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725931"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i/>
          <w:sz w:val="22"/>
          <w:szCs w:val="22"/>
        </w:rPr>
        <w:t>“En el proyecto de regularización se debe respetar la normativa vigente de las Ordenanzas Metropolitanas de: aprobación de los Planes Metropolitanos de Ordenamiento Territorial, (PMOT), Uso y Ocupación del Suelo, (PUOS) y Régimen Administrativo del Suelo en el D.M.Q. (Ordenanzas Metropolitanas No. 171 y No.172, y sus Reformatorias No.</w:t>
      </w:r>
      <w:r w:rsidR="00E608E3">
        <w:rPr>
          <w:rFonts w:ascii="Palatino Linotype" w:hAnsi="Palatino Linotype" w:cs="Calibri"/>
          <w:i/>
          <w:sz w:val="22"/>
          <w:szCs w:val="22"/>
        </w:rPr>
        <w:t xml:space="preserve"> </w:t>
      </w:r>
      <w:r w:rsidRPr="00816DB2">
        <w:rPr>
          <w:rFonts w:ascii="Palatino Linotype" w:hAnsi="Palatino Linotype" w:cs="Calibri"/>
          <w:i/>
          <w:sz w:val="22"/>
          <w:szCs w:val="22"/>
        </w:rPr>
        <w:t>447 y No.</w:t>
      </w:r>
      <w:r w:rsidR="00E608E3">
        <w:rPr>
          <w:rFonts w:ascii="Palatino Linotype" w:hAnsi="Palatino Linotype" w:cs="Calibri"/>
          <w:i/>
          <w:sz w:val="22"/>
          <w:szCs w:val="22"/>
        </w:rPr>
        <w:t xml:space="preserve"> </w:t>
      </w:r>
      <w:r w:rsidRPr="00816DB2">
        <w:rPr>
          <w:rFonts w:ascii="Palatino Linotype" w:hAnsi="Palatino Linotype" w:cs="Calibri"/>
          <w:i/>
          <w:sz w:val="22"/>
          <w:szCs w:val="22"/>
        </w:rPr>
        <w:t>432)”.</w:t>
      </w:r>
    </w:p>
    <w:p w:rsidR="000E1A91" w:rsidRDefault="000E1A91" w:rsidP="00816DB2">
      <w:pPr>
        <w:pStyle w:val="Prrafodelista"/>
        <w:numPr>
          <w:ilvl w:val="0"/>
          <w:numId w:val="40"/>
        </w:numPr>
        <w:spacing w:after="240" w:line="276" w:lineRule="auto"/>
        <w:contextualSpacing/>
        <w:jc w:val="both"/>
        <w:rPr>
          <w:rFonts w:ascii="Palatino Linotype" w:hAnsi="Palatino Linotype" w:cs="Calibri"/>
          <w:i/>
          <w:sz w:val="22"/>
          <w:szCs w:val="22"/>
        </w:rPr>
      </w:pPr>
      <w:r>
        <w:rPr>
          <w:rFonts w:ascii="Palatino Linotype" w:hAnsi="Palatino Linotype" w:cs="Calibri"/>
          <w:i/>
          <w:sz w:val="22"/>
          <w:szCs w:val="22"/>
        </w:rPr>
        <w:t>“Los predios que tienen zonificación (ZR), en el cuadro No. 10</w:t>
      </w:r>
      <w:r w:rsidR="00E608E3">
        <w:rPr>
          <w:rFonts w:ascii="Palatino Linotype" w:hAnsi="Palatino Linotype" w:cs="Calibri"/>
          <w:i/>
          <w:sz w:val="22"/>
          <w:szCs w:val="22"/>
        </w:rPr>
        <w:t xml:space="preserve"> </w:t>
      </w:r>
      <w:r>
        <w:rPr>
          <w:rFonts w:ascii="Palatino Linotype" w:hAnsi="Palatino Linotype" w:cs="Calibri"/>
          <w:i/>
          <w:sz w:val="22"/>
          <w:szCs w:val="22"/>
        </w:rPr>
        <w:t xml:space="preserve"> del Anexo 11, que establece que son zonas urbanizables en riesgo se debe conservar la vegetación existente o su reforestación y se prohíbe todo tipo de construcciones; y, define zonas en riesgo de edificación condicionada.”</w:t>
      </w:r>
    </w:p>
    <w:p w:rsidR="000E1A91" w:rsidRPr="00816DB2" w:rsidRDefault="000E1A91" w:rsidP="00816DB2">
      <w:pPr>
        <w:pStyle w:val="Prrafodelista"/>
        <w:numPr>
          <w:ilvl w:val="0"/>
          <w:numId w:val="40"/>
        </w:numPr>
        <w:spacing w:after="240" w:line="276" w:lineRule="auto"/>
        <w:contextualSpacing/>
        <w:jc w:val="both"/>
        <w:rPr>
          <w:rFonts w:ascii="Palatino Linotype" w:hAnsi="Palatino Linotype" w:cs="Calibri"/>
          <w:i/>
          <w:sz w:val="22"/>
          <w:szCs w:val="22"/>
        </w:rPr>
      </w:pPr>
      <w:r>
        <w:rPr>
          <w:rFonts w:ascii="Palatino Linotype" w:hAnsi="Palatino Linotype" w:cs="Calibri"/>
          <w:i/>
          <w:sz w:val="22"/>
          <w:szCs w:val="22"/>
        </w:rPr>
        <w:t xml:space="preserve">“Y en el caso de afectaciones o cercanía a las quebradas, taludes, ríos; cumplir con lo establecido en los artículos 116, áreas de protección de taludes; 117, áreas de protección de quebradas; 118, áreas de protección de cuerpos de agua, ríos; y, el artículo 122, referente a construcciones sismo resistentes. Por lo tanto, el AHHYC conjuntamente con el profesional técnico responsable del barrio deberá reestructurar el proyecto en función de las condiciones de la normativa manteniendo lo dispuesto en el levantamiento </w:t>
      </w:r>
      <w:proofErr w:type="spellStart"/>
      <w:r>
        <w:rPr>
          <w:rFonts w:ascii="Palatino Linotype" w:hAnsi="Palatino Linotype" w:cs="Calibri"/>
          <w:i/>
          <w:sz w:val="22"/>
          <w:szCs w:val="22"/>
        </w:rPr>
        <w:t>planialtimétrico</w:t>
      </w:r>
      <w:proofErr w:type="spellEnd"/>
      <w:r>
        <w:rPr>
          <w:rFonts w:ascii="Palatino Linotype" w:hAnsi="Palatino Linotype" w:cs="Calibri"/>
          <w:i/>
          <w:sz w:val="22"/>
          <w:szCs w:val="22"/>
        </w:rPr>
        <w:t xml:space="preserve"> proporcionado por la UERB.”</w:t>
      </w:r>
    </w:p>
    <w:p w:rsidR="000E1A91"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i/>
          <w:sz w:val="22"/>
          <w:szCs w:val="22"/>
        </w:rPr>
        <w:t>“La Dirección Metropolitana de Gestión de Riesgos (DMGR) recomienda  para el proceso de regularización de los predios que se encuentran ubicados en el barrio “</w:t>
      </w:r>
      <w:r w:rsidR="000E1A91">
        <w:rPr>
          <w:rFonts w:ascii="Palatino Linotype" w:hAnsi="Palatino Linotype" w:cs="Calibri"/>
          <w:i/>
          <w:sz w:val="22"/>
          <w:szCs w:val="22"/>
        </w:rPr>
        <w:t>San Pedro de la Victoria Central</w:t>
      </w:r>
      <w:r w:rsidRPr="00816DB2">
        <w:rPr>
          <w:rFonts w:ascii="Palatino Linotype" w:hAnsi="Palatino Linotype" w:cs="Calibri"/>
          <w:i/>
          <w:sz w:val="22"/>
          <w:szCs w:val="22"/>
        </w:rPr>
        <w:t xml:space="preserve">”, </w:t>
      </w:r>
      <w:r w:rsidR="000E1A91">
        <w:rPr>
          <w:rFonts w:ascii="Palatino Linotype" w:hAnsi="Palatino Linotype" w:cs="Calibri"/>
          <w:i/>
          <w:sz w:val="22"/>
          <w:szCs w:val="22"/>
        </w:rPr>
        <w:t xml:space="preserve">con respecto a </w:t>
      </w:r>
      <w:r w:rsidRPr="00816DB2">
        <w:rPr>
          <w:rFonts w:ascii="Palatino Linotype" w:hAnsi="Palatino Linotype" w:cs="Calibri"/>
          <w:i/>
          <w:sz w:val="22"/>
          <w:szCs w:val="22"/>
        </w:rPr>
        <w:t xml:space="preserve">las edificaciones actuales, sus propietarios deberían contratar a un </w:t>
      </w:r>
      <w:r w:rsidRPr="00816DB2">
        <w:rPr>
          <w:rFonts w:ascii="Palatino Linotype" w:hAnsi="Palatino Linotype" w:cs="Calibri"/>
          <w:i/>
          <w:sz w:val="22"/>
          <w:szCs w:val="22"/>
        </w:rPr>
        <w:lastRenderedPageBreak/>
        <w:t>especialista (Ing. Civil Estructuralista o Estructural) para que evalúe el estado actual y proponga un sistema de reforzamiento estructural si el caso así lo amerita.</w:t>
      </w:r>
      <w:r w:rsidR="000E1A91">
        <w:rPr>
          <w:rFonts w:ascii="Palatino Linotype" w:hAnsi="Palatino Linotype" w:cs="Calibri"/>
          <w:i/>
          <w:sz w:val="22"/>
          <w:szCs w:val="22"/>
        </w:rPr>
        <w:t>”</w:t>
      </w:r>
      <w:r w:rsidRPr="00816DB2">
        <w:rPr>
          <w:rFonts w:ascii="Palatino Linotype" w:hAnsi="Palatino Linotype" w:cs="Calibri"/>
          <w:i/>
          <w:sz w:val="22"/>
          <w:szCs w:val="22"/>
        </w:rPr>
        <w:t xml:space="preserve"> </w:t>
      </w:r>
    </w:p>
    <w:p w:rsidR="00725931" w:rsidRPr="00816DB2" w:rsidRDefault="000E1A91" w:rsidP="00816DB2">
      <w:pPr>
        <w:pStyle w:val="Prrafodelista"/>
        <w:numPr>
          <w:ilvl w:val="0"/>
          <w:numId w:val="40"/>
        </w:numPr>
        <w:spacing w:after="240" w:line="276" w:lineRule="auto"/>
        <w:contextualSpacing/>
        <w:jc w:val="both"/>
        <w:rPr>
          <w:rFonts w:ascii="Palatino Linotype" w:hAnsi="Palatino Linotype" w:cs="Calibri"/>
          <w:i/>
          <w:sz w:val="22"/>
          <w:szCs w:val="22"/>
        </w:rPr>
      </w:pPr>
      <w:r>
        <w:rPr>
          <w:rFonts w:ascii="Palatino Linotype" w:hAnsi="Palatino Linotype" w:cs="Calibri"/>
          <w:i/>
          <w:sz w:val="22"/>
          <w:szCs w:val="22"/>
        </w:rPr>
        <w:t>“</w:t>
      </w:r>
      <w:r w:rsidR="00725931" w:rsidRPr="00816DB2">
        <w:rPr>
          <w:rFonts w:ascii="Palatino Linotype" w:hAnsi="Palatino Linotype" w:cs="Calibri"/>
          <w:i/>
          <w:sz w:val="22"/>
          <w:szCs w:val="22"/>
        </w:rPr>
        <w:t>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725931" w:rsidRPr="00816DB2" w:rsidRDefault="000E1A91" w:rsidP="00816DB2">
      <w:pPr>
        <w:pStyle w:val="Prrafodelista"/>
        <w:numPr>
          <w:ilvl w:val="0"/>
          <w:numId w:val="40"/>
        </w:numPr>
        <w:spacing w:after="240" w:line="276" w:lineRule="auto"/>
        <w:jc w:val="both"/>
        <w:rPr>
          <w:rFonts w:ascii="Palatino Linotype" w:hAnsi="Palatino Linotype" w:cs="Calibri"/>
          <w:sz w:val="22"/>
          <w:szCs w:val="22"/>
        </w:rPr>
      </w:pPr>
      <w:r w:rsidRPr="00816DB2">
        <w:rPr>
          <w:rFonts w:ascii="Palatino Linotype" w:hAnsi="Palatino Linotype" w:cs="Calibri"/>
          <w:i/>
          <w:sz w:val="22"/>
          <w:szCs w:val="22"/>
        </w:rPr>
        <w:t xml:space="preserve"> </w:t>
      </w:r>
      <w:r w:rsidR="00725931" w:rsidRPr="00816DB2">
        <w:rPr>
          <w:rFonts w:ascii="Palatino Linotype" w:hAnsi="Palatino Linotype" w:cs="Calibri"/>
          <w:i/>
          <w:sz w:val="22"/>
          <w:szCs w:val="22"/>
        </w:rPr>
        <w:t xml:space="preserve">“Coordinar con la EPMMOP para mejorar </w:t>
      </w:r>
      <w:r>
        <w:rPr>
          <w:rFonts w:ascii="Palatino Linotype" w:hAnsi="Palatino Linotype" w:cs="Calibri"/>
          <w:i/>
          <w:sz w:val="22"/>
          <w:szCs w:val="22"/>
        </w:rPr>
        <w:t xml:space="preserve">y concluir </w:t>
      </w:r>
      <w:r w:rsidR="00725931" w:rsidRPr="00816DB2">
        <w:rPr>
          <w:rFonts w:ascii="Palatino Linotype" w:hAnsi="Palatino Linotype" w:cs="Calibri"/>
          <w:i/>
          <w:sz w:val="22"/>
          <w:szCs w:val="22"/>
        </w:rPr>
        <w:t>el trazado de la red vial, asegurando su estabilidad, y de los pequeños taludes generados en los cortes efectuados para la apertura de las calles; y considerar el criterio técnico de la EPMAPS para que implemente el sistema de alcantarillado pluvial que evite la erosión del suelo</w:t>
      </w:r>
      <w:r>
        <w:rPr>
          <w:rFonts w:ascii="Palatino Linotype" w:hAnsi="Palatino Linotype" w:cs="Calibri"/>
          <w:i/>
          <w:sz w:val="22"/>
          <w:szCs w:val="22"/>
        </w:rPr>
        <w:t>, por un espacio que está desprotegido de cobertura vegetal y otro material</w:t>
      </w:r>
      <w:r w:rsidR="00725931" w:rsidRPr="00816DB2">
        <w:rPr>
          <w:rFonts w:ascii="Palatino Linotype" w:hAnsi="Palatino Linotype" w:cs="Calibri"/>
          <w:sz w:val="22"/>
          <w:szCs w:val="22"/>
        </w:rPr>
        <w:t>.”</w:t>
      </w:r>
    </w:p>
    <w:p w:rsidR="00725931" w:rsidRDefault="00725931" w:rsidP="00725931">
      <w:pPr>
        <w:spacing w:after="240" w:line="276" w:lineRule="auto"/>
        <w:jc w:val="both"/>
        <w:rPr>
          <w:rFonts w:ascii="Palatino Linotype" w:hAnsi="Palatino Linotype"/>
          <w:iCs/>
          <w:sz w:val="22"/>
          <w:szCs w:val="22"/>
          <w:lang w:val="es-EC"/>
        </w:rPr>
      </w:pPr>
      <w:r w:rsidRPr="00EF40FF">
        <w:rPr>
          <w:rFonts w:ascii="Palatino Linotype" w:hAnsi="Palatino Linotype"/>
          <w:b/>
          <w:bCs/>
          <w:sz w:val="22"/>
          <w:szCs w:val="22"/>
          <w:lang w:val="es-EC"/>
        </w:rPr>
        <w:t xml:space="preserve">Artículo </w:t>
      </w:r>
      <w:r w:rsidR="000E1A91">
        <w:rPr>
          <w:rFonts w:ascii="Palatino Linotype" w:hAnsi="Palatino Linotype"/>
          <w:b/>
          <w:bCs/>
          <w:sz w:val="22"/>
          <w:szCs w:val="22"/>
          <w:lang w:val="es-EC"/>
        </w:rPr>
        <w:t>10</w:t>
      </w:r>
      <w:r w:rsidRPr="00EF40FF">
        <w:rPr>
          <w:rFonts w:ascii="Palatino Linotype" w:hAnsi="Palatino Linotype"/>
          <w:b/>
          <w:bCs/>
          <w:sz w:val="22"/>
          <w:szCs w:val="22"/>
          <w:lang w:val="es-EC"/>
        </w:rPr>
        <w:t>.- Del plazo de ejecución de las obras.-</w:t>
      </w:r>
      <w:r w:rsidRPr="00EF40FF">
        <w:rPr>
          <w:rFonts w:ascii="Palatino Linotype" w:hAnsi="Palatino Linotype"/>
          <w:sz w:val="22"/>
          <w:szCs w:val="22"/>
          <w:lang w:val="es-EC"/>
        </w:rPr>
        <w:t xml:space="preserve"> El plazo de ejecución de la totalidad de las obras de urbanización, incluido el equipamiento del área comunal, es de ocho (8) años, </w:t>
      </w:r>
      <w:r w:rsidRPr="00EF40FF">
        <w:rPr>
          <w:rFonts w:ascii="Palatino Linotype" w:hAnsi="Palatino Linotype"/>
          <w:iCs/>
          <w:sz w:val="22"/>
          <w:szCs w:val="22"/>
          <w:lang w:val="es-EC"/>
        </w:rPr>
        <w:t>de conformidad al cronograma de obras presentado</w:t>
      </w:r>
      <w:r w:rsidRPr="00AA4753">
        <w:rPr>
          <w:rFonts w:ascii="Palatino Linotype" w:hAnsi="Palatino Linotype"/>
          <w:iCs/>
          <w:sz w:val="22"/>
          <w:szCs w:val="22"/>
          <w:lang w:val="es-EC"/>
        </w:rPr>
        <w:t xml:space="preserve"> por</w:t>
      </w:r>
      <w:r>
        <w:rPr>
          <w:rFonts w:ascii="Palatino Linotype" w:hAnsi="Palatino Linotype"/>
          <w:iCs/>
          <w:sz w:val="22"/>
          <w:szCs w:val="22"/>
          <w:lang w:val="es-EC"/>
        </w:rPr>
        <w:t xml:space="preserve"> los dirigentes del Asentamiento Humano de Hecho y Consolidado denominado</w:t>
      </w:r>
      <w:r w:rsidRPr="00A848D9">
        <w:rPr>
          <w:rFonts w:ascii="Palatino Linotype" w:hAnsi="Palatino Linotype" w:cstheme="minorHAnsi"/>
          <w:sz w:val="22"/>
          <w:szCs w:val="22"/>
        </w:rPr>
        <w:t>“</w:t>
      </w:r>
      <w:r w:rsidR="000E1A91">
        <w:rPr>
          <w:rFonts w:ascii="Palatino Linotype" w:hAnsi="Palatino Linotype" w:cstheme="minorHAnsi"/>
          <w:sz w:val="22"/>
          <w:szCs w:val="22"/>
        </w:rPr>
        <w:t>San Pedro de la Victoria Central</w:t>
      </w:r>
      <w:r w:rsidRPr="00A848D9">
        <w:rPr>
          <w:rFonts w:ascii="Palatino Linotype" w:hAnsi="Palatino Linotype" w:cstheme="minorHAnsi"/>
          <w:sz w:val="22"/>
          <w:szCs w:val="22"/>
        </w:rPr>
        <w:t>”</w:t>
      </w:r>
      <w:r w:rsidR="00E608E3">
        <w:rPr>
          <w:rFonts w:ascii="Palatino Linotype" w:hAnsi="Palatino Linotype" w:cstheme="minorHAnsi"/>
          <w:sz w:val="22"/>
          <w:szCs w:val="22"/>
        </w:rPr>
        <w:t>,</w:t>
      </w:r>
      <w:r>
        <w:rPr>
          <w:rFonts w:ascii="Palatino Linotype" w:hAnsi="Palatino Linotype"/>
          <w:iCs/>
          <w:sz w:val="22"/>
          <w:szCs w:val="22"/>
          <w:lang w:val="es-EC"/>
        </w:rPr>
        <w:t xml:space="preserve"> </w:t>
      </w:r>
      <w:r w:rsidRPr="00AA4753">
        <w:rPr>
          <w:rFonts w:ascii="Palatino Linotype" w:hAnsi="Palatino Linotype"/>
          <w:iCs/>
          <w:sz w:val="22"/>
          <w:szCs w:val="22"/>
          <w:lang w:val="es-EC"/>
        </w:rPr>
        <w:t xml:space="preserve">plazo que se contará a partir de la fecha de sanción de la presente ordenanza. De estas obras </w:t>
      </w:r>
      <w:r>
        <w:rPr>
          <w:rFonts w:ascii="Palatino Linotype" w:hAnsi="Palatino Linotype"/>
          <w:sz w:val="22"/>
          <w:szCs w:val="22"/>
          <w:lang w:val="es-EC"/>
        </w:rPr>
        <w:t>los socios</w:t>
      </w:r>
      <w:r>
        <w:rPr>
          <w:rFonts w:ascii="Palatino Linotype" w:hAnsi="Palatino Linotype"/>
          <w:bCs/>
          <w:sz w:val="22"/>
          <w:szCs w:val="22"/>
          <w:lang w:val="es-EC"/>
        </w:rPr>
        <w:t xml:space="preserve"> </w:t>
      </w:r>
      <w:r w:rsidRPr="00AA4753">
        <w:rPr>
          <w:rFonts w:ascii="Palatino Linotype" w:hAnsi="Palatino Linotype"/>
          <w:bCs/>
          <w:sz w:val="22"/>
          <w:szCs w:val="22"/>
          <w:lang w:val="es-EC"/>
        </w:rPr>
        <w:t>de</w:t>
      </w:r>
      <w:r>
        <w:rPr>
          <w:rFonts w:ascii="Palatino Linotype" w:hAnsi="Palatino Linotype"/>
          <w:bCs/>
          <w:sz w:val="22"/>
          <w:szCs w:val="22"/>
          <w:lang w:val="es-EC"/>
        </w:rPr>
        <w:t>l</w:t>
      </w:r>
      <w:r w:rsidRPr="00AA4753">
        <w:rPr>
          <w:rFonts w:ascii="Palatino Linotype" w:hAnsi="Palatino Linotype"/>
          <w:bCs/>
          <w:sz w:val="22"/>
          <w:szCs w:val="22"/>
          <w:lang w:val="es-EC"/>
        </w:rPr>
        <w:t xml:space="preserve"> predio fraccionado</w:t>
      </w:r>
      <w:r w:rsidRPr="00AA4753">
        <w:rPr>
          <w:rFonts w:ascii="Palatino Linotype" w:hAnsi="Palatino Linotype"/>
          <w:iCs/>
          <w:sz w:val="22"/>
          <w:szCs w:val="22"/>
          <w:lang w:val="es-EC"/>
        </w:rPr>
        <w:t xml:space="preserve"> pagará</w:t>
      </w:r>
      <w:r>
        <w:rPr>
          <w:rFonts w:ascii="Palatino Linotype" w:hAnsi="Palatino Linotype"/>
          <w:iCs/>
          <w:sz w:val="22"/>
          <w:szCs w:val="22"/>
          <w:lang w:val="es-EC"/>
        </w:rPr>
        <w:t>n</w:t>
      </w:r>
      <w:r w:rsidRPr="00AA4753">
        <w:rPr>
          <w:rFonts w:ascii="Palatino Linotype" w:hAnsi="Palatino Linotype"/>
          <w:iCs/>
          <w:sz w:val="22"/>
          <w:szCs w:val="22"/>
          <w:lang w:val="es-EC"/>
        </w:rPr>
        <w:t xml:space="preserve"> las contribuciones especiales y mejoras de ley.</w:t>
      </w:r>
    </w:p>
    <w:p w:rsidR="00725931" w:rsidRDefault="000E1A91" w:rsidP="00725931">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 xml:space="preserve">El </w:t>
      </w:r>
      <w:r w:rsidR="00725931">
        <w:rPr>
          <w:rFonts w:ascii="Palatino Linotype" w:hAnsi="Palatino Linotype"/>
          <w:iCs/>
          <w:sz w:val="22"/>
          <w:szCs w:val="22"/>
          <w:lang w:val="es-EC"/>
        </w:rPr>
        <w:t xml:space="preserve">plazo </w:t>
      </w:r>
      <w:r>
        <w:rPr>
          <w:rFonts w:ascii="Palatino Linotype" w:hAnsi="Palatino Linotype"/>
          <w:iCs/>
          <w:sz w:val="22"/>
          <w:szCs w:val="22"/>
          <w:lang w:val="es-EC"/>
        </w:rPr>
        <w:t xml:space="preserve">en referencia podrá </w:t>
      </w:r>
      <w:r w:rsidR="00725931">
        <w:rPr>
          <w:rFonts w:ascii="Palatino Linotype" w:hAnsi="Palatino Linotype"/>
          <w:iCs/>
          <w:sz w:val="22"/>
          <w:szCs w:val="22"/>
          <w:lang w:val="es-EC"/>
        </w:rPr>
        <w:t>prorrogarse por un periodo más, siempre y cuando se haya justificado un avance de  la obra de por lo menos un 50% de las obras que debían ejecutarse.</w:t>
      </w:r>
    </w:p>
    <w:p w:rsidR="00725931" w:rsidRPr="00C2179A" w:rsidRDefault="00725931" w:rsidP="00725931">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La solicitud de ampliación de plazo para la ejecución de las obras será resuelta por la  Administración  Zonal a  la que pertenece el asentamiento.</w:t>
      </w:r>
    </w:p>
    <w:p w:rsidR="00725931"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w:t>
      </w:r>
      <w:r>
        <w:rPr>
          <w:rFonts w:ascii="Palatino Linotype" w:hAnsi="Palatino Linotype"/>
          <w:b/>
          <w:bCs/>
          <w:iCs/>
          <w:sz w:val="22"/>
          <w:szCs w:val="22"/>
          <w:lang w:val="es-EC"/>
        </w:rPr>
        <w:t xml:space="preserve"> </w:t>
      </w:r>
      <w:r w:rsidR="000E1A91">
        <w:rPr>
          <w:rFonts w:ascii="Palatino Linotype" w:hAnsi="Palatino Linotype"/>
          <w:b/>
          <w:bCs/>
          <w:iCs/>
          <w:sz w:val="22"/>
          <w:szCs w:val="22"/>
          <w:lang w:val="es-ES_tradnl"/>
        </w:rPr>
        <w:t>11</w:t>
      </w:r>
      <w:r w:rsidRPr="00AA4753">
        <w:rPr>
          <w:rFonts w:ascii="Palatino Linotype" w:hAnsi="Palatino Linotype"/>
          <w:b/>
          <w:bCs/>
          <w:iCs/>
          <w:sz w:val="22"/>
          <w:szCs w:val="22"/>
          <w:lang w:val="es-ES_tradnl"/>
        </w:rPr>
        <w:t>.- Del control de ejecución de las obras.-</w:t>
      </w:r>
      <w:r w:rsidRPr="00AA4753">
        <w:rPr>
          <w:rFonts w:ascii="Palatino Linotype" w:hAnsi="Palatino Linotype"/>
          <w:iCs/>
          <w:sz w:val="22"/>
          <w:szCs w:val="22"/>
          <w:lang w:val="es-EC"/>
        </w:rPr>
        <w:t xml:space="preserve"> La Administración Zonal </w:t>
      </w:r>
      <w:r>
        <w:rPr>
          <w:rFonts w:ascii="Palatino Linotype" w:hAnsi="Palatino Linotype"/>
          <w:iCs/>
          <w:sz w:val="22"/>
          <w:szCs w:val="22"/>
          <w:lang w:val="es-EC"/>
        </w:rPr>
        <w:t xml:space="preserve">Quitumbe </w:t>
      </w:r>
      <w:r w:rsidR="00816DB2" w:rsidRPr="006336FA">
        <w:rPr>
          <w:rFonts w:ascii="Palatino Linotype" w:hAnsi="Palatino Linotype" w:cs="Arial"/>
          <w:sz w:val="22"/>
          <w:szCs w:val="22"/>
        </w:rPr>
        <w:t xml:space="preserve">se responsabiliza del seguimiento en la ejecución y avance de las obras de urbanización hasta la terminación de las mismas, </w:t>
      </w:r>
      <w:r w:rsidR="00816DB2" w:rsidRPr="006336FA">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p>
    <w:p w:rsidR="00725931" w:rsidRPr="000A35C9"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w:t>
      </w:r>
      <w:r w:rsidRPr="00AA4753">
        <w:rPr>
          <w:rFonts w:ascii="Palatino Linotype" w:hAnsi="Palatino Linotype"/>
          <w:b/>
          <w:bCs/>
          <w:iCs/>
          <w:sz w:val="22"/>
          <w:szCs w:val="22"/>
          <w:lang w:val="es-ES_tradnl"/>
        </w:rPr>
        <w:t xml:space="preserve"> 1</w:t>
      </w:r>
      <w:r w:rsidR="000E1A91">
        <w:rPr>
          <w:rFonts w:ascii="Palatino Linotype" w:hAnsi="Palatino Linotype"/>
          <w:b/>
          <w:bCs/>
          <w:iCs/>
          <w:sz w:val="22"/>
          <w:szCs w:val="22"/>
          <w:lang w:val="es-ES_tradnl"/>
        </w:rPr>
        <w:t>2</w:t>
      </w:r>
      <w:r w:rsidRPr="00AA4753">
        <w:rPr>
          <w:rFonts w:ascii="Palatino Linotype" w:hAnsi="Palatino Linotype"/>
          <w:b/>
          <w:bCs/>
          <w:iCs/>
          <w:sz w:val="22"/>
          <w:szCs w:val="22"/>
          <w:lang w:val="es-ES_tradnl"/>
        </w:rPr>
        <w:t xml:space="preserve">.- De la multa por retraso en la ejecución de obras.- </w:t>
      </w:r>
      <w:r w:rsidRPr="00AA4753">
        <w:rPr>
          <w:rFonts w:ascii="Palatino Linotype" w:hAnsi="Palatino Linotype"/>
          <w:sz w:val="22"/>
          <w:szCs w:val="22"/>
          <w:lang w:val="es-ES_tradnl"/>
        </w:rPr>
        <w:t xml:space="preserve">En caso de retraso en la ejecución de las obras de urbanización, </w:t>
      </w:r>
      <w:r>
        <w:rPr>
          <w:rFonts w:ascii="Palatino Linotype" w:hAnsi="Palatino Linotype"/>
          <w:sz w:val="22"/>
          <w:szCs w:val="22"/>
          <w:lang w:val="es-EC"/>
        </w:rPr>
        <w:t xml:space="preserve">los socios del predio donde se encuentra el Asentamiento Humano de Hecho y Consolidado denominado </w:t>
      </w:r>
      <w:r w:rsidRPr="00A848D9">
        <w:rPr>
          <w:rFonts w:ascii="Palatino Linotype" w:hAnsi="Palatino Linotype" w:cstheme="minorHAnsi"/>
          <w:sz w:val="22"/>
          <w:szCs w:val="22"/>
        </w:rPr>
        <w:t>“</w:t>
      </w:r>
      <w:r w:rsidR="000E1A91">
        <w:rPr>
          <w:rFonts w:ascii="Palatino Linotype" w:hAnsi="Palatino Linotype" w:cstheme="minorHAnsi"/>
          <w:sz w:val="22"/>
          <w:szCs w:val="22"/>
        </w:rPr>
        <w:t>San Pedro de la Victoria Central</w:t>
      </w:r>
      <w:r w:rsidRPr="00A848D9">
        <w:rPr>
          <w:rFonts w:ascii="Palatino Linotype" w:hAnsi="Palatino Linotype" w:cstheme="minorHAnsi"/>
          <w:sz w:val="22"/>
          <w:szCs w:val="22"/>
        </w:rPr>
        <w:t>”</w:t>
      </w:r>
      <w:r>
        <w:rPr>
          <w:rFonts w:ascii="Palatino Linotype" w:hAnsi="Palatino Linotype" w:cstheme="minorHAnsi"/>
          <w:sz w:val="22"/>
          <w:szCs w:val="22"/>
        </w:rPr>
        <w:t xml:space="preserve"> </w:t>
      </w:r>
      <w:r w:rsidRPr="00AA4753">
        <w:rPr>
          <w:rFonts w:ascii="Palatino Linotype" w:hAnsi="Palatino Linotype"/>
          <w:sz w:val="22"/>
          <w:szCs w:val="22"/>
          <w:lang w:val="es-ES_tradnl"/>
        </w:rPr>
        <w:t>pagará</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a la Municipalidad en calidad de multa, el uno por mil por cada día de retraso, calculado del costo de las obras no ejecutadas.</w:t>
      </w:r>
    </w:p>
    <w:p w:rsidR="00725931" w:rsidRPr="00AA4753" w:rsidRDefault="00725931" w:rsidP="00725931">
      <w:pPr>
        <w:spacing w:after="240" w:line="276" w:lineRule="auto"/>
        <w:jc w:val="both"/>
        <w:rPr>
          <w:rFonts w:ascii="Palatino Linotype" w:hAnsi="Palatino Linotype"/>
          <w:sz w:val="22"/>
          <w:szCs w:val="22"/>
          <w:lang w:val="es-ES_tradnl"/>
        </w:rPr>
      </w:pPr>
      <w:r w:rsidRPr="00AA4753">
        <w:rPr>
          <w:rFonts w:ascii="Palatino Linotype" w:hAnsi="Palatino Linotype"/>
          <w:sz w:val="22"/>
          <w:szCs w:val="22"/>
          <w:lang w:val="es-ES_tradnl"/>
        </w:rPr>
        <w:lastRenderedPageBreak/>
        <w:t xml:space="preserve">De persistir el incumplimiento, el Municipio podrá ejecutar las obras, cuyo costo estará a cargo </w:t>
      </w:r>
      <w:r>
        <w:rPr>
          <w:rFonts w:ascii="Palatino Linotype" w:hAnsi="Palatino Linotype"/>
          <w:sz w:val="22"/>
          <w:szCs w:val="22"/>
          <w:lang w:val="es-EC"/>
        </w:rPr>
        <w:t>de todos los propietarios de los lotes</w:t>
      </w:r>
      <w:r w:rsidRPr="00AA4753">
        <w:rPr>
          <w:rFonts w:ascii="Palatino Linotype" w:hAnsi="Palatino Linotype"/>
          <w:sz w:val="22"/>
          <w:szCs w:val="22"/>
          <w:lang w:val="es-ES_tradnl"/>
        </w:rPr>
        <w:t>, además de un recargo del 30%.</w:t>
      </w:r>
    </w:p>
    <w:p w:rsidR="00725931" w:rsidRPr="000A35C9" w:rsidRDefault="00725931" w:rsidP="00725931">
      <w:pPr>
        <w:spacing w:after="240" w:line="276" w:lineRule="auto"/>
        <w:jc w:val="both"/>
        <w:rPr>
          <w:rFonts w:ascii="Palatino Linotype" w:hAnsi="Palatino Linotype"/>
          <w:iCs/>
          <w:sz w:val="22"/>
          <w:szCs w:val="22"/>
          <w:lang w:val="es-ES_tradnl"/>
        </w:rPr>
      </w:pPr>
      <w:r w:rsidRPr="00AA475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se emita el título de crédito respectivo y se proceda a su cobro, incluso por la vía coactiva.</w:t>
      </w:r>
    </w:p>
    <w:p w:rsidR="00725931" w:rsidRPr="00AA4753"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 1</w:t>
      </w:r>
      <w:r w:rsidR="000E1A91">
        <w:rPr>
          <w:rFonts w:ascii="Palatino Linotype" w:hAnsi="Palatino Linotype"/>
          <w:b/>
          <w:bCs/>
          <w:iCs/>
          <w:sz w:val="22"/>
          <w:szCs w:val="22"/>
          <w:lang w:val="es-EC"/>
        </w:rPr>
        <w:t>3</w:t>
      </w:r>
      <w:r w:rsidRPr="00AA4753">
        <w:rPr>
          <w:rFonts w:ascii="Palatino Linotype" w:hAnsi="Palatino Linotype"/>
          <w:b/>
          <w:bCs/>
          <w:iCs/>
          <w:sz w:val="22"/>
          <w:szCs w:val="22"/>
          <w:lang w:val="es-EC"/>
        </w:rPr>
        <w:t xml:space="preserve">.- De la garantía de ejecución de las obras.- </w:t>
      </w:r>
      <w:r w:rsidRPr="00AA4753">
        <w:rPr>
          <w:rFonts w:ascii="Palatino Linotype" w:hAnsi="Palatino Linotype"/>
          <w:sz w:val="22"/>
          <w:szCs w:val="22"/>
          <w:lang w:val="es-EC"/>
        </w:rPr>
        <w:t xml:space="preserve">Los lotes producto </w:t>
      </w:r>
      <w:r>
        <w:rPr>
          <w:rFonts w:ascii="Palatino Linotype" w:hAnsi="Palatino Linotype"/>
          <w:sz w:val="22"/>
          <w:szCs w:val="22"/>
          <w:lang w:val="es-EC"/>
        </w:rPr>
        <w:t>del presente reconocimiento del Asentamiento Humano de Hecho y C</w:t>
      </w:r>
      <w:r w:rsidRPr="00AA4753">
        <w:rPr>
          <w:rFonts w:ascii="Palatino Linotype" w:hAnsi="Palatino Linotype"/>
          <w:sz w:val="22"/>
          <w:szCs w:val="22"/>
          <w:lang w:val="es-EC"/>
        </w:rPr>
        <w:t>onsolidado</w:t>
      </w:r>
      <w:r w:rsidRPr="00A85EDA">
        <w:rPr>
          <w:rFonts w:ascii="Palatino Linotype" w:hAnsi="Palatino Linotype"/>
          <w:sz w:val="22"/>
          <w:szCs w:val="22"/>
          <w:lang w:val="es-EC"/>
        </w:rPr>
        <w:t xml:space="preserve"> </w:t>
      </w:r>
      <w:r>
        <w:rPr>
          <w:rFonts w:ascii="Palatino Linotype" w:hAnsi="Palatino Linotype"/>
          <w:sz w:val="22"/>
          <w:szCs w:val="22"/>
          <w:lang w:val="es-EC"/>
        </w:rPr>
        <w:t>denominado</w:t>
      </w:r>
      <w:r>
        <w:rPr>
          <w:rFonts w:ascii="Palatino Linotype" w:hAnsi="Palatino Linotype" w:cstheme="minorHAnsi"/>
          <w:sz w:val="22"/>
          <w:szCs w:val="22"/>
        </w:rPr>
        <w:t xml:space="preserve"> “</w:t>
      </w:r>
      <w:r w:rsidR="000E1A91">
        <w:rPr>
          <w:rFonts w:ascii="Palatino Linotype" w:hAnsi="Palatino Linotype" w:cstheme="minorHAnsi"/>
          <w:sz w:val="22"/>
          <w:szCs w:val="22"/>
        </w:rPr>
        <w:t>San Pedro de la Victoria Central</w:t>
      </w:r>
      <w:r w:rsidRPr="00A848D9">
        <w:rPr>
          <w:rFonts w:ascii="Palatino Linotype" w:hAnsi="Palatino Linotype" w:cstheme="minorHAnsi"/>
          <w:sz w:val="22"/>
          <w:szCs w:val="22"/>
        </w:rPr>
        <w:t>”</w:t>
      </w:r>
      <w:r>
        <w:rPr>
          <w:rFonts w:ascii="Palatino Linotype" w:hAnsi="Palatino Linotype" w:cstheme="minorHAnsi"/>
          <w:sz w:val="22"/>
          <w:szCs w:val="22"/>
        </w:rPr>
        <w:t xml:space="preserve"> </w:t>
      </w:r>
      <w:r w:rsidRPr="00AA4753">
        <w:rPr>
          <w:rFonts w:ascii="Palatino Linotype" w:hAnsi="Palatino Linotype"/>
          <w:sz w:val="22"/>
          <w:szCs w:val="22"/>
          <w:lang w:val="es-EC"/>
        </w:rPr>
        <w:t>quedan gravados con primera, especial y preferente hipoteca a favor del Municipio del Distrito Metropolitano de Quito, y que subsistirá hasta la terminación de la ejecución de las obras de urbanización.</w:t>
      </w:r>
    </w:p>
    <w:p w:rsidR="00725931" w:rsidRDefault="00725931" w:rsidP="00725931">
      <w:pPr>
        <w:spacing w:after="240" w:line="276" w:lineRule="auto"/>
        <w:jc w:val="both"/>
        <w:rPr>
          <w:rFonts w:ascii="Palatino Linotype" w:hAnsi="Palatino Linotype"/>
          <w:sz w:val="22"/>
          <w:szCs w:val="22"/>
          <w:lang w:val="es-ES_tradnl"/>
        </w:rPr>
      </w:pPr>
      <w:r w:rsidRPr="00AA4753">
        <w:rPr>
          <w:rFonts w:ascii="Palatino Linotype" w:hAnsi="Palatino Linotype"/>
          <w:b/>
          <w:bCs/>
          <w:sz w:val="22"/>
          <w:szCs w:val="22"/>
          <w:lang w:val="es-EC"/>
        </w:rPr>
        <w:t>Artículo</w:t>
      </w:r>
      <w:r w:rsidRPr="00AA4753">
        <w:rPr>
          <w:rFonts w:ascii="Palatino Linotype" w:hAnsi="Palatino Linotype"/>
          <w:b/>
          <w:bCs/>
          <w:sz w:val="22"/>
          <w:szCs w:val="22"/>
          <w:lang w:val="es-ES_tradnl"/>
        </w:rPr>
        <w:t xml:space="preserve"> 1</w:t>
      </w:r>
      <w:r w:rsidR="000E1A91">
        <w:rPr>
          <w:rFonts w:ascii="Palatino Linotype" w:hAnsi="Palatino Linotype"/>
          <w:b/>
          <w:bCs/>
          <w:sz w:val="22"/>
          <w:szCs w:val="22"/>
          <w:lang w:val="es-ES_tradnl"/>
        </w:rPr>
        <w:t>4</w:t>
      </w:r>
      <w:r w:rsidRPr="00AA4753">
        <w:rPr>
          <w:rFonts w:ascii="Palatino Linotype" w:hAnsi="Palatino Linotype"/>
          <w:b/>
          <w:bCs/>
          <w:sz w:val="22"/>
          <w:szCs w:val="22"/>
          <w:lang w:val="es-ES_tradnl"/>
        </w:rPr>
        <w:t xml:space="preserve">.- De la protocolización e inscripción de la ordenanza.- </w:t>
      </w:r>
      <w:r>
        <w:rPr>
          <w:rFonts w:ascii="Palatino Linotype" w:hAnsi="Palatino Linotype"/>
          <w:sz w:val="22"/>
          <w:szCs w:val="22"/>
          <w:lang w:val="es-EC"/>
        </w:rPr>
        <w:t>Los dirigentes del Asentamiento Humano de Hecho y Consolidado denominado</w:t>
      </w:r>
      <w:r>
        <w:rPr>
          <w:rFonts w:ascii="Palatino Linotype" w:hAnsi="Palatino Linotype" w:cstheme="minorHAnsi"/>
        </w:rPr>
        <w:t xml:space="preserve"> </w:t>
      </w:r>
      <w:r w:rsidRPr="00A848D9">
        <w:rPr>
          <w:rFonts w:ascii="Palatino Linotype" w:hAnsi="Palatino Linotype" w:cstheme="minorHAnsi"/>
          <w:sz w:val="22"/>
          <w:szCs w:val="22"/>
        </w:rPr>
        <w:t>“</w:t>
      </w:r>
      <w:r w:rsidR="000E1A91">
        <w:rPr>
          <w:rFonts w:ascii="Palatino Linotype" w:hAnsi="Palatino Linotype" w:cstheme="minorHAnsi"/>
          <w:sz w:val="22"/>
          <w:szCs w:val="22"/>
        </w:rPr>
        <w:t>San Pedro de la Victoria Central</w:t>
      </w:r>
      <w:r w:rsidRPr="00A848D9">
        <w:rPr>
          <w:rFonts w:ascii="Palatino Linotype" w:hAnsi="Palatino Linotype" w:cstheme="minorHAnsi"/>
          <w:sz w:val="22"/>
          <w:szCs w:val="22"/>
        </w:rPr>
        <w:t>”</w:t>
      </w:r>
      <w:r>
        <w:rPr>
          <w:rFonts w:ascii="Palatino Linotype" w:hAnsi="Palatino Linotype" w:cstheme="minorHAnsi"/>
          <w:sz w:val="22"/>
          <w:szCs w:val="22"/>
        </w:rPr>
        <w:t xml:space="preserve"> </w:t>
      </w:r>
      <w:r w:rsidRPr="00AA4753">
        <w:rPr>
          <w:rFonts w:ascii="Palatino Linotype" w:hAnsi="Palatino Linotype"/>
          <w:sz w:val="22"/>
          <w:szCs w:val="22"/>
          <w:lang w:val="es-ES_tradnl"/>
        </w:rPr>
        <w:t>se compromete</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en el término de ciento ochenta (180) días, contados a partir de la fecha de emisión de la resolución de regularización de </w:t>
      </w:r>
      <w:r>
        <w:rPr>
          <w:rFonts w:ascii="Palatino Linotype" w:hAnsi="Palatino Linotype"/>
          <w:sz w:val="22"/>
          <w:szCs w:val="22"/>
          <w:lang w:val="es-ES_tradnl"/>
        </w:rPr>
        <w:t>excedentes o diferencias</w:t>
      </w:r>
      <w:r w:rsidRPr="00AA4753">
        <w:rPr>
          <w:rFonts w:ascii="Palatino Linotype" w:hAnsi="Palatino Linotype"/>
          <w:sz w:val="22"/>
          <w:szCs w:val="22"/>
          <w:lang w:val="es-ES_tradnl"/>
        </w:rPr>
        <w:t xml:space="preserve"> de área</w:t>
      </w:r>
      <w:r>
        <w:rPr>
          <w:rFonts w:ascii="Palatino Linotype" w:hAnsi="Palatino Linotype"/>
          <w:sz w:val="22"/>
          <w:szCs w:val="22"/>
          <w:lang w:val="es-ES_tradnl"/>
        </w:rPr>
        <w:t>s</w:t>
      </w:r>
      <w:r w:rsidRPr="00AA4753">
        <w:rPr>
          <w:rFonts w:ascii="Palatino Linotype" w:hAnsi="Palatino Linotype"/>
          <w:sz w:val="22"/>
          <w:szCs w:val="22"/>
          <w:lang w:val="es-ES_tradnl"/>
        </w:rPr>
        <w:t xml:space="preserve"> por parte de la Autoridad Administrativa Competente, a </w:t>
      </w:r>
      <w:r w:rsidRPr="00AA4753">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AA4753">
        <w:rPr>
          <w:rFonts w:ascii="Palatino Linotype" w:hAnsi="Palatino Linotype"/>
          <w:sz w:val="22"/>
          <w:szCs w:val="22"/>
          <w:lang w:val="es-EC"/>
        </w:rPr>
        <w:t xml:space="preserve">rdenanza ante Notario Público e inscribirla en el Registro de la Propiedad del Distrito Metropolitano de Quito, </w:t>
      </w:r>
      <w:r w:rsidRPr="00AA4753">
        <w:rPr>
          <w:rFonts w:ascii="Palatino Linotype" w:hAnsi="Palatino Linotype"/>
          <w:sz w:val="22"/>
          <w:szCs w:val="22"/>
          <w:lang w:val="es-ES_tradnl"/>
        </w:rPr>
        <w:t>con todos sus documentos habilitantes</w:t>
      </w:r>
      <w:r w:rsidRPr="00AA4753">
        <w:rPr>
          <w:rFonts w:ascii="Palatino Linotype" w:hAnsi="Palatino Linotype"/>
          <w:sz w:val="22"/>
          <w:szCs w:val="22"/>
          <w:lang w:val="es-EC"/>
        </w:rPr>
        <w:t>;</w:t>
      </w:r>
      <w:r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725931" w:rsidRPr="00AA4753" w:rsidRDefault="00725931" w:rsidP="00725931">
      <w:pPr>
        <w:spacing w:after="240" w:line="276" w:lineRule="auto"/>
        <w:jc w:val="both"/>
        <w:rPr>
          <w:rFonts w:ascii="Palatino Linotype" w:hAnsi="Palatino Linotype"/>
          <w:sz w:val="22"/>
          <w:szCs w:val="22"/>
          <w:lang w:val="es-ES_tradnl"/>
        </w:rPr>
      </w:pPr>
      <w:r>
        <w:rPr>
          <w:rFonts w:ascii="Palatino Linotype" w:hAnsi="Palatino Linotype"/>
          <w:sz w:val="22"/>
          <w:szCs w:val="22"/>
          <w:lang w:val="es-ES_tradnl"/>
        </w:rPr>
        <w:t>La inscripción de la presente ordenanza servirá como título de dominio de los beneficiarios para efectos del perfeccionamiento de la transferencia de áreas verdes, en caso de que existan.</w:t>
      </w:r>
    </w:p>
    <w:p w:rsidR="00725931" w:rsidRPr="00C41E72" w:rsidRDefault="00725931" w:rsidP="00725931">
      <w:pPr>
        <w:spacing w:after="240" w:line="276" w:lineRule="auto"/>
        <w:jc w:val="both"/>
        <w:rPr>
          <w:rFonts w:ascii="Palatino Linotype" w:hAnsi="Palatino Linotype" w:cs="Arial"/>
          <w:sz w:val="22"/>
          <w:szCs w:val="22"/>
          <w:lang w:val="es-ES_tradnl"/>
        </w:rPr>
      </w:pPr>
      <w:r w:rsidRPr="00C41E72">
        <w:rPr>
          <w:rFonts w:ascii="Palatino Linotype" w:hAnsi="Palatino Linotype" w:cs="Arial"/>
          <w:b/>
          <w:sz w:val="22"/>
          <w:szCs w:val="22"/>
          <w:lang w:val="es-ES_tradnl"/>
        </w:rPr>
        <w:t>Artículo 1</w:t>
      </w:r>
      <w:r w:rsidR="000E1A91">
        <w:rPr>
          <w:rFonts w:ascii="Palatino Linotype" w:hAnsi="Palatino Linotype" w:cs="Arial"/>
          <w:b/>
          <w:sz w:val="22"/>
          <w:szCs w:val="22"/>
          <w:lang w:val="es-ES_tradnl"/>
        </w:rPr>
        <w:t>5</w:t>
      </w:r>
      <w:r w:rsidRPr="00C41E72">
        <w:rPr>
          <w:rFonts w:ascii="Palatino Linotype" w:hAnsi="Palatino Linotype" w:cs="Arial"/>
          <w:b/>
          <w:sz w:val="22"/>
          <w:szCs w:val="22"/>
          <w:lang w:val="es-ES_tradnl"/>
        </w:rPr>
        <w:t xml:space="preserve">.- </w:t>
      </w:r>
      <w:r w:rsidRPr="008E0D52">
        <w:rPr>
          <w:rFonts w:ascii="Palatino Linotype" w:hAnsi="Palatino Linotype" w:cs="Arial"/>
          <w:b/>
          <w:sz w:val="22"/>
          <w:szCs w:val="22"/>
          <w:lang w:val="es-ES_tradnl"/>
        </w:rPr>
        <w:t>De la partición y adjudicación.-</w:t>
      </w:r>
      <w:r w:rsidRPr="00C41E72">
        <w:rPr>
          <w:rFonts w:ascii="Palatino Linotype" w:hAnsi="Palatino Linotype" w:cs="Arial"/>
          <w:sz w:val="22"/>
          <w:szCs w:val="22"/>
          <w:lang w:val="es-ES_tradnl"/>
        </w:rPr>
        <w:t xml:space="preserve"> Se faculta al señor Alcalde para que mediante 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Pr="002D6217">
        <w:rPr>
          <w:rFonts w:ascii="Palatino Linotype" w:hAnsi="Palatino Linotype" w:cs="Arial"/>
          <w:sz w:val="22"/>
          <w:szCs w:val="22"/>
          <w:lang w:val="es-ES_tradnl"/>
        </w:rPr>
        <w:t xml:space="preserve">  </w:t>
      </w:r>
    </w:p>
    <w:p w:rsidR="00725931" w:rsidRPr="00AA4753"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sidR="000E1A91">
        <w:rPr>
          <w:rFonts w:ascii="Palatino Linotype" w:hAnsi="Palatino Linotype"/>
          <w:b/>
          <w:sz w:val="22"/>
          <w:szCs w:val="22"/>
          <w:lang w:val="es-EC"/>
        </w:rPr>
        <w:t>6</w:t>
      </w:r>
      <w:r w:rsidRPr="00AA4753">
        <w:rPr>
          <w:rFonts w:ascii="Palatino Linotype" w:hAnsi="Palatino Linotype"/>
          <w:b/>
          <w:sz w:val="22"/>
          <w:szCs w:val="22"/>
          <w:lang w:val="es-EC"/>
        </w:rPr>
        <w:t xml:space="preserve">.- Potestad de ejecución.- </w:t>
      </w:r>
      <w:r w:rsidRPr="00AA4753">
        <w:rPr>
          <w:rFonts w:ascii="Palatino Linotype" w:hAnsi="Palatino Linotype"/>
          <w:sz w:val="22"/>
          <w:szCs w:val="22"/>
          <w:lang w:val="es-EC"/>
        </w:rPr>
        <w:t xml:space="preserve">Para el fiel cumplimiento de las disposiciones de esta ordenanza, y en caso de que no se hayan cumplido los plazos establecidos, se podrá solicitar </w:t>
      </w:r>
      <w:r w:rsidRPr="00AA4753">
        <w:rPr>
          <w:rFonts w:ascii="Palatino Linotype" w:hAnsi="Palatino Linotype"/>
          <w:sz w:val="22"/>
          <w:szCs w:val="22"/>
          <w:lang w:val="es-EC"/>
        </w:rPr>
        <w:lastRenderedPageBreak/>
        <w:t>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725931" w:rsidRPr="00AA4753" w:rsidRDefault="00725931" w:rsidP="00725931">
      <w:pPr>
        <w:spacing w:after="240" w:line="276" w:lineRule="auto"/>
        <w:jc w:val="both"/>
        <w:rPr>
          <w:rFonts w:ascii="Palatino Linotype" w:hAnsi="Palatino Linotype"/>
          <w:bCs/>
          <w:sz w:val="22"/>
          <w:szCs w:val="22"/>
          <w:lang w:val="es-ES_tradnl"/>
        </w:rPr>
      </w:pPr>
      <w:r w:rsidRPr="00AA4753">
        <w:rPr>
          <w:rFonts w:ascii="Palatino Linotype" w:hAnsi="Palatino Linotype"/>
          <w:b/>
          <w:bCs/>
          <w:sz w:val="22"/>
          <w:szCs w:val="22"/>
          <w:lang w:val="es-ES_tradnl"/>
        </w:rPr>
        <w:t>Artículo 1</w:t>
      </w:r>
      <w:r w:rsidR="000E1A91">
        <w:rPr>
          <w:rFonts w:ascii="Palatino Linotype" w:hAnsi="Palatino Linotype"/>
          <w:b/>
          <w:bCs/>
          <w:sz w:val="22"/>
          <w:szCs w:val="22"/>
          <w:lang w:val="es-ES_tradnl"/>
        </w:rPr>
        <w:t>7</w:t>
      </w:r>
      <w:r w:rsidRPr="00AA4753">
        <w:rPr>
          <w:rFonts w:ascii="Palatino Linotype" w:hAnsi="Palatino Linotype"/>
          <w:b/>
          <w:bCs/>
          <w:sz w:val="22"/>
          <w:szCs w:val="22"/>
          <w:lang w:val="es-ES_tradnl"/>
        </w:rPr>
        <w:t xml:space="preserve">.- Solicitudes de ampliación de plazo.- </w:t>
      </w:r>
      <w:r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E608E3" w:rsidRPr="00D003F3" w:rsidRDefault="00E608E3" w:rsidP="00E608E3">
      <w:pPr>
        <w:spacing w:after="24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General.- </w:t>
      </w:r>
      <w:r>
        <w:rPr>
          <w:rFonts w:ascii="Palatino Linotype" w:hAnsi="Palatino Linotype"/>
          <w:bCs/>
          <w:sz w:val="22"/>
          <w:szCs w:val="22"/>
          <w:lang w:val="es-ES_tradnl"/>
        </w:rPr>
        <w:t>La Unidad Especial Regula Tu Barrio, una vez sancionada la presente Ordenanza, deberá informar a la Secretaría de Territorio, Hábitat y Vivienda, de manera exacta, las dimensiones y georreferenciación de los inmuebles objeto de la presente ordenanza.</w:t>
      </w:r>
    </w:p>
    <w:p w:rsidR="00BA5D17" w:rsidRPr="00C94C65" w:rsidRDefault="00BA5D17" w:rsidP="00725931">
      <w:pPr>
        <w:spacing w:after="240" w:line="276" w:lineRule="auto"/>
        <w:jc w:val="both"/>
        <w:rPr>
          <w:rFonts w:ascii="Palatino Linotype" w:hAnsi="Palatino Linotype" w:cs="Arial"/>
          <w:bCs/>
          <w:sz w:val="22"/>
          <w:szCs w:val="22"/>
          <w:lang w:val="es-ES_tradnl"/>
        </w:rPr>
      </w:pPr>
      <w:r w:rsidRPr="00D23741">
        <w:rPr>
          <w:rFonts w:ascii="Palatino Linotype" w:hAnsi="Palatino Linotype" w:cs="Arial"/>
          <w:b/>
          <w:sz w:val="22"/>
          <w:szCs w:val="22"/>
          <w:lang w:val="es-ES_tradnl"/>
        </w:rPr>
        <w:t>Dispo</w:t>
      </w:r>
      <w:r w:rsidR="00816DB2">
        <w:rPr>
          <w:rFonts w:ascii="Palatino Linotype" w:hAnsi="Palatino Linotype" w:cs="Arial"/>
          <w:b/>
          <w:sz w:val="22"/>
          <w:szCs w:val="22"/>
          <w:lang w:val="es-ES_tradnl"/>
        </w:rPr>
        <w:t>sición f</w:t>
      </w:r>
      <w:r w:rsidRPr="00D23741">
        <w:rPr>
          <w:rFonts w:ascii="Palatino Linotype" w:hAnsi="Palatino Linotype" w:cs="Arial"/>
          <w:b/>
          <w:sz w:val="22"/>
          <w:szCs w:val="22"/>
          <w:lang w:val="es-ES_tradnl"/>
        </w:rPr>
        <w:t xml:space="preserve">inal.- </w:t>
      </w:r>
      <w:r w:rsidRPr="00D2374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w:t>
      </w:r>
      <w:r w:rsidRPr="00C94C65">
        <w:rPr>
          <w:rFonts w:ascii="Palatino Linotype" w:hAnsi="Palatino Linotype" w:cs="Arial"/>
          <w:bCs/>
          <w:sz w:val="22"/>
          <w:szCs w:val="22"/>
          <w:lang w:val="es-ES_tradnl"/>
        </w:rPr>
        <w:t xml:space="preserve"> de la Municipalidad.</w:t>
      </w:r>
    </w:p>
    <w:p w:rsidR="00302F52" w:rsidRPr="006336FA" w:rsidRDefault="00302F52" w:rsidP="00725931">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E608E3">
        <w:rPr>
          <w:rFonts w:ascii="Palatino Linotype" w:hAnsi="Palatino Linotype" w:cs="Arial"/>
          <w:sz w:val="22"/>
          <w:szCs w:val="22"/>
        </w:rPr>
        <w:t>28</w:t>
      </w:r>
      <w:r w:rsidRPr="006336FA">
        <w:rPr>
          <w:rFonts w:ascii="Palatino Linotype" w:hAnsi="Palatino Linotype" w:cs="Arial"/>
          <w:sz w:val="22"/>
          <w:szCs w:val="22"/>
        </w:rPr>
        <w:t xml:space="preserve"> de </w:t>
      </w:r>
      <w:r w:rsidR="00E608E3">
        <w:rPr>
          <w:rFonts w:ascii="Palatino Linotype" w:hAnsi="Palatino Linotype" w:cs="Arial"/>
          <w:sz w:val="22"/>
          <w:szCs w:val="22"/>
        </w:rPr>
        <w:t>julio</w:t>
      </w:r>
      <w:r w:rsidR="000A0F48" w:rsidRPr="006336FA">
        <w:rPr>
          <w:rFonts w:ascii="Palatino Linotype" w:hAnsi="Palatino Linotype" w:cs="Arial"/>
          <w:sz w:val="22"/>
          <w:szCs w:val="22"/>
        </w:rPr>
        <w:t xml:space="preserve">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A44DC3" w:rsidRDefault="00A44DC3" w:rsidP="00816DB2">
      <w:pPr>
        <w:pStyle w:val="Textopredeterminado"/>
        <w:shd w:val="clear" w:color="auto" w:fill="FFFFFF"/>
        <w:jc w:val="both"/>
        <w:rPr>
          <w:rFonts w:ascii="Palatino Linotype" w:hAnsi="Palatino Linotype" w:cs="Arial"/>
          <w:sz w:val="22"/>
          <w:szCs w:val="22"/>
          <w:lang w:val="es-ES"/>
        </w:rPr>
      </w:pPr>
    </w:p>
    <w:p w:rsidR="00816DB2" w:rsidRPr="006336FA" w:rsidRDefault="00816DB2" w:rsidP="00816DB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816DB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E608E3" w:rsidP="00816DB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5A7785">
              <w:rPr>
                <w:rFonts w:ascii="Palatino Linotype" w:hAnsi="Palatino Linotype" w:cs="Arial"/>
                <w:sz w:val="19"/>
                <w:szCs w:val="19"/>
              </w:rPr>
              <w:t xml:space="preserve"> María Elisa Holmes Roldós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816DB2">
            <w:pPr>
              <w:pStyle w:val="Textopredeterminado"/>
              <w:rPr>
                <w:rFonts w:ascii="Palatino Linotype" w:hAnsi="Palatino Linotype" w:cs="Arial"/>
                <w:b/>
                <w:sz w:val="19"/>
                <w:szCs w:val="19"/>
              </w:rPr>
            </w:pPr>
          </w:p>
        </w:tc>
      </w:tr>
    </w:tbl>
    <w:p w:rsidR="00302F52" w:rsidRPr="006336FA" w:rsidRDefault="00302F52" w:rsidP="00816DB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816DB2">
      <w:pPr>
        <w:pStyle w:val="Textosinformato"/>
        <w:jc w:val="both"/>
        <w:rPr>
          <w:rFonts w:ascii="Palatino Linotype" w:eastAsia="MS Mincho" w:hAnsi="Palatino Linotype" w:cs="Arial"/>
          <w:sz w:val="22"/>
          <w:szCs w:val="22"/>
        </w:rPr>
      </w:pPr>
    </w:p>
    <w:p w:rsidR="00302F52" w:rsidRPr="006336FA" w:rsidRDefault="005A7785" w:rsidP="00816DB2">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B2389C">
        <w:rPr>
          <w:rFonts w:ascii="Palatino Linotype" w:eastAsia="MS Mincho" w:hAnsi="Palatino Linotype" w:cs="Arial"/>
          <w:sz w:val="22"/>
          <w:szCs w:val="22"/>
        </w:rPr>
        <w:t>a</w:t>
      </w:r>
      <w:bookmarkStart w:id="0" w:name="_GoBack"/>
      <w:bookmarkEnd w:id="0"/>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E608E3">
        <w:rPr>
          <w:rFonts w:ascii="Palatino Linotype" w:eastAsia="MS Mincho" w:hAnsi="Palatino Linotype" w:cs="Arial"/>
          <w:sz w:val="22"/>
          <w:szCs w:val="22"/>
        </w:rPr>
        <w:t>7 de abril</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E608E3">
        <w:rPr>
          <w:rFonts w:ascii="Palatino Linotype" w:eastAsia="MS Mincho" w:hAnsi="Palatino Linotype" w:cs="Arial"/>
          <w:sz w:val="22"/>
          <w:szCs w:val="22"/>
        </w:rPr>
        <w:t>28</w:t>
      </w:r>
      <w:r w:rsidR="00302F52" w:rsidRPr="006336FA">
        <w:rPr>
          <w:rFonts w:ascii="Palatino Linotype" w:eastAsia="MS Mincho" w:hAnsi="Palatino Linotype" w:cs="Arial"/>
          <w:sz w:val="22"/>
          <w:szCs w:val="22"/>
        </w:rPr>
        <w:t xml:space="preserve"> de </w:t>
      </w:r>
      <w:r w:rsidR="00E608E3">
        <w:rPr>
          <w:rFonts w:ascii="Palatino Linotype" w:eastAsia="MS Mincho" w:hAnsi="Palatino Linotype" w:cs="Arial"/>
          <w:sz w:val="22"/>
          <w:szCs w:val="22"/>
        </w:rPr>
        <w:t>julio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Default="00302F52" w:rsidP="00816DB2">
      <w:pPr>
        <w:pStyle w:val="Textosinformato"/>
        <w:jc w:val="both"/>
        <w:rPr>
          <w:rFonts w:ascii="Palatino Linotype" w:eastAsia="MS Mincho" w:hAnsi="Palatino Linotype" w:cs="Arial"/>
          <w:sz w:val="22"/>
          <w:szCs w:val="22"/>
        </w:rPr>
      </w:pPr>
    </w:p>
    <w:p w:rsidR="00E608E3" w:rsidRPr="006336FA" w:rsidRDefault="00E608E3" w:rsidP="00816DB2">
      <w:pPr>
        <w:pStyle w:val="Textosinformato"/>
        <w:jc w:val="both"/>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Default="00302F52" w:rsidP="00816DB2">
      <w:pPr>
        <w:pStyle w:val="Textosinformato"/>
        <w:jc w:val="center"/>
        <w:rPr>
          <w:rFonts w:ascii="Palatino Linotype" w:eastAsia="MS Mincho" w:hAnsi="Palatino Linotype" w:cs="Arial"/>
          <w:sz w:val="22"/>
          <w:szCs w:val="22"/>
        </w:rPr>
      </w:pPr>
    </w:p>
    <w:p w:rsidR="00E608E3" w:rsidRDefault="00E608E3" w:rsidP="00816DB2">
      <w:pPr>
        <w:pStyle w:val="Textosinformato"/>
        <w:jc w:val="center"/>
        <w:rPr>
          <w:rFonts w:ascii="Palatino Linotype" w:eastAsia="MS Mincho" w:hAnsi="Palatino Linotype" w:cs="Arial"/>
          <w:sz w:val="22"/>
          <w:szCs w:val="22"/>
        </w:rPr>
      </w:pPr>
    </w:p>
    <w:p w:rsidR="00E608E3" w:rsidRDefault="00E608E3" w:rsidP="00816DB2">
      <w:pPr>
        <w:pStyle w:val="Textosinformato"/>
        <w:jc w:val="center"/>
        <w:rPr>
          <w:rFonts w:ascii="Palatino Linotype" w:eastAsia="MS Mincho" w:hAnsi="Palatino Linotype" w:cs="Arial"/>
          <w:sz w:val="22"/>
          <w:szCs w:val="22"/>
        </w:rPr>
      </w:pPr>
    </w:p>
    <w:p w:rsidR="00E608E3" w:rsidRDefault="00E608E3" w:rsidP="00816DB2">
      <w:pPr>
        <w:pStyle w:val="Textosinformato"/>
        <w:jc w:val="center"/>
        <w:rPr>
          <w:rFonts w:ascii="Palatino Linotype" w:eastAsia="MS Mincho" w:hAnsi="Palatino Linotype" w:cs="Arial"/>
          <w:sz w:val="22"/>
          <w:szCs w:val="22"/>
        </w:rPr>
      </w:pPr>
    </w:p>
    <w:p w:rsidR="00E608E3" w:rsidRPr="006336FA" w:rsidRDefault="00E608E3"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816DB2">
      <w:pPr>
        <w:pStyle w:val="Textosinformato"/>
        <w:jc w:val="center"/>
        <w:rPr>
          <w:rFonts w:ascii="Palatino Linotype" w:eastAsia="MS Mincho" w:hAnsi="Palatino Linotype" w:cs="Arial"/>
          <w:b/>
          <w:sz w:val="22"/>
          <w:szCs w:val="22"/>
        </w:rPr>
      </w:pPr>
    </w:p>
    <w:p w:rsidR="00302F52" w:rsidRPr="006336FA" w:rsidRDefault="00302F52" w:rsidP="00816DB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816DB2">
      <w:pPr>
        <w:pStyle w:val="Textosinformato"/>
        <w:jc w:val="center"/>
        <w:rPr>
          <w:rFonts w:ascii="Palatino Linotype" w:eastAsia="MS Mincho" w:hAnsi="Palatino Linotype" w:cs="Arial"/>
          <w:sz w:val="22"/>
          <w:szCs w:val="22"/>
        </w:rPr>
      </w:pPr>
    </w:p>
    <w:p w:rsidR="002D3569" w:rsidRPr="006336FA" w:rsidRDefault="002D3569"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816DB2">
      <w:pPr>
        <w:pStyle w:val="Textosinformato"/>
        <w:tabs>
          <w:tab w:val="right" w:pos="8504"/>
        </w:tabs>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5A7785"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E608E3" w:rsidRDefault="00E608E3" w:rsidP="00E608E3">
      <w:pPr>
        <w:pStyle w:val="Textosinformato"/>
        <w:spacing w:after="240" w:line="276" w:lineRule="auto"/>
        <w:rPr>
          <w:rFonts w:ascii="Palatino Linotype" w:eastAsia="MS Mincho" w:hAnsi="Palatino Linotype" w:cs="Arial"/>
          <w:b/>
          <w:bCs/>
          <w:sz w:val="14"/>
          <w:szCs w:val="14"/>
        </w:rPr>
      </w:pPr>
      <w:r>
        <w:rPr>
          <w:rFonts w:ascii="Palatino Linotype" w:eastAsia="MS Mincho" w:hAnsi="Palatino Linotype" w:cs="Arial"/>
          <w:b/>
          <w:bCs/>
          <w:sz w:val="14"/>
          <w:szCs w:val="14"/>
        </w:rPr>
        <w:t>DSCS</w:t>
      </w:r>
    </w:p>
    <w:sectPr w:rsidR="00CA554A" w:rsidRPr="00E608E3"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9C" w:rsidRDefault="00B2389C" w:rsidP="00B14643">
      <w:r>
        <w:separator/>
      </w:r>
    </w:p>
  </w:endnote>
  <w:endnote w:type="continuationSeparator" w:id="0">
    <w:p w:rsidR="00B2389C" w:rsidRDefault="00B2389C"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9C" w:rsidRPr="00723B61" w:rsidRDefault="00B2389C">
    <w:pPr>
      <w:pStyle w:val="Piedepgina"/>
      <w:jc w:val="right"/>
      <w:rPr>
        <w:rFonts w:ascii="Palatino Linotype" w:hAnsi="Palatino Linotype"/>
      </w:rPr>
    </w:pPr>
  </w:p>
  <w:p w:rsidR="00B2389C" w:rsidRDefault="00B238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9C" w:rsidRPr="00723B61" w:rsidRDefault="00B2389C"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A21757">
      <w:rPr>
        <w:rFonts w:ascii="Palatino Linotype" w:hAnsi="Palatino Linotype"/>
        <w:b/>
        <w:noProof/>
      </w:rPr>
      <w:t>11</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11</w:t>
    </w:r>
  </w:p>
  <w:p w:rsidR="00B2389C" w:rsidRDefault="00B238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9C" w:rsidRDefault="00B2389C" w:rsidP="00B14643">
      <w:r>
        <w:separator/>
      </w:r>
    </w:p>
  </w:footnote>
  <w:footnote w:type="continuationSeparator" w:id="0">
    <w:p w:rsidR="00B2389C" w:rsidRDefault="00B2389C"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9C" w:rsidRDefault="00B2389C">
    <w:pPr>
      <w:pStyle w:val="Encabezado"/>
      <w:rPr>
        <w:lang w:val="es-EC"/>
      </w:rPr>
    </w:pPr>
  </w:p>
  <w:p w:rsidR="00B2389C" w:rsidRDefault="00B2389C">
    <w:pPr>
      <w:pStyle w:val="Encabezado"/>
      <w:rPr>
        <w:lang w:val="es-EC"/>
      </w:rPr>
    </w:pPr>
  </w:p>
  <w:p w:rsidR="00B2389C" w:rsidRDefault="00B2389C">
    <w:pPr>
      <w:pStyle w:val="Encabezado"/>
      <w:rPr>
        <w:lang w:val="es-EC"/>
      </w:rPr>
    </w:pPr>
  </w:p>
  <w:p w:rsidR="00B2389C" w:rsidRDefault="00B2389C">
    <w:pPr>
      <w:pStyle w:val="Encabezado"/>
      <w:rPr>
        <w:lang w:val="es-EC"/>
      </w:rPr>
    </w:pPr>
  </w:p>
  <w:p w:rsidR="00B2389C" w:rsidRDefault="00B2389C" w:rsidP="00150606">
    <w:pPr>
      <w:pStyle w:val="Ttulo"/>
      <w:rPr>
        <w:rFonts w:ascii="Palatino Linotype" w:hAnsi="Palatino Linotype" w:cs="Arial"/>
        <w:sz w:val="22"/>
        <w:szCs w:val="22"/>
      </w:rPr>
    </w:pPr>
  </w:p>
  <w:p w:rsidR="00B2389C" w:rsidRDefault="00B2389C" w:rsidP="00150606">
    <w:pPr>
      <w:pStyle w:val="Ttulo"/>
      <w:rPr>
        <w:rFonts w:ascii="Palatino Linotype" w:hAnsi="Palatino Linotype" w:cs="Arial"/>
        <w:sz w:val="22"/>
        <w:szCs w:val="22"/>
      </w:rPr>
    </w:pPr>
  </w:p>
  <w:p w:rsidR="00B2389C" w:rsidRDefault="00B2389C" w:rsidP="00150606">
    <w:pPr>
      <w:pStyle w:val="Ttulo"/>
      <w:rPr>
        <w:rFonts w:ascii="Palatino Linotype" w:hAnsi="Palatino Linotype" w:cs="Arial"/>
        <w:sz w:val="22"/>
        <w:szCs w:val="22"/>
      </w:rPr>
    </w:pPr>
  </w:p>
  <w:p w:rsidR="00B2389C" w:rsidRDefault="00B2389C" w:rsidP="00150606">
    <w:pPr>
      <w:pStyle w:val="Ttulo"/>
      <w:rPr>
        <w:rFonts w:ascii="Palatino Linotype" w:hAnsi="Palatino Linotype" w:cs="Arial"/>
        <w:sz w:val="22"/>
        <w:szCs w:val="22"/>
      </w:rPr>
    </w:pPr>
  </w:p>
  <w:p w:rsidR="00B2389C" w:rsidRPr="005848EF" w:rsidRDefault="00B2389C" w:rsidP="005848EF">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9C" w:rsidRDefault="00B238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9C" w:rsidRDefault="00B2389C" w:rsidP="002D3569">
    <w:pPr>
      <w:pStyle w:val="Ttulo"/>
      <w:rPr>
        <w:rFonts w:ascii="Palatino Linotype" w:hAnsi="Palatino Linotype" w:cs="Arial"/>
        <w:sz w:val="22"/>
        <w:szCs w:val="22"/>
      </w:rPr>
    </w:pPr>
  </w:p>
  <w:p w:rsidR="00B2389C" w:rsidRDefault="00B2389C" w:rsidP="002D3569">
    <w:pPr>
      <w:pStyle w:val="Ttulo"/>
      <w:rPr>
        <w:rFonts w:ascii="Palatino Linotype" w:hAnsi="Palatino Linotype" w:cs="Arial"/>
        <w:sz w:val="22"/>
        <w:szCs w:val="22"/>
      </w:rPr>
    </w:pPr>
  </w:p>
  <w:p w:rsidR="00B2389C" w:rsidRDefault="00B2389C" w:rsidP="002D3569">
    <w:pPr>
      <w:pStyle w:val="Ttulo"/>
      <w:rPr>
        <w:rFonts w:ascii="Palatino Linotype" w:hAnsi="Palatino Linotype" w:cs="Arial"/>
        <w:sz w:val="22"/>
        <w:szCs w:val="22"/>
      </w:rPr>
    </w:pPr>
  </w:p>
  <w:p w:rsidR="00B2389C" w:rsidRDefault="00B2389C" w:rsidP="002D3569">
    <w:pPr>
      <w:pStyle w:val="Ttulo"/>
      <w:rPr>
        <w:rFonts w:ascii="Palatino Linotype" w:hAnsi="Palatino Linotype" w:cs="Arial"/>
        <w:sz w:val="22"/>
        <w:szCs w:val="22"/>
      </w:rPr>
    </w:pPr>
  </w:p>
  <w:p w:rsidR="00B2389C" w:rsidRDefault="00B2389C" w:rsidP="002D3569">
    <w:pPr>
      <w:pStyle w:val="Ttulo"/>
      <w:rPr>
        <w:rFonts w:ascii="Palatino Linotype" w:hAnsi="Palatino Linotype" w:cs="Arial"/>
        <w:sz w:val="22"/>
        <w:szCs w:val="22"/>
      </w:rPr>
    </w:pPr>
  </w:p>
  <w:p w:rsidR="00B2389C" w:rsidRDefault="00B2389C" w:rsidP="002D3569">
    <w:pPr>
      <w:pStyle w:val="Ttulo"/>
      <w:rPr>
        <w:rFonts w:ascii="Palatino Linotype" w:hAnsi="Palatino Linotype" w:cs="Arial"/>
        <w:sz w:val="22"/>
        <w:szCs w:val="22"/>
      </w:rPr>
    </w:pPr>
  </w:p>
  <w:p w:rsidR="00B2389C" w:rsidRDefault="00B2389C" w:rsidP="002D3569">
    <w:pPr>
      <w:pStyle w:val="Ttulo"/>
      <w:rPr>
        <w:rFonts w:ascii="Palatino Linotype" w:hAnsi="Palatino Linotype" w:cs="Arial"/>
        <w:sz w:val="22"/>
        <w:szCs w:val="22"/>
      </w:rPr>
    </w:pPr>
  </w:p>
  <w:p w:rsidR="00B2389C" w:rsidRPr="00476B21" w:rsidRDefault="00B2389C"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2389C" w:rsidRDefault="00B2389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9C" w:rsidRDefault="00B238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5">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
  </w:num>
  <w:num w:numId="11">
    <w:abstractNumId w:val="34"/>
  </w:num>
  <w:num w:numId="12">
    <w:abstractNumId w:val="1"/>
  </w:num>
  <w:num w:numId="13">
    <w:abstractNumId w:val="35"/>
  </w:num>
  <w:num w:numId="14">
    <w:abstractNumId w:val="28"/>
  </w:num>
  <w:num w:numId="15">
    <w:abstractNumId w:val="13"/>
  </w:num>
  <w:num w:numId="16">
    <w:abstractNumId w:val="18"/>
  </w:num>
  <w:num w:numId="17">
    <w:abstractNumId w:val="12"/>
  </w:num>
  <w:num w:numId="18">
    <w:abstractNumId w:val="29"/>
  </w:num>
  <w:num w:numId="19">
    <w:abstractNumId w:val="8"/>
  </w:num>
  <w:num w:numId="20">
    <w:abstractNumId w:val="23"/>
  </w:num>
  <w:num w:numId="21">
    <w:abstractNumId w:val="32"/>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5"/>
  </w:num>
  <w:num w:numId="28">
    <w:abstractNumId w:val="21"/>
  </w:num>
  <w:num w:numId="29">
    <w:abstractNumId w:val="33"/>
  </w:num>
  <w:num w:numId="30">
    <w:abstractNumId w:val="11"/>
  </w:num>
  <w:num w:numId="31">
    <w:abstractNumId w:val="27"/>
  </w:num>
  <w:num w:numId="32">
    <w:abstractNumId w:val="14"/>
  </w:num>
  <w:num w:numId="33">
    <w:abstractNumId w:val="24"/>
  </w:num>
  <w:num w:numId="34">
    <w:abstractNumId w:val="6"/>
  </w:num>
  <w:num w:numId="35">
    <w:abstractNumId w:val="16"/>
  </w:num>
  <w:num w:numId="36">
    <w:abstractNumId w:val="15"/>
  </w:num>
  <w:num w:numId="37">
    <w:abstractNumId w:val="36"/>
  </w:num>
  <w:num w:numId="38">
    <w:abstractNumId w:val="3"/>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1A91"/>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48EF"/>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0F6B"/>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1757"/>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3C31"/>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389C"/>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0832"/>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291"/>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08E3"/>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104C-8A7B-4699-A1CB-1A185CB3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3767</Words>
  <Characters>20749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4</cp:revision>
  <cp:lastPrinted>2016-08-01T20:27:00Z</cp:lastPrinted>
  <dcterms:created xsi:type="dcterms:W3CDTF">2016-08-01T20:01:00Z</dcterms:created>
  <dcterms:modified xsi:type="dcterms:W3CDTF">2016-08-01T20:45:00Z</dcterms:modified>
</cp:coreProperties>
</file>