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725931">
      <w:pPr>
        <w:pStyle w:val="Ttulo"/>
        <w:tabs>
          <w:tab w:val="left" w:pos="6379"/>
        </w:tabs>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661E84">
        <w:rPr>
          <w:rFonts w:ascii="Palatino Linotype" w:hAnsi="Palatino Linotype" w:cs="Arial"/>
          <w:b w:val="0"/>
          <w:sz w:val="22"/>
          <w:szCs w:val="22"/>
        </w:rPr>
        <w:t>“</w:t>
      </w:r>
      <w:r w:rsidR="001D27BC">
        <w:rPr>
          <w:rFonts w:ascii="Palatino Linotype" w:hAnsi="Palatino Linotype" w:cs="Arial"/>
          <w:b w:val="0"/>
          <w:sz w:val="22"/>
          <w:szCs w:val="22"/>
        </w:rPr>
        <w:t>Nuestra Señora de Agua Santa</w:t>
      </w:r>
      <w:r w:rsidR="00661E84">
        <w:rPr>
          <w:rFonts w:ascii="Palatino Linotype" w:hAnsi="Palatino Linotype" w:cs="Arial"/>
          <w:b w:val="0"/>
          <w:sz w:val="22"/>
          <w:szCs w:val="22"/>
        </w:rPr>
        <w:t>”</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sidR="001D27BC">
        <w:rPr>
          <w:rFonts w:ascii="Palatino Linotype" w:hAnsi="Palatino Linotype" w:cs="Arial"/>
          <w:b w:val="0"/>
          <w:sz w:val="22"/>
          <w:szCs w:val="22"/>
        </w:rPr>
        <w:t>26</w:t>
      </w:r>
      <w:r w:rsidRPr="00BA196D">
        <w:rPr>
          <w:rFonts w:ascii="Palatino Linotype" w:hAnsi="Palatino Linotype" w:cs="Arial"/>
          <w:b w:val="0"/>
          <w:sz w:val="22"/>
          <w:szCs w:val="22"/>
        </w:rPr>
        <w:t xml:space="preserve"> años de asentamiento</w:t>
      </w:r>
      <w:r w:rsidR="001D27BC">
        <w:rPr>
          <w:rFonts w:ascii="Palatino Linotype" w:hAnsi="Palatino Linotype" w:cs="Arial"/>
          <w:b w:val="0"/>
          <w:sz w:val="22"/>
          <w:szCs w:val="22"/>
        </w:rPr>
        <w:t>, 25 socios, 25 lotes</w:t>
      </w:r>
      <w:r>
        <w:rPr>
          <w:rFonts w:ascii="Palatino Linotype" w:hAnsi="Palatino Linotype" w:cs="Arial"/>
          <w:b w:val="0"/>
          <w:sz w:val="22"/>
          <w:szCs w:val="22"/>
        </w:rPr>
        <w:t xml:space="preserve"> y </w:t>
      </w:r>
      <w:r w:rsidR="001D27BC">
        <w:rPr>
          <w:rFonts w:ascii="Palatino Linotype" w:hAnsi="Palatino Linotype" w:cs="Arial"/>
          <w:b w:val="0"/>
          <w:sz w:val="22"/>
          <w:szCs w:val="22"/>
        </w:rPr>
        <w:t>100</w:t>
      </w:r>
      <w:r w:rsidR="00D23741">
        <w:rPr>
          <w:rFonts w:ascii="Palatino Linotype" w:hAnsi="Palatino Linotype" w:cs="Arial"/>
          <w:b w:val="0"/>
          <w:sz w:val="22"/>
          <w:szCs w:val="22"/>
        </w:rPr>
        <w:t xml:space="preserve"> </w:t>
      </w:r>
      <w:r>
        <w:rPr>
          <w:rFonts w:ascii="Palatino Linotype" w:hAnsi="Palatino Linotype" w:cs="Arial"/>
          <w:b w:val="0"/>
          <w:sz w:val="22"/>
          <w:szCs w:val="22"/>
        </w:rPr>
        <w:t>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w:t>
      </w:r>
      <w:r w:rsidR="00D23741" w:rsidRPr="006336FA">
        <w:rPr>
          <w:rFonts w:ascii="Palatino Linotype" w:hAnsi="Palatino Linotype" w:cs="Arial"/>
          <w:b w:val="0"/>
          <w:sz w:val="22"/>
          <w:szCs w:val="22"/>
        </w:rPr>
        <w:t>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661E84">
        <w:rPr>
          <w:rFonts w:ascii="Palatino Linotype" w:hAnsi="Palatino Linotype" w:cs="Arial"/>
          <w:b w:val="0"/>
          <w:sz w:val="22"/>
          <w:szCs w:val="22"/>
        </w:rPr>
        <w:t>“</w:t>
      </w:r>
      <w:r w:rsidR="001D27BC">
        <w:rPr>
          <w:rFonts w:ascii="Palatino Linotype" w:hAnsi="Palatino Linotype" w:cs="Arial"/>
          <w:b w:val="0"/>
          <w:sz w:val="22"/>
          <w:szCs w:val="22"/>
        </w:rPr>
        <w:t>Nuestra Señora de Agua Santa</w:t>
      </w:r>
      <w:r w:rsidR="00661E84">
        <w:rPr>
          <w:rFonts w:ascii="Palatino Linotype" w:hAnsi="Palatino Linotype" w:cs="Arial"/>
          <w:b w:val="0"/>
          <w:sz w:val="22"/>
          <w:szCs w:val="22"/>
        </w:rPr>
        <w:t>”</w:t>
      </w:r>
      <w:r>
        <w:rPr>
          <w:rFonts w:ascii="Palatino Linotype" w:hAnsi="Palatino Linotype" w:cs="Arial"/>
          <w:b w:val="0"/>
          <w:sz w:val="22"/>
          <w:szCs w:val="22"/>
        </w:rPr>
        <w:t>, a fin de garantizar a los beneficiarios el ejercicio de su derecho a la vivienda y el acceso a servicios básicos de calidad</w:t>
      </w:r>
      <w:r w:rsidR="000834C9">
        <w:rPr>
          <w:rFonts w:ascii="Palatino Linotype" w:hAnsi="Palatino Linotype" w:cs="Arial"/>
          <w:b w:val="0"/>
          <w:sz w:val="22"/>
          <w:szCs w:val="22"/>
        </w:rPr>
        <w:t>.</w:t>
      </w:r>
      <w:bookmarkStart w:id="0" w:name="_GoBack"/>
      <w:bookmarkEnd w:id="0"/>
    </w:p>
    <w:p w:rsidR="003078EC" w:rsidRPr="006336FA" w:rsidRDefault="003078EC" w:rsidP="00725931">
      <w:pPr>
        <w:pStyle w:val="Ttulo"/>
        <w:spacing w:after="240" w:line="276" w:lineRule="auto"/>
        <w:rPr>
          <w:rFonts w:ascii="Palatino Linotype" w:hAnsi="Palatino Linotype" w:cs="Arial"/>
          <w:sz w:val="22"/>
          <w:szCs w:val="22"/>
        </w:rPr>
      </w:pPr>
    </w:p>
    <w:p w:rsidR="003078EC" w:rsidRPr="006336FA" w:rsidRDefault="003078EC" w:rsidP="00725931">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725931">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F15F97" w:rsidRPr="006336FA" w:rsidRDefault="00F15F97" w:rsidP="00F15F97">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Visto</w:t>
      </w:r>
      <w:r>
        <w:rPr>
          <w:rFonts w:ascii="Palatino Linotype" w:hAnsi="Palatino Linotype" w:cs="Arial"/>
          <w:sz w:val="22"/>
          <w:szCs w:val="22"/>
        </w:rPr>
        <w:t>s</w:t>
      </w:r>
      <w:r w:rsidRPr="006336FA">
        <w:rPr>
          <w:rFonts w:ascii="Palatino Linotype" w:hAnsi="Palatino Linotype" w:cs="Arial"/>
          <w:sz w:val="22"/>
          <w:szCs w:val="22"/>
        </w:rPr>
        <w:t xml:space="preserve"> </w:t>
      </w:r>
      <w:r>
        <w:rPr>
          <w:rFonts w:ascii="Palatino Linotype" w:hAnsi="Palatino Linotype" w:cs="Arial"/>
          <w:sz w:val="22"/>
          <w:szCs w:val="22"/>
        </w:rPr>
        <w:t>los</w:t>
      </w:r>
      <w:r w:rsidRPr="006336FA">
        <w:rPr>
          <w:rFonts w:ascii="Palatino Linotype" w:hAnsi="Palatino Linotype" w:cs="Arial"/>
          <w:sz w:val="22"/>
          <w:szCs w:val="22"/>
        </w:rPr>
        <w:t xml:space="preserve"> Informe</w:t>
      </w:r>
      <w:r>
        <w:rPr>
          <w:rFonts w:ascii="Palatino Linotype" w:hAnsi="Palatino Linotype" w:cs="Arial"/>
          <w:sz w:val="22"/>
          <w:szCs w:val="22"/>
        </w:rPr>
        <w:t>s</w:t>
      </w:r>
      <w:r w:rsidRPr="006336FA">
        <w:rPr>
          <w:rFonts w:ascii="Palatino Linotype" w:hAnsi="Palatino Linotype" w:cs="Arial"/>
          <w:sz w:val="22"/>
          <w:szCs w:val="22"/>
        </w:rPr>
        <w:t xml:space="preserve"> No</w:t>
      </w:r>
      <w:r>
        <w:rPr>
          <w:rFonts w:ascii="Palatino Linotype" w:hAnsi="Palatino Linotype" w:cs="Arial"/>
          <w:sz w:val="22"/>
          <w:szCs w:val="22"/>
        </w:rPr>
        <w:t>s</w:t>
      </w:r>
      <w:r w:rsidRPr="006336FA">
        <w:rPr>
          <w:rFonts w:ascii="Palatino Linotype" w:hAnsi="Palatino Linotype" w:cs="Arial"/>
          <w:sz w:val="22"/>
          <w:szCs w:val="22"/>
        </w:rPr>
        <w:t>. 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 xml:space="preserve">044 e </w:t>
      </w:r>
      <w:r w:rsidRPr="006336FA">
        <w:rPr>
          <w:rFonts w:ascii="Palatino Linotype" w:hAnsi="Palatino Linotype" w:cs="Arial"/>
          <w:sz w:val="22"/>
          <w:szCs w:val="22"/>
        </w:rPr>
        <w:t>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130</w:t>
      </w:r>
      <w:r w:rsidRPr="006336FA">
        <w:rPr>
          <w:rFonts w:ascii="Palatino Linotype" w:hAnsi="Palatino Linotype" w:cs="Arial"/>
          <w:sz w:val="22"/>
          <w:szCs w:val="22"/>
        </w:rPr>
        <w:t xml:space="preserve">, de </w:t>
      </w:r>
      <w:r>
        <w:rPr>
          <w:rFonts w:ascii="Palatino Linotype" w:hAnsi="Palatino Linotype" w:cs="Arial"/>
          <w:sz w:val="22"/>
          <w:szCs w:val="22"/>
        </w:rPr>
        <w:t>23</w:t>
      </w:r>
      <w:r w:rsidRPr="006336FA">
        <w:rPr>
          <w:rFonts w:ascii="Palatino Linotype" w:hAnsi="Palatino Linotype" w:cs="Arial"/>
          <w:sz w:val="22"/>
          <w:szCs w:val="22"/>
        </w:rPr>
        <w:t xml:space="preserve"> de </w:t>
      </w:r>
      <w:r>
        <w:rPr>
          <w:rFonts w:ascii="Palatino Linotype" w:hAnsi="Palatino Linotype" w:cs="Arial"/>
          <w:sz w:val="22"/>
          <w:szCs w:val="22"/>
        </w:rPr>
        <w:t>febrero y 11 de julio de 2016</w:t>
      </w:r>
      <w:r w:rsidRPr="006336FA">
        <w:rPr>
          <w:rFonts w:ascii="Palatino Linotype" w:hAnsi="Palatino Linotype" w:cs="Arial"/>
          <w:sz w:val="22"/>
          <w:szCs w:val="22"/>
        </w:rPr>
        <w:t xml:space="preserve">, </w:t>
      </w:r>
      <w:r>
        <w:rPr>
          <w:rFonts w:ascii="Palatino Linotype" w:hAnsi="Palatino Linotype" w:cs="Arial"/>
          <w:sz w:val="22"/>
          <w:szCs w:val="22"/>
        </w:rPr>
        <w:t xml:space="preserve">respectivamente, </w:t>
      </w:r>
      <w:r w:rsidRPr="006336FA">
        <w:rPr>
          <w:rFonts w:ascii="Palatino Linotype" w:hAnsi="Palatino Linotype" w:cs="Arial"/>
          <w:sz w:val="22"/>
          <w:szCs w:val="22"/>
        </w:rPr>
        <w:t>expedido</w:t>
      </w:r>
      <w:r>
        <w:rPr>
          <w:rFonts w:ascii="Palatino Linotype" w:hAnsi="Palatino Linotype" w:cs="Arial"/>
          <w:sz w:val="22"/>
          <w:szCs w:val="22"/>
        </w:rPr>
        <w:t>s</w:t>
      </w:r>
      <w:r w:rsidRPr="006336FA">
        <w:rPr>
          <w:rFonts w:ascii="Palatino Linotype" w:hAnsi="Palatino Linotype" w:cs="Arial"/>
          <w:sz w:val="22"/>
          <w:szCs w:val="22"/>
        </w:rPr>
        <w:t xml:space="preserve"> por la Comisión de Ordenamiento Territorial.</w:t>
      </w:r>
    </w:p>
    <w:p w:rsidR="001123C1" w:rsidRPr="006336FA" w:rsidRDefault="001123C1" w:rsidP="00725931">
      <w:pPr>
        <w:spacing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00077615" w:rsidRPr="006336FA">
        <w:rPr>
          <w:rFonts w:ascii="Palatino Linotype" w:hAnsi="Palatino Linotype" w:cs="Arial"/>
        </w:rPr>
        <w:tab/>
        <w:t>el numeral 1 del artí</w:t>
      </w:r>
      <w:r w:rsidRPr="006336FA">
        <w:rPr>
          <w:rFonts w:ascii="Palatino Linotype" w:hAnsi="Palatino Linotype" w:cs="Arial"/>
        </w:rPr>
        <w:t>culo 264 de la Constitución manifiesta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336FA">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 xml:space="preserve">x) Regular y </w:t>
      </w:r>
      <w:r w:rsidRPr="006336FA">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725931">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9E4B48" w:rsidRPr="007E3D3E" w:rsidRDefault="009E4B48" w:rsidP="009E4B48">
      <w:pPr>
        <w:pStyle w:val="Sinespaciado"/>
        <w:spacing w:after="240" w:line="276" w:lineRule="auto"/>
        <w:ind w:left="709" w:hanging="709"/>
        <w:jc w:val="both"/>
        <w:rPr>
          <w:rFonts w:ascii="Palatino Linotype" w:hAnsi="Palatino Linotype" w:cs="Arial"/>
          <w:bCs/>
          <w:i/>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la Disposición Transitoria Décima Cuarta del COOTAD, señala: “</w:t>
      </w:r>
      <w:r w:rsidRPr="007E3D3E">
        <w:rPr>
          <w:rFonts w:ascii="Palatino Linotype" w:hAnsi="Palatino Linotype" w:cs="Arial"/>
          <w:bCs/>
          <w:i/>
        </w:rPr>
        <w:t xml:space="preserve">(…) </w:t>
      </w:r>
      <w:r w:rsidRPr="007E3D3E">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7E3D3E">
        <w:rPr>
          <w:rFonts w:ascii="Palatino Linotype" w:hAnsi="Palatino Linotype" w:cs="Arial"/>
        </w:rPr>
        <w:t>.”;</w:t>
      </w:r>
    </w:p>
    <w:p w:rsidR="003843CA" w:rsidRPr="006336F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725931">
      <w:pPr>
        <w:pStyle w:val="Sinespaciado"/>
        <w:spacing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E4B48" w:rsidRPr="00D003F3" w:rsidRDefault="009E4B48" w:rsidP="009E4B48">
      <w:pPr>
        <w:pStyle w:val="Sinespaciado"/>
        <w:spacing w:after="240" w:line="276" w:lineRule="auto"/>
        <w:ind w:left="709" w:hanging="709"/>
        <w:jc w:val="both"/>
        <w:rPr>
          <w:rFonts w:ascii="Palatino Linotype" w:hAnsi="Palatino Linotype" w:cs="Arial"/>
          <w:bCs/>
        </w:rPr>
      </w:pPr>
      <w:r>
        <w:rPr>
          <w:rFonts w:ascii="Palatino Linotype" w:hAnsi="Palatino Linotype" w:cs="Arial"/>
          <w:b/>
          <w:bCs/>
        </w:rPr>
        <w:t xml:space="preserve">Que, </w:t>
      </w:r>
      <w:r>
        <w:rPr>
          <w:rFonts w:ascii="Palatino Linotype" w:hAnsi="Palatino Linotype" w:cs="Arial"/>
          <w:b/>
          <w:bCs/>
        </w:rPr>
        <w:tab/>
      </w:r>
      <w:r>
        <w:rPr>
          <w:rFonts w:ascii="Palatino Linotype" w:hAnsi="Palatino Linotype" w:cs="Arial"/>
          <w:bCs/>
        </w:rPr>
        <w:t>la Disposición Transitoria Sexta de la Ley Orgánica de Ordenamiento Territorial, Uso y Gestión de Suelo, establece que: “</w:t>
      </w:r>
      <w:r w:rsidRPr="00D003F3">
        <w:rPr>
          <w:rFonts w:ascii="Palatino Linotype" w:hAnsi="Palatino Linotype" w:cs="Arial"/>
          <w:bCs/>
          <w:i/>
        </w:rPr>
        <w:t xml:space="preserve">(…) </w:t>
      </w:r>
      <w:r w:rsidRPr="00D003F3">
        <w:rPr>
          <w:rFonts w:ascii="Palatino Linotype" w:eastAsia="Times New Roman" w:hAnsi="Palatino Linotype"/>
          <w:i/>
          <w:lang w:val="es-ES"/>
        </w:rPr>
        <w:t>Las licencias, permisos y autorizaciones concedidas de conformidad con la legislación existente anterior a la fecha de entrada en vigencia de la presente Ley, subsistirán por el tiempo en que fueren concedidos. (…) Las licencias, permisos y autorizaciones que se encuentren en trámite de aprobación deberán cumplir la normativa municipal existente anterior a la fecha de entrada en vigencia de la presente Ley.</w:t>
      </w:r>
      <w:r>
        <w:rPr>
          <w:rFonts w:ascii="Palatino Linotype" w:eastAsia="Times New Roman" w:hAnsi="Palatino Linotype"/>
          <w:lang w:val="es-ES"/>
        </w:rPr>
        <w:t>”;</w:t>
      </w:r>
    </w:p>
    <w:p w:rsidR="00725931" w:rsidRDefault="003843CA" w:rsidP="00725931">
      <w:pPr>
        <w:pStyle w:val="Sinespaciado"/>
        <w:spacing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la Unidad Regula Tu Barrio es la dependencia encargada de procesar, canalizar y resolver los procedimientos para la regularización de la ocupación informal del suelo, </w:t>
      </w:r>
      <w:r w:rsidRPr="006336FA">
        <w:rPr>
          <w:rFonts w:ascii="Palatino Linotype" w:hAnsi="Palatino Linotype" w:cs="Arial"/>
        </w:rPr>
        <w:lastRenderedPageBreak/>
        <w:t>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725931" w:rsidRPr="00725931" w:rsidRDefault="00725931" w:rsidP="00725931">
      <w:pPr>
        <w:pStyle w:val="Sinespaciado"/>
        <w:spacing w:after="240" w:line="276" w:lineRule="auto"/>
        <w:ind w:left="709" w:hanging="709"/>
        <w:jc w:val="both"/>
        <w:rPr>
          <w:rFonts w:ascii="Palatino Linotype" w:hAnsi="Palatino Linotype" w:cs="Arial"/>
        </w:rPr>
      </w:pPr>
      <w:r w:rsidRPr="00AA4753">
        <w:rPr>
          <w:rFonts w:ascii="Palatino Linotype" w:hAnsi="Palatino Linotype" w:cs="Arial"/>
          <w:b/>
          <w:bCs/>
        </w:rPr>
        <w:t>Que,</w:t>
      </w:r>
      <w:r>
        <w:rPr>
          <w:rFonts w:ascii="Palatino Linotype" w:hAnsi="Palatino Linotype" w:cs="Arial"/>
          <w:b/>
          <w:bCs/>
        </w:rPr>
        <w:t xml:space="preserve"> </w:t>
      </w:r>
      <w:r w:rsidRPr="009145DF">
        <w:rPr>
          <w:rFonts w:ascii="Palatino Linotype" w:hAnsi="Palatino Linotype"/>
        </w:rPr>
        <w:t>la Mesa Institu</w:t>
      </w:r>
      <w:r>
        <w:rPr>
          <w:rFonts w:ascii="Palatino Linotype" w:hAnsi="Palatino Linotype"/>
        </w:rPr>
        <w:t>cional de Trabajo, reunida el 9 de diciembre</w:t>
      </w:r>
      <w:r w:rsidRPr="009145DF">
        <w:rPr>
          <w:rFonts w:ascii="Palatino Linotype" w:hAnsi="Palatino Linotype"/>
        </w:rPr>
        <w:t xml:space="preserve"> de 2015, en la Administración Zonal Quitumbe, integrada por los representantes de los siguientes órganos y dependencias: Dr. Julio Cesar Añasco, Administrador Zonal Quitumbe; Arq. Miguel Hidalgo, Coordinador UERB-Q</w:t>
      </w:r>
      <w:r>
        <w:rPr>
          <w:rFonts w:ascii="Palatino Linotype" w:hAnsi="Palatino Linotype"/>
        </w:rPr>
        <w:t xml:space="preserve"> (E); Arq. Edgar Flores, D</w:t>
      </w:r>
      <w:r w:rsidRPr="009145DF">
        <w:rPr>
          <w:rFonts w:ascii="Palatino Linotype" w:hAnsi="Palatino Linotype"/>
        </w:rPr>
        <w:t>elegado de la Secretaría de Territorio, Hábitat y</w:t>
      </w:r>
      <w:r>
        <w:rPr>
          <w:rFonts w:ascii="Palatino Linotype" w:hAnsi="Palatino Linotype"/>
        </w:rPr>
        <w:t xml:space="preserve"> Vivienda; Sr. Miguel </w:t>
      </w:r>
      <w:proofErr w:type="spellStart"/>
      <w:r>
        <w:rPr>
          <w:rFonts w:ascii="Palatino Linotype" w:hAnsi="Palatino Linotype"/>
        </w:rPr>
        <w:t>Bosquez</w:t>
      </w:r>
      <w:proofErr w:type="spellEnd"/>
      <w:r>
        <w:rPr>
          <w:rFonts w:ascii="Palatino Linotype" w:hAnsi="Palatino Linotype"/>
        </w:rPr>
        <w:t>, D</w:t>
      </w:r>
      <w:r w:rsidRPr="009145DF">
        <w:rPr>
          <w:rFonts w:ascii="Palatino Linotype" w:hAnsi="Palatino Linotype"/>
        </w:rPr>
        <w:t>elegado de la  Dirección Metropolitana de C</w:t>
      </w:r>
      <w:r>
        <w:rPr>
          <w:rFonts w:ascii="Palatino Linotype" w:hAnsi="Palatino Linotype"/>
        </w:rPr>
        <w:t xml:space="preserve">atastro; Ing. Marco </w:t>
      </w:r>
      <w:proofErr w:type="spellStart"/>
      <w:r>
        <w:rPr>
          <w:rFonts w:ascii="Palatino Linotype" w:hAnsi="Palatino Linotype"/>
        </w:rPr>
        <w:t>Manobanda</w:t>
      </w:r>
      <w:proofErr w:type="spellEnd"/>
      <w:r>
        <w:rPr>
          <w:rFonts w:ascii="Palatino Linotype" w:hAnsi="Palatino Linotype"/>
        </w:rPr>
        <w:t>, D</w:t>
      </w:r>
      <w:r w:rsidRPr="009145DF">
        <w:rPr>
          <w:rFonts w:ascii="Palatino Linotype" w:hAnsi="Palatino Linotype"/>
        </w:rPr>
        <w:t>elegado de la Secretaría de Gestión de Riesgos; Arq. Alfonso Cevallos, Dirección de Gestión del Territorio Zonal Quitumbe, Dr. Patricio Endara, Dirección de Asesoría Jurídica Zona</w:t>
      </w:r>
      <w:r>
        <w:rPr>
          <w:rFonts w:ascii="Palatino Linotype" w:hAnsi="Palatino Linotype"/>
        </w:rPr>
        <w:t xml:space="preserve">l Quitumbe; Dr. Mario Guerra, Responsable Legal, </w:t>
      </w:r>
      <w:r w:rsidRPr="00D0713F">
        <w:rPr>
          <w:rFonts w:ascii="Palatino Linotype" w:hAnsi="Palatino Linotype"/>
        </w:rPr>
        <w:t xml:space="preserve">Lcda. </w:t>
      </w:r>
      <w:proofErr w:type="spellStart"/>
      <w:r w:rsidRPr="00D0713F">
        <w:rPr>
          <w:rFonts w:ascii="Palatino Linotype" w:hAnsi="Palatino Linotype"/>
        </w:rPr>
        <w:t>Gianyna</w:t>
      </w:r>
      <w:proofErr w:type="spellEnd"/>
      <w:r w:rsidRPr="00D0713F">
        <w:rPr>
          <w:rFonts w:ascii="Palatino Linotype" w:hAnsi="Palatino Linotype"/>
        </w:rPr>
        <w:t xml:space="preserve"> Rosero, Responsable Socio- Organizativo, de la Unidad Especial Regula Tu Barrio, </w:t>
      </w:r>
      <w:r w:rsidRPr="00D0713F">
        <w:rPr>
          <w:rFonts w:ascii="Palatino Linotype" w:hAnsi="Palatino Linotype"/>
          <w:iCs/>
        </w:rPr>
        <w:t xml:space="preserve">emitió el </w:t>
      </w:r>
      <w:r w:rsidRPr="00D0713F">
        <w:rPr>
          <w:rFonts w:ascii="Palatino Linotype" w:hAnsi="Palatino Linotype"/>
        </w:rPr>
        <w:t xml:space="preserve">informe No. </w:t>
      </w:r>
      <w:r w:rsidRPr="00C32F4F">
        <w:rPr>
          <w:rFonts w:ascii="Palatino Linotype" w:hAnsi="Palatino Linotype"/>
        </w:rPr>
        <w:t>020-</w:t>
      </w:r>
      <w:r w:rsidRPr="00A37016">
        <w:rPr>
          <w:rFonts w:ascii="Palatino Linotype" w:hAnsi="Palatino Linotype"/>
        </w:rPr>
        <w:t>UERB</w:t>
      </w:r>
      <w:r w:rsidRPr="00D0713F">
        <w:rPr>
          <w:rFonts w:ascii="Palatino Linotype" w:hAnsi="Palatino Linotype"/>
        </w:rPr>
        <w:t xml:space="preserve">-Q-SOLT-2015, para la aprobación del Asentamiento Humano de Hecho y </w:t>
      </w:r>
      <w:r w:rsidRPr="00A848D9">
        <w:rPr>
          <w:rFonts w:ascii="Palatino Linotype" w:hAnsi="Palatino Linotype"/>
        </w:rPr>
        <w:t xml:space="preserve">Consolidado denominado </w:t>
      </w:r>
      <w:r w:rsidRPr="00A848D9">
        <w:rPr>
          <w:rFonts w:ascii="Palatino Linotype" w:hAnsi="Palatino Linotype" w:cstheme="minorHAnsi"/>
        </w:rPr>
        <w:t>“Nu</w:t>
      </w:r>
      <w:r>
        <w:rPr>
          <w:rFonts w:ascii="Palatino Linotype" w:hAnsi="Palatino Linotype" w:cstheme="minorHAnsi"/>
        </w:rPr>
        <w:t>estras Señora de Agua Santa</w:t>
      </w:r>
      <w:r w:rsidRPr="00A848D9">
        <w:rPr>
          <w:rFonts w:ascii="Palatino Linotype" w:hAnsi="Palatino Linotype" w:cstheme="minorHAnsi"/>
        </w:rPr>
        <w:t>”</w:t>
      </w:r>
      <w:r w:rsidR="009E4B48">
        <w:rPr>
          <w:rFonts w:ascii="Palatino Linotype" w:hAnsi="Palatino Linotype" w:cstheme="minorHAnsi"/>
        </w:rPr>
        <w:t>,</w:t>
      </w:r>
      <w:r>
        <w:rPr>
          <w:rFonts w:ascii="Palatino Linotype" w:hAnsi="Palatino Linotype" w:cstheme="minorHAnsi"/>
        </w:rPr>
        <w:t xml:space="preserve"> a </w:t>
      </w:r>
      <w:r w:rsidR="009E4B48">
        <w:rPr>
          <w:rFonts w:ascii="Palatino Linotype" w:hAnsi="Palatino Linotype" w:cstheme="minorHAnsi"/>
        </w:rPr>
        <w:t>f</w:t>
      </w:r>
      <w:r w:rsidRPr="00A848D9">
        <w:rPr>
          <w:rFonts w:ascii="Palatino Linotype" w:hAnsi="Palatino Linotype" w:cstheme="minorHAnsi"/>
        </w:rPr>
        <w:t xml:space="preserve">avor de sus </w:t>
      </w:r>
      <w:r>
        <w:rPr>
          <w:rFonts w:ascii="Palatino Linotype" w:hAnsi="Palatino Linotype" w:cstheme="minorHAnsi"/>
        </w:rPr>
        <w:t>c</w:t>
      </w:r>
      <w:r w:rsidRPr="00A848D9">
        <w:rPr>
          <w:rFonts w:ascii="Palatino Linotype" w:hAnsi="Palatino Linotype" w:cstheme="minorHAnsi"/>
        </w:rPr>
        <w:t>opropietarios.</w:t>
      </w:r>
    </w:p>
    <w:p w:rsidR="008079C6" w:rsidRPr="00D23741" w:rsidRDefault="008079C6" w:rsidP="00725931">
      <w:pPr>
        <w:pStyle w:val="Sinespaciado"/>
        <w:spacing w:after="240" w:line="276" w:lineRule="auto"/>
        <w:jc w:val="both"/>
        <w:outlineLvl w:val="0"/>
        <w:rPr>
          <w:rFonts w:ascii="Palatino Linotype" w:hAnsi="Palatino Linotype" w:cs="Arial"/>
          <w:b/>
        </w:rPr>
      </w:pPr>
      <w:r w:rsidRPr="00D23741">
        <w:rPr>
          <w:rFonts w:ascii="Palatino Linotype" w:hAnsi="Palatino Linotype" w:cs="Arial"/>
          <w:b/>
          <w:bCs/>
        </w:rPr>
        <w:t xml:space="preserve">En </w:t>
      </w:r>
      <w:r w:rsidRPr="00D23741">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816DB2" w:rsidRDefault="00C52450" w:rsidP="00725931">
      <w:pPr>
        <w:spacing w:after="240" w:line="276" w:lineRule="auto"/>
        <w:jc w:val="center"/>
        <w:rPr>
          <w:rFonts w:ascii="Palatino Linotype" w:hAnsi="Palatino Linotype"/>
          <w:b/>
          <w:sz w:val="22"/>
          <w:szCs w:val="22"/>
        </w:rPr>
      </w:pPr>
      <w:r w:rsidRPr="00816DB2">
        <w:rPr>
          <w:rFonts w:ascii="Palatino Linotype" w:hAnsi="Palatino Linotype"/>
          <w:b/>
          <w:sz w:val="22"/>
          <w:szCs w:val="22"/>
        </w:rPr>
        <w:t>EXPIDE</w:t>
      </w:r>
      <w:r w:rsidR="00B452F1" w:rsidRPr="00816DB2">
        <w:rPr>
          <w:rFonts w:ascii="Palatino Linotype" w:hAnsi="Palatino Linotype"/>
          <w:b/>
          <w:sz w:val="22"/>
          <w:szCs w:val="22"/>
        </w:rPr>
        <w:t xml:space="preserve"> LA SIGUIENTE</w:t>
      </w:r>
      <w:r w:rsidR="007863C1" w:rsidRPr="00816DB2">
        <w:rPr>
          <w:rFonts w:ascii="Palatino Linotype" w:hAnsi="Palatino Linotype"/>
          <w:b/>
          <w:sz w:val="22"/>
          <w:szCs w:val="22"/>
        </w:rPr>
        <w:t>:</w:t>
      </w:r>
    </w:p>
    <w:p w:rsidR="00725931" w:rsidRPr="00816DB2" w:rsidRDefault="00725931" w:rsidP="00725931">
      <w:pPr>
        <w:spacing w:after="240" w:line="276" w:lineRule="auto"/>
        <w:jc w:val="center"/>
        <w:rPr>
          <w:rFonts w:ascii="Palatino Linotype" w:hAnsi="Palatino Linotype"/>
          <w:b/>
          <w:bCs/>
          <w:sz w:val="22"/>
          <w:szCs w:val="22"/>
          <w:lang w:val="es-EC"/>
        </w:rPr>
      </w:pPr>
      <w:r w:rsidRPr="00816DB2">
        <w:rPr>
          <w:rFonts w:ascii="Palatino Linotype" w:hAnsi="Palatino Linotype" w:cs="Arial"/>
          <w:b/>
          <w:sz w:val="22"/>
          <w:szCs w:val="22"/>
        </w:rPr>
        <w:t xml:space="preserve">ORDENANZA QUE RECONOCE Y APRUEBA EL ASENTAMIENTO HUMANO DE HECHO Y CONSOLIDADO DENOMINADO </w:t>
      </w:r>
      <w:r w:rsidRPr="00816DB2">
        <w:rPr>
          <w:rFonts w:ascii="Palatino Linotype" w:hAnsi="Palatino Linotype" w:cstheme="minorHAnsi"/>
          <w:sz w:val="22"/>
          <w:szCs w:val="22"/>
        </w:rPr>
        <w:t>“</w:t>
      </w:r>
      <w:r w:rsidRPr="00816DB2">
        <w:rPr>
          <w:rFonts w:ascii="Palatino Linotype" w:hAnsi="Palatino Linotype" w:cstheme="minorHAnsi"/>
          <w:b/>
          <w:sz w:val="22"/>
          <w:szCs w:val="22"/>
        </w:rPr>
        <w:t>NUESTRA SEÑORA DE AGUA SANTA”</w:t>
      </w:r>
      <w:r w:rsidR="00F15F97">
        <w:rPr>
          <w:rFonts w:ascii="Palatino Linotype" w:hAnsi="Palatino Linotype" w:cs="Arial"/>
          <w:b/>
          <w:sz w:val="22"/>
          <w:szCs w:val="22"/>
        </w:rPr>
        <w:t>, A FAVOR DE SU</w:t>
      </w:r>
      <w:r w:rsidRPr="00816DB2">
        <w:rPr>
          <w:rFonts w:ascii="Palatino Linotype" w:hAnsi="Palatino Linotype" w:cs="Arial"/>
          <w:b/>
          <w:sz w:val="22"/>
          <w:szCs w:val="22"/>
        </w:rPr>
        <w:t>S COPROPIETARIOS</w:t>
      </w:r>
    </w:p>
    <w:p w:rsidR="00725931"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 </w:t>
      </w:r>
      <w:r w:rsidRPr="0061158F">
        <w:rPr>
          <w:rFonts w:ascii="Palatino Linotype" w:hAnsi="Palatino Linotype"/>
          <w:b/>
          <w:sz w:val="22"/>
          <w:szCs w:val="22"/>
          <w:lang w:val="es-EC"/>
        </w:rPr>
        <w:t>De los planos y documentos presentados.-</w:t>
      </w:r>
      <w:r>
        <w:rPr>
          <w:rFonts w:ascii="Palatino Linotype" w:hAnsi="Palatino Linotype"/>
          <w:sz w:val="22"/>
          <w:szCs w:val="22"/>
          <w:lang w:val="es-EC"/>
        </w:rPr>
        <w:t xml:space="preserve"> </w:t>
      </w:r>
      <w:r w:rsidRPr="00AA4753">
        <w:rPr>
          <w:rFonts w:ascii="Palatino Linotype" w:hAnsi="Palatino Linotype"/>
          <w:sz w:val="22"/>
          <w:szCs w:val="22"/>
          <w:lang w:val="es-EC"/>
        </w:rPr>
        <w:t>Los planos y documentos presentados son de exclusiva responsabilidad del</w:t>
      </w:r>
      <w:r>
        <w:rPr>
          <w:rFonts w:ascii="Palatino Linotype" w:hAnsi="Palatino Linotype"/>
          <w:sz w:val="22"/>
          <w:szCs w:val="22"/>
          <w:lang w:val="es-EC"/>
        </w:rPr>
        <w:t xml:space="preserve"> proyectista, y dirigentes del predio donde se encuentra el Asentamiento Humano de Hecho y Consolidado denominado </w:t>
      </w:r>
      <w:r w:rsidRPr="00A848D9">
        <w:rPr>
          <w:rFonts w:ascii="Palatino Linotype" w:hAnsi="Palatino Linotype" w:cstheme="minorHAnsi"/>
          <w:sz w:val="22"/>
          <w:szCs w:val="22"/>
        </w:rPr>
        <w:t>“Nu</w:t>
      </w:r>
      <w:r>
        <w:rPr>
          <w:rFonts w:ascii="Palatino Linotype" w:hAnsi="Palatino Linotype" w:cstheme="minorHAnsi"/>
          <w:sz w:val="22"/>
          <w:szCs w:val="22"/>
        </w:rPr>
        <w:t>estra Señora de Agua Santa</w:t>
      </w:r>
      <w:r w:rsidRPr="00A848D9">
        <w:rPr>
          <w:rFonts w:ascii="Palatino Linotype" w:hAnsi="Palatino Linotype" w:cstheme="minorHAnsi"/>
          <w:sz w:val="22"/>
          <w:szCs w:val="22"/>
        </w:rPr>
        <w:t>”</w:t>
      </w:r>
      <w:r>
        <w:rPr>
          <w:rFonts w:ascii="Palatino Linotype" w:eastAsia="Calibri" w:hAnsi="Palatino Linotype"/>
          <w:sz w:val="22"/>
          <w:szCs w:val="22"/>
          <w:lang w:val="es-EC" w:eastAsia="en-US"/>
        </w:rPr>
        <w:t>,</w:t>
      </w:r>
      <w:r w:rsidRPr="00AA4753">
        <w:rPr>
          <w:rFonts w:ascii="Palatino Linotype" w:hAnsi="Palatino Linotype"/>
          <w:sz w:val="22"/>
          <w:szCs w:val="22"/>
          <w:lang w:val="es-EC"/>
        </w:rPr>
        <w:t xml:space="preserve"> sin perjuicio de la responsabilidad de quienes revisaron los planos y los documentos legales, excepto en caso de que hayan sido inducidos a engaño.</w:t>
      </w:r>
    </w:p>
    <w:p w:rsidR="00725931" w:rsidRPr="00F0318F" w:rsidRDefault="00725931" w:rsidP="00725931">
      <w:pPr>
        <w:spacing w:after="240" w:line="276" w:lineRule="auto"/>
        <w:jc w:val="both"/>
        <w:rPr>
          <w:rFonts w:ascii="Palatino Linotype" w:hAnsi="Palatino Linotype"/>
          <w:sz w:val="22"/>
          <w:szCs w:val="22"/>
          <w:lang w:val="es-EC"/>
        </w:rPr>
      </w:pPr>
      <w:r w:rsidRPr="00F0318F">
        <w:rPr>
          <w:rFonts w:ascii="Palatino Linotype" w:hAnsi="Palatino Linotype"/>
          <w:sz w:val="22"/>
          <w:szCs w:val="22"/>
          <w:lang w:val="es-EC"/>
        </w:rPr>
        <w:lastRenderedPageBreak/>
        <w:t xml:space="preserve">En caso de comprobarse ocultación o falsedad en planos, datos, documentos; o de existir reclamos de terceros afectados, será de exclusiva responsabilidad </w:t>
      </w:r>
      <w:r>
        <w:rPr>
          <w:rFonts w:ascii="Palatino Linotype" w:hAnsi="Palatino Linotype"/>
          <w:sz w:val="22"/>
          <w:szCs w:val="22"/>
          <w:lang w:val="es-EC"/>
        </w:rPr>
        <w:t xml:space="preserve">del técnico y de los dirigentes de </w:t>
      </w:r>
      <w:r w:rsidRPr="00A848D9">
        <w:rPr>
          <w:rFonts w:ascii="Palatino Linotype" w:hAnsi="Palatino Linotype" w:cstheme="minorHAnsi"/>
          <w:sz w:val="22"/>
          <w:szCs w:val="22"/>
        </w:rPr>
        <w:t>“Nu</w:t>
      </w:r>
      <w:r>
        <w:rPr>
          <w:rFonts w:ascii="Palatino Linotype" w:hAnsi="Palatino Linotype" w:cstheme="minorHAnsi"/>
          <w:sz w:val="22"/>
          <w:szCs w:val="22"/>
        </w:rPr>
        <w:t>estras Señora de Agua Santa</w:t>
      </w:r>
      <w:r w:rsidRPr="00A848D9">
        <w:rPr>
          <w:rFonts w:ascii="Palatino Linotype" w:hAnsi="Palatino Linotype" w:cstheme="minorHAnsi"/>
          <w:sz w:val="22"/>
          <w:szCs w:val="22"/>
        </w:rPr>
        <w:t>”</w:t>
      </w:r>
      <w:r>
        <w:rPr>
          <w:rFonts w:ascii="Palatino Linotype" w:hAnsi="Palatino Linotype" w:cstheme="minorHAnsi"/>
          <w:sz w:val="22"/>
          <w:szCs w:val="22"/>
        </w:rPr>
        <w:t xml:space="preserve"> </w:t>
      </w:r>
      <w:r>
        <w:rPr>
          <w:rFonts w:ascii="Palatino Linotype" w:eastAsia="Calibri" w:hAnsi="Palatino Linotype"/>
          <w:sz w:val="22"/>
          <w:szCs w:val="22"/>
          <w:lang w:val="es-EC" w:eastAsia="en-US"/>
        </w:rPr>
        <w:t>y sus copropietarios</w:t>
      </w:r>
      <w:r w:rsidRPr="00F0318F">
        <w:rPr>
          <w:rFonts w:ascii="Palatino Linotype" w:hAnsi="Palatino Linotype"/>
          <w:sz w:val="22"/>
          <w:szCs w:val="22"/>
          <w:lang w:val="es-EC"/>
        </w:rPr>
        <w:t>.</w:t>
      </w:r>
      <w:r w:rsidRPr="00F0318F">
        <w:rPr>
          <w:rFonts w:ascii="Palatino Linotype" w:hAnsi="Palatino Linotype"/>
          <w:sz w:val="22"/>
          <w:szCs w:val="22"/>
        </w:rPr>
        <w:t xml:space="preserve"> </w:t>
      </w:r>
      <w:r w:rsidRPr="00F0318F">
        <w:rPr>
          <w:rFonts w:ascii="Palatino Linotype" w:hAnsi="Palatino Linotype"/>
          <w:sz w:val="22"/>
          <w:szCs w:val="22"/>
          <w:lang w:val="es-EC"/>
        </w:rPr>
        <w:t xml:space="preserve"> </w:t>
      </w:r>
    </w:p>
    <w:p w:rsidR="00725931"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sz w:val="22"/>
          <w:szCs w:val="22"/>
          <w:lang w:val="es-EC"/>
        </w:rPr>
        <w:t>Las dimensiones y superficies de los lotes son las determinadas en el plano aprobatorio siendo en el futuro indivisibles.</w:t>
      </w:r>
    </w:p>
    <w:p w:rsidR="00725931" w:rsidRDefault="00725931" w:rsidP="00725931">
      <w:pPr>
        <w:spacing w:after="240" w:line="276" w:lineRule="auto"/>
        <w:jc w:val="both"/>
        <w:rPr>
          <w:rFonts w:ascii="Palatino Linotype" w:hAnsi="Palatino Linotype"/>
          <w:sz w:val="22"/>
          <w:szCs w:val="22"/>
          <w:lang w:val="es-EC"/>
        </w:rPr>
      </w:pPr>
      <w:r>
        <w:rPr>
          <w:rFonts w:ascii="Palatino Linotype" w:hAnsi="Palatino Linotype"/>
          <w:sz w:val="22"/>
          <w:szCs w:val="22"/>
          <w:lang w:val="es-EC"/>
        </w:rPr>
        <w:t>Por las condiciones de asentamiento humano de hecho y consolidado, se lo aprueba considerándolo de interés social.</w:t>
      </w:r>
    </w:p>
    <w:p w:rsidR="00725931" w:rsidRPr="00725931" w:rsidRDefault="00725931" w:rsidP="00725931">
      <w:pPr>
        <w:spacing w:after="240" w:line="276" w:lineRule="auto"/>
        <w:jc w:val="both"/>
        <w:rPr>
          <w:rFonts w:ascii="Palatino Linotype" w:hAnsi="Palatino Linotype"/>
          <w:b/>
          <w:bCs/>
          <w:sz w:val="22"/>
          <w:szCs w:val="22"/>
          <w:lang w:val="es-EC"/>
        </w:rPr>
      </w:pPr>
      <w:r w:rsidRPr="00725931">
        <w:rPr>
          <w:rFonts w:ascii="Palatino Linotype" w:hAnsi="Palatino Linotype"/>
          <w:b/>
          <w:bCs/>
          <w:sz w:val="22"/>
          <w:szCs w:val="22"/>
          <w:lang w:val="es-EC"/>
        </w:rPr>
        <w:t>Artículo 2.- Especificaciones técnicas.-</w:t>
      </w:r>
    </w:p>
    <w:p w:rsidR="00725931" w:rsidRPr="00725931" w:rsidRDefault="00725931" w:rsidP="00725931">
      <w:pPr>
        <w:spacing w:after="240" w:line="276" w:lineRule="auto"/>
        <w:jc w:val="both"/>
        <w:rPr>
          <w:rFonts w:ascii="Palatino Linotype" w:hAnsi="Palatino Linotype"/>
          <w:b/>
          <w:bCs/>
          <w:sz w:val="22"/>
          <w:szCs w:val="22"/>
          <w:lang w:val="es-EC"/>
        </w:rPr>
      </w:pPr>
      <w:r w:rsidRPr="00725931">
        <w:rPr>
          <w:rFonts w:ascii="Palatino Linotype" w:hAnsi="Palatino Linotype" w:cs="Calibri"/>
          <w:b/>
          <w:sz w:val="22"/>
          <w:szCs w:val="22"/>
        </w:rPr>
        <w:t>Zonificación:</w:t>
      </w:r>
      <w:r w:rsidRPr="00725931">
        <w:rPr>
          <w:rFonts w:ascii="Palatino Linotype" w:hAnsi="Palatino Linotype" w:cs="Calibri"/>
          <w:sz w:val="22"/>
          <w:szCs w:val="22"/>
        </w:rPr>
        <w:t xml:space="preserve"> </w:t>
      </w:r>
      <w:r w:rsidRPr="00725931">
        <w:rPr>
          <w:rFonts w:ascii="Palatino Linotype" w:hAnsi="Palatino Linotype" w:cs="Calibri"/>
          <w:sz w:val="22"/>
          <w:szCs w:val="22"/>
        </w:rPr>
        <w:tab/>
      </w:r>
      <w:r w:rsidRPr="00725931">
        <w:rPr>
          <w:rFonts w:ascii="Palatino Linotype" w:hAnsi="Palatino Linotype" w:cs="Calibri"/>
          <w:sz w:val="22"/>
          <w:szCs w:val="22"/>
        </w:rPr>
        <w:tab/>
      </w:r>
      <w:r w:rsidRPr="00725931">
        <w:rPr>
          <w:rFonts w:ascii="Palatino Linotype" w:hAnsi="Palatino Linotype" w:cs="Calibri"/>
          <w:sz w:val="22"/>
          <w:szCs w:val="22"/>
        </w:rPr>
        <w:tab/>
      </w:r>
      <w:r w:rsidRPr="00725931">
        <w:rPr>
          <w:rFonts w:ascii="Palatino Linotype" w:hAnsi="Palatino Linotype" w:cs="Calibri"/>
          <w:sz w:val="22"/>
          <w:szCs w:val="22"/>
        </w:rPr>
        <w:tab/>
      </w:r>
      <w:proofErr w:type="gramStart"/>
      <w:r w:rsidRPr="00725931">
        <w:rPr>
          <w:rFonts w:ascii="Palatino Linotype" w:hAnsi="Palatino Linotype" w:cs="Calibri"/>
          <w:sz w:val="22"/>
          <w:szCs w:val="22"/>
        </w:rPr>
        <w:t>D5(</w:t>
      </w:r>
      <w:proofErr w:type="gramEnd"/>
      <w:r w:rsidRPr="00725931">
        <w:rPr>
          <w:rFonts w:ascii="Palatino Linotype" w:hAnsi="Palatino Linotype" w:cs="Calibri"/>
          <w:sz w:val="22"/>
          <w:szCs w:val="22"/>
        </w:rPr>
        <w:t>D304-80)</w:t>
      </w:r>
    </w:p>
    <w:p w:rsidR="00725931" w:rsidRPr="00725931" w:rsidRDefault="00725931" w:rsidP="00725931">
      <w:pPr>
        <w:spacing w:after="240" w:line="276" w:lineRule="auto"/>
        <w:jc w:val="both"/>
        <w:rPr>
          <w:rFonts w:ascii="Palatino Linotype" w:hAnsi="Palatino Linotype"/>
          <w:b/>
          <w:bCs/>
          <w:sz w:val="22"/>
          <w:szCs w:val="22"/>
          <w:lang w:val="es-EC"/>
        </w:rPr>
      </w:pPr>
      <w:r w:rsidRPr="00725931">
        <w:rPr>
          <w:rFonts w:ascii="Palatino Linotype" w:hAnsi="Palatino Linotype" w:cs="Calibri"/>
          <w:b/>
          <w:sz w:val="22"/>
          <w:szCs w:val="22"/>
        </w:rPr>
        <w:t>Lote mínimo:</w:t>
      </w:r>
      <w:r w:rsidRPr="00725931">
        <w:rPr>
          <w:rFonts w:ascii="Palatino Linotype" w:hAnsi="Palatino Linotype" w:cs="Calibri"/>
          <w:sz w:val="22"/>
          <w:szCs w:val="22"/>
        </w:rPr>
        <w:t xml:space="preserve"> </w:t>
      </w:r>
      <w:r w:rsidRPr="00725931">
        <w:rPr>
          <w:rFonts w:ascii="Palatino Linotype" w:hAnsi="Palatino Linotype" w:cs="Calibri"/>
          <w:sz w:val="22"/>
          <w:szCs w:val="22"/>
        </w:rPr>
        <w:tab/>
      </w:r>
      <w:r w:rsidRPr="00725931">
        <w:rPr>
          <w:rFonts w:ascii="Palatino Linotype" w:hAnsi="Palatino Linotype" w:cs="Calibri"/>
          <w:sz w:val="22"/>
          <w:szCs w:val="22"/>
        </w:rPr>
        <w:tab/>
      </w:r>
      <w:r w:rsidRPr="00725931">
        <w:rPr>
          <w:rFonts w:ascii="Palatino Linotype" w:hAnsi="Palatino Linotype" w:cs="Calibri"/>
          <w:sz w:val="22"/>
          <w:szCs w:val="22"/>
        </w:rPr>
        <w:tab/>
      </w:r>
      <w:r w:rsidRPr="00725931">
        <w:rPr>
          <w:rFonts w:ascii="Palatino Linotype" w:hAnsi="Palatino Linotype" w:cs="Calibri"/>
          <w:sz w:val="22"/>
          <w:szCs w:val="22"/>
        </w:rPr>
        <w:tab/>
        <w:t>300 m</w:t>
      </w:r>
      <w:r w:rsidRPr="00725931">
        <w:rPr>
          <w:rFonts w:ascii="Palatino Linotype" w:hAnsi="Palatino Linotype" w:cs="Calibri"/>
          <w:sz w:val="22"/>
          <w:szCs w:val="22"/>
          <w:vertAlign w:val="superscript"/>
        </w:rPr>
        <w:t>2</w:t>
      </w:r>
    </w:p>
    <w:p w:rsidR="00725931" w:rsidRPr="00725931" w:rsidRDefault="00725931" w:rsidP="00725931">
      <w:pPr>
        <w:spacing w:after="240" w:line="276" w:lineRule="auto"/>
        <w:jc w:val="both"/>
        <w:rPr>
          <w:rFonts w:ascii="Palatino Linotype" w:hAnsi="Palatino Linotype" w:cs="Calibri"/>
          <w:sz w:val="22"/>
          <w:szCs w:val="22"/>
        </w:rPr>
      </w:pPr>
      <w:r w:rsidRPr="00725931">
        <w:rPr>
          <w:rFonts w:ascii="Palatino Linotype" w:hAnsi="Palatino Linotype" w:cs="Calibri"/>
          <w:b/>
          <w:sz w:val="22"/>
          <w:szCs w:val="22"/>
        </w:rPr>
        <w:t>Forma de ocupación del suelo:</w:t>
      </w:r>
      <w:r w:rsidRPr="00725931">
        <w:rPr>
          <w:rFonts w:ascii="Palatino Linotype" w:hAnsi="Palatino Linotype" w:cs="Calibri"/>
          <w:sz w:val="22"/>
          <w:szCs w:val="22"/>
        </w:rPr>
        <w:t xml:space="preserve"> </w:t>
      </w:r>
      <w:r w:rsidRPr="00725931">
        <w:rPr>
          <w:rFonts w:ascii="Palatino Linotype" w:hAnsi="Palatino Linotype" w:cs="Calibri"/>
          <w:sz w:val="22"/>
          <w:szCs w:val="22"/>
        </w:rPr>
        <w:tab/>
        <w:t>(D) Sobre línea de fábrica</w:t>
      </w:r>
    </w:p>
    <w:p w:rsidR="00725931" w:rsidRPr="00725931" w:rsidRDefault="00725931" w:rsidP="00725931">
      <w:pPr>
        <w:spacing w:after="240" w:line="276" w:lineRule="auto"/>
        <w:jc w:val="both"/>
        <w:rPr>
          <w:rFonts w:ascii="Palatino Linotype" w:hAnsi="Palatino Linotype" w:cs="Calibri"/>
          <w:sz w:val="22"/>
          <w:szCs w:val="22"/>
        </w:rPr>
      </w:pPr>
      <w:r w:rsidRPr="00725931">
        <w:rPr>
          <w:rFonts w:ascii="Palatino Linotype" w:hAnsi="Palatino Linotype" w:cs="Calibri"/>
          <w:b/>
          <w:sz w:val="22"/>
          <w:szCs w:val="22"/>
        </w:rPr>
        <w:t>Uso principal del suelo:</w:t>
      </w:r>
      <w:r w:rsidRPr="00725931">
        <w:rPr>
          <w:rFonts w:ascii="Palatino Linotype" w:hAnsi="Palatino Linotype" w:cs="Calibri"/>
          <w:sz w:val="22"/>
          <w:szCs w:val="22"/>
        </w:rPr>
        <w:t xml:space="preserve"> </w:t>
      </w:r>
      <w:r w:rsidRPr="00725931">
        <w:rPr>
          <w:rFonts w:ascii="Palatino Linotype" w:hAnsi="Palatino Linotype" w:cs="Calibri"/>
          <w:sz w:val="22"/>
          <w:szCs w:val="22"/>
        </w:rPr>
        <w:tab/>
      </w:r>
      <w:r w:rsidRPr="00725931">
        <w:rPr>
          <w:rFonts w:ascii="Palatino Linotype" w:hAnsi="Palatino Linotype" w:cs="Calibri"/>
          <w:sz w:val="22"/>
          <w:szCs w:val="22"/>
        </w:rPr>
        <w:tab/>
        <w:t xml:space="preserve">(R3) Residencia alta densidad  </w:t>
      </w:r>
    </w:p>
    <w:p w:rsidR="00725931" w:rsidRPr="00725931" w:rsidRDefault="00725931" w:rsidP="00725931">
      <w:pPr>
        <w:spacing w:after="240" w:line="276" w:lineRule="auto"/>
        <w:jc w:val="both"/>
        <w:rPr>
          <w:rFonts w:ascii="Palatino Linotype" w:hAnsi="Palatino Linotype" w:cs="Calibri"/>
          <w:sz w:val="22"/>
          <w:szCs w:val="22"/>
        </w:rPr>
      </w:pPr>
      <w:r w:rsidRPr="00725931">
        <w:rPr>
          <w:rFonts w:ascii="Palatino Linotype" w:hAnsi="Palatino Linotype" w:cs="Calibri"/>
          <w:b/>
          <w:sz w:val="22"/>
          <w:szCs w:val="22"/>
        </w:rPr>
        <w:t>Número de lotes</w:t>
      </w:r>
      <w:r w:rsidRPr="00725931">
        <w:rPr>
          <w:rFonts w:ascii="Palatino Linotype" w:hAnsi="Palatino Linotype" w:cs="Calibri"/>
          <w:b/>
          <w:sz w:val="22"/>
          <w:szCs w:val="22"/>
        </w:rPr>
        <w:tab/>
      </w:r>
      <w:r w:rsidRPr="00725931">
        <w:rPr>
          <w:rFonts w:ascii="Palatino Linotype" w:hAnsi="Palatino Linotype" w:cs="Calibri"/>
          <w:b/>
          <w:sz w:val="22"/>
          <w:szCs w:val="22"/>
        </w:rPr>
        <w:tab/>
      </w:r>
      <w:r w:rsidRPr="00725931">
        <w:rPr>
          <w:rFonts w:ascii="Palatino Linotype" w:hAnsi="Palatino Linotype" w:cs="Calibri"/>
          <w:b/>
          <w:sz w:val="22"/>
          <w:szCs w:val="22"/>
        </w:rPr>
        <w:tab/>
      </w:r>
      <w:r w:rsidRPr="00725931">
        <w:rPr>
          <w:rFonts w:ascii="Palatino Linotype" w:hAnsi="Palatino Linotype" w:cs="Calibri"/>
          <w:sz w:val="22"/>
          <w:szCs w:val="22"/>
        </w:rPr>
        <w:t>25</w:t>
      </w:r>
    </w:p>
    <w:p w:rsidR="00725931" w:rsidRPr="00725931" w:rsidRDefault="00725931" w:rsidP="00725931">
      <w:pPr>
        <w:spacing w:after="240" w:line="276" w:lineRule="auto"/>
        <w:jc w:val="both"/>
        <w:rPr>
          <w:rFonts w:ascii="Palatino Linotype" w:hAnsi="Palatino Linotype" w:cs="Calibri"/>
          <w:sz w:val="22"/>
          <w:szCs w:val="22"/>
        </w:rPr>
      </w:pPr>
      <w:r w:rsidRPr="00725931">
        <w:rPr>
          <w:rFonts w:ascii="Palatino Linotype" w:eastAsia="Calibri" w:hAnsi="Palatino Linotype"/>
          <w:b/>
          <w:bCs/>
          <w:color w:val="000000"/>
          <w:kern w:val="24"/>
          <w:sz w:val="22"/>
          <w:szCs w:val="22"/>
        </w:rPr>
        <w:t xml:space="preserve">Área </w:t>
      </w:r>
      <w:r>
        <w:rPr>
          <w:rFonts w:ascii="Palatino Linotype" w:eastAsia="Calibri" w:hAnsi="Palatino Linotype"/>
          <w:b/>
          <w:bCs/>
          <w:color w:val="000000"/>
          <w:kern w:val="24"/>
          <w:sz w:val="22"/>
          <w:szCs w:val="22"/>
        </w:rPr>
        <w:t>ú</w:t>
      </w:r>
      <w:r w:rsidRPr="00725931">
        <w:rPr>
          <w:rFonts w:ascii="Palatino Linotype" w:eastAsia="Calibri" w:hAnsi="Palatino Linotype"/>
          <w:b/>
          <w:bCs/>
          <w:color w:val="000000"/>
          <w:kern w:val="24"/>
          <w:sz w:val="22"/>
          <w:szCs w:val="22"/>
        </w:rPr>
        <w:t xml:space="preserve">til de </w:t>
      </w:r>
      <w:r>
        <w:rPr>
          <w:rFonts w:ascii="Palatino Linotype" w:eastAsia="Calibri" w:hAnsi="Palatino Linotype"/>
          <w:b/>
          <w:bCs/>
          <w:color w:val="000000"/>
          <w:kern w:val="24"/>
          <w:sz w:val="22"/>
          <w:szCs w:val="22"/>
        </w:rPr>
        <w:t>l</w:t>
      </w:r>
      <w:r w:rsidRPr="00725931">
        <w:rPr>
          <w:rFonts w:ascii="Palatino Linotype" w:eastAsia="Calibri" w:hAnsi="Palatino Linotype"/>
          <w:b/>
          <w:bCs/>
          <w:color w:val="000000"/>
          <w:kern w:val="24"/>
          <w:sz w:val="22"/>
          <w:szCs w:val="22"/>
        </w:rPr>
        <w:t>otes:</w:t>
      </w:r>
      <w:r w:rsidRPr="00725931">
        <w:rPr>
          <w:rFonts w:ascii="Palatino Linotype" w:eastAsia="Calibri" w:hAnsi="Palatino Linotype"/>
          <w:b/>
          <w:bCs/>
          <w:kern w:val="24"/>
          <w:sz w:val="22"/>
          <w:szCs w:val="22"/>
        </w:rPr>
        <w:t xml:space="preserve"> </w:t>
      </w:r>
      <w:r w:rsidRPr="00725931">
        <w:rPr>
          <w:rFonts w:ascii="Palatino Linotype" w:eastAsia="Calibri" w:hAnsi="Palatino Linotype"/>
          <w:b/>
          <w:bCs/>
          <w:kern w:val="24"/>
          <w:sz w:val="22"/>
          <w:szCs w:val="22"/>
        </w:rPr>
        <w:tab/>
      </w:r>
      <w:r w:rsidRPr="00725931">
        <w:rPr>
          <w:rFonts w:ascii="Palatino Linotype" w:eastAsia="Calibri" w:hAnsi="Palatino Linotype"/>
          <w:b/>
          <w:bCs/>
          <w:kern w:val="24"/>
          <w:sz w:val="22"/>
          <w:szCs w:val="22"/>
        </w:rPr>
        <w:tab/>
      </w:r>
      <w:r w:rsidRPr="00725931">
        <w:rPr>
          <w:rFonts w:ascii="Palatino Linotype" w:eastAsia="Calibri" w:hAnsi="Palatino Linotype"/>
          <w:b/>
          <w:bCs/>
          <w:kern w:val="24"/>
          <w:sz w:val="22"/>
          <w:szCs w:val="22"/>
        </w:rPr>
        <w:tab/>
      </w:r>
      <w:r w:rsidRPr="00725931">
        <w:rPr>
          <w:rFonts w:ascii="Palatino Linotype" w:eastAsia="Calibri" w:hAnsi="Palatino Linotype"/>
          <w:bCs/>
          <w:kern w:val="24"/>
          <w:sz w:val="22"/>
          <w:szCs w:val="22"/>
        </w:rPr>
        <w:t>8.824,53</w:t>
      </w:r>
      <w:r w:rsidRPr="00725931">
        <w:rPr>
          <w:rFonts w:ascii="Palatino Linotype" w:hAnsi="Palatino Linotype" w:cs="Calibri"/>
          <w:bCs/>
          <w:sz w:val="22"/>
          <w:szCs w:val="22"/>
        </w:rPr>
        <w:t xml:space="preserve"> m</w:t>
      </w:r>
      <w:r w:rsidRPr="00725931">
        <w:rPr>
          <w:rFonts w:ascii="Palatino Linotype" w:hAnsi="Palatino Linotype" w:cs="Calibri"/>
          <w:bCs/>
          <w:sz w:val="22"/>
          <w:szCs w:val="22"/>
          <w:vertAlign w:val="superscript"/>
        </w:rPr>
        <w:t>2</w:t>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Pr="00725931">
        <w:rPr>
          <w:rFonts w:ascii="Palatino Linotype" w:eastAsia="Calibri" w:hAnsi="Palatino Linotype"/>
          <w:bCs/>
          <w:kern w:val="24"/>
          <w:sz w:val="22"/>
          <w:szCs w:val="22"/>
        </w:rPr>
        <w:t>93,26%</w:t>
      </w:r>
    </w:p>
    <w:p w:rsidR="00725931" w:rsidRPr="00725931" w:rsidRDefault="00725931" w:rsidP="00725931">
      <w:pPr>
        <w:spacing w:after="240" w:line="276" w:lineRule="auto"/>
        <w:jc w:val="both"/>
        <w:rPr>
          <w:rFonts w:ascii="Palatino Linotype" w:hAnsi="Palatino Linotype"/>
          <w:bCs/>
          <w:sz w:val="22"/>
          <w:szCs w:val="22"/>
          <w:lang w:val="es-EC"/>
        </w:rPr>
      </w:pPr>
      <w:r w:rsidRPr="00725931">
        <w:rPr>
          <w:rFonts w:ascii="Palatino Linotype" w:eastAsia="Calibri" w:hAnsi="Palatino Linotype"/>
          <w:b/>
          <w:bCs/>
          <w:color w:val="000000"/>
          <w:kern w:val="24"/>
          <w:sz w:val="22"/>
          <w:szCs w:val="22"/>
        </w:rPr>
        <w:t xml:space="preserve">Área de </w:t>
      </w:r>
      <w:r>
        <w:rPr>
          <w:rFonts w:ascii="Palatino Linotype" w:eastAsia="Calibri" w:hAnsi="Palatino Linotype"/>
          <w:b/>
          <w:bCs/>
          <w:color w:val="000000"/>
          <w:kern w:val="24"/>
          <w:sz w:val="22"/>
          <w:szCs w:val="22"/>
        </w:rPr>
        <w:t>v</w:t>
      </w:r>
      <w:r w:rsidRPr="00725931">
        <w:rPr>
          <w:rFonts w:ascii="Palatino Linotype" w:eastAsia="Calibri" w:hAnsi="Palatino Linotype"/>
          <w:b/>
          <w:bCs/>
          <w:color w:val="000000"/>
          <w:kern w:val="24"/>
          <w:sz w:val="22"/>
          <w:szCs w:val="22"/>
        </w:rPr>
        <w:t xml:space="preserve">ías y </w:t>
      </w:r>
      <w:r>
        <w:rPr>
          <w:rFonts w:ascii="Palatino Linotype" w:eastAsia="Calibri" w:hAnsi="Palatino Linotype"/>
          <w:b/>
          <w:bCs/>
          <w:color w:val="000000"/>
          <w:kern w:val="24"/>
          <w:sz w:val="22"/>
          <w:szCs w:val="22"/>
        </w:rPr>
        <w:t>p</w:t>
      </w:r>
      <w:r w:rsidRPr="00725931">
        <w:rPr>
          <w:rFonts w:ascii="Palatino Linotype" w:eastAsia="Calibri" w:hAnsi="Palatino Linotype"/>
          <w:b/>
          <w:bCs/>
          <w:color w:val="000000"/>
          <w:kern w:val="24"/>
          <w:sz w:val="22"/>
          <w:szCs w:val="22"/>
        </w:rPr>
        <w:t>asajes:</w:t>
      </w:r>
      <w:r w:rsidRPr="00725931">
        <w:rPr>
          <w:rFonts w:ascii="Palatino Linotype" w:eastAsia="Calibri" w:hAnsi="Palatino Linotype"/>
          <w:b/>
          <w:bCs/>
          <w:kern w:val="24"/>
          <w:sz w:val="22"/>
          <w:szCs w:val="22"/>
        </w:rPr>
        <w:t xml:space="preserve"> </w:t>
      </w:r>
      <w:r w:rsidRPr="00725931">
        <w:rPr>
          <w:rFonts w:ascii="Palatino Linotype" w:eastAsia="Calibri" w:hAnsi="Palatino Linotype"/>
          <w:b/>
          <w:bCs/>
          <w:kern w:val="24"/>
          <w:sz w:val="22"/>
          <w:szCs w:val="22"/>
        </w:rPr>
        <w:tab/>
      </w:r>
      <w:r w:rsidRPr="00725931">
        <w:rPr>
          <w:rFonts w:ascii="Palatino Linotype" w:eastAsia="Calibri" w:hAnsi="Palatino Linotype"/>
          <w:b/>
          <w:bCs/>
          <w:kern w:val="24"/>
          <w:sz w:val="22"/>
          <w:szCs w:val="22"/>
        </w:rPr>
        <w:tab/>
      </w:r>
      <w:r w:rsidRPr="00725931">
        <w:rPr>
          <w:rFonts w:ascii="Palatino Linotype" w:eastAsia="Calibri" w:hAnsi="Palatino Linotype"/>
          <w:bCs/>
          <w:kern w:val="24"/>
          <w:sz w:val="22"/>
          <w:szCs w:val="22"/>
        </w:rPr>
        <w:t>637,62</w:t>
      </w:r>
      <w:r w:rsidRPr="00725931">
        <w:rPr>
          <w:rFonts w:ascii="Palatino Linotype" w:hAnsi="Palatino Linotype" w:cs="Calibri"/>
          <w:bCs/>
          <w:sz w:val="22"/>
          <w:szCs w:val="22"/>
        </w:rPr>
        <w:t xml:space="preserve"> m</w:t>
      </w:r>
      <w:r w:rsidRPr="00725931">
        <w:rPr>
          <w:rFonts w:ascii="Palatino Linotype" w:hAnsi="Palatino Linotype" w:cs="Calibri"/>
          <w:bCs/>
          <w:sz w:val="22"/>
          <w:szCs w:val="22"/>
          <w:vertAlign w:val="superscript"/>
        </w:rPr>
        <w:t>2</w:t>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Pr="00725931">
        <w:rPr>
          <w:rFonts w:ascii="Palatino Linotype" w:hAnsi="Palatino Linotype" w:cs="Calibri"/>
          <w:bCs/>
          <w:sz w:val="22"/>
          <w:szCs w:val="22"/>
          <w:vertAlign w:val="superscript"/>
        </w:rPr>
        <w:tab/>
      </w:r>
      <w:r w:rsidRPr="00725931">
        <w:rPr>
          <w:rFonts w:ascii="Palatino Linotype" w:eastAsia="Calibri" w:hAnsi="Palatino Linotype"/>
          <w:bCs/>
          <w:kern w:val="24"/>
          <w:sz w:val="22"/>
          <w:szCs w:val="22"/>
        </w:rPr>
        <w:t>6,74%</w:t>
      </w:r>
    </w:p>
    <w:p w:rsidR="00725931" w:rsidRPr="00725931" w:rsidRDefault="00725931" w:rsidP="00725931">
      <w:pPr>
        <w:spacing w:after="240" w:line="276" w:lineRule="auto"/>
        <w:jc w:val="both"/>
        <w:rPr>
          <w:rFonts w:ascii="Palatino Linotype" w:hAnsi="Palatino Linotype"/>
          <w:b/>
          <w:bCs/>
          <w:sz w:val="22"/>
          <w:szCs w:val="22"/>
        </w:rPr>
      </w:pPr>
      <w:r w:rsidRPr="00725931">
        <w:rPr>
          <w:rFonts w:ascii="Palatino Linotype" w:eastAsia="Calibri" w:hAnsi="Palatino Linotype"/>
          <w:b/>
          <w:bCs/>
          <w:color w:val="000000"/>
          <w:kern w:val="24"/>
          <w:sz w:val="22"/>
          <w:szCs w:val="22"/>
        </w:rPr>
        <w:t>Área bruta del terreno (</w:t>
      </w:r>
      <w:r>
        <w:rPr>
          <w:rFonts w:ascii="Palatino Linotype" w:eastAsia="Calibri" w:hAnsi="Palatino Linotype"/>
          <w:b/>
          <w:bCs/>
          <w:color w:val="000000"/>
          <w:kern w:val="24"/>
          <w:sz w:val="22"/>
          <w:szCs w:val="22"/>
        </w:rPr>
        <w:t>á</w:t>
      </w:r>
      <w:r w:rsidRPr="00725931">
        <w:rPr>
          <w:rFonts w:ascii="Palatino Linotype" w:eastAsia="Calibri" w:hAnsi="Palatino Linotype"/>
          <w:b/>
          <w:bCs/>
          <w:color w:val="000000"/>
          <w:kern w:val="24"/>
          <w:sz w:val="22"/>
          <w:szCs w:val="22"/>
        </w:rPr>
        <w:t xml:space="preserve">rea </w:t>
      </w:r>
      <w:r>
        <w:rPr>
          <w:rFonts w:ascii="Palatino Linotype" w:eastAsia="Calibri" w:hAnsi="Palatino Linotype"/>
          <w:b/>
          <w:bCs/>
          <w:color w:val="000000"/>
          <w:kern w:val="24"/>
          <w:sz w:val="22"/>
          <w:szCs w:val="22"/>
        </w:rPr>
        <w:t>t</w:t>
      </w:r>
      <w:r w:rsidRPr="00725931">
        <w:rPr>
          <w:rFonts w:ascii="Palatino Linotype" w:eastAsia="Calibri" w:hAnsi="Palatino Linotype"/>
          <w:b/>
          <w:bCs/>
          <w:color w:val="000000"/>
          <w:kern w:val="24"/>
          <w:sz w:val="22"/>
          <w:szCs w:val="22"/>
        </w:rPr>
        <w:t>otal):</w:t>
      </w:r>
      <w:r w:rsidRPr="00725931">
        <w:rPr>
          <w:rFonts w:ascii="Palatino Linotype" w:eastAsia="Calibri" w:hAnsi="Palatino Linotype"/>
          <w:b/>
          <w:bCs/>
          <w:kern w:val="24"/>
          <w:sz w:val="22"/>
          <w:szCs w:val="22"/>
        </w:rPr>
        <w:t xml:space="preserve"> </w:t>
      </w:r>
      <w:r w:rsidRPr="00725931">
        <w:rPr>
          <w:rFonts w:ascii="Palatino Linotype" w:eastAsia="Calibri" w:hAnsi="Palatino Linotype"/>
          <w:b/>
          <w:bCs/>
          <w:kern w:val="24"/>
          <w:sz w:val="22"/>
          <w:szCs w:val="22"/>
        </w:rPr>
        <w:tab/>
      </w:r>
      <w:r w:rsidRPr="00725931">
        <w:rPr>
          <w:rFonts w:ascii="Palatino Linotype" w:eastAsia="Calibri" w:hAnsi="Palatino Linotype"/>
          <w:bCs/>
          <w:kern w:val="24"/>
          <w:sz w:val="22"/>
          <w:szCs w:val="22"/>
        </w:rPr>
        <w:t>9.462,15</w:t>
      </w:r>
      <w:r w:rsidRPr="00725931">
        <w:rPr>
          <w:rFonts w:ascii="Palatino Linotype" w:hAnsi="Palatino Linotype" w:cs="Calibri"/>
          <w:bCs/>
          <w:sz w:val="22"/>
          <w:szCs w:val="22"/>
        </w:rPr>
        <w:t xml:space="preserve"> m</w:t>
      </w:r>
      <w:r w:rsidRPr="00725931">
        <w:rPr>
          <w:rFonts w:ascii="Palatino Linotype" w:hAnsi="Palatino Linotype" w:cs="Calibri"/>
          <w:bCs/>
          <w:sz w:val="22"/>
          <w:szCs w:val="22"/>
          <w:vertAlign w:val="superscript"/>
        </w:rPr>
        <w:t>2</w:t>
      </w:r>
      <w:r w:rsidRPr="00725931">
        <w:rPr>
          <w:rFonts w:ascii="Palatino Linotype" w:hAnsi="Palatino Linotype" w:cs="Calibri"/>
          <w:bCs/>
          <w:sz w:val="22"/>
          <w:szCs w:val="22"/>
        </w:rPr>
        <w:tab/>
      </w:r>
      <w:r w:rsidRPr="00725931">
        <w:rPr>
          <w:rFonts w:ascii="Palatino Linotype" w:hAnsi="Palatino Linotype" w:cs="Calibri"/>
          <w:bCs/>
          <w:sz w:val="22"/>
          <w:szCs w:val="22"/>
        </w:rPr>
        <w:tab/>
      </w:r>
      <w:r w:rsidRPr="00725931">
        <w:rPr>
          <w:rFonts w:ascii="Palatino Linotype" w:hAnsi="Palatino Linotype" w:cs="Calibri"/>
          <w:bCs/>
          <w:sz w:val="22"/>
          <w:szCs w:val="22"/>
        </w:rPr>
        <w:tab/>
      </w:r>
      <w:r w:rsidRPr="00725931">
        <w:rPr>
          <w:rFonts w:ascii="Palatino Linotype" w:eastAsia="Calibri" w:hAnsi="Palatino Linotype"/>
          <w:bCs/>
          <w:kern w:val="24"/>
          <w:sz w:val="22"/>
          <w:szCs w:val="22"/>
        </w:rPr>
        <w:t>100%</w:t>
      </w:r>
    </w:p>
    <w:p w:rsidR="00725931" w:rsidRPr="00725931" w:rsidRDefault="00725931" w:rsidP="00725931">
      <w:pPr>
        <w:spacing w:after="240" w:line="276" w:lineRule="auto"/>
        <w:jc w:val="both"/>
        <w:rPr>
          <w:rFonts w:ascii="Palatino Linotype" w:hAnsi="Palatino Linotype" w:cs="Arial"/>
          <w:sz w:val="22"/>
          <w:szCs w:val="22"/>
        </w:rPr>
      </w:pPr>
      <w:r w:rsidRPr="00725931">
        <w:rPr>
          <w:rFonts w:ascii="Palatino Linotype" w:hAnsi="Palatino Linotype" w:cs="Arial"/>
          <w:b/>
          <w:sz w:val="22"/>
          <w:szCs w:val="22"/>
        </w:rPr>
        <w:t xml:space="preserve">Área de </w:t>
      </w:r>
      <w:r>
        <w:rPr>
          <w:rFonts w:ascii="Palatino Linotype" w:hAnsi="Palatino Linotype" w:cs="Arial"/>
          <w:b/>
          <w:sz w:val="22"/>
          <w:szCs w:val="22"/>
        </w:rPr>
        <w:t>e</w:t>
      </w:r>
      <w:r w:rsidRPr="00725931">
        <w:rPr>
          <w:rFonts w:ascii="Palatino Linotype" w:hAnsi="Palatino Linotype" w:cs="Arial"/>
          <w:b/>
          <w:sz w:val="22"/>
          <w:szCs w:val="22"/>
        </w:rPr>
        <w:t>scritura:</w:t>
      </w:r>
      <w:r w:rsidRPr="00725931">
        <w:rPr>
          <w:rFonts w:ascii="Palatino Linotype" w:hAnsi="Palatino Linotype" w:cs="Arial"/>
          <w:b/>
          <w:sz w:val="22"/>
          <w:szCs w:val="22"/>
        </w:rPr>
        <w:tab/>
      </w:r>
      <w:r w:rsidRPr="00725931">
        <w:rPr>
          <w:rFonts w:ascii="Palatino Linotype" w:hAnsi="Palatino Linotype" w:cs="Arial"/>
          <w:b/>
          <w:sz w:val="22"/>
          <w:szCs w:val="22"/>
        </w:rPr>
        <w:tab/>
      </w:r>
      <w:r w:rsidRPr="00725931">
        <w:rPr>
          <w:rFonts w:ascii="Palatino Linotype" w:hAnsi="Palatino Linotype" w:cs="Arial"/>
          <w:b/>
          <w:sz w:val="22"/>
          <w:szCs w:val="22"/>
        </w:rPr>
        <w:tab/>
      </w:r>
      <w:r w:rsidRPr="00725931">
        <w:rPr>
          <w:rFonts w:ascii="Palatino Linotype" w:hAnsi="Palatino Linotype" w:cs="Calibri"/>
          <w:bCs/>
          <w:color w:val="000000"/>
          <w:sz w:val="22"/>
          <w:szCs w:val="22"/>
        </w:rPr>
        <w:t>10.000 m</w:t>
      </w:r>
      <w:r w:rsidRPr="00725931">
        <w:rPr>
          <w:rFonts w:ascii="Palatino Linotype" w:hAnsi="Palatino Linotype" w:cs="Calibri"/>
          <w:bCs/>
          <w:color w:val="000000"/>
          <w:sz w:val="22"/>
          <w:szCs w:val="22"/>
          <w:vertAlign w:val="superscript"/>
        </w:rPr>
        <w:t>2</w:t>
      </w:r>
    </w:p>
    <w:p w:rsidR="00725931" w:rsidRPr="00725931" w:rsidRDefault="00725931" w:rsidP="00725931">
      <w:pPr>
        <w:spacing w:after="240" w:line="276" w:lineRule="auto"/>
        <w:jc w:val="both"/>
        <w:rPr>
          <w:rFonts w:ascii="Palatino Linotype" w:hAnsi="Palatino Linotype"/>
          <w:bCs/>
          <w:sz w:val="22"/>
          <w:szCs w:val="22"/>
          <w:lang w:val="es-EC"/>
        </w:rPr>
      </w:pPr>
      <w:r w:rsidRPr="00725931">
        <w:rPr>
          <w:rFonts w:ascii="Palatino Linotype" w:hAnsi="Palatino Linotype"/>
          <w:sz w:val="22"/>
          <w:szCs w:val="22"/>
          <w:lang w:val="es-EC"/>
        </w:rPr>
        <w:t>El número total de lotes es de 25</w:t>
      </w:r>
      <w:r w:rsidRPr="00725931">
        <w:rPr>
          <w:rFonts w:ascii="Palatino Linotype" w:hAnsi="Palatino Linotype" w:cs="Arial"/>
          <w:sz w:val="22"/>
          <w:szCs w:val="22"/>
        </w:rPr>
        <w:t>, signados del uno (1) al  veinte y cinco  (25)</w:t>
      </w:r>
      <w:r w:rsidRPr="00725931">
        <w:rPr>
          <w:rFonts w:ascii="Palatino Linotype" w:hAnsi="Palatino Linotype"/>
          <w:sz w:val="22"/>
          <w:szCs w:val="22"/>
          <w:lang w:val="es-EC"/>
        </w:rPr>
        <w:t>,</w:t>
      </w:r>
      <w:r w:rsidRPr="00725931">
        <w:rPr>
          <w:rFonts w:ascii="Palatino Linotype" w:eastAsia="Calibri" w:hAnsi="Palatino Linotype" w:cs="Calibri"/>
          <w:sz w:val="22"/>
          <w:szCs w:val="22"/>
          <w:lang w:eastAsia="en-US"/>
        </w:rPr>
        <w:t xml:space="preserve"> </w:t>
      </w:r>
      <w:r w:rsidRPr="00725931">
        <w:rPr>
          <w:rFonts w:ascii="Palatino Linotype" w:hAnsi="Palatino Linotype"/>
          <w:sz w:val="22"/>
          <w:szCs w:val="22"/>
          <w:lang w:val="es-EC"/>
        </w:rPr>
        <w:t xml:space="preserve">cuyo detalle es el que consta </w:t>
      </w:r>
      <w:r w:rsidRPr="00725931">
        <w:rPr>
          <w:rFonts w:ascii="Palatino Linotype" w:hAnsi="Palatino Linotype"/>
          <w:bCs/>
          <w:sz w:val="22"/>
          <w:szCs w:val="22"/>
          <w:lang w:val="es-EC"/>
        </w:rPr>
        <w:t xml:space="preserve">adjunto al plano aprobatorio, </w:t>
      </w:r>
      <w:r w:rsidR="009E4B48">
        <w:rPr>
          <w:rFonts w:ascii="Palatino Linotype" w:hAnsi="Palatino Linotype"/>
          <w:bCs/>
          <w:sz w:val="22"/>
          <w:szCs w:val="22"/>
          <w:lang w:val="es-EC"/>
        </w:rPr>
        <w:t>el mismo</w:t>
      </w:r>
      <w:r w:rsidRPr="00725931">
        <w:rPr>
          <w:rFonts w:ascii="Palatino Linotype" w:hAnsi="Palatino Linotype"/>
          <w:bCs/>
          <w:sz w:val="22"/>
          <w:szCs w:val="22"/>
          <w:lang w:val="es-EC"/>
        </w:rPr>
        <w:t xml:space="preserve"> que forma parte de la presente ordenanza.</w:t>
      </w:r>
    </w:p>
    <w:p w:rsidR="00725931" w:rsidRDefault="00725931" w:rsidP="00725931">
      <w:pPr>
        <w:spacing w:after="240" w:line="276" w:lineRule="auto"/>
        <w:jc w:val="both"/>
        <w:rPr>
          <w:rFonts w:ascii="Palatino Linotype" w:hAnsi="Palatino Linotype" w:cstheme="minorHAnsi"/>
          <w:sz w:val="22"/>
          <w:szCs w:val="22"/>
        </w:rPr>
      </w:pPr>
      <w:r w:rsidRPr="00A27A9A">
        <w:rPr>
          <w:rFonts w:ascii="Palatino Linotype" w:hAnsi="Palatino Linotype" w:cs="Arial"/>
          <w:b/>
          <w:bCs/>
          <w:sz w:val="22"/>
          <w:szCs w:val="22"/>
        </w:rPr>
        <w:t>Artículo 3</w:t>
      </w:r>
      <w:r w:rsidRPr="00C32F4F">
        <w:rPr>
          <w:rFonts w:ascii="Palatino Linotype" w:hAnsi="Palatino Linotype" w:cs="Arial"/>
          <w:b/>
          <w:bCs/>
          <w:sz w:val="22"/>
          <w:szCs w:val="22"/>
        </w:rPr>
        <w:t xml:space="preserve">.- Zonificación de los lotes.- </w:t>
      </w:r>
      <w:r>
        <w:rPr>
          <w:rFonts w:ascii="Palatino Linotype" w:hAnsi="Palatino Linotype" w:cs="Arial"/>
          <w:bCs/>
          <w:sz w:val="22"/>
          <w:szCs w:val="22"/>
        </w:rPr>
        <w:t>L</w:t>
      </w:r>
      <w:r w:rsidRPr="00C32F4F">
        <w:rPr>
          <w:rFonts w:ascii="Palatino Linotype" w:hAnsi="Palatino Linotype" w:cs="Arial"/>
          <w:bCs/>
          <w:sz w:val="22"/>
          <w:szCs w:val="22"/>
        </w:rPr>
        <w:t xml:space="preserve">os lotes fraccionados </w:t>
      </w:r>
      <w:r>
        <w:rPr>
          <w:rFonts w:ascii="Palatino Linotype" w:hAnsi="Palatino Linotype" w:cs="Arial"/>
          <w:bCs/>
          <w:sz w:val="22"/>
          <w:szCs w:val="22"/>
        </w:rPr>
        <w:t xml:space="preserve">mantendrán </w:t>
      </w:r>
      <w:r w:rsidRPr="00C32F4F">
        <w:rPr>
          <w:rFonts w:ascii="Palatino Linotype" w:hAnsi="Palatino Linotype" w:cs="Arial"/>
          <w:bCs/>
          <w:sz w:val="22"/>
          <w:szCs w:val="22"/>
        </w:rPr>
        <w:t>la</w:t>
      </w:r>
      <w:r w:rsidRPr="00C32F4F">
        <w:rPr>
          <w:rFonts w:ascii="Palatino Linotype" w:hAnsi="Palatino Linotype"/>
          <w:sz w:val="22"/>
          <w:szCs w:val="22"/>
          <w:lang w:val="es-EC"/>
        </w:rPr>
        <w:t xml:space="preserve"> </w:t>
      </w:r>
      <w:r>
        <w:rPr>
          <w:rFonts w:ascii="Palatino Linotype" w:hAnsi="Palatino Linotype"/>
          <w:sz w:val="22"/>
          <w:szCs w:val="22"/>
          <w:lang w:val="es-EC"/>
        </w:rPr>
        <w:t xml:space="preserve">siguiente </w:t>
      </w:r>
      <w:r w:rsidRPr="00C32F4F">
        <w:rPr>
          <w:rFonts w:ascii="Palatino Linotype" w:hAnsi="Palatino Linotype"/>
          <w:sz w:val="22"/>
          <w:szCs w:val="22"/>
          <w:lang w:val="es-EC"/>
        </w:rPr>
        <w:t>zonificación:</w:t>
      </w:r>
      <w:r w:rsidRPr="00C32F4F">
        <w:rPr>
          <w:rFonts w:ascii="Palatino Linotype" w:hAnsi="Palatino Linotype" w:cstheme="minorHAnsi"/>
          <w:sz w:val="22"/>
          <w:szCs w:val="22"/>
        </w:rPr>
        <w:t xml:space="preserve"> D5 (D304-80)</w:t>
      </w:r>
      <w:r w:rsidR="009E4B48">
        <w:rPr>
          <w:rFonts w:ascii="Palatino Linotype" w:hAnsi="Palatino Linotype" w:cstheme="minorHAnsi"/>
          <w:sz w:val="22"/>
          <w:szCs w:val="22"/>
        </w:rPr>
        <w:t>,</w:t>
      </w:r>
      <w:r w:rsidRPr="00C32F4F">
        <w:rPr>
          <w:rFonts w:ascii="Palatino Linotype" w:hAnsi="Palatino Linotype" w:cstheme="minorHAnsi"/>
          <w:sz w:val="22"/>
          <w:szCs w:val="22"/>
        </w:rPr>
        <w:t xml:space="preserve"> con área de lote mínimo</w:t>
      </w:r>
      <w:r w:rsidR="009E4B48">
        <w:rPr>
          <w:rFonts w:ascii="Palatino Linotype" w:hAnsi="Palatino Linotype" w:cstheme="minorHAnsi"/>
          <w:sz w:val="22"/>
          <w:szCs w:val="22"/>
        </w:rPr>
        <w:t>:</w:t>
      </w:r>
      <w:r w:rsidRPr="00C32F4F">
        <w:rPr>
          <w:rFonts w:ascii="Palatino Linotype" w:hAnsi="Palatino Linotype" w:cstheme="minorHAnsi"/>
          <w:sz w:val="22"/>
          <w:szCs w:val="22"/>
        </w:rPr>
        <w:t xml:space="preserve"> 300 m</w:t>
      </w:r>
      <w:r w:rsidRPr="00725931">
        <w:rPr>
          <w:rFonts w:ascii="Palatino Linotype" w:hAnsi="Palatino Linotype" w:cstheme="minorHAnsi"/>
          <w:sz w:val="22"/>
          <w:szCs w:val="22"/>
          <w:vertAlign w:val="superscript"/>
        </w:rPr>
        <w:t>2</w:t>
      </w:r>
      <w:r w:rsidRPr="00C32F4F">
        <w:rPr>
          <w:rFonts w:ascii="Palatino Linotype" w:hAnsi="Palatino Linotype" w:cstheme="minorHAnsi"/>
          <w:sz w:val="22"/>
          <w:szCs w:val="22"/>
        </w:rPr>
        <w:t xml:space="preserve">, uso principal </w:t>
      </w:r>
      <w:r>
        <w:rPr>
          <w:rFonts w:ascii="Palatino Linotype" w:hAnsi="Palatino Linotype" w:cstheme="minorHAnsi"/>
          <w:sz w:val="22"/>
          <w:szCs w:val="22"/>
        </w:rPr>
        <w:t>del suelo: (R3</w:t>
      </w:r>
      <w:r w:rsidRPr="00C32F4F">
        <w:rPr>
          <w:rFonts w:ascii="Palatino Linotype" w:hAnsi="Palatino Linotype" w:cstheme="minorHAnsi"/>
          <w:sz w:val="22"/>
          <w:szCs w:val="22"/>
        </w:rPr>
        <w:t>) Residencia Mediana Densidad</w:t>
      </w:r>
      <w:r>
        <w:rPr>
          <w:rFonts w:ascii="Palatino Linotype" w:hAnsi="Palatino Linotype" w:cstheme="minorHAnsi"/>
          <w:sz w:val="22"/>
          <w:szCs w:val="22"/>
        </w:rPr>
        <w:t>;</w:t>
      </w:r>
      <w:r w:rsidRPr="00C32F4F">
        <w:rPr>
          <w:rFonts w:ascii="Palatino Linotype" w:hAnsi="Palatino Linotype" w:cstheme="minorHAnsi"/>
          <w:sz w:val="22"/>
          <w:szCs w:val="22"/>
        </w:rPr>
        <w:t xml:space="preserve"> y</w:t>
      </w:r>
      <w:r>
        <w:rPr>
          <w:rFonts w:ascii="Palatino Linotype" w:hAnsi="Palatino Linotype" w:cstheme="minorHAnsi"/>
          <w:sz w:val="22"/>
          <w:szCs w:val="22"/>
        </w:rPr>
        <w:t>,</w:t>
      </w:r>
      <w:r w:rsidRPr="00C32F4F">
        <w:rPr>
          <w:rFonts w:ascii="Palatino Linotype" w:hAnsi="Palatino Linotype" w:cstheme="minorHAnsi"/>
          <w:sz w:val="22"/>
          <w:szCs w:val="22"/>
        </w:rPr>
        <w:t xml:space="preserve"> forma de ocupación del suelo</w:t>
      </w:r>
      <w:r>
        <w:rPr>
          <w:rFonts w:ascii="Palatino Linotype" w:hAnsi="Palatino Linotype" w:cstheme="minorHAnsi"/>
          <w:sz w:val="22"/>
          <w:szCs w:val="22"/>
        </w:rPr>
        <w:t>:</w:t>
      </w:r>
      <w:r w:rsidRPr="00C32F4F">
        <w:rPr>
          <w:rFonts w:ascii="Palatino Linotype" w:hAnsi="Palatino Linotype" w:cstheme="minorHAnsi"/>
          <w:sz w:val="22"/>
          <w:szCs w:val="22"/>
        </w:rPr>
        <w:t xml:space="preserve"> (D) Sobre línea de fábrica.</w:t>
      </w:r>
    </w:p>
    <w:p w:rsidR="00725931" w:rsidRPr="00725931" w:rsidRDefault="00725931" w:rsidP="00725931">
      <w:pPr>
        <w:spacing w:after="240" w:line="276" w:lineRule="auto"/>
        <w:jc w:val="both"/>
        <w:rPr>
          <w:rFonts w:ascii="Palatino Linotype" w:hAnsi="Palatino Linotype" w:cstheme="minorHAnsi"/>
          <w:sz w:val="22"/>
          <w:szCs w:val="22"/>
        </w:rPr>
      </w:pPr>
      <w:r w:rsidRPr="0004258A">
        <w:rPr>
          <w:rFonts w:ascii="Palatino Linotype" w:hAnsi="Palatino Linotype"/>
          <w:b/>
          <w:sz w:val="22"/>
          <w:szCs w:val="22"/>
          <w:lang w:val="es-EC"/>
        </w:rPr>
        <w:t xml:space="preserve">Artículo 4.- Lotes por excepción.- </w:t>
      </w:r>
      <w:r w:rsidRPr="0004258A">
        <w:rPr>
          <w:rFonts w:ascii="Palatino Linotype" w:hAnsi="Palatino Linotype" w:cs="Arial"/>
          <w:bCs/>
          <w:sz w:val="22"/>
          <w:szCs w:val="22"/>
        </w:rPr>
        <w:t xml:space="preserve">Por tratarse de un </w:t>
      </w:r>
      <w:r>
        <w:rPr>
          <w:rFonts w:ascii="Palatino Linotype" w:hAnsi="Palatino Linotype" w:cs="Arial"/>
          <w:bCs/>
          <w:sz w:val="22"/>
          <w:szCs w:val="22"/>
        </w:rPr>
        <w:t>a</w:t>
      </w:r>
      <w:r w:rsidRPr="0004258A">
        <w:rPr>
          <w:rFonts w:ascii="Palatino Linotype" w:hAnsi="Palatino Linotype" w:cs="Arial"/>
          <w:bCs/>
          <w:sz w:val="22"/>
          <w:szCs w:val="22"/>
        </w:rPr>
        <w:t xml:space="preserve">sentamiento </w:t>
      </w:r>
      <w:r>
        <w:rPr>
          <w:rFonts w:ascii="Palatino Linotype" w:hAnsi="Palatino Linotype" w:cs="Arial"/>
          <w:bCs/>
          <w:sz w:val="22"/>
          <w:szCs w:val="22"/>
        </w:rPr>
        <w:t>h</w:t>
      </w:r>
      <w:r w:rsidRPr="0004258A">
        <w:rPr>
          <w:rFonts w:ascii="Palatino Linotype" w:hAnsi="Palatino Linotype" w:cs="Arial"/>
          <w:bCs/>
          <w:sz w:val="22"/>
          <w:szCs w:val="22"/>
        </w:rPr>
        <w:t xml:space="preserve">umano de </w:t>
      </w:r>
      <w:r>
        <w:rPr>
          <w:rFonts w:ascii="Palatino Linotype" w:hAnsi="Palatino Linotype" w:cs="Arial"/>
          <w:bCs/>
          <w:sz w:val="22"/>
          <w:szCs w:val="22"/>
        </w:rPr>
        <w:t>h</w:t>
      </w:r>
      <w:r w:rsidRPr="0004258A">
        <w:rPr>
          <w:rFonts w:ascii="Palatino Linotype" w:hAnsi="Palatino Linotype" w:cs="Arial"/>
          <w:bCs/>
          <w:sz w:val="22"/>
          <w:szCs w:val="22"/>
        </w:rPr>
        <w:t xml:space="preserve">echo y </w:t>
      </w:r>
      <w:r>
        <w:rPr>
          <w:rFonts w:ascii="Palatino Linotype" w:hAnsi="Palatino Linotype" w:cs="Arial"/>
          <w:bCs/>
          <w:sz w:val="22"/>
          <w:szCs w:val="22"/>
        </w:rPr>
        <w:t>c</w:t>
      </w:r>
      <w:r w:rsidRPr="0004258A">
        <w:rPr>
          <w:rFonts w:ascii="Palatino Linotype" w:hAnsi="Palatino Linotype" w:cs="Arial"/>
          <w:bCs/>
          <w:sz w:val="22"/>
          <w:szCs w:val="22"/>
        </w:rPr>
        <w:t>onsolidado, se aprueba</w:t>
      </w:r>
      <w:r>
        <w:rPr>
          <w:rFonts w:ascii="Palatino Linotype" w:hAnsi="Palatino Linotype" w:cs="Arial"/>
          <w:bCs/>
          <w:sz w:val="22"/>
          <w:szCs w:val="22"/>
        </w:rPr>
        <w:t>n</w:t>
      </w:r>
      <w:r w:rsidRPr="0004258A">
        <w:rPr>
          <w:rFonts w:ascii="Palatino Linotype" w:hAnsi="Palatino Linotype" w:cs="Arial"/>
          <w:bCs/>
          <w:sz w:val="22"/>
          <w:szCs w:val="22"/>
        </w:rPr>
        <w:t xml:space="preserve"> por excepción los siguientes lotes </w:t>
      </w:r>
      <w:r>
        <w:rPr>
          <w:rFonts w:ascii="Palatino Linotype" w:hAnsi="Palatino Linotype" w:cs="Arial"/>
          <w:bCs/>
          <w:sz w:val="22"/>
          <w:szCs w:val="22"/>
        </w:rPr>
        <w:t>de menor superficie conforme el plano adjunto</w:t>
      </w:r>
      <w:r w:rsidRPr="0004258A">
        <w:rPr>
          <w:rFonts w:ascii="Palatino Linotype" w:hAnsi="Palatino Linotype" w:cs="Arial"/>
          <w:bCs/>
          <w:sz w:val="22"/>
          <w:szCs w:val="22"/>
        </w:rPr>
        <w:t xml:space="preserve">: </w:t>
      </w:r>
      <w:r w:rsidRPr="0004258A">
        <w:rPr>
          <w:rFonts w:ascii="Palatino Linotype" w:hAnsi="Palatino Linotype" w:cstheme="minorHAnsi"/>
        </w:rPr>
        <w:t xml:space="preserve">11, 12, 13, 14, 15, 16,  17, 18, 19, </w:t>
      </w:r>
      <w:r>
        <w:rPr>
          <w:rFonts w:ascii="Palatino Linotype" w:hAnsi="Palatino Linotype" w:cstheme="minorHAnsi"/>
        </w:rPr>
        <w:t>20, 21 y 22</w:t>
      </w:r>
      <w:r w:rsidRPr="0004258A">
        <w:rPr>
          <w:rFonts w:ascii="Palatino Linotype" w:hAnsi="Palatino Linotype" w:cstheme="minorHAnsi"/>
        </w:rPr>
        <w:t>.</w:t>
      </w:r>
    </w:p>
    <w:p w:rsidR="00725931" w:rsidRPr="00725931" w:rsidRDefault="00725931" w:rsidP="00725931">
      <w:pPr>
        <w:spacing w:after="240" w:line="276" w:lineRule="auto"/>
        <w:contextualSpacing/>
        <w:jc w:val="both"/>
        <w:rPr>
          <w:rFonts w:ascii="Palatino Linotype" w:hAnsi="Palatino Linotype" w:cstheme="minorHAnsi"/>
        </w:rPr>
      </w:pPr>
      <w:r>
        <w:rPr>
          <w:rFonts w:ascii="Palatino Linotype" w:hAnsi="Palatino Linotype"/>
          <w:b/>
          <w:bCs/>
          <w:sz w:val="22"/>
          <w:szCs w:val="22"/>
          <w:lang w:val="es-EC"/>
        </w:rPr>
        <w:lastRenderedPageBreak/>
        <w:t>Artículo 5</w:t>
      </w:r>
      <w:r w:rsidRPr="00223768">
        <w:rPr>
          <w:rFonts w:ascii="Palatino Linotype" w:hAnsi="Palatino Linotype"/>
          <w:b/>
          <w:bCs/>
          <w:sz w:val="22"/>
          <w:szCs w:val="22"/>
          <w:lang w:val="es-EC"/>
        </w:rPr>
        <w:t xml:space="preserve">.- Excedentes o </w:t>
      </w:r>
      <w:r>
        <w:rPr>
          <w:rFonts w:ascii="Palatino Linotype" w:hAnsi="Palatino Linotype"/>
          <w:b/>
          <w:bCs/>
          <w:sz w:val="22"/>
          <w:szCs w:val="22"/>
          <w:lang w:val="es-EC"/>
        </w:rPr>
        <w:t>d</w:t>
      </w:r>
      <w:r w:rsidRPr="00223768">
        <w:rPr>
          <w:rFonts w:ascii="Palatino Linotype" w:hAnsi="Palatino Linotype"/>
          <w:b/>
          <w:bCs/>
          <w:sz w:val="22"/>
          <w:szCs w:val="22"/>
          <w:lang w:val="es-EC"/>
        </w:rPr>
        <w:t>iferencias de áreas.-</w:t>
      </w:r>
      <w:r w:rsidRPr="00E3169E">
        <w:rPr>
          <w:rFonts w:ascii="Palatino Linotype" w:hAnsi="Palatino Linotype"/>
          <w:b/>
          <w:bCs/>
          <w:sz w:val="22"/>
          <w:szCs w:val="22"/>
          <w:lang w:val="es-EC"/>
        </w:rPr>
        <w:t xml:space="preserve"> </w:t>
      </w:r>
      <w:r w:rsidRPr="008C378E">
        <w:rPr>
          <w:rFonts w:ascii="Palatino Linotype" w:hAnsi="Palatino Linotype"/>
          <w:bCs/>
          <w:sz w:val="22"/>
          <w:szCs w:val="22"/>
          <w:lang w:val="es-EC"/>
        </w:rPr>
        <w:t>Por cuanto dentro del proceso</w:t>
      </w:r>
      <w:r>
        <w:rPr>
          <w:rFonts w:ascii="Palatino Linotype" w:hAnsi="Palatino Linotype"/>
          <w:bCs/>
          <w:sz w:val="22"/>
          <w:szCs w:val="22"/>
          <w:lang w:val="es-EC"/>
        </w:rPr>
        <w:t xml:space="preserve"> de regularización se </w:t>
      </w:r>
      <w:proofErr w:type="gramStart"/>
      <w:r>
        <w:rPr>
          <w:rFonts w:ascii="Palatino Linotype" w:hAnsi="Palatino Linotype"/>
          <w:bCs/>
          <w:sz w:val="22"/>
          <w:szCs w:val="22"/>
          <w:lang w:val="es-EC"/>
        </w:rPr>
        <w:t>detectó</w:t>
      </w:r>
      <w:proofErr w:type="gramEnd"/>
      <w:r>
        <w:rPr>
          <w:rFonts w:ascii="Palatino Linotype" w:hAnsi="Palatino Linotype"/>
          <w:bCs/>
          <w:sz w:val="22"/>
          <w:szCs w:val="22"/>
          <w:lang w:val="es-EC"/>
        </w:rPr>
        <w:t xml:space="preserve"> la existencia de una variación de área, previo a la protocolización e inscripción de la presente Ordenanza se deberá regularizar el área, de conformidad con lo establecido en la </w:t>
      </w:r>
      <w:r w:rsidR="009E4B48">
        <w:rPr>
          <w:rFonts w:ascii="Palatino Linotype" w:hAnsi="Palatino Linotype"/>
          <w:bCs/>
          <w:sz w:val="22"/>
          <w:szCs w:val="22"/>
          <w:lang w:val="es-EC"/>
        </w:rPr>
        <w:t>normativa metropolitana vigente</w:t>
      </w:r>
      <w:r>
        <w:rPr>
          <w:rFonts w:ascii="Palatino Linotype" w:hAnsi="Palatino Linotype"/>
          <w:bCs/>
          <w:sz w:val="22"/>
          <w:szCs w:val="22"/>
          <w:lang w:val="es-EC"/>
        </w:rPr>
        <w:t>.</w:t>
      </w:r>
    </w:p>
    <w:p w:rsidR="00725931" w:rsidRDefault="00725931" w:rsidP="00725931">
      <w:pPr>
        <w:pStyle w:val="Sinespaciado"/>
        <w:spacing w:after="240" w:line="276" w:lineRule="auto"/>
        <w:jc w:val="both"/>
        <w:rPr>
          <w:rFonts w:ascii="Palatino Linotype" w:hAnsi="Palatino Linotype"/>
          <w:iCs/>
        </w:rPr>
      </w:pPr>
      <w:r>
        <w:rPr>
          <w:rFonts w:ascii="Palatino Linotype" w:hAnsi="Palatino Linotype"/>
          <w:b/>
          <w:bCs/>
        </w:rPr>
        <w:t>Artículo 6</w:t>
      </w:r>
      <w:r w:rsidRPr="002E70F1">
        <w:rPr>
          <w:rFonts w:ascii="Palatino Linotype" w:hAnsi="Palatino Linotype"/>
          <w:b/>
          <w:bCs/>
        </w:rPr>
        <w:t xml:space="preserve">.- De las vías.- </w:t>
      </w:r>
      <w:r w:rsidRPr="002E70F1">
        <w:rPr>
          <w:rFonts w:ascii="Palatino Linotype" w:hAnsi="Palatino Linotype"/>
          <w:bCs/>
          <w:iCs/>
        </w:rPr>
        <w:t xml:space="preserve">El </w:t>
      </w:r>
      <w:r>
        <w:rPr>
          <w:rFonts w:ascii="Palatino Linotype" w:hAnsi="Palatino Linotype"/>
          <w:bCs/>
          <w:iCs/>
        </w:rPr>
        <w:t>a</w:t>
      </w:r>
      <w:r w:rsidRPr="002E70F1">
        <w:rPr>
          <w:rFonts w:ascii="Palatino Linotype" w:hAnsi="Palatino Linotype"/>
          <w:bCs/>
          <w:iCs/>
        </w:rPr>
        <w:t xml:space="preserve">sentamiento </w:t>
      </w:r>
      <w:r>
        <w:rPr>
          <w:rFonts w:ascii="Palatino Linotype" w:hAnsi="Palatino Linotype"/>
          <w:bCs/>
          <w:iCs/>
        </w:rPr>
        <w:t>h</w:t>
      </w:r>
      <w:r w:rsidRPr="002E70F1">
        <w:rPr>
          <w:rFonts w:ascii="Palatino Linotype" w:hAnsi="Palatino Linotype"/>
          <w:bCs/>
          <w:iCs/>
        </w:rPr>
        <w:t xml:space="preserve">umano de </w:t>
      </w:r>
      <w:r>
        <w:rPr>
          <w:rFonts w:ascii="Palatino Linotype" w:hAnsi="Palatino Linotype"/>
          <w:bCs/>
          <w:iCs/>
        </w:rPr>
        <w:t>h</w:t>
      </w:r>
      <w:r w:rsidRPr="002E70F1">
        <w:rPr>
          <w:rFonts w:ascii="Palatino Linotype" w:hAnsi="Palatino Linotype"/>
          <w:bCs/>
          <w:iCs/>
        </w:rPr>
        <w:t xml:space="preserve">echo y </w:t>
      </w:r>
      <w:r>
        <w:rPr>
          <w:rFonts w:ascii="Palatino Linotype" w:hAnsi="Palatino Linotype"/>
          <w:bCs/>
          <w:iCs/>
        </w:rPr>
        <w:t>c</w:t>
      </w:r>
      <w:r w:rsidRPr="002E70F1">
        <w:rPr>
          <w:rFonts w:ascii="Palatino Linotype" w:hAnsi="Palatino Linotype"/>
          <w:bCs/>
          <w:iCs/>
        </w:rPr>
        <w:t xml:space="preserve">onsolidado </w:t>
      </w:r>
      <w:r w:rsidRPr="002E70F1">
        <w:rPr>
          <w:rFonts w:ascii="Palatino Linotype" w:hAnsi="Palatino Linotype"/>
          <w:iCs/>
        </w:rPr>
        <w:t>contempla un sistema vial de uso público, debido a que éste es un asentamiento hum</w:t>
      </w:r>
      <w:r>
        <w:rPr>
          <w:rFonts w:ascii="Palatino Linotype" w:hAnsi="Palatino Linotype"/>
          <w:iCs/>
        </w:rPr>
        <w:t xml:space="preserve">ano de hecho y consolidado </w:t>
      </w:r>
      <w:r w:rsidRPr="003F5A5A">
        <w:rPr>
          <w:rFonts w:ascii="Palatino Linotype" w:hAnsi="Palatino Linotype"/>
          <w:iCs/>
        </w:rPr>
        <w:t>de 26 años de existencia, con un 76% de consolidación</w:t>
      </w:r>
      <w:r w:rsidRPr="002E70F1">
        <w:rPr>
          <w:rFonts w:ascii="Palatino Linotype" w:hAnsi="Palatino Linotype"/>
          <w:iCs/>
        </w:rPr>
        <w:t xml:space="preserve"> de viviendas, se aprueban los anchos de vías y pasajes</w:t>
      </w:r>
      <w:r w:rsidR="006B507C">
        <w:rPr>
          <w:rFonts w:ascii="Palatino Linotype" w:hAnsi="Palatino Linotype"/>
          <w:iCs/>
        </w:rPr>
        <w:t xml:space="preserve"> conforme el plano adjunto a la presente ordenanza</w:t>
      </w:r>
      <w:r w:rsidRPr="002E70F1">
        <w:rPr>
          <w:rFonts w:ascii="Palatino Linotype" w:hAnsi="Palatino Linotype"/>
          <w:iCs/>
        </w:rPr>
        <w:t xml:space="preserve">. </w:t>
      </w:r>
    </w:p>
    <w:p w:rsidR="006B507C" w:rsidRDefault="00725931" w:rsidP="00725931">
      <w:pPr>
        <w:pStyle w:val="Sinespaciado"/>
        <w:spacing w:after="240" w:line="276" w:lineRule="auto"/>
        <w:jc w:val="both"/>
        <w:rPr>
          <w:rFonts w:ascii="Palatino Linotype" w:hAnsi="Palatino Linotype"/>
          <w:iCs/>
        </w:rPr>
      </w:pPr>
      <w:r w:rsidRPr="00725931">
        <w:rPr>
          <w:rFonts w:ascii="Palatino Linotype" w:hAnsi="Palatino Linotype"/>
          <w:iCs/>
        </w:rPr>
        <w:t xml:space="preserve">Los anchos de vías y pasajes que se aprueban son las siguientes: </w:t>
      </w:r>
    </w:p>
    <w:p w:rsidR="00725931" w:rsidRPr="00725931" w:rsidRDefault="00725931" w:rsidP="00725931">
      <w:pPr>
        <w:pStyle w:val="Sinespaciado"/>
        <w:spacing w:after="240" w:line="276" w:lineRule="auto"/>
        <w:jc w:val="both"/>
        <w:rPr>
          <w:rFonts w:ascii="Palatino Linotype" w:hAnsi="Palatino Linotype"/>
          <w:iCs/>
        </w:rPr>
      </w:pPr>
      <w:r>
        <w:rPr>
          <w:rFonts w:ascii="Palatino Linotype" w:hAnsi="Palatino Linotype" w:cs="Calibri"/>
        </w:rPr>
        <w:t xml:space="preserve">Pasaje </w:t>
      </w:r>
      <w:r w:rsidRPr="00725931">
        <w:rPr>
          <w:rFonts w:ascii="Palatino Linotype" w:hAnsi="Palatino Linotype" w:cs="Calibri"/>
        </w:rPr>
        <w:t>“</w:t>
      </w:r>
      <w:r>
        <w:rPr>
          <w:rFonts w:ascii="Palatino Linotype" w:hAnsi="Palatino Linotype" w:cs="Calibri"/>
        </w:rPr>
        <w:t xml:space="preserve">Ca </w:t>
      </w:r>
      <w:r w:rsidRPr="00725931">
        <w:rPr>
          <w:rFonts w:ascii="Palatino Linotype" w:hAnsi="Palatino Linotype" w:cs="Calibri"/>
        </w:rPr>
        <w:t>S59A”</w:t>
      </w:r>
      <w:r w:rsidR="006B507C">
        <w:rPr>
          <w:rFonts w:ascii="Palatino Linotype" w:hAnsi="Palatino Linotype" w:cs="Calibri"/>
        </w:rPr>
        <w:t>:</w:t>
      </w:r>
      <w:r w:rsidR="006B507C">
        <w:rPr>
          <w:rFonts w:ascii="Palatino Linotype" w:hAnsi="Palatino Linotype" w:cs="Calibri"/>
        </w:rPr>
        <w:tab/>
      </w:r>
      <w:r w:rsidR="006B507C">
        <w:rPr>
          <w:rFonts w:ascii="Palatino Linotype" w:hAnsi="Palatino Linotype" w:cs="Calibri"/>
        </w:rPr>
        <w:tab/>
      </w:r>
      <w:r w:rsidRPr="00725931">
        <w:rPr>
          <w:rFonts w:ascii="Palatino Linotype" w:hAnsi="Palatino Linotype" w:cs="Calibri"/>
        </w:rPr>
        <w:t>de 6,40 m</w:t>
      </w:r>
      <w:r>
        <w:rPr>
          <w:rFonts w:ascii="Palatino Linotype" w:hAnsi="Palatino Linotype" w:cs="Calibri"/>
        </w:rPr>
        <w:t>.</w:t>
      </w:r>
    </w:p>
    <w:p w:rsidR="00725931" w:rsidRPr="00EF40FF" w:rsidRDefault="00725931" w:rsidP="00725931">
      <w:pPr>
        <w:spacing w:after="240" w:line="276" w:lineRule="auto"/>
        <w:jc w:val="both"/>
        <w:rPr>
          <w:rFonts w:ascii="Palatino Linotype" w:hAnsi="Palatino Linotype"/>
          <w:bCs/>
          <w:sz w:val="22"/>
          <w:szCs w:val="22"/>
          <w:lang w:val="es-EC"/>
        </w:rPr>
      </w:pPr>
      <w:r>
        <w:rPr>
          <w:rFonts w:ascii="Palatino Linotype" w:hAnsi="Palatino Linotype"/>
          <w:b/>
          <w:bCs/>
          <w:sz w:val="22"/>
          <w:szCs w:val="22"/>
          <w:lang w:val="es-EC"/>
        </w:rPr>
        <w:t>Artículo 7</w:t>
      </w:r>
      <w:r w:rsidRPr="00EF40FF">
        <w:rPr>
          <w:rFonts w:ascii="Palatino Linotype" w:hAnsi="Palatino Linotype"/>
          <w:b/>
          <w:bCs/>
          <w:sz w:val="22"/>
          <w:szCs w:val="22"/>
          <w:lang w:val="es-EC"/>
        </w:rPr>
        <w:t xml:space="preserve">.- De las obras a ejecutarse.- </w:t>
      </w:r>
      <w:r w:rsidRPr="00EF40FF">
        <w:rPr>
          <w:rFonts w:ascii="Palatino Linotype" w:hAnsi="Palatino Linotype"/>
          <w:sz w:val="22"/>
          <w:szCs w:val="22"/>
          <w:lang w:val="es-EC"/>
        </w:rPr>
        <w:t xml:space="preserve">Las obras a ejecutarse en el asentamiento </w:t>
      </w:r>
      <w:r>
        <w:rPr>
          <w:rFonts w:ascii="Palatino Linotype" w:hAnsi="Palatino Linotype"/>
          <w:sz w:val="22"/>
          <w:szCs w:val="22"/>
          <w:lang w:val="es-EC"/>
        </w:rPr>
        <w:t xml:space="preserve">humano de hecho y consolidado </w:t>
      </w:r>
      <w:r w:rsidRPr="00EF40FF">
        <w:rPr>
          <w:rFonts w:ascii="Palatino Linotype" w:hAnsi="Palatino Linotype"/>
          <w:sz w:val="22"/>
          <w:szCs w:val="22"/>
          <w:lang w:val="es-EC"/>
        </w:rPr>
        <w:t>son las siguientes:</w:t>
      </w:r>
    </w:p>
    <w:p w:rsidR="00725931" w:rsidRDefault="00725931" w:rsidP="00725931">
      <w:pPr>
        <w:spacing w:after="240" w:line="276" w:lineRule="auto"/>
        <w:jc w:val="both"/>
        <w:rPr>
          <w:rFonts w:ascii="Palatino Linotype" w:hAnsi="Palatino Linotype"/>
          <w:sz w:val="22"/>
          <w:szCs w:val="22"/>
          <w:lang w:val="es-EC"/>
        </w:rPr>
      </w:pPr>
      <w:r w:rsidRPr="00EF40FF">
        <w:rPr>
          <w:rFonts w:ascii="Palatino Linotype" w:hAnsi="Palatino Linotype"/>
          <w:sz w:val="22"/>
          <w:szCs w:val="22"/>
          <w:lang w:val="es-EC"/>
        </w:rPr>
        <w:t xml:space="preserve">Calzadas                                               </w:t>
      </w:r>
      <w:r>
        <w:rPr>
          <w:rFonts w:ascii="Palatino Linotype" w:hAnsi="Palatino Linotype"/>
          <w:sz w:val="22"/>
          <w:szCs w:val="22"/>
          <w:lang w:val="es-EC"/>
        </w:rPr>
        <w:t>1</w:t>
      </w:r>
      <w:r w:rsidRPr="00EF40FF">
        <w:rPr>
          <w:rFonts w:ascii="Palatino Linotype" w:hAnsi="Palatino Linotype"/>
          <w:sz w:val="22"/>
          <w:szCs w:val="22"/>
          <w:lang w:val="es-EC"/>
        </w:rPr>
        <w:t>00%</w:t>
      </w:r>
    </w:p>
    <w:p w:rsidR="00725931" w:rsidRPr="00816DB2" w:rsidRDefault="00725931" w:rsidP="00725931">
      <w:pPr>
        <w:spacing w:after="240" w:line="276" w:lineRule="auto"/>
        <w:jc w:val="both"/>
        <w:rPr>
          <w:rFonts w:ascii="Palatino Linotype" w:hAnsi="Palatino Linotype" w:cstheme="minorHAnsi"/>
          <w:sz w:val="22"/>
          <w:szCs w:val="22"/>
        </w:rPr>
      </w:pPr>
      <w:r w:rsidRPr="00816DB2">
        <w:rPr>
          <w:rFonts w:ascii="Palatino Linotype" w:hAnsi="Palatino Linotype"/>
          <w:b/>
          <w:bCs/>
          <w:sz w:val="22"/>
          <w:szCs w:val="22"/>
        </w:rPr>
        <w:t>Artículo 8</w:t>
      </w:r>
      <w:r w:rsidRPr="00816DB2">
        <w:rPr>
          <w:rFonts w:ascii="Palatino Linotype" w:hAnsi="Palatino Linotype"/>
          <w:b/>
          <w:bCs/>
          <w:i/>
          <w:sz w:val="22"/>
          <w:szCs w:val="22"/>
        </w:rPr>
        <w:t>.-</w:t>
      </w:r>
      <w:r w:rsidRPr="00816DB2">
        <w:rPr>
          <w:rFonts w:ascii="Palatino Linotype" w:hAnsi="Palatino Linotype"/>
          <w:b/>
          <w:bCs/>
          <w:sz w:val="22"/>
          <w:szCs w:val="22"/>
        </w:rPr>
        <w:t xml:space="preserve"> Informe Técnico de  Evaluación de Riesgos de la Secretaría General de Seguridad y Gobernabilidad.-</w:t>
      </w:r>
      <w:r w:rsidRPr="00816DB2">
        <w:rPr>
          <w:rFonts w:ascii="Palatino Linotype" w:hAnsi="Palatino Linotype"/>
          <w:b/>
          <w:bCs/>
          <w:sz w:val="22"/>
          <w:szCs w:val="22"/>
          <w:lang w:eastAsia="es-EC"/>
        </w:rPr>
        <w:t> </w:t>
      </w:r>
      <w:r w:rsidR="00816DB2" w:rsidRPr="00816DB2">
        <w:rPr>
          <w:rFonts w:ascii="Palatino Linotype" w:hAnsi="Palatino Linotype"/>
          <w:sz w:val="22"/>
          <w:szCs w:val="22"/>
          <w:lang w:eastAsia="es-EC"/>
        </w:rPr>
        <w:t xml:space="preserve">Los dirigentes del predio que se regulariza, deberán cumplir con las recomendaciones que se encuentra determinadas en el informe de la Dirección Metropolitana de Gestión de Riesgos </w:t>
      </w:r>
      <w:r w:rsidRPr="00816DB2">
        <w:rPr>
          <w:rFonts w:ascii="Palatino Linotype" w:hAnsi="Palatino Linotype" w:cstheme="minorHAnsi"/>
          <w:sz w:val="22"/>
          <w:szCs w:val="22"/>
        </w:rPr>
        <w:t>No.</w:t>
      </w:r>
      <w:r w:rsidR="006B507C">
        <w:rPr>
          <w:rFonts w:ascii="Palatino Linotype" w:hAnsi="Palatino Linotype" w:cstheme="minorHAnsi"/>
          <w:sz w:val="22"/>
          <w:szCs w:val="22"/>
        </w:rPr>
        <w:t xml:space="preserve"> 162-</w:t>
      </w:r>
      <w:r w:rsidRPr="00816DB2">
        <w:rPr>
          <w:rFonts w:ascii="Palatino Linotype" w:hAnsi="Palatino Linotype" w:cstheme="minorHAnsi"/>
          <w:sz w:val="22"/>
          <w:szCs w:val="22"/>
        </w:rPr>
        <w:t xml:space="preserve">AT-DMGR-2015, de 27 de </w:t>
      </w:r>
      <w:r w:rsidR="00816DB2">
        <w:rPr>
          <w:rFonts w:ascii="Palatino Linotype" w:hAnsi="Palatino Linotype" w:cstheme="minorHAnsi"/>
          <w:sz w:val="22"/>
          <w:szCs w:val="22"/>
        </w:rPr>
        <w:t>n</w:t>
      </w:r>
      <w:r w:rsidRPr="00816DB2">
        <w:rPr>
          <w:rFonts w:ascii="Palatino Linotype" w:hAnsi="Palatino Linotype" w:cstheme="minorHAnsi"/>
          <w:sz w:val="22"/>
          <w:szCs w:val="22"/>
        </w:rPr>
        <w:t>oviembre de 2015, en el mismo que determina</w:t>
      </w:r>
      <w:r w:rsidR="00816DB2">
        <w:rPr>
          <w:rFonts w:ascii="Palatino Linotype" w:hAnsi="Palatino Linotype" w:cstheme="minorHAnsi"/>
          <w:sz w:val="22"/>
          <w:szCs w:val="22"/>
        </w:rPr>
        <w:t xml:space="preserve"> lo siguiente</w:t>
      </w:r>
      <w:r w:rsidRPr="00816DB2">
        <w:rPr>
          <w:rFonts w:ascii="Palatino Linotype" w:hAnsi="Palatino Linotype" w:cstheme="minorHAnsi"/>
          <w:sz w:val="22"/>
          <w:szCs w:val="22"/>
        </w:rPr>
        <w:t xml:space="preserve">: </w:t>
      </w:r>
    </w:p>
    <w:p w:rsidR="00725931" w:rsidRPr="00816DB2" w:rsidRDefault="00725931" w:rsidP="00816DB2">
      <w:pPr>
        <w:pStyle w:val="Prrafodelista"/>
        <w:numPr>
          <w:ilvl w:val="0"/>
          <w:numId w:val="40"/>
        </w:numPr>
        <w:spacing w:after="240" w:line="276" w:lineRule="auto"/>
        <w:contextualSpacing/>
        <w:jc w:val="both"/>
        <w:rPr>
          <w:rFonts w:ascii="Palatino Linotype" w:hAnsi="Palatino Linotype" w:cs="Calibri"/>
          <w:i/>
          <w:sz w:val="22"/>
          <w:szCs w:val="22"/>
        </w:rPr>
      </w:pPr>
      <w:r w:rsidRPr="00816DB2">
        <w:rPr>
          <w:rFonts w:ascii="Palatino Linotype" w:hAnsi="Palatino Linotype" w:cs="Calibri"/>
          <w:sz w:val="22"/>
          <w:szCs w:val="22"/>
        </w:rPr>
        <w:t>“</w:t>
      </w:r>
      <w:r w:rsidRPr="00816DB2">
        <w:rPr>
          <w:rFonts w:ascii="Palatino Linotype" w:hAnsi="Palatino Linotype" w:cs="Calibri"/>
          <w:i/>
          <w:sz w:val="22"/>
          <w:szCs w:val="22"/>
        </w:rPr>
        <w:t>La zona en estudio, una vez realizada la inspección técnica al AHHYC “Nuestra Señora de Agua Santa” de la Parroquia Guama</w:t>
      </w:r>
      <w:r w:rsidR="00816DB2">
        <w:rPr>
          <w:rFonts w:ascii="Palatino Linotype" w:hAnsi="Palatino Linotype" w:cs="Calibri"/>
          <w:i/>
          <w:sz w:val="22"/>
          <w:szCs w:val="22"/>
        </w:rPr>
        <w:t>ní</w:t>
      </w:r>
      <w:r w:rsidRPr="00816DB2">
        <w:rPr>
          <w:rFonts w:ascii="Palatino Linotype" w:hAnsi="Palatino Linotype" w:cs="Calibri"/>
          <w:i/>
          <w:sz w:val="22"/>
          <w:szCs w:val="22"/>
        </w:rPr>
        <w:t>, considerando los elementos expuestos, viviendas construidas hasta la actualidad con elementos estructurales artesanales, condiciones socioeconómicas, la pendiente del terreno, susceptibilidad por fenómenos de inestabilidad de terrenos. Se manifiesta que presenta un Riesgo Moderado a Bajo en su totalidad.”</w:t>
      </w:r>
    </w:p>
    <w:p w:rsidR="00725931" w:rsidRPr="00816DB2" w:rsidRDefault="00725931" w:rsidP="00816DB2">
      <w:pPr>
        <w:pStyle w:val="Prrafodelista"/>
        <w:numPr>
          <w:ilvl w:val="0"/>
          <w:numId w:val="40"/>
        </w:numPr>
        <w:spacing w:after="240" w:line="276" w:lineRule="auto"/>
        <w:contextualSpacing/>
        <w:jc w:val="both"/>
        <w:rPr>
          <w:rFonts w:ascii="Palatino Linotype" w:hAnsi="Palatino Linotype" w:cs="Calibri"/>
          <w:i/>
          <w:sz w:val="22"/>
          <w:szCs w:val="22"/>
        </w:rPr>
      </w:pPr>
      <w:r w:rsidRPr="00816DB2">
        <w:rPr>
          <w:rFonts w:ascii="Palatino Linotype" w:hAnsi="Palatino Linotype" w:cs="Calibri"/>
          <w:i/>
          <w:sz w:val="22"/>
          <w:szCs w:val="22"/>
        </w:rPr>
        <w:t>“La calificación de la evaluación de la condición del riesgo está dada en base a la probabilidad de ocurrencia de eventos adversos y a las perdidas con su consecuente afectación. Por lo tanto, desde el análisis de la DMGR expresa que es factible continuar con el proceso de regularización y que se deberá cumplir con las siguientes recomendaciones que a continuación se detallan.”</w:t>
      </w:r>
    </w:p>
    <w:p w:rsidR="00725931" w:rsidRPr="00816DB2" w:rsidRDefault="00725931" w:rsidP="00816DB2">
      <w:pPr>
        <w:pStyle w:val="Prrafodelista"/>
        <w:numPr>
          <w:ilvl w:val="0"/>
          <w:numId w:val="40"/>
        </w:numPr>
        <w:spacing w:after="240" w:line="276" w:lineRule="auto"/>
        <w:jc w:val="both"/>
        <w:rPr>
          <w:rFonts w:ascii="Palatino Linotype" w:hAnsi="Palatino Linotype" w:cs="Calibri"/>
          <w:i/>
          <w:sz w:val="22"/>
          <w:szCs w:val="22"/>
        </w:rPr>
      </w:pPr>
      <w:r w:rsidRPr="00816DB2">
        <w:rPr>
          <w:rFonts w:ascii="Palatino Linotype" w:hAnsi="Palatino Linotype" w:cs="Calibri"/>
          <w:i/>
          <w:sz w:val="22"/>
          <w:szCs w:val="22"/>
        </w:rPr>
        <w:t>“Incluir en el Informe de Regulación Metropolitana</w:t>
      </w:r>
      <w:r w:rsidR="006B507C">
        <w:rPr>
          <w:rFonts w:ascii="Palatino Linotype" w:hAnsi="Palatino Linotype" w:cs="Calibri"/>
          <w:i/>
          <w:sz w:val="22"/>
          <w:szCs w:val="22"/>
        </w:rPr>
        <w:t xml:space="preserve"> – </w:t>
      </w:r>
      <w:r w:rsidRPr="00816DB2">
        <w:rPr>
          <w:rFonts w:ascii="Palatino Linotype" w:hAnsi="Palatino Linotype" w:cs="Calibri"/>
          <w:i/>
          <w:sz w:val="22"/>
          <w:szCs w:val="22"/>
        </w:rPr>
        <w:t>IRM</w:t>
      </w:r>
      <w:r w:rsidR="006B507C">
        <w:rPr>
          <w:rFonts w:ascii="Palatino Linotype" w:hAnsi="Palatino Linotype" w:cs="Calibri"/>
          <w:i/>
          <w:sz w:val="22"/>
          <w:szCs w:val="22"/>
        </w:rPr>
        <w:t>,</w:t>
      </w:r>
      <w:r w:rsidRPr="00816DB2">
        <w:rPr>
          <w:rFonts w:ascii="Palatino Linotype" w:hAnsi="Palatino Linotype" w:cs="Calibri"/>
          <w:i/>
          <w:sz w:val="22"/>
          <w:szCs w:val="22"/>
        </w:rPr>
        <w:t xml:space="preserve"> las observaciones de calificación del riesgo y recomendaciones para emisión de permisos y control de usos futuros y ocupación del suelo, en cumplimiento estricto con el cuerpo normativo que garantice el adecuado cuidado </w:t>
      </w:r>
      <w:r w:rsidRPr="00816DB2">
        <w:rPr>
          <w:rFonts w:ascii="Palatino Linotype" w:hAnsi="Palatino Linotype" w:cs="Calibri"/>
          <w:i/>
          <w:sz w:val="22"/>
          <w:szCs w:val="22"/>
        </w:rPr>
        <w:lastRenderedPageBreak/>
        <w:t>ambiental y protección de taludes y quebradas, en prevención de riesgos naturales y antrópicos que se podrían presentar”.</w:t>
      </w:r>
    </w:p>
    <w:p w:rsidR="00725931" w:rsidRPr="00816DB2" w:rsidRDefault="00725931" w:rsidP="00816DB2">
      <w:pPr>
        <w:pStyle w:val="Prrafodelista"/>
        <w:numPr>
          <w:ilvl w:val="0"/>
          <w:numId w:val="40"/>
        </w:numPr>
        <w:spacing w:after="240" w:line="276" w:lineRule="auto"/>
        <w:contextualSpacing/>
        <w:jc w:val="both"/>
        <w:rPr>
          <w:rFonts w:ascii="Palatino Linotype" w:hAnsi="Palatino Linotype" w:cs="Calibri"/>
          <w:i/>
          <w:sz w:val="22"/>
          <w:szCs w:val="22"/>
        </w:rPr>
      </w:pPr>
      <w:r w:rsidRPr="00816DB2">
        <w:rPr>
          <w:rFonts w:ascii="Palatino Linotype" w:hAnsi="Palatino Linotype" w:cs="Calibri"/>
          <w:i/>
          <w:sz w:val="22"/>
          <w:szCs w:val="22"/>
        </w:rPr>
        <w:t>“En el proyecto de regularización se debe respetar la normativa vigente de las Ordenanzas Metropolitanas de: aprobación de los Planes Metropolitanos de Ordenamiento Territorial, (PMOT), Uso y Ocupación del Suelo, (PUOS) y Régimen Administrativo del Suelo en el D.M.Q. (Ordenanzas Metropolitanas No. 171 y No.</w:t>
      </w:r>
      <w:r w:rsidR="006B507C">
        <w:rPr>
          <w:rFonts w:ascii="Palatino Linotype" w:hAnsi="Palatino Linotype" w:cs="Calibri"/>
          <w:i/>
          <w:sz w:val="22"/>
          <w:szCs w:val="22"/>
        </w:rPr>
        <w:t xml:space="preserve"> </w:t>
      </w:r>
      <w:r w:rsidRPr="00816DB2">
        <w:rPr>
          <w:rFonts w:ascii="Palatino Linotype" w:hAnsi="Palatino Linotype" w:cs="Calibri"/>
          <w:i/>
          <w:sz w:val="22"/>
          <w:szCs w:val="22"/>
        </w:rPr>
        <w:t>172, y sus Reformatorias No.</w:t>
      </w:r>
      <w:r w:rsidR="006B507C">
        <w:rPr>
          <w:rFonts w:ascii="Palatino Linotype" w:hAnsi="Palatino Linotype" w:cs="Calibri"/>
          <w:i/>
          <w:sz w:val="22"/>
          <w:szCs w:val="22"/>
        </w:rPr>
        <w:t xml:space="preserve"> </w:t>
      </w:r>
      <w:r w:rsidRPr="00816DB2">
        <w:rPr>
          <w:rFonts w:ascii="Palatino Linotype" w:hAnsi="Palatino Linotype" w:cs="Calibri"/>
          <w:i/>
          <w:sz w:val="22"/>
          <w:szCs w:val="22"/>
        </w:rPr>
        <w:t>447 y No.</w:t>
      </w:r>
      <w:r w:rsidR="006B507C">
        <w:rPr>
          <w:rFonts w:ascii="Palatino Linotype" w:hAnsi="Palatino Linotype" w:cs="Calibri"/>
          <w:i/>
          <w:sz w:val="22"/>
          <w:szCs w:val="22"/>
        </w:rPr>
        <w:t xml:space="preserve"> </w:t>
      </w:r>
      <w:r w:rsidRPr="00816DB2">
        <w:rPr>
          <w:rFonts w:ascii="Palatino Linotype" w:hAnsi="Palatino Linotype" w:cs="Calibri"/>
          <w:i/>
          <w:sz w:val="22"/>
          <w:szCs w:val="22"/>
        </w:rPr>
        <w:t>432)”.</w:t>
      </w:r>
    </w:p>
    <w:p w:rsidR="00725931" w:rsidRPr="00816DB2" w:rsidRDefault="00725931" w:rsidP="00816DB2">
      <w:pPr>
        <w:pStyle w:val="Prrafodelista"/>
        <w:numPr>
          <w:ilvl w:val="0"/>
          <w:numId w:val="40"/>
        </w:numPr>
        <w:spacing w:after="240" w:line="276" w:lineRule="auto"/>
        <w:contextualSpacing/>
        <w:jc w:val="both"/>
        <w:rPr>
          <w:rFonts w:ascii="Palatino Linotype" w:hAnsi="Palatino Linotype" w:cs="Calibri"/>
          <w:i/>
          <w:sz w:val="22"/>
          <w:szCs w:val="22"/>
        </w:rPr>
      </w:pPr>
      <w:r w:rsidRPr="00816DB2">
        <w:rPr>
          <w:rFonts w:ascii="Palatino Linotype" w:hAnsi="Palatino Linotype" w:cs="Calibri"/>
          <w:i/>
          <w:sz w:val="22"/>
          <w:szCs w:val="22"/>
        </w:rPr>
        <w:t>“La Dirección Metropolitana de Gestión de Riesgos (DMGR) recomienda  para el proceso de regularización de los predios que se encuentran ubicados en el barrio “Nuestra  Señora de Agua Santa”, que en las edificaciones actuales, sus propietarios deberían contratar a un especialista (Ing. Civil Estructuralista o Estructural) para que evalúe el estado actual y proponga un sistema de reforzamiento estructural si el caso así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725931" w:rsidRPr="00816DB2" w:rsidRDefault="00725931" w:rsidP="00816DB2">
      <w:pPr>
        <w:pStyle w:val="Prrafodelista"/>
        <w:numPr>
          <w:ilvl w:val="0"/>
          <w:numId w:val="40"/>
        </w:numPr>
        <w:spacing w:after="240" w:line="276" w:lineRule="auto"/>
        <w:contextualSpacing/>
        <w:jc w:val="both"/>
        <w:rPr>
          <w:rFonts w:ascii="Palatino Linotype" w:hAnsi="Palatino Linotype" w:cs="Calibri"/>
          <w:i/>
          <w:sz w:val="22"/>
          <w:szCs w:val="22"/>
        </w:rPr>
      </w:pPr>
      <w:r w:rsidRPr="00816DB2">
        <w:rPr>
          <w:rFonts w:ascii="Palatino Linotype" w:hAnsi="Palatino Linotype" w:cs="Calibri"/>
          <w:i/>
          <w:sz w:val="22"/>
          <w:szCs w:val="22"/>
        </w:rPr>
        <w:t>“Los cortes de terreno del pasaje que está a la intemperie a futuro deben ser recubiertos con cobertura vegeta</w:t>
      </w:r>
      <w:r w:rsidR="00816DB2" w:rsidRPr="00816DB2">
        <w:rPr>
          <w:rFonts w:ascii="Palatino Linotype" w:hAnsi="Palatino Linotype" w:cs="Calibri"/>
          <w:i/>
          <w:sz w:val="22"/>
          <w:szCs w:val="22"/>
        </w:rPr>
        <w:t>l</w:t>
      </w:r>
      <w:r w:rsidRPr="00816DB2">
        <w:rPr>
          <w:rFonts w:ascii="Palatino Linotype" w:hAnsi="Palatino Linotype" w:cs="Calibri"/>
          <w:i/>
          <w:sz w:val="22"/>
          <w:szCs w:val="22"/>
        </w:rPr>
        <w:t xml:space="preserve"> u otro material ejecutados con la responsabilidad de la comunidad y supervisados por un profesional competente, acciones de mitigación que servirán para evitar el proceso erosivo hacia las construcciones, los mismos que al estar desprotegidos, el agua y el viento puede ocasionar cárcavas que con el paso del tiempo son factores preparatorios para un deslizamiento o un colapso dependiendo del tipo de la construcción.”</w:t>
      </w:r>
    </w:p>
    <w:p w:rsidR="00725931" w:rsidRPr="00816DB2" w:rsidRDefault="00725931" w:rsidP="00816DB2">
      <w:pPr>
        <w:pStyle w:val="Prrafodelista"/>
        <w:numPr>
          <w:ilvl w:val="0"/>
          <w:numId w:val="40"/>
        </w:numPr>
        <w:spacing w:after="240" w:line="276" w:lineRule="auto"/>
        <w:jc w:val="both"/>
        <w:rPr>
          <w:rFonts w:ascii="Palatino Linotype" w:hAnsi="Palatino Linotype" w:cs="Calibri"/>
          <w:sz w:val="22"/>
          <w:szCs w:val="22"/>
        </w:rPr>
      </w:pPr>
      <w:r w:rsidRPr="00816DB2">
        <w:rPr>
          <w:rFonts w:ascii="Palatino Linotype" w:hAnsi="Palatino Linotype" w:cs="Calibri"/>
          <w:i/>
          <w:sz w:val="22"/>
          <w:szCs w:val="22"/>
        </w:rPr>
        <w:t>“Coordinar con la EPMMOP para mejorar el trazado de la red vial, asegurando su estabilidad, y de los pequeños taludes generados en los cortes efectuados para la apertura de las calles; y considerar el criterio técnico de la EPMAPS para que implemente el sistema de alcantarillado pluvial que evite la erosión del suelo</w:t>
      </w:r>
      <w:r w:rsidRPr="00816DB2">
        <w:rPr>
          <w:rFonts w:ascii="Palatino Linotype" w:hAnsi="Palatino Linotype" w:cs="Calibri"/>
          <w:sz w:val="22"/>
          <w:szCs w:val="22"/>
        </w:rPr>
        <w:t>.”</w:t>
      </w:r>
    </w:p>
    <w:p w:rsidR="00725931" w:rsidRDefault="00725931" w:rsidP="00725931">
      <w:pPr>
        <w:spacing w:after="240" w:line="276" w:lineRule="auto"/>
        <w:jc w:val="both"/>
        <w:rPr>
          <w:rFonts w:ascii="Palatino Linotype" w:hAnsi="Palatino Linotype"/>
          <w:iCs/>
          <w:sz w:val="22"/>
          <w:szCs w:val="22"/>
          <w:lang w:val="es-EC"/>
        </w:rPr>
      </w:pPr>
      <w:r w:rsidRPr="00EF40FF">
        <w:rPr>
          <w:rFonts w:ascii="Palatino Linotype" w:hAnsi="Palatino Linotype"/>
          <w:b/>
          <w:bCs/>
          <w:sz w:val="22"/>
          <w:szCs w:val="22"/>
          <w:lang w:val="es-EC"/>
        </w:rPr>
        <w:t xml:space="preserve">Artículo </w:t>
      </w:r>
      <w:r>
        <w:rPr>
          <w:rFonts w:ascii="Palatino Linotype" w:hAnsi="Palatino Linotype"/>
          <w:b/>
          <w:bCs/>
          <w:sz w:val="22"/>
          <w:szCs w:val="22"/>
          <w:lang w:val="es-EC"/>
        </w:rPr>
        <w:t>9</w:t>
      </w:r>
      <w:r w:rsidRPr="00EF40FF">
        <w:rPr>
          <w:rFonts w:ascii="Palatino Linotype" w:hAnsi="Palatino Linotype"/>
          <w:b/>
          <w:bCs/>
          <w:sz w:val="22"/>
          <w:szCs w:val="22"/>
          <w:lang w:val="es-EC"/>
        </w:rPr>
        <w:t>.- Del plazo de ejecución de las obras.-</w:t>
      </w:r>
      <w:r w:rsidRPr="00EF40FF">
        <w:rPr>
          <w:rFonts w:ascii="Palatino Linotype" w:hAnsi="Palatino Linotype"/>
          <w:sz w:val="22"/>
          <w:szCs w:val="22"/>
          <w:lang w:val="es-EC"/>
        </w:rPr>
        <w:t xml:space="preserve"> El plazo de ejecución de la totalidad de las obras de urbanización, incluido el equipamiento del área comunal, es de ocho (8) años, </w:t>
      </w:r>
      <w:r w:rsidRPr="00EF40FF">
        <w:rPr>
          <w:rFonts w:ascii="Palatino Linotype" w:hAnsi="Palatino Linotype"/>
          <w:iCs/>
          <w:sz w:val="22"/>
          <w:szCs w:val="22"/>
          <w:lang w:val="es-EC"/>
        </w:rPr>
        <w:t>de conformidad al cronograma de obras presentado</w:t>
      </w:r>
      <w:r w:rsidRPr="00AA4753">
        <w:rPr>
          <w:rFonts w:ascii="Palatino Linotype" w:hAnsi="Palatino Linotype"/>
          <w:iCs/>
          <w:sz w:val="22"/>
          <w:szCs w:val="22"/>
          <w:lang w:val="es-EC"/>
        </w:rPr>
        <w:t xml:space="preserve"> por</w:t>
      </w:r>
      <w:r>
        <w:rPr>
          <w:rFonts w:ascii="Palatino Linotype" w:hAnsi="Palatino Linotype"/>
          <w:iCs/>
          <w:sz w:val="22"/>
          <w:szCs w:val="22"/>
          <w:lang w:val="es-EC"/>
        </w:rPr>
        <w:t xml:space="preserve"> los dirigentes del Asentamiento Humano de Hecho y Consolidado denominado</w:t>
      </w:r>
      <w:r w:rsidRPr="00A848D9">
        <w:rPr>
          <w:rFonts w:ascii="Palatino Linotype" w:hAnsi="Palatino Linotype" w:cstheme="minorHAnsi"/>
          <w:sz w:val="22"/>
          <w:szCs w:val="22"/>
        </w:rPr>
        <w:t>“Nu</w:t>
      </w:r>
      <w:r w:rsidR="00816DB2">
        <w:rPr>
          <w:rFonts w:ascii="Palatino Linotype" w:hAnsi="Palatino Linotype" w:cstheme="minorHAnsi"/>
          <w:sz w:val="22"/>
          <w:szCs w:val="22"/>
        </w:rPr>
        <w:t>estra</w:t>
      </w:r>
      <w:r>
        <w:rPr>
          <w:rFonts w:ascii="Palatino Linotype" w:hAnsi="Palatino Linotype" w:cstheme="minorHAnsi"/>
          <w:sz w:val="22"/>
          <w:szCs w:val="22"/>
        </w:rPr>
        <w:t xml:space="preserve"> Señora de Agua Santa</w:t>
      </w:r>
      <w:r w:rsidRPr="00A848D9">
        <w:rPr>
          <w:rFonts w:ascii="Palatino Linotype" w:hAnsi="Palatino Linotype" w:cstheme="minorHAnsi"/>
          <w:sz w:val="22"/>
          <w:szCs w:val="22"/>
        </w:rPr>
        <w:t>”</w:t>
      </w:r>
      <w:r w:rsidR="006B507C">
        <w:rPr>
          <w:rFonts w:ascii="Palatino Linotype" w:hAnsi="Palatino Linotype" w:cstheme="minorHAnsi"/>
          <w:sz w:val="22"/>
          <w:szCs w:val="22"/>
        </w:rPr>
        <w:t>,</w:t>
      </w:r>
      <w:r>
        <w:rPr>
          <w:rFonts w:ascii="Palatino Linotype" w:hAnsi="Palatino Linotype"/>
          <w:iCs/>
          <w:sz w:val="22"/>
          <w:szCs w:val="22"/>
          <w:lang w:val="es-EC"/>
        </w:rPr>
        <w:t xml:space="preserve"> </w:t>
      </w:r>
      <w:r w:rsidRPr="00AA4753">
        <w:rPr>
          <w:rFonts w:ascii="Palatino Linotype" w:hAnsi="Palatino Linotype"/>
          <w:iCs/>
          <w:sz w:val="22"/>
          <w:szCs w:val="22"/>
          <w:lang w:val="es-EC"/>
        </w:rPr>
        <w:t xml:space="preserve">plazo que se contará a partir de la fecha de sanción de la presente ordenanza. De estas obras </w:t>
      </w:r>
      <w:r>
        <w:rPr>
          <w:rFonts w:ascii="Palatino Linotype" w:hAnsi="Palatino Linotype"/>
          <w:sz w:val="22"/>
          <w:szCs w:val="22"/>
          <w:lang w:val="es-EC"/>
        </w:rPr>
        <w:t>los socios</w:t>
      </w:r>
      <w:r>
        <w:rPr>
          <w:rFonts w:ascii="Palatino Linotype" w:hAnsi="Palatino Linotype"/>
          <w:bCs/>
          <w:sz w:val="22"/>
          <w:szCs w:val="22"/>
          <w:lang w:val="es-EC"/>
        </w:rPr>
        <w:t xml:space="preserve"> </w:t>
      </w:r>
      <w:r w:rsidRPr="00AA4753">
        <w:rPr>
          <w:rFonts w:ascii="Palatino Linotype" w:hAnsi="Palatino Linotype"/>
          <w:bCs/>
          <w:sz w:val="22"/>
          <w:szCs w:val="22"/>
          <w:lang w:val="es-EC"/>
        </w:rPr>
        <w:t>de</w:t>
      </w:r>
      <w:r>
        <w:rPr>
          <w:rFonts w:ascii="Palatino Linotype" w:hAnsi="Palatino Linotype"/>
          <w:bCs/>
          <w:sz w:val="22"/>
          <w:szCs w:val="22"/>
          <w:lang w:val="es-EC"/>
        </w:rPr>
        <w:t>l</w:t>
      </w:r>
      <w:r w:rsidRPr="00AA4753">
        <w:rPr>
          <w:rFonts w:ascii="Palatino Linotype" w:hAnsi="Palatino Linotype"/>
          <w:bCs/>
          <w:sz w:val="22"/>
          <w:szCs w:val="22"/>
          <w:lang w:val="es-EC"/>
        </w:rPr>
        <w:t xml:space="preserve"> predio fraccionado</w:t>
      </w:r>
      <w:r w:rsidRPr="00AA4753">
        <w:rPr>
          <w:rFonts w:ascii="Palatino Linotype" w:hAnsi="Palatino Linotype"/>
          <w:iCs/>
          <w:sz w:val="22"/>
          <w:szCs w:val="22"/>
          <w:lang w:val="es-EC"/>
        </w:rPr>
        <w:t xml:space="preserve"> pagará</w:t>
      </w:r>
      <w:r>
        <w:rPr>
          <w:rFonts w:ascii="Palatino Linotype" w:hAnsi="Palatino Linotype"/>
          <w:iCs/>
          <w:sz w:val="22"/>
          <w:szCs w:val="22"/>
          <w:lang w:val="es-EC"/>
        </w:rPr>
        <w:t>n</w:t>
      </w:r>
      <w:r w:rsidRPr="00AA4753">
        <w:rPr>
          <w:rFonts w:ascii="Palatino Linotype" w:hAnsi="Palatino Linotype"/>
          <w:iCs/>
          <w:sz w:val="22"/>
          <w:szCs w:val="22"/>
          <w:lang w:val="es-EC"/>
        </w:rPr>
        <w:t xml:space="preserve"> las contribuciones especiales y mejoras de ley.</w:t>
      </w:r>
    </w:p>
    <w:p w:rsidR="00725931" w:rsidRDefault="006B507C" w:rsidP="00725931">
      <w:pPr>
        <w:spacing w:after="240" w:line="276" w:lineRule="auto"/>
        <w:jc w:val="both"/>
        <w:rPr>
          <w:rFonts w:ascii="Palatino Linotype" w:hAnsi="Palatino Linotype"/>
          <w:iCs/>
          <w:sz w:val="22"/>
          <w:szCs w:val="22"/>
          <w:lang w:val="es-EC"/>
        </w:rPr>
      </w:pPr>
      <w:r>
        <w:rPr>
          <w:rFonts w:ascii="Palatino Linotype" w:hAnsi="Palatino Linotype"/>
          <w:iCs/>
          <w:sz w:val="22"/>
          <w:szCs w:val="22"/>
          <w:lang w:val="es-EC"/>
        </w:rPr>
        <w:t xml:space="preserve">El </w:t>
      </w:r>
      <w:r w:rsidR="00725931">
        <w:rPr>
          <w:rFonts w:ascii="Palatino Linotype" w:hAnsi="Palatino Linotype"/>
          <w:iCs/>
          <w:sz w:val="22"/>
          <w:szCs w:val="22"/>
          <w:lang w:val="es-EC"/>
        </w:rPr>
        <w:t xml:space="preserve">plazo </w:t>
      </w:r>
      <w:r>
        <w:rPr>
          <w:rFonts w:ascii="Palatino Linotype" w:hAnsi="Palatino Linotype"/>
          <w:iCs/>
          <w:sz w:val="22"/>
          <w:szCs w:val="22"/>
          <w:lang w:val="es-EC"/>
        </w:rPr>
        <w:t xml:space="preserve">en referencia podrá </w:t>
      </w:r>
      <w:r w:rsidR="00725931">
        <w:rPr>
          <w:rFonts w:ascii="Palatino Linotype" w:hAnsi="Palatino Linotype"/>
          <w:iCs/>
          <w:sz w:val="22"/>
          <w:szCs w:val="22"/>
          <w:lang w:val="es-EC"/>
        </w:rPr>
        <w:t>prorrogarse por un periodo más, siempre y cuando se haya justificado un avance de  la obra de por lo menos un 50% de las obras que debían ejecutarse.</w:t>
      </w:r>
    </w:p>
    <w:p w:rsidR="00725931" w:rsidRPr="00C2179A" w:rsidRDefault="00725931" w:rsidP="00725931">
      <w:pPr>
        <w:spacing w:after="240" w:line="276" w:lineRule="auto"/>
        <w:jc w:val="both"/>
        <w:rPr>
          <w:rFonts w:ascii="Palatino Linotype" w:hAnsi="Palatino Linotype"/>
          <w:iCs/>
          <w:sz w:val="22"/>
          <w:szCs w:val="22"/>
          <w:lang w:val="es-EC"/>
        </w:rPr>
      </w:pPr>
      <w:r>
        <w:rPr>
          <w:rFonts w:ascii="Palatino Linotype" w:hAnsi="Palatino Linotype"/>
          <w:iCs/>
          <w:sz w:val="22"/>
          <w:szCs w:val="22"/>
          <w:lang w:val="es-EC"/>
        </w:rPr>
        <w:lastRenderedPageBreak/>
        <w:t>La solicitud de ampliación de plazo para la ejecución de las obras será resuelta por la  Administración  Zonal a  la que pertenece el asentamiento.</w:t>
      </w:r>
    </w:p>
    <w:p w:rsidR="00725931"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w:t>
      </w:r>
      <w:r>
        <w:rPr>
          <w:rFonts w:ascii="Palatino Linotype" w:hAnsi="Palatino Linotype"/>
          <w:b/>
          <w:bCs/>
          <w:iCs/>
          <w:sz w:val="22"/>
          <w:szCs w:val="22"/>
          <w:lang w:val="es-EC"/>
        </w:rPr>
        <w:t xml:space="preserve"> </w:t>
      </w:r>
      <w:r>
        <w:rPr>
          <w:rFonts w:ascii="Palatino Linotype" w:hAnsi="Palatino Linotype"/>
          <w:b/>
          <w:bCs/>
          <w:iCs/>
          <w:sz w:val="22"/>
          <w:szCs w:val="22"/>
          <w:lang w:val="es-ES_tradnl"/>
        </w:rPr>
        <w:t>10</w:t>
      </w:r>
      <w:r w:rsidRPr="00AA4753">
        <w:rPr>
          <w:rFonts w:ascii="Palatino Linotype" w:hAnsi="Palatino Linotype"/>
          <w:b/>
          <w:bCs/>
          <w:iCs/>
          <w:sz w:val="22"/>
          <w:szCs w:val="22"/>
          <w:lang w:val="es-ES_tradnl"/>
        </w:rPr>
        <w:t>.- Del control de ejecución de las obras.-</w:t>
      </w:r>
      <w:r w:rsidRPr="00AA4753">
        <w:rPr>
          <w:rFonts w:ascii="Palatino Linotype" w:hAnsi="Palatino Linotype"/>
          <w:iCs/>
          <w:sz w:val="22"/>
          <w:szCs w:val="22"/>
          <w:lang w:val="es-EC"/>
        </w:rPr>
        <w:t xml:space="preserve"> La Administración Zonal </w:t>
      </w:r>
      <w:r>
        <w:rPr>
          <w:rFonts w:ascii="Palatino Linotype" w:hAnsi="Palatino Linotype"/>
          <w:iCs/>
          <w:sz w:val="22"/>
          <w:szCs w:val="22"/>
          <w:lang w:val="es-EC"/>
        </w:rPr>
        <w:t xml:space="preserve">Quitumbe </w:t>
      </w:r>
      <w:r w:rsidR="00816DB2" w:rsidRPr="006336FA">
        <w:rPr>
          <w:rFonts w:ascii="Palatino Linotype" w:hAnsi="Palatino Linotype" w:cs="Arial"/>
          <w:sz w:val="22"/>
          <w:szCs w:val="22"/>
        </w:rPr>
        <w:t xml:space="preserve">se responsabiliza del seguimiento en la ejecución y avance de las obras de urbanización hasta la terminación de las mismas, </w:t>
      </w:r>
      <w:r w:rsidR="00816DB2" w:rsidRPr="006336FA">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indispensable para cancelar la hipoteca.</w:t>
      </w:r>
    </w:p>
    <w:p w:rsidR="00725931" w:rsidRPr="000A35C9"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w:t>
      </w:r>
      <w:r w:rsidRPr="00AA4753">
        <w:rPr>
          <w:rFonts w:ascii="Palatino Linotype" w:hAnsi="Palatino Linotype"/>
          <w:b/>
          <w:bCs/>
          <w:iCs/>
          <w:sz w:val="22"/>
          <w:szCs w:val="22"/>
          <w:lang w:val="es-ES_tradnl"/>
        </w:rPr>
        <w:t xml:space="preserve"> 1</w:t>
      </w:r>
      <w:r>
        <w:rPr>
          <w:rFonts w:ascii="Palatino Linotype" w:hAnsi="Palatino Linotype"/>
          <w:b/>
          <w:bCs/>
          <w:iCs/>
          <w:sz w:val="22"/>
          <w:szCs w:val="22"/>
          <w:lang w:val="es-ES_tradnl"/>
        </w:rPr>
        <w:t>1</w:t>
      </w:r>
      <w:r w:rsidRPr="00AA4753">
        <w:rPr>
          <w:rFonts w:ascii="Palatino Linotype" w:hAnsi="Palatino Linotype"/>
          <w:b/>
          <w:bCs/>
          <w:iCs/>
          <w:sz w:val="22"/>
          <w:szCs w:val="22"/>
          <w:lang w:val="es-ES_tradnl"/>
        </w:rPr>
        <w:t xml:space="preserve">.- De la multa por retraso en la ejecución de obras.- </w:t>
      </w:r>
      <w:r w:rsidRPr="00AA4753">
        <w:rPr>
          <w:rFonts w:ascii="Palatino Linotype" w:hAnsi="Palatino Linotype"/>
          <w:sz w:val="22"/>
          <w:szCs w:val="22"/>
          <w:lang w:val="es-ES_tradnl"/>
        </w:rPr>
        <w:t xml:space="preserve">En caso de retraso en la ejecución de las obras de urbanización, </w:t>
      </w:r>
      <w:r>
        <w:rPr>
          <w:rFonts w:ascii="Palatino Linotype" w:hAnsi="Palatino Linotype"/>
          <w:sz w:val="22"/>
          <w:szCs w:val="22"/>
          <w:lang w:val="es-EC"/>
        </w:rPr>
        <w:t xml:space="preserve">los socios del predio donde se encuentra el Asentamiento Humano de Hecho y Consolidado denominado </w:t>
      </w:r>
      <w:r w:rsidRPr="00A848D9">
        <w:rPr>
          <w:rFonts w:ascii="Palatino Linotype" w:hAnsi="Palatino Linotype" w:cstheme="minorHAnsi"/>
          <w:sz w:val="22"/>
          <w:szCs w:val="22"/>
        </w:rPr>
        <w:t>“Nu</w:t>
      </w:r>
      <w:r>
        <w:rPr>
          <w:rFonts w:ascii="Palatino Linotype" w:hAnsi="Palatino Linotype" w:cstheme="minorHAnsi"/>
          <w:sz w:val="22"/>
          <w:szCs w:val="22"/>
        </w:rPr>
        <w:t>estra Señora de Agua Santa</w:t>
      </w:r>
      <w:r w:rsidRPr="00A848D9">
        <w:rPr>
          <w:rFonts w:ascii="Palatino Linotype" w:hAnsi="Palatino Linotype" w:cstheme="minorHAnsi"/>
          <w:sz w:val="22"/>
          <w:szCs w:val="22"/>
        </w:rPr>
        <w:t>”</w:t>
      </w:r>
      <w:r>
        <w:rPr>
          <w:rFonts w:ascii="Palatino Linotype" w:hAnsi="Palatino Linotype" w:cstheme="minorHAnsi"/>
          <w:sz w:val="22"/>
          <w:szCs w:val="22"/>
        </w:rPr>
        <w:t xml:space="preserve"> </w:t>
      </w:r>
      <w:r w:rsidRPr="00AA4753">
        <w:rPr>
          <w:rFonts w:ascii="Palatino Linotype" w:hAnsi="Palatino Linotype"/>
          <w:sz w:val="22"/>
          <w:szCs w:val="22"/>
          <w:lang w:val="es-ES_tradnl"/>
        </w:rPr>
        <w:t>pagará</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a la Municipalidad en calidad de multa, el uno por mil por cada día de retraso, calculado del costo de las obras no ejecutadas.</w:t>
      </w:r>
    </w:p>
    <w:p w:rsidR="00725931" w:rsidRPr="00AA4753" w:rsidRDefault="00725931" w:rsidP="00725931">
      <w:pPr>
        <w:spacing w:after="240" w:line="276" w:lineRule="auto"/>
        <w:jc w:val="both"/>
        <w:rPr>
          <w:rFonts w:ascii="Palatino Linotype" w:hAnsi="Palatino Linotype"/>
          <w:sz w:val="22"/>
          <w:szCs w:val="22"/>
          <w:lang w:val="es-ES_tradnl"/>
        </w:rPr>
      </w:pPr>
      <w:r w:rsidRPr="00AA4753">
        <w:rPr>
          <w:rFonts w:ascii="Palatino Linotype" w:hAnsi="Palatino Linotype"/>
          <w:sz w:val="22"/>
          <w:szCs w:val="22"/>
          <w:lang w:val="es-ES_tradnl"/>
        </w:rPr>
        <w:t xml:space="preserve">De persistir el incumplimiento, el Municipio podrá ejecutar las obras, cuyo costo estará a cargo </w:t>
      </w:r>
      <w:r>
        <w:rPr>
          <w:rFonts w:ascii="Palatino Linotype" w:hAnsi="Palatino Linotype"/>
          <w:sz w:val="22"/>
          <w:szCs w:val="22"/>
          <w:lang w:val="es-EC"/>
        </w:rPr>
        <w:t>de todos los propietarios de los lotes</w:t>
      </w:r>
      <w:r w:rsidRPr="00AA4753">
        <w:rPr>
          <w:rFonts w:ascii="Palatino Linotype" w:hAnsi="Palatino Linotype"/>
          <w:sz w:val="22"/>
          <w:szCs w:val="22"/>
          <w:lang w:val="es-ES_tradnl"/>
        </w:rPr>
        <w:t>, además de un recargo del 30%.</w:t>
      </w:r>
    </w:p>
    <w:p w:rsidR="00725931" w:rsidRPr="000A35C9" w:rsidRDefault="00725931" w:rsidP="00725931">
      <w:pPr>
        <w:spacing w:after="240" w:line="276" w:lineRule="auto"/>
        <w:jc w:val="both"/>
        <w:rPr>
          <w:rFonts w:ascii="Palatino Linotype" w:hAnsi="Palatino Linotype"/>
          <w:iCs/>
          <w:sz w:val="22"/>
          <w:szCs w:val="22"/>
          <w:lang w:val="es-ES_tradnl"/>
        </w:rPr>
      </w:pPr>
      <w:r w:rsidRPr="00AA4753">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se emita el título de crédito respectivo y se proceda a su cobro, incluso por la vía coactiva.</w:t>
      </w:r>
    </w:p>
    <w:p w:rsidR="00725931" w:rsidRPr="00AA4753"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b/>
          <w:bCs/>
          <w:iCs/>
          <w:sz w:val="22"/>
          <w:szCs w:val="22"/>
          <w:lang w:val="es-EC"/>
        </w:rPr>
        <w:t>Artículo 1</w:t>
      </w:r>
      <w:r>
        <w:rPr>
          <w:rFonts w:ascii="Palatino Linotype" w:hAnsi="Palatino Linotype"/>
          <w:b/>
          <w:bCs/>
          <w:iCs/>
          <w:sz w:val="22"/>
          <w:szCs w:val="22"/>
          <w:lang w:val="es-EC"/>
        </w:rPr>
        <w:t>2</w:t>
      </w:r>
      <w:r w:rsidRPr="00AA4753">
        <w:rPr>
          <w:rFonts w:ascii="Palatino Linotype" w:hAnsi="Palatino Linotype"/>
          <w:b/>
          <w:bCs/>
          <w:iCs/>
          <w:sz w:val="22"/>
          <w:szCs w:val="22"/>
          <w:lang w:val="es-EC"/>
        </w:rPr>
        <w:t xml:space="preserve">.- De la garantía de ejecución de las obras.- </w:t>
      </w:r>
      <w:r w:rsidRPr="00AA4753">
        <w:rPr>
          <w:rFonts w:ascii="Palatino Linotype" w:hAnsi="Palatino Linotype"/>
          <w:sz w:val="22"/>
          <w:szCs w:val="22"/>
          <w:lang w:val="es-EC"/>
        </w:rPr>
        <w:t xml:space="preserve">Los lotes producto </w:t>
      </w:r>
      <w:r>
        <w:rPr>
          <w:rFonts w:ascii="Palatino Linotype" w:hAnsi="Palatino Linotype"/>
          <w:sz w:val="22"/>
          <w:szCs w:val="22"/>
          <w:lang w:val="es-EC"/>
        </w:rPr>
        <w:t>del presente reconocimiento del Asentamiento Humano de Hecho y C</w:t>
      </w:r>
      <w:r w:rsidRPr="00AA4753">
        <w:rPr>
          <w:rFonts w:ascii="Palatino Linotype" w:hAnsi="Palatino Linotype"/>
          <w:sz w:val="22"/>
          <w:szCs w:val="22"/>
          <w:lang w:val="es-EC"/>
        </w:rPr>
        <w:t>onsolidado</w:t>
      </w:r>
      <w:r w:rsidRPr="00A85EDA">
        <w:rPr>
          <w:rFonts w:ascii="Palatino Linotype" w:hAnsi="Palatino Linotype"/>
          <w:sz w:val="22"/>
          <w:szCs w:val="22"/>
          <w:lang w:val="es-EC"/>
        </w:rPr>
        <w:t xml:space="preserve"> </w:t>
      </w:r>
      <w:r>
        <w:rPr>
          <w:rFonts w:ascii="Palatino Linotype" w:hAnsi="Palatino Linotype"/>
          <w:sz w:val="22"/>
          <w:szCs w:val="22"/>
          <w:lang w:val="es-EC"/>
        </w:rPr>
        <w:t>denominado</w:t>
      </w:r>
      <w:r>
        <w:rPr>
          <w:rFonts w:ascii="Palatino Linotype" w:hAnsi="Palatino Linotype" w:cstheme="minorHAnsi"/>
          <w:sz w:val="22"/>
          <w:szCs w:val="22"/>
        </w:rPr>
        <w:t xml:space="preserve"> “</w:t>
      </w:r>
      <w:r w:rsidRPr="00A848D9">
        <w:rPr>
          <w:rFonts w:ascii="Palatino Linotype" w:hAnsi="Palatino Linotype" w:cstheme="minorHAnsi"/>
          <w:sz w:val="22"/>
          <w:szCs w:val="22"/>
        </w:rPr>
        <w:t>Nu</w:t>
      </w:r>
      <w:r>
        <w:rPr>
          <w:rFonts w:ascii="Palatino Linotype" w:hAnsi="Palatino Linotype" w:cstheme="minorHAnsi"/>
          <w:sz w:val="22"/>
          <w:szCs w:val="22"/>
        </w:rPr>
        <w:t>estra Señora de Agua Santa</w:t>
      </w:r>
      <w:r w:rsidRPr="00A848D9">
        <w:rPr>
          <w:rFonts w:ascii="Palatino Linotype" w:hAnsi="Palatino Linotype" w:cstheme="minorHAnsi"/>
          <w:sz w:val="22"/>
          <w:szCs w:val="22"/>
        </w:rPr>
        <w:t>”</w:t>
      </w:r>
      <w:r>
        <w:rPr>
          <w:rFonts w:ascii="Palatino Linotype" w:hAnsi="Palatino Linotype" w:cstheme="minorHAnsi"/>
          <w:sz w:val="22"/>
          <w:szCs w:val="22"/>
        </w:rPr>
        <w:t xml:space="preserve"> </w:t>
      </w:r>
      <w:r>
        <w:rPr>
          <w:rFonts w:ascii="Palatino Linotype" w:eastAsia="Calibri" w:hAnsi="Palatino Linotype"/>
          <w:sz w:val="22"/>
          <w:szCs w:val="22"/>
          <w:lang w:val="es-EC" w:eastAsia="en-US"/>
        </w:rPr>
        <w:t xml:space="preserve"> </w:t>
      </w:r>
      <w:r w:rsidRPr="00AA4753">
        <w:rPr>
          <w:rFonts w:ascii="Palatino Linotype" w:hAnsi="Palatino Linotype"/>
          <w:sz w:val="22"/>
          <w:szCs w:val="22"/>
          <w:lang w:val="es-EC"/>
        </w:rPr>
        <w:t>quedan gravados con primera, especial y preferente hipoteca a favor del Municipio del Distrito Metropolitano de Quito, y que subsistirá hasta la terminación de la ejecución de las obras de urbanización.</w:t>
      </w:r>
    </w:p>
    <w:p w:rsidR="00725931" w:rsidRDefault="00725931" w:rsidP="00725931">
      <w:pPr>
        <w:spacing w:after="240" w:line="276" w:lineRule="auto"/>
        <w:jc w:val="both"/>
        <w:rPr>
          <w:rFonts w:ascii="Palatino Linotype" w:hAnsi="Palatino Linotype"/>
          <w:sz w:val="22"/>
          <w:szCs w:val="22"/>
          <w:lang w:val="es-ES_tradnl"/>
        </w:rPr>
      </w:pPr>
      <w:r w:rsidRPr="00AA4753">
        <w:rPr>
          <w:rFonts w:ascii="Palatino Linotype" w:hAnsi="Palatino Linotype"/>
          <w:b/>
          <w:bCs/>
          <w:sz w:val="22"/>
          <w:szCs w:val="22"/>
          <w:lang w:val="es-EC"/>
        </w:rPr>
        <w:t>Artículo</w:t>
      </w:r>
      <w:r w:rsidRPr="00AA4753">
        <w:rPr>
          <w:rFonts w:ascii="Palatino Linotype" w:hAnsi="Palatino Linotype"/>
          <w:b/>
          <w:bCs/>
          <w:sz w:val="22"/>
          <w:szCs w:val="22"/>
          <w:lang w:val="es-ES_tradnl"/>
        </w:rPr>
        <w:t xml:space="preserve"> 1</w:t>
      </w:r>
      <w:r>
        <w:rPr>
          <w:rFonts w:ascii="Palatino Linotype" w:hAnsi="Palatino Linotype"/>
          <w:b/>
          <w:bCs/>
          <w:sz w:val="22"/>
          <w:szCs w:val="22"/>
          <w:lang w:val="es-ES_tradnl"/>
        </w:rPr>
        <w:t>3</w:t>
      </w:r>
      <w:r w:rsidRPr="00AA4753">
        <w:rPr>
          <w:rFonts w:ascii="Palatino Linotype" w:hAnsi="Palatino Linotype"/>
          <w:b/>
          <w:bCs/>
          <w:sz w:val="22"/>
          <w:szCs w:val="22"/>
          <w:lang w:val="es-ES_tradnl"/>
        </w:rPr>
        <w:t xml:space="preserve">.- De la protocolización e inscripción de la ordenanza.- </w:t>
      </w:r>
      <w:r>
        <w:rPr>
          <w:rFonts w:ascii="Palatino Linotype" w:hAnsi="Palatino Linotype"/>
          <w:sz w:val="22"/>
          <w:szCs w:val="22"/>
          <w:lang w:val="es-EC"/>
        </w:rPr>
        <w:t>Los dirigentes del Asentamiento Humano de Hecho y Consolidado denominado</w:t>
      </w:r>
      <w:r>
        <w:rPr>
          <w:rFonts w:ascii="Palatino Linotype" w:hAnsi="Palatino Linotype" w:cstheme="minorHAnsi"/>
        </w:rPr>
        <w:t xml:space="preserve"> </w:t>
      </w:r>
      <w:r w:rsidRPr="00A848D9">
        <w:rPr>
          <w:rFonts w:ascii="Palatino Linotype" w:hAnsi="Palatino Linotype" w:cstheme="minorHAnsi"/>
          <w:sz w:val="22"/>
          <w:szCs w:val="22"/>
        </w:rPr>
        <w:t>“Nu</w:t>
      </w:r>
      <w:r>
        <w:rPr>
          <w:rFonts w:ascii="Palatino Linotype" w:hAnsi="Palatino Linotype" w:cstheme="minorHAnsi"/>
          <w:sz w:val="22"/>
          <w:szCs w:val="22"/>
        </w:rPr>
        <w:t>estra Señora de Agua Santa</w:t>
      </w:r>
      <w:r w:rsidRPr="00A848D9">
        <w:rPr>
          <w:rFonts w:ascii="Palatino Linotype" w:hAnsi="Palatino Linotype" w:cstheme="minorHAnsi"/>
          <w:sz w:val="22"/>
          <w:szCs w:val="22"/>
        </w:rPr>
        <w:t>”</w:t>
      </w:r>
      <w:r>
        <w:rPr>
          <w:rFonts w:ascii="Palatino Linotype" w:hAnsi="Palatino Linotype" w:cstheme="minorHAnsi"/>
          <w:sz w:val="22"/>
          <w:szCs w:val="22"/>
        </w:rPr>
        <w:t xml:space="preserve"> </w:t>
      </w:r>
      <w:r w:rsidRPr="00AA4753">
        <w:rPr>
          <w:rFonts w:ascii="Palatino Linotype" w:hAnsi="Palatino Linotype"/>
          <w:sz w:val="22"/>
          <w:szCs w:val="22"/>
          <w:lang w:val="es-ES_tradnl"/>
        </w:rPr>
        <w:t>se compromete</w:t>
      </w:r>
      <w:r>
        <w:rPr>
          <w:rFonts w:ascii="Palatino Linotype" w:hAnsi="Palatino Linotype"/>
          <w:sz w:val="22"/>
          <w:szCs w:val="22"/>
          <w:lang w:val="es-ES_tradnl"/>
        </w:rPr>
        <w:t>n</w:t>
      </w:r>
      <w:r w:rsidRPr="00AA4753">
        <w:rPr>
          <w:rFonts w:ascii="Palatino Linotype" w:hAnsi="Palatino Linotype"/>
          <w:sz w:val="22"/>
          <w:szCs w:val="22"/>
          <w:lang w:val="es-ES_tradnl"/>
        </w:rPr>
        <w:t xml:space="preserve"> en el término de ciento ochenta (180) días, contados a partir de la fecha de emisión de la resolución de regularización de </w:t>
      </w:r>
      <w:r>
        <w:rPr>
          <w:rFonts w:ascii="Palatino Linotype" w:hAnsi="Palatino Linotype"/>
          <w:sz w:val="22"/>
          <w:szCs w:val="22"/>
          <w:lang w:val="es-ES_tradnl"/>
        </w:rPr>
        <w:t>excedentes o diferencias</w:t>
      </w:r>
      <w:r w:rsidRPr="00AA4753">
        <w:rPr>
          <w:rFonts w:ascii="Palatino Linotype" w:hAnsi="Palatino Linotype"/>
          <w:sz w:val="22"/>
          <w:szCs w:val="22"/>
          <w:lang w:val="es-ES_tradnl"/>
        </w:rPr>
        <w:t xml:space="preserve"> de área</w:t>
      </w:r>
      <w:r>
        <w:rPr>
          <w:rFonts w:ascii="Palatino Linotype" w:hAnsi="Palatino Linotype"/>
          <w:sz w:val="22"/>
          <w:szCs w:val="22"/>
          <w:lang w:val="es-ES_tradnl"/>
        </w:rPr>
        <w:t>s</w:t>
      </w:r>
      <w:r w:rsidRPr="00AA4753">
        <w:rPr>
          <w:rFonts w:ascii="Palatino Linotype" w:hAnsi="Palatino Linotype"/>
          <w:sz w:val="22"/>
          <w:szCs w:val="22"/>
          <w:lang w:val="es-ES_tradnl"/>
        </w:rPr>
        <w:t xml:space="preserve"> por parte de la Autoridad Administrativa Competente, a </w:t>
      </w:r>
      <w:r w:rsidRPr="00AA4753">
        <w:rPr>
          <w:rFonts w:ascii="Palatino Linotype" w:hAnsi="Palatino Linotype"/>
          <w:sz w:val="22"/>
          <w:szCs w:val="22"/>
          <w:lang w:val="es-EC"/>
        </w:rPr>
        <w:t xml:space="preserve">protocolizar la presente </w:t>
      </w:r>
      <w:r>
        <w:rPr>
          <w:rFonts w:ascii="Palatino Linotype" w:hAnsi="Palatino Linotype"/>
          <w:sz w:val="22"/>
          <w:szCs w:val="22"/>
          <w:lang w:val="es-EC"/>
        </w:rPr>
        <w:t>O</w:t>
      </w:r>
      <w:r w:rsidRPr="00AA4753">
        <w:rPr>
          <w:rFonts w:ascii="Palatino Linotype" w:hAnsi="Palatino Linotype"/>
          <w:sz w:val="22"/>
          <w:szCs w:val="22"/>
          <w:lang w:val="es-EC"/>
        </w:rPr>
        <w:t xml:space="preserve">rdenanza ante Notario Público e inscribirla en el Registro de la Propiedad del Distrito Metropolitano de Quito, </w:t>
      </w:r>
      <w:r w:rsidRPr="00AA4753">
        <w:rPr>
          <w:rFonts w:ascii="Palatino Linotype" w:hAnsi="Palatino Linotype"/>
          <w:sz w:val="22"/>
          <w:szCs w:val="22"/>
          <w:lang w:val="es-ES_tradnl"/>
        </w:rPr>
        <w:t>con todos sus documentos habilitantes</w:t>
      </w:r>
      <w:r w:rsidRPr="00AA4753">
        <w:rPr>
          <w:rFonts w:ascii="Palatino Linotype" w:hAnsi="Palatino Linotype"/>
          <w:sz w:val="22"/>
          <w:szCs w:val="22"/>
          <w:lang w:val="es-EC"/>
        </w:rPr>
        <w:t>;</w:t>
      </w:r>
      <w:r w:rsidRPr="00AA4753">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725931" w:rsidRPr="00AA4753" w:rsidRDefault="00725931" w:rsidP="00725931">
      <w:pPr>
        <w:spacing w:after="240" w:line="276" w:lineRule="auto"/>
        <w:jc w:val="both"/>
        <w:rPr>
          <w:rFonts w:ascii="Palatino Linotype" w:hAnsi="Palatino Linotype"/>
          <w:sz w:val="22"/>
          <w:szCs w:val="22"/>
          <w:lang w:val="es-ES_tradnl"/>
        </w:rPr>
      </w:pPr>
      <w:r>
        <w:rPr>
          <w:rFonts w:ascii="Palatino Linotype" w:hAnsi="Palatino Linotype"/>
          <w:sz w:val="22"/>
          <w:szCs w:val="22"/>
          <w:lang w:val="es-ES_tradnl"/>
        </w:rPr>
        <w:lastRenderedPageBreak/>
        <w:t>La inscripción de la presente ordenanza servirá como título de dominio de los beneficiarios para efectos del perfeccionamiento de la transferencia de áreas verdes, en caso de que existan.</w:t>
      </w:r>
    </w:p>
    <w:p w:rsidR="00725931" w:rsidRPr="00C41E72" w:rsidRDefault="00725931" w:rsidP="00725931">
      <w:pPr>
        <w:spacing w:after="240" w:line="276" w:lineRule="auto"/>
        <w:jc w:val="both"/>
        <w:rPr>
          <w:rFonts w:ascii="Palatino Linotype" w:hAnsi="Palatino Linotype" w:cs="Arial"/>
          <w:sz w:val="22"/>
          <w:szCs w:val="22"/>
          <w:lang w:val="es-ES_tradnl"/>
        </w:rPr>
      </w:pPr>
      <w:r w:rsidRPr="00C41E72">
        <w:rPr>
          <w:rFonts w:ascii="Palatino Linotype" w:hAnsi="Palatino Linotype" w:cs="Arial"/>
          <w:b/>
          <w:sz w:val="22"/>
          <w:szCs w:val="22"/>
          <w:lang w:val="es-ES_tradnl"/>
        </w:rPr>
        <w:t xml:space="preserve">Artículo 14.- </w:t>
      </w:r>
      <w:r w:rsidRPr="008E0D52">
        <w:rPr>
          <w:rFonts w:ascii="Palatino Linotype" w:hAnsi="Palatino Linotype" w:cs="Arial"/>
          <w:b/>
          <w:sz w:val="22"/>
          <w:szCs w:val="22"/>
          <w:lang w:val="es-ES_tradnl"/>
        </w:rPr>
        <w:t>De la partición y adjudicación.-</w:t>
      </w:r>
      <w:r w:rsidRPr="00C41E72">
        <w:rPr>
          <w:rFonts w:ascii="Palatino Linotype" w:hAnsi="Palatino Linotype" w:cs="Arial"/>
          <w:sz w:val="22"/>
          <w:szCs w:val="22"/>
          <w:lang w:val="es-ES_tradnl"/>
        </w:rPr>
        <w:t xml:space="preserve"> Se faculta al señor Alcalde para que mediante resolución administrativa,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r w:rsidRPr="002D6217">
        <w:rPr>
          <w:rFonts w:ascii="Palatino Linotype" w:hAnsi="Palatino Linotype" w:cs="Arial"/>
          <w:sz w:val="22"/>
          <w:szCs w:val="22"/>
          <w:lang w:val="es-ES_tradnl"/>
        </w:rPr>
        <w:t xml:space="preserve">  </w:t>
      </w:r>
    </w:p>
    <w:p w:rsidR="00725931" w:rsidRPr="00AA4753" w:rsidRDefault="00725931" w:rsidP="00725931">
      <w:pPr>
        <w:spacing w:after="240" w:line="276" w:lineRule="auto"/>
        <w:jc w:val="both"/>
        <w:rPr>
          <w:rFonts w:ascii="Palatino Linotype" w:hAnsi="Palatino Linotype"/>
          <w:sz w:val="22"/>
          <w:szCs w:val="22"/>
          <w:lang w:val="es-EC"/>
        </w:rPr>
      </w:pPr>
      <w:r w:rsidRPr="00AA4753">
        <w:rPr>
          <w:rFonts w:ascii="Palatino Linotype" w:hAnsi="Palatino Linotype" w:cs="Arial"/>
          <w:b/>
          <w:sz w:val="22"/>
          <w:szCs w:val="22"/>
          <w:lang w:val="es-ES_tradnl"/>
        </w:rPr>
        <w:t xml:space="preserve"> </w:t>
      </w: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w:t>
      </w:r>
      <w:r>
        <w:rPr>
          <w:rFonts w:ascii="Palatino Linotype" w:hAnsi="Palatino Linotype"/>
          <w:b/>
          <w:sz w:val="22"/>
          <w:szCs w:val="22"/>
          <w:lang w:val="es-EC"/>
        </w:rPr>
        <w:t>5</w:t>
      </w:r>
      <w:r w:rsidRPr="00AA4753">
        <w:rPr>
          <w:rFonts w:ascii="Palatino Linotype" w:hAnsi="Palatino Linotype"/>
          <w:b/>
          <w:sz w:val="22"/>
          <w:szCs w:val="22"/>
          <w:lang w:val="es-EC"/>
        </w:rPr>
        <w:t xml:space="preserve">.- Potestad de ejecución.- </w:t>
      </w:r>
      <w:r w:rsidRPr="00AA4753">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725931" w:rsidRPr="00AA4753" w:rsidRDefault="00725931" w:rsidP="00725931">
      <w:pPr>
        <w:spacing w:after="240" w:line="276" w:lineRule="auto"/>
        <w:jc w:val="both"/>
        <w:rPr>
          <w:rFonts w:ascii="Palatino Linotype" w:hAnsi="Palatino Linotype"/>
          <w:bCs/>
          <w:sz w:val="22"/>
          <w:szCs w:val="22"/>
          <w:lang w:val="es-ES_tradnl"/>
        </w:rPr>
      </w:pPr>
      <w:r w:rsidRPr="00AA4753">
        <w:rPr>
          <w:rFonts w:ascii="Palatino Linotype" w:hAnsi="Palatino Linotype"/>
          <w:b/>
          <w:bCs/>
          <w:sz w:val="22"/>
          <w:szCs w:val="22"/>
          <w:lang w:val="es-ES_tradnl"/>
        </w:rPr>
        <w:t>Artículo 1</w:t>
      </w:r>
      <w:r>
        <w:rPr>
          <w:rFonts w:ascii="Palatino Linotype" w:hAnsi="Palatino Linotype"/>
          <w:b/>
          <w:bCs/>
          <w:sz w:val="22"/>
          <w:szCs w:val="22"/>
          <w:lang w:val="es-ES_tradnl"/>
        </w:rPr>
        <w:t>6</w:t>
      </w:r>
      <w:r w:rsidRPr="00AA4753">
        <w:rPr>
          <w:rFonts w:ascii="Palatino Linotype" w:hAnsi="Palatino Linotype"/>
          <w:b/>
          <w:bCs/>
          <w:sz w:val="22"/>
          <w:szCs w:val="22"/>
          <w:lang w:val="es-ES_tradnl"/>
        </w:rPr>
        <w:t xml:space="preserve">.- Solicitudes de ampliación de plazo.- </w:t>
      </w:r>
      <w:r w:rsidRPr="00AA4753">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6B507C" w:rsidRPr="00D003F3" w:rsidRDefault="006B507C" w:rsidP="006B507C">
      <w:pPr>
        <w:spacing w:after="24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 xml:space="preserve">Disposición General.- </w:t>
      </w:r>
      <w:r>
        <w:rPr>
          <w:rFonts w:ascii="Palatino Linotype" w:hAnsi="Palatino Linotype"/>
          <w:bCs/>
          <w:sz w:val="22"/>
          <w:szCs w:val="22"/>
          <w:lang w:val="es-ES_tradnl"/>
        </w:rPr>
        <w:t>La Unidad Especial Regula Tu Barrio, una vez sancionada la presente Ordenanza, deberá informar a la Secretaría de Territorio, Hábitat y Vivienda, de manera exacta, las dimensiones y georreferenciación de los inmuebles objeto de la presente ordenanza.</w:t>
      </w:r>
    </w:p>
    <w:p w:rsidR="00BA5D17" w:rsidRPr="00C94C65" w:rsidRDefault="00BA5D17" w:rsidP="00725931">
      <w:pPr>
        <w:spacing w:after="240" w:line="276" w:lineRule="auto"/>
        <w:jc w:val="both"/>
        <w:rPr>
          <w:rFonts w:ascii="Palatino Linotype" w:hAnsi="Palatino Linotype" w:cs="Arial"/>
          <w:bCs/>
          <w:sz w:val="22"/>
          <w:szCs w:val="22"/>
          <w:lang w:val="es-ES_tradnl"/>
        </w:rPr>
      </w:pPr>
      <w:r w:rsidRPr="00D23741">
        <w:rPr>
          <w:rFonts w:ascii="Palatino Linotype" w:hAnsi="Palatino Linotype" w:cs="Arial"/>
          <w:b/>
          <w:sz w:val="22"/>
          <w:szCs w:val="22"/>
          <w:lang w:val="es-ES_tradnl"/>
        </w:rPr>
        <w:t>Dispo</w:t>
      </w:r>
      <w:r w:rsidR="00816DB2">
        <w:rPr>
          <w:rFonts w:ascii="Palatino Linotype" w:hAnsi="Palatino Linotype" w:cs="Arial"/>
          <w:b/>
          <w:sz w:val="22"/>
          <w:szCs w:val="22"/>
          <w:lang w:val="es-ES_tradnl"/>
        </w:rPr>
        <w:t>sición f</w:t>
      </w:r>
      <w:r w:rsidRPr="00D23741">
        <w:rPr>
          <w:rFonts w:ascii="Palatino Linotype" w:hAnsi="Palatino Linotype" w:cs="Arial"/>
          <w:b/>
          <w:sz w:val="22"/>
          <w:szCs w:val="22"/>
          <w:lang w:val="es-ES_tradnl"/>
        </w:rPr>
        <w:t xml:space="preserve">inal.- </w:t>
      </w:r>
      <w:r w:rsidRPr="00D23741">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w:t>
      </w:r>
      <w:r w:rsidRPr="00C94C65">
        <w:rPr>
          <w:rFonts w:ascii="Palatino Linotype" w:hAnsi="Palatino Linotype" w:cs="Arial"/>
          <w:bCs/>
          <w:sz w:val="22"/>
          <w:szCs w:val="22"/>
          <w:lang w:val="es-ES_tradnl"/>
        </w:rPr>
        <w:t xml:space="preserve"> de la Municipalidad.</w:t>
      </w:r>
    </w:p>
    <w:p w:rsidR="00302F52" w:rsidRPr="006336FA" w:rsidRDefault="00302F52" w:rsidP="00725931">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6B507C">
        <w:rPr>
          <w:rFonts w:ascii="Palatino Linotype" w:hAnsi="Palatino Linotype" w:cs="Arial"/>
          <w:sz w:val="22"/>
          <w:szCs w:val="22"/>
        </w:rPr>
        <w:t>28</w:t>
      </w:r>
      <w:r w:rsidRPr="006336FA">
        <w:rPr>
          <w:rFonts w:ascii="Palatino Linotype" w:hAnsi="Palatino Linotype" w:cs="Arial"/>
          <w:sz w:val="22"/>
          <w:szCs w:val="22"/>
        </w:rPr>
        <w:t xml:space="preserve"> de </w:t>
      </w:r>
      <w:r w:rsidR="006B507C">
        <w:rPr>
          <w:rFonts w:ascii="Palatino Linotype" w:hAnsi="Palatino Linotype" w:cs="Arial"/>
          <w:sz w:val="22"/>
          <w:szCs w:val="22"/>
        </w:rPr>
        <w:t xml:space="preserve">julio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A44DC3" w:rsidRDefault="00A44DC3" w:rsidP="00816DB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816DB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816DB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6B507C">
              <w:rPr>
                <w:rFonts w:ascii="Palatino Linotype" w:hAnsi="Palatino Linotype" w:cs="Arial"/>
                <w:sz w:val="19"/>
                <w:szCs w:val="19"/>
              </w:rPr>
              <w:t>.</w:t>
            </w:r>
            <w:r>
              <w:rPr>
                <w:rFonts w:ascii="Palatino Linotype" w:hAnsi="Palatino Linotype" w:cs="Arial"/>
                <w:sz w:val="19"/>
                <w:szCs w:val="19"/>
              </w:rPr>
              <w:t xml:space="preserve"> María Elisa Holmes Roldós</w:t>
            </w:r>
          </w:p>
          <w:p w:rsidR="006B507C" w:rsidRPr="006336FA" w:rsidRDefault="00302F52" w:rsidP="006B507C">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tc>
      </w:tr>
    </w:tbl>
    <w:p w:rsidR="00302F52" w:rsidRPr="006336FA" w:rsidRDefault="00302F52" w:rsidP="00816DB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302F52" w:rsidRPr="006336FA" w:rsidRDefault="00302F52" w:rsidP="00816DB2">
      <w:pPr>
        <w:pStyle w:val="Textosinformato"/>
        <w:jc w:val="both"/>
        <w:rPr>
          <w:rFonts w:ascii="Palatino Linotype" w:eastAsia="MS Mincho" w:hAnsi="Palatino Linotype" w:cs="Arial"/>
          <w:sz w:val="22"/>
          <w:szCs w:val="22"/>
        </w:rPr>
      </w:pPr>
    </w:p>
    <w:p w:rsidR="00302F52" w:rsidRPr="006336FA" w:rsidRDefault="005A7785" w:rsidP="00816DB2">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6B507C">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6B507C">
        <w:rPr>
          <w:rFonts w:ascii="Palatino Linotype" w:eastAsia="MS Mincho" w:hAnsi="Palatino Linotype" w:cs="Arial"/>
          <w:sz w:val="22"/>
          <w:szCs w:val="22"/>
        </w:rPr>
        <w:t>7 de abril</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6B507C">
        <w:rPr>
          <w:rFonts w:ascii="Palatino Linotype" w:eastAsia="MS Mincho" w:hAnsi="Palatino Linotype" w:cs="Arial"/>
          <w:sz w:val="22"/>
          <w:szCs w:val="22"/>
        </w:rPr>
        <w:t>28</w:t>
      </w:r>
      <w:r w:rsidR="00302F52" w:rsidRPr="006336FA">
        <w:rPr>
          <w:rFonts w:ascii="Palatino Linotype" w:eastAsia="MS Mincho" w:hAnsi="Palatino Linotype" w:cs="Arial"/>
          <w:sz w:val="22"/>
          <w:szCs w:val="22"/>
        </w:rPr>
        <w:t xml:space="preserve"> de </w:t>
      </w:r>
      <w:r w:rsidR="006B507C">
        <w:rPr>
          <w:rFonts w:ascii="Palatino Linotype" w:eastAsia="MS Mincho" w:hAnsi="Palatino Linotype" w:cs="Arial"/>
          <w:sz w:val="22"/>
          <w:szCs w:val="22"/>
        </w:rPr>
        <w:t xml:space="preserve">julio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816DB2">
      <w:pPr>
        <w:pStyle w:val="Textosinformato"/>
        <w:jc w:val="both"/>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816DB2">
      <w:pPr>
        <w:pStyle w:val="Textosinformato"/>
        <w:jc w:val="center"/>
        <w:rPr>
          <w:rFonts w:ascii="Palatino Linotype" w:eastAsia="MS Mincho" w:hAnsi="Palatino Linotype" w:cs="Arial"/>
          <w:b/>
          <w:sz w:val="22"/>
          <w:szCs w:val="22"/>
        </w:rPr>
      </w:pPr>
    </w:p>
    <w:p w:rsidR="00302F52" w:rsidRPr="006336FA" w:rsidRDefault="00302F52" w:rsidP="00816DB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816DB2">
      <w:pPr>
        <w:pStyle w:val="Textosinformato"/>
        <w:jc w:val="center"/>
        <w:rPr>
          <w:rFonts w:ascii="Palatino Linotype" w:eastAsia="MS Mincho" w:hAnsi="Palatino Linotype" w:cs="Arial"/>
          <w:sz w:val="22"/>
          <w:szCs w:val="22"/>
        </w:rPr>
      </w:pPr>
    </w:p>
    <w:p w:rsidR="002D3569" w:rsidRPr="006336FA" w:rsidRDefault="002D3569"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816DB2">
      <w:pPr>
        <w:pStyle w:val="Textosinformato"/>
        <w:tabs>
          <w:tab w:val="right" w:pos="8504"/>
        </w:tabs>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5A7785"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Pr="006336FA" w:rsidRDefault="005A7785"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6B507C" w:rsidRDefault="006B507C" w:rsidP="006B507C">
      <w:pPr>
        <w:pStyle w:val="Textosinformato"/>
        <w:spacing w:after="240" w:line="276" w:lineRule="auto"/>
        <w:rPr>
          <w:rFonts w:ascii="Palatino Linotype" w:eastAsia="MS Mincho" w:hAnsi="Palatino Linotype" w:cs="Arial"/>
          <w:b/>
          <w:bCs/>
          <w:sz w:val="14"/>
          <w:szCs w:val="14"/>
        </w:rPr>
      </w:pPr>
      <w:r>
        <w:rPr>
          <w:rFonts w:ascii="Palatino Linotype" w:eastAsia="MS Mincho" w:hAnsi="Palatino Linotype" w:cs="Arial"/>
          <w:b/>
          <w:bCs/>
          <w:sz w:val="14"/>
          <w:szCs w:val="14"/>
        </w:rPr>
        <w:t>DSCS</w:t>
      </w:r>
    </w:p>
    <w:sectPr w:rsidR="00CA554A" w:rsidRPr="006B507C"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C9" w:rsidRDefault="000834C9" w:rsidP="00B14643">
      <w:r>
        <w:separator/>
      </w:r>
    </w:p>
  </w:endnote>
  <w:endnote w:type="continuationSeparator" w:id="0">
    <w:p w:rsidR="000834C9" w:rsidRDefault="000834C9"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C9" w:rsidRPr="00723B61" w:rsidRDefault="000834C9">
    <w:pPr>
      <w:pStyle w:val="Piedepgina"/>
      <w:jc w:val="right"/>
      <w:rPr>
        <w:rFonts w:ascii="Palatino Linotype" w:hAnsi="Palatino Linotype"/>
      </w:rPr>
    </w:pPr>
  </w:p>
  <w:p w:rsidR="000834C9" w:rsidRDefault="000834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C9" w:rsidRPr="00723B61" w:rsidRDefault="000834C9"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A5755B">
      <w:rPr>
        <w:rFonts w:ascii="Palatino Linotype" w:hAnsi="Palatino Linotype"/>
        <w:b/>
        <w:noProof/>
      </w:rPr>
      <w:t>9</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9</w:t>
    </w:r>
  </w:p>
  <w:p w:rsidR="000834C9" w:rsidRDefault="000834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C9" w:rsidRDefault="000834C9" w:rsidP="00B14643">
      <w:r>
        <w:separator/>
      </w:r>
    </w:p>
  </w:footnote>
  <w:footnote w:type="continuationSeparator" w:id="0">
    <w:p w:rsidR="000834C9" w:rsidRDefault="000834C9"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C9" w:rsidRDefault="000834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C9" w:rsidRDefault="000834C9">
    <w:pPr>
      <w:pStyle w:val="Encabezado"/>
      <w:rPr>
        <w:lang w:val="es-EC"/>
      </w:rPr>
    </w:pPr>
  </w:p>
  <w:p w:rsidR="000834C9" w:rsidRDefault="000834C9">
    <w:pPr>
      <w:pStyle w:val="Encabezado"/>
      <w:rPr>
        <w:lang w:val="es-EC"/>
      </w:rPr>
    </w:pPr>
  </w:p>
  <w:p w:rsidR="000834C9" w:rsidRDefault="000834C9">
    <w:pPr>
      <w:pStyle w:val="Encabezado"/>
      <w:rPr>
        <w:lang w:val="es-EC"/>
      </w:rPr>
    </w:pPr>
  </w:p>
  <w:p w:rsidR="000834C9" w:rsidRDefault="000834C9">
    <w:pPr>
      <w:pStyle w:val="Encabezado"/>
      <w:rPr>
        <w:lang w:val="es-EC"/>
      </w:rPr>
    </w:pPr>
  </w:p>
  <w:p w:rsidR="000834C9" w:rsidRDefault="000834C9" w:rsidP="00150606">
    <w:pPr>
      <w:pStyle w:val="Ttulo"/>
      <w:rPr>
        <w:rFonts w:ascii="Palatino Linotype" w:hAnsi="Palatino Linotype" w:cs="Arial"/>
        <w:sz w:val="22"/>
        <w:szCs w:val="22"/>
      </w:rPr>
    </w:pPr>
  </w:p>
  <w:p w:rsidR="000834C9" w:rsidRDefault="000834C9" w:rsidP="00150606">
    <w:pPr>
      <w:pStyle w:val="Ttulo"/>
      <w:rPr>
        <w:rFonts w:ascii="Palatino Linotype" w:hAnsi="Palatino Linotype" w:cs="Arial"/>
        <w:sz w:val="22"/>
        <w:szCs w:val="22"/>
      </w:rPr>
    </w:pPr>
  </w:p>
  <w:p w:rsidR="000834C9" w:rsidRDefault="000834C9" w:rsidP="00150606">
    <w:pPr>
      <w:pStyle w:val="Ttulo"/>
      <w:rPr>
        <w:rFonts w:ascii="Palatino Linotype" w:hAnsi="Palatino Linotype" w:cs="Arial"/>
        <w:sz w:val="22"/>
        <w:szCs w:val="22"/>
      </w:rPr>
    </w:pPr>
  </w:p>
  <w:p w:rsidR="000834C9" w:rsidRDefault="000834C9" w:rsidP="00150606">
    <w:pPr>
      <w:pStyle w:val="Ttulo"/>
      <w:rPr>
        <w:rFonts w:ascii="Palatino Linotype" w:hAnsi="Palatino Linotype" w:cs="Arial"/>
        <w:sz w:val="22"/>
        <w:szCs w:val="22"/>
      </w:rPr>
    </w:pPr>
  </w:p>
  <w:p w:rsidR="000834C9" w:rsidRPr="00DF5583" w:rsidRDefault="000834C9" w:rsidP="00DF5583">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C9" w:rsidRDefault="000834C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C9" w:rsidRDefault="000834C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C9" w:rsidRDefault="000834C9" w:rsidP="002D3569">
    <w:pPr>
      <w:pStyle w:val="Ttulo"/>
      <w:rPr>
        <w:rFonts w:ascii="Palatino Linotype" w:hAnsi="Palatino Linotype" w:cs="Arial"/>
        <w:sz w:val="22"/>
        <w:szCs w:val="22"/>
      </w:rPr>
    </w:pPr>
  </w:p>
  <w:p w:rsidR="000834C9" w:rsidRDefault="000834C9" w:rsidP="002D3569">
    <w:pPr>
      <w:pStyle w:val="Ttulo"/>
      <w:rPr>
        <w:rFonts w:ascii="Palatino Linotype" w:hAnsi="Palatino Linotype" w:cs="Arial"/>
        <w:sz w:val="22"/>
        <w:szCs w:val="22"/>
      </w:rPr>
    </w:pPr>
  </w:p>
  <w:p w:rsidR="000834C9" w:rsidRDefault="000834C9" w:rsidP="002D3569">
    <w:pPr>
      <w:pStyle w:val="Ttulo"/>
      <w:rPr>
        <w:rFonts w:ascii="Palatino Linotype" w:hAnsi="Palatino Linotype" w:cs="Arial"/>
        <w:sz w:val="22"/>
        <w:szCs w:val="22"/>
      </w:rPr>
    </w:pPr>
  </w:p>
  <w:p w:rsidR="000834C9" w:rsidRDefault="000834C9" w:rsidP="002D3569">
    <w:pPr>
      <w:pStyle w:val="Ttulo"/>
      <w:rPr>
        <w:rFonts w:ascii="Palatino Linotype" w:hAnsi="Palatino Linotype" w:cs="Arial"/>
        <w:sz w:val="22"/>
        <w:szCs w:val="22"/>
      </w:rPr>
    </w:pPr>
  </w:p>
  <w:p w:rsidR="000834C9" w:rsidRDefault="000834C9" w:rsidP="002D3569">
    <w:pPr>
      <w:pStyle w:val="Ttulo"/>
      <w:rPr>
        <w:rFonts w:ascii="Palatino Linotype" w:hAnsi="Palatino Linotype" w:cs="Arial"/>
        <w:sz w:val="22"/>
        <w:szCs w:val="22"/>
      </w:rPr>
    </w:pPr>
  </w:p>
  <w:p w:rsidR="000834C9" w:rsidRDefault="000834C9" w:rsidP="002D3569">
    <w:pPr>
      <w:pStyle w:val="Ttulo"/>
      <w:rPr>
        <w:rFonts w:ascii="Palatino Linotype" w:hAnsi="Palatino Linotype" w:cs="Arial"/>
        <w:sz w:val="22"/>
        <w:szCs w:val="22"/>
      </w:rPr>
    </w:pPr>
  </w:p>
  <w:p w:rsidR="000834C9" w:rsidRDefault="000834C9" w:rsidP="002D3569">
    <w:pPr>
      <w:pStyle w:val="Ttulo"/>
      <w:rPr>
        <w:rFonts w:ascii="Palatino Linotype" w:hAnsi="Palatino Linotype" w:cs="Arial"/>
        <w:sz w:val="22"/>
        <w:szCs w:val="22"/>
      </w:rPr>
    </w:pPr>
  </w:p>
  <w:p w:rsidR="000834C9" w:rsidRPr="00476B21" w:rsidRDefault="000834C9"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834C9" w:rsidRDefault="000834C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C9" w:rsidRDefault="000834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0926034"/>
    <w:multiLevelType w:val="hybridMultilevel"/>
    <w:tmpl w:val="FBCEC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5">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0">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4C63B5A"/>
    <w:multiLevelType w:val="hybridMultilevel"/>
    <w:tmpl w:val="7C703E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
  </w:num>
  <w:num w:numId="11">
    <w:abstractNumId w:val="34"/>
  </w:num>
  <w:num w:numId="12">
    <w:abstractNumId w:val="1"/>
  </w:num>
  <w:num w:numId="13">
    <w:abstractNumId w:val="35"/>
  </w:num>
  <w:num w:numId="14">
    <w:abstractNumId w:val="28"/>
  </w:num>
  <w:num w:numId="15">
    <w:abstractNumId w:val="13"/>
  </w:num>
  <w:num w:numId="16">
    <w:abstractNumId w:val="18"/>
  </w:num>
  <w:num w:numId="17">
    <w:abstractNumId w:val="12"/>
  </w:num>
  <w:num w:numId="18">
    <w:abstractNumId w:val="29"/>
  </w:num>
  <w:num w:numId="19">
    <w:abstractNumId w:val="8"/>
  </w:num>
  <w:num w:numId="20">
    <w:abstractNumId w:val="23"/>
  </w:num>
  <w:num w:numId="21">
    <w:abstractNumId w:val="32"/>
  </w:num>
  <w:num w:numId="22">
    <w:abstractNumId w:val="2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num>
  <w:num w:numId="27">
    <w:abstractNumId w:val="25"/>
  </w:num>
  <w:num w:numId="28">
    <w:abstractNumId w:val="21"/>
  </w:num>
  <w:num w:numId="29">
    <w:abstractNumId w:val="33"/>
  </w:num>
  <w:num w:numId="30">
    <w:abstractNumId w:val="11"/>
  </w:num>
  <w:num w:numId="31">
    <w:abstractNumId w:val="27"/>
  </w:num>
  <w:num w:numId="32">
    <w:abstractNumId w:val="14"/>
  </w:num>
  <w:num w:numId="33">
    <w:abstractNumId w:val="24"/>
  </w:num>
  <w:num w:numId="34">
    <w:abstractNumId w:val="6"/>
  </w:num>
  <w:num w:numId="35">
    <w:abstractNumId w:val="16"/>
  </w:num>
  <w:num w:numId="36">
    <w:abstractNumId w:val="15"/>
  </w:num>
  <w:num w:numId="37">
    <w:abstractNumId w:val="36"/>
  </w:num>
  <w:num w:numId="38">
    <w:abstractNumId w:val="3"/>
  </w:num>
  <w:num w:numId="39">
    <w:abstractNumId w:val="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71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53F"/>
    <w:rsid w:val="00070E32"/>
    <w:rsid w:val="000726A0"/>
    <w:rsid w:val="00074B5F"/>
    <w:rsid w:val="00077615"/>
    <w:rsid w:val="0008239D"/>
    <w:rsid w:val="000834C9"/>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7BC"/>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5829"/>
    <w:rsid w:val="002B73F5"/>
    <w:rsid w:val="002C2187"/>
    <w:rsid w:val="002C2429"/>
    <w:rsid w:val="002C2A63"/>
    <w:rsid w:val="002C3D9C"/>
    <w:rsid w:val="002C6383"/>
    <w:rsid w:val="002D0E3E"/>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77A"/>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1E84"/>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B507C"/>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9A0"/>
    <w:rsid w:val="00702D95"/>
    <w:rsid w:val="00703563"/>
    <w:rsid w:val="00703851"/>
    <w:rsid w:val="00705B99"/>
    <w:rsid w:val="00714C8B"/>
    <w:rsid w:val="00715516"/>
    <w:rsid w:val="007165BB"/>
    <w:rsid w:val="00717A14"/>
    <w:rsid w:val="00723B61"/>
    <w:rsid w:val="00724088"/>
    <w:rsid w:val="00725931"/>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DB2"/>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4B48"/>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5755B"/>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4B17"/>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5583"/>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15F97"/>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4D1D-74F0-485D-8F47-D3742D76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3392</Words>
  <Characters>18781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5</cp:revision>
  <cp:lastPrinted>2016-08-01T19:56:00Z</cp:lastPrinted>
  <dcterms:created xsi:type="dcterms:W3CDTF">2016-08-01T19:35:00Z</dcterms:created>
  <dcterms:modified xsi:type="dcterms:W3CDTF">2016-08-01T19:56:00Z</dcterms:modified>
</cp:coreProperties>
</file>