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1A" w:rsidRPr="0001179E" w:rsidRDefault="006F201A" w:rsidP="0001179E">
      <w:pPr>
        <w:autoSpaceDE w:val="0"/>
        <w:autoSpaceDN w:val="0"/>
        <w:adjustRightInd w:val="0"/>
        <w:spacing w:after="120"/>
        <w:jc w:val="center"/>
        <w:rPr>
          <w:rFonts w:ascii="Palatino Linotype" w:hAnsi="Palatino Linotype" w:cstheme="minorHAnsi"/>
          <w:b/>
        </w:rPr>
      </w:pPr>
      <w:r w:rsidRPr="0001179E">
        <w:rPr>
          <w:rFonts w:ascii="Palatino Linotype" w:hAnsi="Palatino Linotype" w:cstheme="minorHAnsi"/>
          <w:b/>
        </w:rPr>
        <w:t xml:space="preserve">EXPOSICIÓN DE MOTIVOS </w:t>
      </w:r>
    </w:p>
    <w:p w:rsidR="000B0D71" w:rsidRPr="0001179E" w:rsidRDefault="000B0D71" w:rsidP="0001179E">
      <w:pPr>
        <w:spacing w:after="120"/>
        <w:jc w:val="both"/>
        <w:rPr>
          <w:rFonts w:ascii="Palatino Linotype" w:hAnsi="Palatino Linotype" w:cstheme="minorHAnsi"/>
          <w:b/>
        </w:rPr>
      </w:pPr>
      <w:r w:rsidRPr="0001179E">
        <w:rPr>
          <w:rFonts w:ascii="Palatino Linotype" w:hAnsi="Palatino Linotype" w:cstheme="minorHAnsi"/>
          <w:b/>
        </w:rPr>
        <w:t>A</w:t>
      </w:r>
      <w:r w:rsidR="00727D18">
        <w:rPr>
          <w:rFonts w:ascii="Palatino Linotype" w:hAnsi="Palatino Linotype" w:cstheme="minorHAnsi"/>
          <w:b/>
        </w:rPr>
        <w:t>ntecedentes</w:t>
      </w:r>
      <w:r w:rsidRPr="0001179E">
        <w:rPr>
          <w:rFonts w:ascii="Palatino Linotype" w:hAnsi="Palatino Linotype" w:cstheme="minorHAnsi"/>
          <w:b/>
        </w:rPr>
        <w:t>:</w:t>
      </w:r>
    </w:p>
    <w:p w:rsidR="000B0D71" w:rsidRPr="0001179E" w:rsidRDefault="000B0D71" w:rsidP="0001179E">
      <w:pPr>
        <w:spacing w:after="120"/>
        <w:ind w:firstLine="708"/>
        <w:jc w:val="both"/>
        <w:rPr>
          <w:rFonts w:ascii="Palatino Linotype" w:hAnsi="Palatino Linotype" w:cstheme="minorHAnsi"/>
        </w:rPr>
      </w:pPr>
      <w:r w:rsidRPr="0001179E">
        <w:rPr>
          <w:rFonts w:ascii="Palatino Linotype" w:hAnsi="Palatino Linotype" w:cstheme="minorHAnsi"/>
        </w:rPr>
        <w:t xml:space="preserve">Mediante </w:t>
      </w:r>
      <w:r w:rsidR="002205EC">
        <w:rPr>
          <w:rFonts w:ascii="Palatino Linotype" w:hAnsi="Palatino Linotype" w:cstheme="minorHAnsi"/>
        </w:rPr>
        <w:t>O</w:t>
      </w:r>
      <w:r w:rsidRPr="0001179E">
        <w:rPr>
          <w:rFonts w:ascii="Palatino Linotype" w:hAnsi="Palatino Linotype" w:cstheme="minorHAnsi"/>
        </w:rPr>
        <w:t>rdenanzas Nos. 231 y 261, sancionadas el 28 de septiembre de 2007 y 23 de octubre de 2008, respectivamente, se estableció la forma de regularización de la enajenación de excedentes o diferencias de áreas de terreno urbano y rural del Distrito Metropolitano de Quito, producto de errores de medición, cuyas escrituras diferían con la realidad física de campo, ordenanzas que regían en base a la Ley Orgánica de Régimen Municipal.</w:t>
      </w:r>
    </w:p>
    <w:p w:rsidR="000B0D71" w:rsidRPr="0001179E" w:rsidRDefault="000B0D71" w:rsidP="0001179E">
      <w:pPr>
        <w:spacing w:after="120"/>
        <w:ind w:firstLine="708"/>
        <w:jc w:val="both"/>
        <w:rPr>
          <w:rFonts w:ascii="Palatino Linotype" w:hAnsi="Palatino Linotype" w:cstheme="minorHAnsi"/>
        </w:rPr>
      </w:pPr>
      <w:r w:rsidRPr="0001179E">
        <w:rPr>
          <w:rFonts w:ascii="Palatino Linotype" w:hAnsi="Palatino Linotype" w:cstheme="minorHAnsi"/>
        </w:rPr>
        <w:t>Posteriormente</w:t>
      </w:r>
      <w:r w:rsidR="0001179E">
        <w:rPr>
          <w:rFonts w:ascii="Palatino Linotype" w:hAnsi="Palatino Linotype" w:cstheme="minorHAnsi"/>
        </w:rPr>
        <w:t>,</w:t>
      </w:r>
      <w:r w:rsidRPr="0001179E">
        <w:rPr>
          <w:rFonts w:ascii="Palatino Linotype" w:hAnsi="Palatino Linotype" w:cstheme="minorHAnsi"/>
        </w:rPr>
        <w:t xml:space="preserve"> a raíz de la vigencia del Código Orgánico de Organización Territorial, Autonomía y Descentralización- COOTAD, se dictan las </w:t>
      </w:r>
      <w:r w:rsidR="002205EC">
        <w:rPr>
          <w:rFonts w:ascii="Palatino Linotype" w:hAnsi="Palatino Linotype" w:cstheme="minorHAnsi"/>
        </w:rPr>
        <w:t>O</w:t>
      </w:r>
      <w:r w:rsidRPr="0001179E">
        <w:rPr>
          <w:rFonts w:ascii="Palatino Linotype" w:hAnsi="Palatino Linotype" w:cstheme="minorHAnsi"/>
        </w:rPr>
        <w:t xml:space="preserve">rdenanzas </w:t>
      </w:r>
      <w:r w:rsidR="002205EC">
        <w:rPr>
          <w:rFonts w:ascii="Palatino Linotype" w:hAnsi="Palatino Linotype" w:cstheme="minorHAnsi"/>
        </w:rPr>
        <w:t xml:space="preserve">Nos. </w:t>
      </w:r>
      <w:r w:rsidRPr="0001179E">
        <w:rPr>
          <w:rFonts w:ascii="Palatino Linotype" w:hAnsi="Palatino Linotype" w:cstheme="minorHAnsi"/>
        </w:rPr>
        <w:t>163 y 269, sancionadas el 3 de enero y 30 de julio de 2012, respectivamente, que establecen el Régimen Administrativo de Regularización de Excedentes y Diferencias de Áreas de Terreno Urbano y Rural en el Distrito Metropolitano de Quito, provenientes de errores de medición.</w:t>
      </w:r>
    </w:p>
    <w:p w:rsidR="000B0D71" w:rsidRPr="0001179E" w:rsidRDefault="000B0D71" w:rsidP="0001179E">
      <w:pPr>
        <w:spacing w:after="120"/>
        <w:ind w:firstLine="708"/>
        <w:jc w:val="both"/>
        <w:rPr>
          <w:rFonts w:ascii="Palatino Linotype" w:hAnsi="Palatino Linotype" w:cstheme="minorHAnsi"/>
        </w:rPr>
      </w:pPr>
      <w:r w:rsidRPr="0001179E">
        <w:rPr>
          <w:rFonts w:ascii="Palatino Linotype" w:hAnsi="Palatino Linotype" w:cstheme="minorHAnsi"/>
        </w:rPr>
        <w:t>Mediante Ley Orgánica Reformatoria al Código Orgánico de Organización Territorial, Autonomía y Descentralización</w:t>
      </w:r>
      <w:r w:rsidR="002205EC">
        <w:rPr>
          <w:rFonts w:ascii="Palatino Linotype" w:hAnsi="Palatino Linotype" w:cstheme="minorHAnsi"/>
        </w:rPr>
        <w:t>,</w:t>
      </w:r>
      <w:r w:rsidRPr="0001179E">
        <w:rPr>
          <w:rFonts w:ascii="Palatino Linotype" w:hAnsi="Palatino Linotype" w:cstheme="minorHAnsi"/>
        </w:rPr>
        <w:t xml:space="preserve"> publicada en el Suplemento del Registro Oficial No. 166 de 21 de enero de 2014</w:t>
      </w:r>
      <w:r w:rsidR="002205EC">
        <w:rPr>
          <w:rFonts w:ascii="Palatino Linotype" w:hAnsi="Palatino Linotype" w:cstheme="minorHAnsi"/>
        </w:rPr>
        <w:t>, se agrega, a continuación del a</w:t>
      </w:r>
      <w:r w:rsidRPr="0001179E">
        <w:rPr>
          <w:rFonts w:ascii="Palatino Linotype" w:hAnsi="Palatino Linotype" w:cstheme="minorHAnsi"/>
        </w:rPr>
        <w:t>rt</w:t>
      </w:r>
      <w:r w:rsidR="002205EC">
        <w:rPr>
          <w:rFonts w:ascii="Palatino Linotype" w:hAnsi="Palatino Linotype" w:cstheme="minorHAnsi"/>
        </w:rPr>
        <w:t>ículo</w:t>
      </w:r>
      <w:r w:rsidRPr="0001179E">
        <w:rPr>
          <w:rFonts w:ascii="Palatino Linotype" w:hAnsi="Palatino Linotype" w:cstheme="minorHAnsi"/>
        </w:rPr>
        <w:t xml:space="preserve"> 481</w:t>
      </w:r>
      <w:r w:rsidR="002205EC">
        <w:rPr>
          <w:rFonts w:ascii="Palatino Linotype" w:hAnsi="Palatino Linotype" w:cstheme="minorHAnsi"/>
        </w:rPr>
        <w:t>,</w:t>
      </w:r>
      <w:r w:rsidRPr="0001179E">
        <w:rPr>
          <w:rFonts w:ascii="Palatino Linotype" w:hAnsi="Palatino Linotype" w:cstheme="minorHAnsi"/>
        </w:rPr>
        <w:t xml:space="preserve"> el </w:t>
      </w:r>
      <w:r w:rsidR="002205EC">
        <w:rPr>
          <w:rFonts w:ascii="Palatino Linotype" w:hAnsi="Palatino Linotype" w:cstheme="minorHAnsi"/>
        </w:rPr>
        <w:t>a</w:t>
      </w:r>
      <w:r w:rsidRPr="0001179E">
        <w:rPr>
          <w:rFonts w:ascii="Palatino Linotype" w:hAnsi="Palatino Linotype" w:cstheme="minorHAnsi"/>
        </w:rPr>
        <w:t>rt</w:t>
      </w:r>
      <w:r w:rsidR="002205EC">
        <w:rPr>
          <w:rFonts w:ascii="Palatino Linotype" w:hAnsi="Palatino Linotype" w:cstheme="minorHAnsi"/>
        </w:rPr>
        <w:t>ículo</w:t>
      </w:r>
      <w:r w:rsidRPr="0001179E">
        <w:rPr>
          <w:rFonts w:ascii="Palatino Linotype" w:hAnsi="Palatino Linotype" w:cstheme="minorHAnsi"/>
        </w:rPr>
        <w:t xml:space="preserve"> 481.1 referente a los excedentes o diferencias de terrenos de propiedad privada, en el que faculta a los gobiernos autónomos descentralizados para que expidan la ordenanza para regular la forma de </w:t>
      </w:r>
      <w:r w:rsidR="00A43394" w:rsidRPr="0001179E">
        <w:rPr>
          <w:rFonts w:ascii="Palatino Linotype" w:hAnsi="Palatino Linotype" w:cstheme="minorHAnsi"/>
        </w:rPr>
        <w:t>regularización</w:t>
      </w:r>
      <w:r w:rsidRPr="0001179E">
        <w:rPr>
          <w:rFonts w:ascii="Palatino Linotype" w:hAnsi="Palatino Linotype" w:cstheme="minorHAnsi"/>
        </w:rPr>
        <w:t>, precio a pagar tomando como referencia el avalúo catastral; y, las condiciones socio económicas del propietario del lote principal.</w:t>
      </w:r>
    </w:p>
    <w:p w:rsidR="00BA5816" w:rsidRPr="0001179E" w:rsidRDefault="00BA5816" w:rsidP="0001179E">
      <w:pPr>
        <w:spacing w:after="120"/>
        <w:ind w:firstLine="708"/>
        <w:jc w:val="both"/>
        <w:rPr>
          <w:rFonts w:ascii="Palatino Linotype" w:hAnsi="Palatino Linotype" w:cstheme="minorHAnsi"/>
        </w:rPr>
      </w:pPr>
      <w:r w:rsidRPr="0001179E">
        <w:rPr>
          <w:rFonts w:ascii="Palatino Linotype" w:hAnsi="Palatino Linotype" w:cstheme="minorHAnsi"/>
        </w:rPr>
        <w:t xml:space="preserve">Con la expedición de la Ley </w:t>
      </w:r>
      <w:r w:rsidR="00812115" w:rsidRPr="0001179E">
        <w:rPr>
          <w:rFonts w:ascii="Palatino Linotype" w:hAnsi="Palatino Linotype" w:cstheme="minorHAnsi"/>
        </w:rPr>
        <w:t xml:space="preserve">Orgánica </w:t>
      </w:r>
      <w:r w:rsidRPr="0001179E">
        <w:rPr>
          <w:rFonts w:ascii="Palatino Linotype" w:hAnsi="Palatino Linotype" w:cstheme="minorHAnsi"/>
        </w:rPr>
        <w:t xml:space="preserve">de Tierras Rurales y Territorios Ancestrales, se </w:t>
      </w:r>
      <w:r w:rsidR="00CB7683" w:rsidRPr="0001179E">
        <w:rPr>
          <w:rFonts w:ascii="Palatino Linotype" w:hAnsi="Palatino Linotype" w:cstheme="minorHAnsi"/>
        </w:rPr>
        <w:t>reforma</w:t>
      </w:r>
      <w:r w:rsidRPr="0001179E">
        <w:rPr>
          <w:rFonts w:ascii="Palatino Linotype" w:hAnsi="Palatino Linotype" w:cstheme="minorHAnsi"/>
        </w:rPr>
        <w:t xml:space="preserve"> el inciso </w:t>
      </w:r>
      <w:r w:rsidR="002205EC">
        <w:rPr>
          <w:rFonts w:ascii="Palatino Linotype" w:hAnsi="Palatino Linotype" w:cstheme="minorHAnsi"/>
        </w:rPr>
        <w:t>s</w:t>
      </w:r>
      <w:r w:rsidRPr="0001179E">
        <w:rPr>
          <w:rFonts w:ascii="Palatino Linotype" w:hAnsi="Palatino Linotype" w:cstheme="minorHAnsi"/>
        </w:rPr>
        <w:t xml:space="preserve">egundo del </w:t>
      </w:r>
      <w:r w:rsidR="002205EC">
        <w:rPr>
          <w:rFonts w:ascii="Palatino Linotype" w:hAnsi="Palatino Linotype" w:cstheme="minorHAnsi"/>
        </w:rPr>
        <w:t>a</w:t>
      </w:r>
      <w:r w:rsidRPr="0001179E">
        <w:rPr>
          <w:rFonts w:ascii="Palatino Linotype" w:hAnsi="Palatino Linotype" w:cstheme="minorHAnsi"/>
        </w:rPr>
        <w:t>rt</w:t>
      </w:r>
      <w:r w:rsidR="002205EC">
        <w:rPr>
          <w:rFonts w:ascii="Palatino Linotype" w:hAnsi="Palatino Linotype" w:cstheme="minorHAnsi"/>
        </w:rPr>
        <w:t>ículo</w:t>
      </w:r>
      <w:r w:rsidRPr="0001179E">
        <w:rPr>
          <w:rFonts w:ascii="Palatino Linotype" w:hAnsi="Palatino Linotype" w:cstheme="minorHAnsi"/>
        </w:rPr>
        <w:t xml:space="preserve"> 481.1 del Código Orgánico de Organización Territorial, Autonomía y Descentralización, </w:t>
      </w:r>
      <w:r w:rsidR="00590CA6" w:rsidRPr="0001179E">
        <w:rPr>
          <w:rFonts w:ascii="Palatino Linotype" w:hAnsi="Palatino Linotype" w:cstheme="minorHAnsi"/>
        </w:rPr>
        <w:t>respecto de la regularización de los excedentes que superan el ETAM; así como la autoridad competente.</w:t>
      </w:r>
    </w:p>
    <w:p w:rsidR="000B0D71" w:rsidRPr="0001179E" w:rsidRDefault="000B0D71" w:rsidP="0001179E">
      <w:pPr>
        <w:spacing w:after="120"/>
        <w:jc w:val="both"/>
        <w:rPr>
          <w:rFonts w:ascii="Palatino Linotype" w:hAnsi="Palatino Linotype" w:cstheme="minorHAnsi"/>
          <w:b/>
        </w:rPr>
      </w:pPr>
      <w:r w:rsidRPr="0001179E">
        <w:rPr>
          <w:rFonts w:ascii="Palatino Linotype" w:hAnsi="Palatino Linotype" w:cstheme="minorHAnsi"/>
          <w:b/>
        </w:rPr>
        <w:t>F</w:t>
      </w:r>
      <w:r w:rsidR="00727D18">
        <w:rPr>
          <w:rFonts w:ascii="Palatino Linotype" w:hAnsi="Palatino Linotype" w:cstheme="minorHAnsi"/>
          <w:b/>
        </w:rPr>
        <w:t>undamentos</w:t>
      </w:r>
      <w:r w:rsidRPr="0001179E">
        <w:rPr>
          <w:rFonts w:ascii="Palatino Linotype" w:hAnsi="Palatino Linotype" w:cstheme="minorHAnsi"/>
          <w:b/>
        </w:rPr>
        <w:t>:</w:t>
      </w:r>
    </w:p>
    <w:p w:rsidR="000B0D71" w:rsidRPr="0001179E" w:rsidRDefault="000B0D71" w:rsidP="0001179E">
      <w:pPr>
        <w:spacing w:after="120"/>
        <w:ind w:firstLine="708"/>
        <w:jc w:val="both"/>
        <w:rPr>
          <w:rFonts w:ascii="Palatino Linotype" w:hAnsi="Palatino Linotype" w:cstheme="minorHAnsi"/>
        </w:rPr>
      </w:pPr>
      <w:r w:rsidRPr="0001179E">
        <w:rPr>
          <w:rFonts w:ascii="Palatino Linotype" w:hAnsi="Palatino Linotype" w:cstheme="minorHAnsi"/>
        </w:rPr>
        <w:t xml:space="preserve">La propuesta </w:t>
      </w:r>
      <w:r w:rsidR="00356DB9" w:rsidRPr="0001179E">
        <w:rPr>
          <w:rFonts w:ascii="Palatino Linotype" w:hAnsi="Palatino Linotype" w:cstheme="minorHAnsi"/>
        </w:rPr>
        <w:t xml:space="preserve">sustitutiva de la Ordenanza </w:t>
      </w:r>
      <w:r w:rsidR="002205EC">
        <w:rPr>
          <w:rFonts w:ascii="Palatino Linotype" w:hAnsi="Palatino Linotype" w:cstheme="minorHAnsi"/>
        </w:rPr>
        <w:t xml:space="preserve">No. </w:t>
      </w:r>
      <w:r w:rsidR="00356DB9" w:rsidRPr="0001179E">
        <w:rPr>
          <w:rFonts w:ascii="Palatino Linotype" w:hAnsi="Palatino Linotype" w:cstheme="minorHAnsi"/>
        </w:rPr>
        <w:t xml:space="preserve">269, se </w:t>
      </w:r>
      <w:r w:rsidRPr="0001179E">
        <w:rPr>
          <w:rFonts w:ascii="Palatino Linotype" w:hAnsi="Palatino Linotype" w:cstheme="minorHAnsi"/>
        </w:rPr>
        <w:t xml:space="preserve">fundamenta en base a la Ley Orgánica Reformatoria al COOTAD, que agrega después del </w:t>
      </w:r>
      <w:r w:rsidR="002205EC">
        <w:rPr>
          <w:rFonts w:ascii="Palatino Linotype" w:hAnsi="Palatino Linotype" w:cstheme="minorHAnsi"/>
        </w:rPr>
        <w:t>a</w:t>
      </w:r>
      <w:r w:rsidRPr="0001179E">
        <w:rPr>
          <w:rFonts w:ascii="Palatino Linotype" w:hAnsi="Palatino Linotype" w:cstheme="minorHAnsi"/>
        </w:rPr>
        <w:t>rt</w:t>
      </w:r>
      <w:r w:rsidR="002205EC">
        <w:rPr>
          <w:rFonts w:ascii="Palatino Linotype" w:hAnsi="Palatino Linotype" w:cstheme="minorHAnsi"/>
        </w:rPr>
        <w:t>ículo</w:t>
      </w:r>
      <w:r w:rsidRPr="0001179E">
        <w:rPr>
          <w:rFonts w:ascii="Palatino Linotype" w:hAnsi="Palatino Linotype" w:cstheme="minorHAnsi"/>
        </w:rPr>
        <w:t xml:space="preserve"> 481 el </w:t>
      </w:r>
      <w:r w:rsidR="002205EC">
        <w:rPr>
          <w:rFonts w:ascii="Palatino Linotype" w:hAnsi="Palatino Linotype" w:cstheme="minorHAnsi"/>
        </w:rPr>
        <w:t xml:space="preserve">artículo </w:t>
      </w:r>
      <w:r w:rsidRPr="0001179E">
        <w:rPr>
          <w:rFonts w:ascii="Palatino Linotype" w:hAnsi="Palatino Linotype" w:cstheme="minorHAnsi"/>
        </w:rPr>
        <w:t>481.1</w:t>
      </w:r>
      <w:r w:rsidR="003F0E81" w:rsidRPr="0001179E">
        <w:rPr>
          <w:rFonts w:ascii="Palatino Linotype" w:hAnsi="Palatino Linotype" w:cstheme="minorHAnsi"/>
        </w:rPr>
        <w:t xml:space="preserve">; así como de la Disposición Reformatoria Segunda de la Ley </w:t>
      </w:r>
      <w:r w:rsidR="00887C07" w:rsidRPr="0001179E">
        <w:rPr>
          <w:rFonts w:ascii="Palatino Linotype" w:hAnsi="Palatino Linotype" w:cstheme="minorHAnsi"/>
        </w:rPr>
        <w:t xml:space="preserve">Orgánica </w:t>
      </w:r>
      <w:r w:rsidR="003F0E81" w:rsidRPr="0001179E">
        <w:rPr>
          <w:rFonts w:ascii="Palatino Linotype" w:hAnsi="Palatino Linotype" w:cstheme="minorHAnsi"/>
        </w:rPr>
        <w:t xml:space="preserve">de Tierras </w:t>
      </w:r>
      <w:r w:rsidR="0082472D" w:rsidRPr="0001179E">
        <w:rPr>
          <w:rFonts w:ascii="Palatino Linotype" w:hAnsi="Palatino Linotype" w:cstheme="minorHAnsi"/>
        </w:rPr>
        <w:t xml:space="preserve">Rurales </w:t>
      </w:r>
      <w:r w:rsidR="003F0E81" w:rsidRPr="0001179E">
        <w:rPr>
          <w:rFonts w:ascii="Palatino Linotype" w:hAnsi="Palatino Linotype" w:cstheme="minorHAnsi"/>
        </w:rPr>
        <w:t>y Territorios Ancestrales,</w:t>
      </w:r>
      <w:r w:rsidRPr="0001179E">
        <w:rPr>
          <w:rFonts w:ascii="Palatino Linotype" w:hAnsi="Palatino Linotype" w:cstheme="minorHAnsi"/>
        </w:rPr>
        <w:t xml:space="preserve"> y que tiene relación con la regularización de excedentes y diferencias de superficies en lotes </w:t>
      </w:r>
      <w:r w:rsidR="00124915" w:rsidRPr="0001179E">
        <w:rPr>
          <w:rFonts w:ascii="Palatino Linotype" w:hAnsi="Palatino Linotype" w:cstheme="minorHAnsi"/>
        </w:rPr>
        <w:t xml:space="preserve"> en suelo urbano o rural </w:t>
      </w:r>
      <w:r w:rsidRPr="0001179E">
        <w:rPr>
          <w:rFonts w:ascii="Palatino Linotype" w:hAnsi="Palatino Linotype" w:cstheme="minorHAnsi"/>
        </w:rPr>
        <w:t>de propiedad privada</w:t>
      </w:r>
      <w:r w:rsidR="00356DB9" w:rsidRPr="0001179E">
        <w:rPr>
          <w:rFonts w:ascii="Palatino Linotype" w:hAnsi="Palatino Linotype" w:cstheme="minorHAnsi"/>
        </w:rPr>
        <w:t xml:space="preserve"> por errores de cálculo o de medición</w:t>
      </w:r>
      <w:r w:rsidR="002205EC">
        <w:rPr>
          <w:rFonts w:ascii="Palatino Linotype" w:hAnsi="Palatino Linotype" w:cstheme="minorHAnsi"/>
        </w:rPr>
        <w:t xml:space="preserve"> en el </w:t>
      </w:r>
      <w:r w:rsidR="00124915" w:rsidRPr="0001179E">
        <w:rPr>
          <w:rFonts w:ascii="Palatino Linotype" w:hAnsi="Palatino Linotype" w:cstheme="minorHAnsi"/>
        </w:rPr>
        <w:t>D</w:t>
      </w:r>
      <w:r w:rsidR="002205EC">
        <w:rPr>
          <w:rFonts w:ascii="Palatino Linotype" w:hAnsi="Palatino Linotype" w:cstheme="minorHAnsi"/>
        </w:rPr>
        <w:t xml:space="preserve">istrito </w:t>
      </w:r>
      <w:r w:rsidR="00124915" w:rsidRPr="0001179E">
        <w:rPr>
          <w:rFonts w:ascii="Palatino Linotype" w:hAnsi="Palatino Linotype" w:cstheme="minorHAnsi"/>
        </w:rPr>
        <w:t>M</w:t>
      </w:r>
      <w:r w:rsidR="002205EC">
        <w:rPr>
          <w:rFonts w:ascii="Palatino Linotype" w:hAnsi="Palatino Linotype" w:cstheme="minorHAnsi"/>
        </w:rPr>
        <w:t xml:space="preserve">etropolitano de </w:t>
      </w:r>
      <w:r w:rsidR="00124915" w:rsidRPr="0001179E">
        <w:rPr>
          <w:rFonts w:ascii="Palatino Linotype" w:hAnsi="Palatino Linotype" w:cstheme="minorHAnsi"/>
        </w:rPr>
        <w:t>Q</w:t>
      </w:r>
      <w:r w:rsidR="002205EC">
        <w:rPr>
          <w:rFonts w:ascii="Palatino Linotype" w:hAnsi="Palatino Linotype" w:cstheme="minorHAnsi"/>
        </w:rPr>
        <w:t>uito</w:t>
      </w:r>
      <w:r w:rsidR="00356DB9" w:rsidRPr="0001179E">
        <w:rPr>
          <w:rFonts w:ascii="Palatino Linotype" w:hAnsi="Palatino Linotype" w:cstheme="minorHAnsi"/>
        </w:rPr>
        <w:t>.</w:t>
      </w:r>
    </w:p>
    <w:p w:rsidR="000B0D71" w:rsidRPr="0001179E" w:rsidRDefault="000B0D71" w:rsidP="0001179E">
      <w:pPr>
        <w:autoSpaceDE w:val="0"/>
        <w:autoSpaceDN w:val="0"/>
        <w:adjustRightInd w:val="0"/>
        <w:spacing w:after="120"/>
        <w:ind w:firstLine="708"/>
        <w:jc w:val="both"/>
        <w:rPr>
          <w:rFonts w:ascii="Palatino Linotype" w:hAnsi="Palatino Linotype" w:cstheme="minorHAnsi"/>
        </w:rPr>
      </w:pPr>
      <w:r w:rsidRPr="0001179E">
        <w:rPr>
          <w:rFonts w:ascii="Palatino Linotype" w:hAnsi="Palatino Linotype" w:cstheme="minorHAnsi"/>
        </w:rPr>
        <w:lastRenderedPageBreak/>
        <w:t>La propuesta de Ordenanza busca establece</w:t>
      </w:r>
      <w:r w:rsidR="00590CA6" w:rsidRPr="0001179E">
        <w:rPr>
          <w:rFonts w:ascii="Palatino Linotype" w:hAnsi="Palatino Linotype" w:cstheme="minorHAnsi"/>
        </w:rPr>
        <w:t>r</w:t>
      </w:r>
      <w:r w:rsidRPr="0001179E">
        <w:rPr>
          <w:rFonts w:ascii="Palatino Linotype" w:hAnsi="Palatino Linotype" w:cstheme="minorHAnsi"/>
        </w:rPr>
        <w:t xml:space="preserve"> un régimen administrativo expedito para regularizar  excedentes o diferencias de superficies de terreno urbano y rural de propiedad privada en el Distrito Metropolitano de Quito, </w:t>
      </w:r>
      <w:r w:rsidR="009D1898" w:rsidRPr="0001179E">
        <w:rPr>
          <w:rFonts w:ascii="Palatino Linotype" w:hAnsi="Palatino Linotype" w:cstheme="minorHAnsi"/>
        </w:rPr>
        <w:t>reduciendo</w:t>
      </w:r>
      <w:r w:rsidRPr="0001179E">
        <w:rPr>
          <w:rFonts w:ascii="Palatino Linotype" w:hAnsi="Palatino Linotype" w:cstheme="minorHAnsi"/>
        </w:rPr>
        <w:t xml:space="preserve"> los pasos y los requisitos de la tramitología municipal, con la finalidad de facilitar el camino a los administrados interesados en regularizar las superficies de sus</w:t>
      </w:r>
      <w:r w:rsidR="00D508B3" w:rsidRPr="0001179E">
        <w:rPr>
          <w:rFonts w:ascii="Palatino Linotype" w:hAnsi="Palatino Linotype" w:cstheme="minorHAnsi"/>
        </w:rPr>
        <w:t xml:space="preserve"> lotes</w:t>
      </w:r>
      <w:r w:rsidRPr="0001179E">
        <w:rPr>
          <w:rFonts w:ascii="Palatino Linotype" w:hAnsi="Palatino Linotype" w:cstheme="minorHAnsi"/>
        </w:rPr>
        <w:t>.</w:t>
      </w:r>
    </w:p>
    <w:p w:rsidR="000B0D71" w:rsidRPr="0001179E" w:rsidRDefault="000B0D71" w:rsidP="0001179E">
      <w:pPr>
        <w:autoSpaceDE w:val="0"/>
        <w:autoSpaceDN w:val="0"/>
        <w:adjustRightInd w:val="0"/>
        <w:spacing w:after="120"/>
        <w:ind w:firstLine="708"/>
        <w:jc w:val="both"/>
        <w:rPr>
          <w:rFonts w:ascii="Palatino Linotype" w:hAnsi="Palatino Linotype" w:cstheme="minorHAnsi"/>
        </w:rPr>
      </w:pPr>
      <w:r w:rsidRPr="0001179E">
        <w:rPr>
          <w:rFonts w:ascii="Palatino Linotype" w:hAnsi="Palatino Linotype" w:cstheme="minorHAnsi"/>
        </w:rPr>
        <w:t xml:space="preserve">Cabe señalar que la estadística municipal registraba hasta hace pocos meses tiempos que superaban los 150 días para despachar las solicitudes de regularización, implicando para el administrado procedimientos demorosos en varias dependencias municipales. </w:t>
      </w:r>
    </w:p>
    <w:p w:rsidR="000B0D71" w:rsidRPr="0001179E" w:rsidRDefault="000B0D71" w:rsidP="0001179E">
      <w:pPr>
        <w:autoSpaceDE w:val="0"/>
        <w:autoSpaceDN w:val="0"/>
        <w:adjustRightInd w:val="0"/>
        <w:spacing w:after="120"/>
        <w:ind w:firstLine="708"/>
        <w:jc w:val="both"/>
        <w:rPr>
          <w:rFonts w:ascii="Palatino Linotype" w:hAnsi="Palatino Linotype" w:cstheme="minorHAnsi"/>
        </w:rPr>
      </w:pPr>
      <w:r w:rsidRPr="0001179E">
        <w:rPr>
          <w:rFonts w:ascii="Palatino Linotype" w:hAnsi="Palatino Linotype" w:cstheme="minorHAnsi"/>
        </w:rPr>
        <w:t xml:space="preserve">La sustitución de la </w:t>
      </w:r>
      <w:r w:rsidR="002205EC">
        <w:rPr>
          <w:rFonts w:ascii="Palatino Linotype" w:hAnsi="Palatino Linotype" w:cstheme="minorHAnsi"/>
        </w:rPr>
        <w:t>O</w:t>
      </w:r>
      <w:r w:rsidRPr="0001179E">
        <w:rPr>
          <w:rFonts w:ascii="Palatino Linotype" w:hAnsi="Palatino Linotype" w:cstheme="minorHAnsi"/>
        </w:rPr>
        <w:t xml:space="preserve">rdenanza </w:t>
      </w:r>
      <w:r w:rsidR="002205EC">
        <w:rPr>
          <w:rFonts w:ascii="Palatino Linotype" w:hAnsi="Palatino Linotype" w:cstheme="minorHAnsi"/>
        </w:rPr>
        <w:t xml:space="preserve">No. </w:t>
      </w:r>
      <w:r w:rsidRPr="0001179E">
        <w:rPr>
          <w:rFonts w:ascii="Palatino Linotype" w:hAnsi="Palatino Linotype" w:cstheme="minorHAnsi"/>
        </w:rPr>
        <w:t>269 busca incentivar a los propietarios de predios a iniciar los procesos de regularización, como una condición previa y necesaria para desarrollar actividades de promoción inmobiliaria, construcción, compra-venta, entre otras posibilidades.</w:t>
      </w:r>
    </w:p>
    <w:p w:rsidR="000B0D71" w:rsidRPr="0001179E" w:rsidRDefault="000B0D71" w:rsidP="0001179E">
      <w:pPr>
        <w:autoSpaceDE w:val="0"/>
        <w:autoSpaceDN w:val="0"/>
        <w:adjustRightInd w:val="0"/>
        <w:spacing w:after="120"/>
        <w:ind w:firstLine="708"/>
        <w:jc w:val="both"/>
        <w:rPr>
          <w:rFonts w:ascii="Palatino Linotype" w:hAnsi="Palatino Linotype" w:cstheme="minorHAnsi"/>
        </w:rPr>
      </w:pPr>
      <w:r w:rsidRPr="0001179E">
        <w:rPr>
          <w:rFonts w:ascii="Palatino Linotype" w:hAnsi="Palatino Linotype" w:cstheme="minorHAnsi"/>
        </w:rPr>
        <w:t>La medida, que en su parte medular, propone elevar la tolerancia al 10% en más del área original que conste en el respectivo título de dominio del Error Técnico Aceptable de Medición (ETAM), espera incrementar el número de predios regularizados, beneficiando aproximadamente al 8</w:t>
      </w:r>
      <w:r w:rsidR="006630B7" w:rsidRPr="0001179E">
        <w:rPr>
          <w:rFonts w:ascii="Palatino Linotype" w:hAnsi="Palatino Linotype" w:cstheme="minorHAnsi"/>
        </w:rPr>
        <w:t>0</w:t>
      </w:r>
      <w:r w:rsidRPr="0001179E">
        <w:rPr>
          <w:rFonts w:ascii="Palatino Linotype" w:hAnsi="Palatino Linotype" w:cstheme="minorHAnsi"/>
        </w:rPr>
        <w:t>% de los predios urbanos que requieren regularizar sus cabidas. Este universo de regularización conlleva una actualización de la información catastral útil para la institución municipal en base a un Registro Catastral que guarde concordancia entre la documentación gráfica y la legal, es decir</w:t>
      </w:r>
      <w:r w:rsidR="00D07BEB">
        <w:rPr>
          <w:rFonts w:ascii="Palatino Linotype" w:hAnsi="Palatino Linotype" w:cstheme="minorHAnsi"/>
        </w:rPr>
        <w:t>,</w:t>
      </w:r>
      <w:r w:rsidRPr="0001179E">
        <w:rPr>
          <w:rFonts w:ascii="Palatino Linotype" w:hAnsi="Palatino Linotype" w:cstheme="minorHAnsi"/>
        </w:rPr>
        <w:t xml:space="preserve"> entre el levantamiento georeferenciado de los predios y los títulos de propiedad debidamente registrados.</w:t>
      </w:r>
    </w:p>
    <w:p w:rsidR="000B0D71" w:rsidRPr="0001179E" w:rsidRDefault="000B0D71" w:rsidP="0001179E">
      <w:pPr>
        <w:autoSpaceDE w:val="0"/>
        <w:autoSpaceDN w:val="0"/>
        <w:adjustRightInd w:val="0"/>
        <w:spacing w:after="120"/>
        <w:ind w:firstLine="708"/>
        <w:jc w:val="both"/>
        <w:rPr>
          <w:rFonts w:ascii="Palatino Linotype" w:hAnsi="Palatino Linotype" w:cstheme="minorHAnsi"/>
        </w:rPr>
      </w:pPr>
      <w:r w:rsidRPr="0001179E">
        <w:rPr>
          <w:rFonts w:ascii="Palatino Linotype" w:hAnsi="Palatino Linotype" w:cstheme="minorHAnsi"/>
        </w:rPr>
        <w:t>Por tanto, la ordenanza posibilita actualizar el catastro, considerado un instrumento esencial del ordenamiento territorial al tiempo que otorga una mayor seguridad jurídica a los propietarios de bienes inmuebles urbanos y rurales.</w:t>
      </w:r>
    </w:p>
    <w:p w:rsidR="000B0D71" w:rsidRPr="0001179E" w:rsidRDefault="000B0D71" w:rsidP="0001179E">
      <w:pPr>
        <w:spacing w:after="120"/>
        <w:ind w:firstLine="708"/>
        <w:jc w:val="both"/>
        <w:rPr>
          <w:rFonts w:ascii="Palatino Linotype" w:hAnsi="Palatino Linotype" w:cstheme="minorHAnsi"/>
        </w:rPr>
      </w:pPr>
      <w:r w:rsidRPr="0001179E">
        <w:rPr>
          <w:rFonts w:ascii="Palatino Linotype" w:hAnsi="Palatino Linotype" w:cstheme="minorHAnsi"/>
        </w:rPr>
        <w:t xml:space="preserve">En la propuesta se determina el ámbito de aplicación; así como </w:t>
      </w:r>
      <w:r w:rsidR="00205E65" w:rsidRPr="0001179E">
        <w:rPr>
          <w:rFonts w:ascii="Palatino Linotype" w:hAnsi="Palatino Linotype" w:cstheme="minorHAnsi"/>
        </w:rPr>
        <w:t xml:space="preserve">en </w:t>
      </w:r>
      <w:r w:rsidRPr="0001179E">
        <w:rPr>
          <w:rFonts w:ascii="Palatino Linotype" w:hAnsi="Palatino Linotype" w:cstheme="minorHAnsi"/>
        </w:rPr>
        <w:t>los casos que por excepción no se puede aplicar la ordenanza.</w:t>
      </w:r>
    </w:p>
    <w:p w:rsidR="000B0D71" w:rsidRPr="0001179E" w:rsidRDefault="000B0D71" w:rsidP="0001179E">
      <w:pPr>
        <w:spacing w:after="120"/>
        <w:ind w:firstLine="708"/>
        <w:jc w:val="both"/>
        <w:rPr>
          <w:rFonts w:ascii="Palatino Linotype" w:hAnsi="Palatino Linotype" w:cstheme="minorHAnsi"/>
        </w:rPr>
      </w:pPr>
      <w:r w:rsidRPr="0001179E">
        <w:rPr>
          <w:rFonts w:ascii="Palatino Linotype" w:hAnsi="Palatino Linotype" w:cstheme="minorHAnsi"/>
        </w:rPr>
        <w:t>Se establece</w:t>
      </w:r>
      <w:r w:rsidR="00D07BEB">
        <w:rPr>
          <w:rFonts w:ascii="Palatino Linotype" w:hAnsi="Palatino Linotype" w:cstheme="minorHAnsi"/>
        </w:rPr>
        <w:t>n</w:t>
      </w:r>
      <w:r w:rsidRPr="0001179E">
        <w:rPr>
          <w:rFonts w:ascii="Palatino Linotype" w:hAnsi="Palatino Linotype" w:cstheme="minorHAnsi"/>
        </w:rPr>
        <w:t xml:space="preserve"> las formas de detección de los excedentes y diferencias de superficie por errores de cálculos o medidas.</w:t>
      </w:r>
    </w:p>
    <w:p w:rsidR="000B0D71" w:rsidRPr="0001179E" w:rsidRDefault="00D07BEB" w:rsidP="0001179E">
      <w:pPr>
        <w:spacing w:after="120"/>
        <w:ind w:firstLine="708"/>
        <w:jc w:val="both"/>
        <w:rPr>
          <w:rFonts w:ascii="Palatino Linotype" w:hAnsi="Palatino Linotype" w:cstheme="minorHAnsi"/>
        </w:rPr>
      </w:pPr>
      <w:r>
        <w:rPr>
          <w:rFonts w:ascii="Palatino Linotype" w:hAnsi="Palatino Linotype" w:cstheme="minorHAnsi"/>
        </w:rPr>
        <w:t>Se determina cuá</w:t>
      </w:r>
      <w:r w:rsidR="000B0D71" w:rsidRPr="0001179E">
        <w:rPr>
          <w:rFonts w:ascii="Palatino Linotype" w:hAnsi="Palatino Linotype" w:cstheme="minorHAnsi"/>
        </w:rPr>
        <w:t>les son los linderos consolidados de los lotes a regularizarse y en los que se debe fundamentar el administrado para pedir la aplicación de la ordenanza.</w:t>
      </w:r>
    </w:p>
    <w:p w:rsidR="000B0D71" w:rsidRPr="0001179E" w:rsidRDefault="000B0D71" w:rsidP="0001179E">
      <w:pPr>
        <w:spacing w:after="120"/>
        <w:ind w:firstLine="708"/>
        <w:jc w:val="both"/>
        <w:rPr>
          <w:rFonts w:ascii="Palatino Linotype" w:hAnsi="Palatino Linotype" w:cstheme="minorHAnsi"/>
        </w:rPr>
      </w:pPr>
      <w:r w:rsidRPr="0001179E">
        <w:rPr>
          <w:rFonts w:ascii="Palatino Linotype" w:hAnsi="Palatino Linotype" w:cstheme="minorHAnsi"/>
        </w:rPr>
        <w:lastRenderedPageBreak/>
        <w:t xml:space="preserve">Se establece al </w:t>
      </w:r>
      <w:r w:rsidR="00590CA6" w:rsidRPr="0001179E">
        <w:rPr>
          <w:rFonts w:ascii="Palatino Linotype" w:hAnsi="Palatino Linotype" w:cstheme="minorHAnsi"/>
        </w:rPr>
        <w:t xml:space="preserve">Alcalde Metropolitano de Quito </w:t>
      </w:r>
      <w:r w:rsidRPr="0001179E">
        <w:rPr>
          <w:rFonts w:ascii="Palatino Linotype" w:hAnsi="Palatino Linotype" w:cstheme="minorHAnsi"/>
        </w:rPr>
        <w:t xml:space="preserve">como la Autoridad Administrativa competente para conocer y resolver sobre la regularización de excedentes y diferencias de superficies de terreno de propiedad privada, </w:t>
      </w:r>
      <w:r w:rsidR="00590CA6" w:rsidRPr="0001179E">
        <w:rPr>
          <w:rFonts w:ascii="Palatino Linotype" w:hAnsi="Palatino Linotype" w:cstheme="minorHAnsi"/>
        </w:rPr>
        <w:t xml:space="preserve">quien podrá delegar estas facultades, </w:t>
      </w:r>
      <w:r w:rsidRPr="0001179E">
        <w:rPr>
          <w:rFonts w:ascii="Palatino Linotype" w:hAnsi="Palatino Linotype" w:cstheme="minorHAnsi"/>
        </w:rPr>
        <w:t>a efectos de brindar una mejor atención al peticionario, disminuyendo tiempos y requisitos.</w:t>
      </w:r>
    </w:p>
    <w:p w:rsidR="000B0D71" w:rsidRPr="0001179E" w:rsidRDefault="00D07BEB" w:rsidP="0001179E">
      <w:pPr>
        <w:spacing w:after="120"/>
        <w:ind w:firstLine="708"/>
        <w:jc w:val="both"/>
        <w:rPr>
          <w:rFonts w:ascii="Palatino Linotype" w:hAnsi="Palatino Linotype" w:cstheme="minorHAnsi"/>
        </w:rPr>
      </w:pPr>
      <w:r>
        <w:rPr>
          <w:rFonts w:ascii="Palatino Linotype" w:hAnsi="Palatino Linotype" w:cstheme="minorHAnsi"/>
        </w:rPr>
        <w:t>Finalmente, s</w:t>
      </w:r>
      <w:r w:rsidR="000B0D71" w:rsidRPr="0001179E">
        <w:rPr>
          <w:rFonts w:ascii="Palatino Linotype" w:hAnsi="Palatino Linotype" w:cstheme="minorHAnsi"/>
        </w:rPr>
        <w:t>e determina la forma de rectificación, procedimiento, y regularización de los excedentes de</w:t>
      </w:r>
      <w:r w:rsidR="001A27FA" w:rsidRPr="0001179E">
        <w:rPr>
          <w:rFonts w:ascii="Palatino Linotype" w:hAnsi="Palatino Linotype" w:cstheme="minorHAnsi"/>
        </w:rPr>
        <w:t xml:space="preserve"> superficie que superan el ETAM; así mismo, s</w:t>
      </w:r>
      <w:r w:rsidR="000B0D71" w:rsidRPr="0001179E">
        <w:rPr>
          <w:rFonts w:ascii="Palatino Linotype" w:hAnsi="Palatino Linotype" w:cstheme="minorHAnsi"/>
        </w:rPr>
        <w:t>e determina la forma de regularización y rectificación de los lotes cuyas superficies no superan el ETAM; así como de la</w:t>
      </w:r>
      <w:r w:rsidR="00AD6417">
        <w:rPr>
          <w:rFonts w:ascii="Palatino Linotype" w:hAnsi="Palatino Linotype" w:cstheme="minorHAnsi"/>
        </w:rPr>
        <w:t>s</w:t>
      </w:r>
      <w:r w:rsidR="000B0D71" w:rsidRPr="0001179E">
        <w:rPr>
          <w:rFonts w:ascii="Palatino Linotype" w:hAnsi="Palatino Linotype" w:cstheme="minorHAnsi"/>
        </w:rPr>
        <w:t xml:space="preserve"> diferencias o faltantes de superficies</w:t>
      </w:r>
      <w:r w:rsidR="001A27FA" w:rsidRPr="0001179E">
        <w:rPr>
          <w:rFonts w:ascii="Palatino Linotype" w:hAnsi="Palatino Linotype" w:cstheme="minorHAnsi"/>
        </w:rPr>
        <w:t>; y, s</w:t>
      </w:r>
      <w:r w:rsidR="000B0D71" w:rsidRPr="0001179E">
        <w:rPr>
          <w:rFonts w:ascii="Palatino Linotype" w:hAnsi="Palatino Linotype" w:cstheme="minorHAnsi"/>
        </w:rPr>
        <w:t>e nombra una comisión que conocerá la procedencia de casos especiales.</w:t>
      </w:r>
    </w:p>
    <w:p w:rsidR="0001179E" w:rsidRDefault="0001179E" w:rsidP="0001179E">
      <w:pPr>
        <w:autoSpaceDE w:val="0"/>
        <w:autoSpaceDN w:val="0"/>
        <w:adjustRightInd w:val="0"/>
        <w:spacing w:after="120"/>
        <w:rPr>
          <w:rFonts w:ascii="Palatino Linotype" w:hAnsi="Palatino Linotype" w:cstheme="minorHAnsi"/>
        </w:rPr>
        <w:sectPr w:rsidR="0001179E" w:rsidSect="00D3509C">
          <w:headerReference w:type="default" r:id="rId9"/>
          <w:pgSz w:w="11907" w:h="16839" w:code="9"/>
          <w:pgMar w:top="1701" w:right="1701" w:bottom="1701" w:left="1701" w:header="720" w:footer="720" w:gutter="0"/>
          <w:cols w:space="708"/>
          <w:noEndnote/>
          <w:docGrid w:linePitch="299"/>
        </w:sectPr>
      </w:pPr>
    </w:p>
    <w:p w:rsidR="00554A28" w:rsidRDefault="00554A28" w:rsidP="0001179E">
      <w:pPr>
        <w:autoSpaceDE w:val="0"/>
        <w:autoSpaceDN w:val="0"/>
        <w:adjustRightInd w:val="0"/>
        <w:spacing w:after="120"/>
        <w:jc w:val="center"/>
        <w:rPr>
          <w:rFonts w:ascii="Palatino Linotype" w:hAnsi="Palatino Linotype" w:cstheme="minorHAnsi"/>
          <w:b/>
        </w:rPr>
      </w:pPr>
      <w:r w:rsidRPr="0001179E">
        <w:rPr>
          <w:rFonts w:ascii="Palatino Linotype" w:hAnsi="Palatino Linotype" w:cstheme="minorHAnsi"/>
          <w:b/>
        </w:rPr>
        <w:lastRenderedPageBreak/>
        <w:t>EL CONCEJO METROPOLITANO DE QUITO</w:t>
      </w:r>
    </w:p>
    <w:p w:rsidR="0001179E" w:rsidRPr="0001179E" w:rsidRDefault="0001179E" w:rsidP="0001179E">
      <w:pPr>
        <w:autoSpaceDE w:val="0"/>
        <w:autoSpaceDN w:val="0"/>
        <w:adjustRightInd w:val="0"/>
        <w:spacing w:after="120"/>
        <w:jc w:val="both"/>
        <w:rPr>
          <w:rFonts w:ascii="Palatino Linotype" w:hAnsi="Palatino Linotype" w:cstheme="minorHAnsi"/>
        </w:rPr>
      </w:pPr>
      <w:r w:rsidRPr="00D07BEB">
        <w:rPr>
          <w:rFonts w:ascii="Palatino Linotype" w:hAnsi="Palatino Linotype" w:cstheme="minorHAnsi"/>
        </w:rPr>
        <w:t>Vistos los Informes Nos. IC-O-2016-</w:t>
      </w:r>
      <w:r w:rsidR="00D07BEB" w:rsidRPr="00D07BEB">
        <w:rPr>
          <w:rFonts w:ascii="Palatino Linotype" w:hAnsi="Palatino Linotype" w:cstheme="minorHAnsi"/>
        </w:rPr>
        <w:t>102</w:t>
      </w:r>
      <w:r w:rsidRPr="00D07BEB">
        <w:rPr>
          <w:rFonts w:ascii="Palatino Linotype" w:hAnsi="Palatino Linotype" w:cstheme="minorHAnsi"/>
        </w:rPr>
        <w:t xml:space="preserve"> e IC-O-2016-</w:t>
      </w:r>
      <w:r w:rsidR="00D07BEB" w:rsidRPr="00D07BEB">
        <w:rPr>
          <w:rFonts w:ascii="Palatino Linotype" w:hAnsi="Palatino Linotype" w:cstheme="minorHAnsi"/>
        </w:rPr>
        <w:t>121</w:t>
      </w:r>
      <w:r w:rsidRPr="00D07BEB">
        <w:rPr>
          <w:rFonts w:ascii="Palatino Linotype" w:hAnsi="Palatino Linotype" w:cstheme="minorHAnsi"/>
        </w:rPr>
        <w:t xml:space="preserve">, de </w:t>
      </w:r>
      <w:r w:rsidR="00D07BEB" w:rsidRPr="00D07BEB">
        <w:rPr>
          <w:rFonts w:ascii="Palatino Linotype" w:hAnsi="Palatino Linotype" w:cstheme="minorHAnsi"/>
        </w:rPr>
        <w:t xml:space="preserve">13 de junio y 11 </w:t>
      </w:r>
      <w:r w:rsidRPr="00D07BEB">
        <w:rPr>
          <w:rFonts w:ascii="Palatino Linotype" w:hAnsi="Palatino Linotype" w:cstheme="minorHAnsi"/>
        </w:rPr>
        <w:t>de julio de 2016, respectivamente, emitidos por la Comisión de Uso de Suelo.</w:t>
      </w:r>
    </w:p>
    <w:p w:rsidR="00554A28" w:rsidRPr="0001179E" w:rsidRDefault="00554A28" w:rsidP="0001179E">
      <w:pPr>
        <w:autoSpaceDE w:val="0"/>
        <w:autoSpaceDN w:val="0"/>
        <w:adjustRightInd w:val="0"/>
        <w:spacing w:after="120"/>
        <w:jc w:val="center"/>
        <w:rPr>
          <w:rFonts w:ascii="Palatino Linotype" w:hAnsi="Palatino Linotype" w:cstheme="minorHAnsi"/>
          <w:b/>
        </w:rPr>
      </w:pPr>
      <w:r w:rsidRPr="0001179E">
        <w:rPr>
          <w:rFonts w:ascii="Palatino Linotype" w:hAnsi="Palatino Linotype" w:cstheme="minorHAnsi"/>
          <w:b/>
        </w:rPr>
        <w:t>CONSIDERANDO:</w:t>
      </w:r>
    </w:p>
    <w:p w:rsidR="00554A28" w:rsidRPr="0001179E" w:rsidRDefault="00554A28" w:rsidP="0001179E">
      <w:pPr>
        <w:autoSpaceDE w:val="0"/>
        <w:autoSpaceDN w:val="0"/>
        <w:adjustRightInd w:val="0"/>
        <w:spacing w:after="120"/>
        <w:ind w:left="705" w:hanging="705"/>
        <w:jc w:val="both"/>
        <w:rPr>
          <w:rFonts w:ascii="Palatino Linotype" w:hAnsi="Palatino Linotype" w:cstheme="minorHAnsi"/>
          <w:i/>
          <w:iCs/>
        </w:rPr>
      </w:pPr>
      <w:r w:rsidRPr="0001179E">
        <w:rPr>
          <w:rFonts w:ascii="Palatino Linotype" w:hAnsi="Palatino Linotype" w:cstheme="minorHAnsi"/>
          <w:b/>
        </w:rPr>
        <w:t>Que,</w:t>
      </w:r>
      <w:r w:rsidRPr="0001179E">
        <w:rPr>
          <w:rFonts w:ascii="Palatino Linotype" w:hAnsi="Palatino Linotype" w:cstheme="minorHAnsi"/>
        </w:rPr>
        <w:tab/>
        <w:t>la Constitución de la República del Ecuador</w:t>
      </w:r>
      <w:r w:rsidR="00D07BEB">
        <w:rPr>
          <w:rFonts w:ascii="Palatino Linotype" w:hAnsi="Palatino Linotype" w:cstheme="minorHAnsi"/>
        </w:rPr>
        <w:t xml:space="preserve"> (en adelante “Constitución”)</w:t>
      </w:r>
      <w:r w:rsidRPr="0001179E">
        <w:rPr>
          <w:rFonts w:ascii="Palatino Linotype" w:hAnsi="Palatino Linotype" w:cstheme="minorHAnsi"/>
        </w:rPr>
        <w:t xml:space="preserve">, en su artículo 31 dispone que: </w:t>
      </w:r>
      <w:r w:rsidRPr="0001179E">
        <w:rPr>
          <w:rFonts w:ascii="Palatino Linotype" w:hAnsi="Palatino Linotype" w:cstheme="minorHAnsi"/>
          <w:i/>
          <w:iCs/>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rsidR="00FA4B58" w:rsidRPr="00D07BEB" w:rsidRDefault="00554A28" w:rsidP="00D07BEB">
      <w:pPr>
        <w:autoSpaceDE w:val="0"/>
        <w:autoSpaceDN w:val="0"/>
        <w:adjustRightInd w:val="0"/>
        <w:spacing w:after="120"/>
        <w:ind w:left="705" w:hanging="705"/>
        <w:jc w:val="both"/>
        <w:rPr>
          <w:rFonts w:ascii="Palatino Linotype" w:hAnsi="Palatino Linotype" w:cstheme="minorHAnsi"/>
        </w:rPr>
      </w:pPr>
      <w:r w:rsidRPr="0001179E">
        <w:rPr>
          <w:rFonts w:ascii="Palatino Linotype" w:hAnsi="Palatino Linotype" w:cstheme="minorHAnsi"/>
          <w:b/>
        </w:rPr>
        <w:t>Que,</w:t>
      </w:r>
      <w:r w:rsidR="00874766" w:rsidRPr="0001179E">
        <w:rPr>
          <w:rFonts w:ascii="Palatino Linotype" w:hAnsi="Palatino Linotype" w:cstheme="minorHAnsi"/>
        </w:rPr>
        <w:tab/>
      </w:r>
      <w:r w:rsidRPr="0001179E">
        <w:rPr>
          <w:rFonts w:ascii="Palatino Linotype" w:hAnsi="Palatino Linotype" w:cstheme="minorHAnsi"/>
        </w:rPr>
        <w:t xml:space="preserve">el </w:t>
      </w:r>
      <w:r w:rsidR="00AE2BEF" w:rsidRPr="0001179E">
        <w:rPr>
          <w:rFonts w:ascii="Palatino Linotype" w:hAnsi="Palatino Linotype" w:cstheme="minorHAnsi"/>
        </w:rPr>
        <w:t xml:space="preserve">numeral 9 del </w:t>
      </w:r>
      <w:r w:rsidRPr="0001179E">
        <w:rPr>
          <w:rFonts w:ascii="Palatino Linotype" w:hAnsi="Palatino Linotype" w:cstheme="minorHAnsi"/>
        </w:rPr>
        <w:t>artículo 264 de</w:t>
      </w:r>
      <w:r w:rsidR="00AE2BEF" w:rsidRPr="0001179E">
        <w:rPr>
          <w:rFonts w:ascii="Palatino Linotype" w:hAnsi="Palatino Linotype" w:cstheme="minorHAnsi"/>
        </w:rPr>
        <w:t>l mismo cuerpo legal</w:t>
      </w:r>
      <w:r w:rsidRPr="0001179E">
        <w:rPr>
          <w:rFonts w:ascii="Palatino Linotype" w:hAnsi="Palatino Linotype" w:cstheme="minorHAnsi"/>
        </w:rPr>
        <w:t xml:space="preserve"> </w:t>
      </w:r>
      <w:r w:rsidR="006C02C0" w:rsidRPr="0001179E">
        <w:rPr>
          <w:rFonts w:ascii="Palatino Linotype" w:hAnsi="Palatino Linotype" w:cstheme="minorHAnsi"/>
        </w:rPr>
        <w:t>establece</w:t>
      </w:r>
      <w:r w:rsidR="00AE2BEF" w:rsidRPr="0001179E">
        <w:rPr>
          <w:rFonts w:ascii="Palatino Linotype" w:hAnsi="Palatino Linotype" w:cstheme="minorHAnsi"/>
        </w:rPr>
        <w:t xml:space="preserve"> que</w:t>
      </w:r>
      <w:r w:rsidR="006C02C0" w:rsidRPr="0001179E">
        <w:rPr>
          <w:rFonts w:ascii="Palatino Linotype" w:hAnsi="Palatino Linotype" w:cstheme="minorHAnsi"/>
        </w:rPr>
        <w:t>,</w:t>
      </w:r>
      <w:r w:rsidR="00027991" w:rsidRPr="0001179E">
        <w:rPr>
          <w:rFonts w:ascii="Palatino Linotype" w:hAnsi="Palatino Linotype" w:cstheme="minorHAnsi"/>
        </w:rPr>
        <w:t xml:space="preserve"> </w:t>
      </w:r>
      <w:r w:rsidR="00FA4B58" w:rsidRPr="0001179E">
        <w:rPr>
          <w:rFonts w:ascii="Palatino Linotype" w:hAnsi="Palatino Linotype" w:cstheme="minorHAnsi"/>
          <w:i/>
        </w:rPr>
        <w:t xml:space="preserve">“Los gobiernos municipales tendrán las siguientes competencias exclusivas sin perjuicio de otras que determine la ley: </w:t>
      </w:r>
      <w:r w:rsidR="00D07BEB">
        <w:rPr>
          <w:rFonts w:ascii="Palatino Linotype" w:hAnsi="Palatino Linotype" w:cstheme="minorHAnsi"/>
          <w:i/>
        </w:rPr>
        <w:t>(</w:t>
      </w:r>
      <w:r w:rsidR="00FA4B58" w:rsidRPr="0001179E">
        <w:rPr>
          <w:rFonts w:ascii="Palatino Linotype" w:hAnsi="Palatino Linotype" w:cstheme="minorHAnsi"/>
          <w:i/>
        </w:rPr>
        <w:t>…</w:t>
      </w:r>
      <w:r w:rsidR="00D07BEB">
        <w:rPr>
          <w:rFonts w:ascii="Palatino Linotype" w:hAnsi="Palatino Linotype" w:cstheme="minorHAnsi"/>
          <w:i/>
        </w:rPr>
        <w:t xml:space="preserve">) </w:t>
      </w:r>
      <w:r w:rsidR="00FA4B58" w:rsidRPr="0001179E">
        <w:rPr>
          <w:rFonts w:ascii="Palatino Linotype" w:hAnsi="Palatino Linotype" w:cstheme="minorHAnsi"/>
          <w:i/>
        </w:rPr>
        <w:t>9. Formar y administrar los catastros inmobiliarios urbanos y rurales.”</w:t>
      </w:r>
      <w:r w:rsidR="00D07BEB">
        <w:rPr>
          <w:rFonts w:ascii="Palatino Linotype" w:hAnsi="Palatino Linotype" w:cstheme="minorHAnsi"/>
        </w:rPr>
        <w:t>;</w:t>
      </w:r>
    </w:p>
    <w:p w:rsidR="00554A28" w:rsidRPr="0001179E" w:rsidRDefault="00554A28" w:rsidP="0001179E">
      <w:pPr>
        <w:spacing w:after="120"/>
        <w:ind w:left="705" w:hanging="705"/>
        <w:jc w:val="both"/>
        <w:rPr>
          <w:rFonts w:ascii="Palatino Linotype" w:hAnsi="Palatino Linotype" w:cstheme="minorHAnsi"/>
          <w:bCs/>
          <w:i/>
        </w:rPr>
      </w:pPr>
      <w:r w:rsidRPr="0001179E">
        <w:rPr>
          <w:rFonts w:ascii="Palatino Linotype" w:hAnsi="Palatino Linotype" w:cstheme="minorHAnsi"/>
          <w:b/>
        </w:rPr>
        <w:t>Que,</w:t>
      </w:r>
      <w:r w:rsidR="00874766" w:rsidRPr="0001179E">
        <w:rPr>
          <w:rFonts w:ascii="Palatino Linotype" w:hAnsi="Palatino Linotype" w:cstheme="minorHAnsi"/>
          <w:b/>
        </w:rPr>
        <w:tab/>
      </w:r>
      <w:r w:rsidRPr="0001179E">
        <w:rPr>
          <w:rFonts w:ascii="Palatino Linotype" w:hAnsi="Palatino Linotype" w:cstheme="minorHAnsi"/>
        </w:rPr>
        <w:t xml:space="preserve">el </w:t>
      </w:r>
      <w:r w:rsidR="00FA4B58" w:rsidRPr="0001179E">
        <w:rPr>
          <w:rFonts w:ascii="Palatino Linotype" w:hAnsi="Palatino Linotype" w:cstheme="minorHAnsi"/>
        </w:rPr>
        <w:t>artículo</w:t>
      </w:r>
      <w:r w:rsidRPr="0001179E">
        <w:rPr>
          <w:rFonts w:ascii="Palatino Linotype" w:hAnsi="Palatino Linotype" w:cstheme="minorHAnsi"/>
        </w:rPr>
        <w:t xml:space="preserve"> 266 </w:t>
      </w:r>
      <w:r w:rsidR="002D183A" w:rsidRPr="0001179E">
        <w:rPr>
          <w:rFonts w:ascii="Palatino Linotype" w:hAnsi="Palatino Linotype" w:cstheme="minorHAnsi"/>
        </w:rPr>
        <w:t>de la Constitución establece</w:t>
      </w:r>
      <w:r w:rsidR="00AE2BEF" w:rsidRPr="0001179E">
        <w:rPr>
          <w:rFonts w:ascii="Palatino Linotype" w:hAnsi="Palatino Linotype" w:cstheme="minorHAnsi"/>
        </w:rPr>
        <w:t xml:space="preserve"> que</w:t>
      </w:r>
      <w:r w:rsidR="00D07BEB">
        <w:rPr>
          <w:rFonts w:ascii="Palatino Linotype" w:hAnsi="Palatino Linotype" w:cstheme="minorHAnsi"/>
        </w:rPr>
        <w:t>:</w:t>
      </w:r>
      <w:r w:rsidR="00847F5F" w:rsidRPr="0001179E">
        <w:rPr>
          <w:rFonts w:ascii="Palatino Linotype" w:hAnsi="Palatino Linotype" w:cstheme="minorHAnsi"/>
        </w:rPr>
        <w:t xml:space="preserve"> “</w:t>
      </w:r>
      <w:r w:rsidRPr="0001179E">
        <w:rPr>
          <w:rFonts w:ascii="Palatino Linotype" w:hAnsi="Palatino Linotype" w:cstheme="minorHAnsi"/>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D07BEB">
        <w:rPr>
          <w:rFonts w:ascii="Palatino Linotype" w:hAnsi="Palatino Linotype" w:cstheme="minorHAnsi"/>
          <w:i/>
        </w:rPr>
        <w:t xml:space="preserve">. (…) </w:t>
      </w:r>
      <w:r w:rsidRPr="0001179E">
        <w:rPr>
          <w:rFonts w:ascii="Palatino Linotype" w:hAnsi="Palatino Linotype" w:cstheme="minorHAnsi"/>
          <w:bCs/>
          <w:i/>
        </w:rPr>
        <w:t>En el ámbito de sus competencias y territorio, y en uso de sus facultades, expedirán ordenanzas distritales”</w:t>
      </w:r>
      <w:r w:rsidRPr="00D07BEB">
        <w:rPr>
          <w:rFonts w:ascii="Palatino Linotype" w:hAnsi="Palatino Linotype" w:cstheme="minorHAnsi"/>
          <w:bCs/>
        </w:rPr>
        <w:t>;</w:t>
      </w:r>
    </w:p>
    <w:p w:rsidR="00514DA3" w:rsidRPr="00DC3068" w:rsidRDefault="00844CCA" w:rsidP="00A4351B">
      <w:pPr>
        <w:spacing w:after="120"/>
        <w:ind w:left="705" w:hanging="705"/>
        <w:jc w:val="both"/>
        <w:rPr>
          <w:rFonts w:ascii="Palatino Linotype" w:hAnsi="Palatino Linotype" w:cstheme="minorHAnsi"/>
        </w:rPr>
      </w:pPr>
      <w:r w:rsidRPr="0001179E">
        <w:rPr>
          <w:rFonts w:ascii="Palatino Linotype" w:hAnsi="Palatino Linotype" w:cstheme="minorHAnsi"/>
          <w:b/>
          <w:bCs/>
        </w:rPr>
        <w:t>Que,</w:t>
      </w:r>
      <w:r w:rsidRPr="0001179E">
        <w:rPr>
          <w:rFonts w:ascii="Palatino Linotype" w:hAnsi="Palatino Linotype" w:cstheme="minorHAnsi"/>
          <w:b/>
          <w:bCs/>
        </w:rPr>
        <w:tab/>
      </w:r>
      <w:r w:rsidRPr="0001179E">
        <w:rPr>
          <w:rFonts w:ascii="Palatino Linotype" w:hAnsi="Palatino Linotype" w:cstheme="minorHAnsi"/>
          <w:bCs/>
        </w:rPr>
        <w:t xml:space="preserve">el artículo 55 del </w:t>
      </w:r>
      <w:r w:rsidRPr="0001179E">
        <w:rPr>
          <w:rFonts w:ascii="Palatino Linotype" w:hAnsi="Palatino Linotype" w:cstheme="minorHAnsi"/>
        </w:rPr>
        <w:t>Código Orgánico de Organización Territorial</w:t>
      </w:r>
      <w:r w:rsidR="00D07BEB">
        <w:rPr>
          <w:rFonts w:ascii="Palatino Linotype" w:hAnsi="Palatino Linotype" w:cstheme="minorHAnsi"/>
        </w:rPr>
        <w:t>, Autonomía y Descentralización</w:t>
      </w:r>
      <w:r w:rsidRPr="0001179E">
        <w:rPr>
          <w:rFonts w:ascii="Palatino Linotype" w:hAnsi="Palatino Linotype" w:cstheme="minorHAnsi"/>
        </w:rPr>
        <w:t xml:space="preserve"> (</w:t>
      </w:r>
      <w:r w:rsidR="00D07BEB">
        <w:rPr>
          <w:rFonts w:ascii="Palatino Linotype" w:hAnsi="Palatino Linotype" w:cstheme="minorHAnsi"/>
        </w:rPr>
        <w:t>en adelante “</w:t>
      </w:r>
      <w:r w:rsidRPr="0001179E">
        <w:rPr>
          <w:rFonts w:ascii="Palatino Linotype" w:hAnsi="Palatino Linotype" w:cstheme="minorHAnsi"/>
        </w:rPr>
        <w:t>COOTAD</w:t>
      </w:r>
      <w:r w:rsidR="00D07BEB">
        <w:rPr>
          <w:rFonts w:ascii="Palatino Linotype" w:hAnsi="Palatino Linotype" w:cstheme="minorHAnsi"/>
        </w:rPr>
        <w:t>”</w:t>
      </w:r>
      <w:r w:rsidRPr="0001179E">
        <w:rPr>
          <w:rFonts w:ascii="Palatino Linotype" w:hAnsi="Palatino Linotype" w:cstheme="minorHAnsi"/>
        </w:rPr>
        <w:t xml:space="preserve">), determina dentro de las competencias </w:t>
      </w:r>
      <w:r w:rsidR="00514DA3" w:rsidRPr="0001179E">
        <w:rPr>
          <w:rFonts w:ascii="Palatino Linotype" w:hAnsi="Palatino Linotype" w:cstheme="minorHAnsi"/>
        </w:rPr>
        <w:t>exclusivas del gobierno autónomo descentralizado municipal</w:t>
      </w:r>
      <w:r w:rsidR="00AE2BEF" w:rsidRPr="0001179E">
        <w:rPr>
          <w:rFonts w:ascii="Palatino Linotype" w:hAnsi="Palatino Linotype" w:cstheme="minorHAnsi"/>
        </w:rPr>
        <w:t xml:space="preserve"> que</w:t>
      </w:r>
      <w:r w:rsidR="000F796D" w:rsidRPr="0001179E">
        <w:rPr>
          <w:rFonts w:ascii="Palatino Linotype" w:hAnsi="Palatino Linotype" w:cstheme="minorHAnsi"/>
        </w:rPr>
        <w:t xml:space="preserve">: </w:t>
      </w:r>
      <w:r w:rsidR="009634EA" w:rsidRPr="0001179E">
        <w:rPr>
          <w:rFonts w:ascii="Palatino Linotype" w:hAnsi="Palatino Linotype" w:cstheme="minorHAnsi"/>
        </w:rPr>
        <w:t>“</w:t>
      </w:r>
      <w:r w:rsidR="00514DA3" w:rsidRPr="0001179E">
        <w:rPr>
          <w:rFonts w:ascii="Palatino Linotype" w:hAnsi="Palatino Linotype" w:cstheme="minorHAnsi"/>
          <w:i/>
        </w:rPr>
        <w:t xml:space="preserve">Los gobiernos autónomos descentralizados municipales tendrán las siguientes competencias exclusivas sin perjuicio de otras que determine la ley: </w:t>
      </w:r>
      <w:r w:rsidR="00D07BEB">
        <w:rPr>
          <w:rFonts w:ascii="Palatino Linotype" w:hAnsi="Palatino Linotype" w:cstheme="minorHAnsi"/>
          <w:i/>
        </w:rPr>
        <w:t>(</w:t>
      </w:r>
      <w:r w:rsidR="00514DA3" w:rsidRPr="0001179E">
        <w:rPr>
          <w:rFonts w:ascii="Palatino Linotype" w:hAnsi="Palatino Linotype" w:cstheme="minorHAnsi"/>
          <w:i/>
        </w:rPr>
        <w:t>…</w:t>
      </w:r>
      <w:r w:rsidR="00D07BEB">
        <w:rPr>
          <w:rFonts w:ascii="Palatino Linotype" w:hAnsi="Palatino Linotype" w:cstheme="minorHAnsi"/>
          <w:i/>
        </w:rPr>
        <w:t>)</w:t>
      </w:r>
      <w:r w:rsidR="00A4351B">
        <w:rPr>
          <w:rFonts w:ascii="Palatino Linotype" w:hAnsi="Palatino Linotype" w:cstheme="minorHAnsi"/>
          <w:i/>
        </w:rPr>
        <w:t xml:space="preserve"> </w:t>
      </w:r>
      <w:r w:rsidR="00514DA3" w:rsidRPr="0001179E">
        <w:rPr>
          <w:rFonts w:ascii="Palatino Linotype" w:hAnsi="Palatino Linotype" w:cstheme="minorHAnsi"/>
          <w:i/>
        </w:rPr>
        <w:t>i)</w:t>
      </w:r>
      <w:r w:rsidR="00126A36" w:rsidRPr="0001179E">
        <w:rPr>
          <w:rFonts w:ascii="Palatino Linotype" w:hAnsi="Palatino Linotype" w:cstheme="minorHAnsi"/>
          <w:i/>
        </w:rPr>
        <w:t xml:space="preserve"> </w:t>
      </w:r>
      <w:r w:rsidR="00514DA3" w:rsidRPr="0001179E">
        <w:rPr>
          <w:rFonts w:ascii="Palatino Linotype" w:hAnsi="Palatino Linotype" w:cstheme="minorHAnsi"/>
          <w:i/>
        </w:rPr>
        <w:t>Elaborar y administrar los catastros i</w:t>
      </w:r>
      <w:r w:rsidR="00DC3068">
        <w:rPr>
          <w:rFonts w:ascii="Palatino Linotype" w:hAnsi="Palatino Linotype" w:cstheme="minorHAnsi"/>
          <w:i/>
        </w:rPr>
        <w:t>nmobiliarios urbanos y rurales”</w:t>
      </w:r>
      <w:r w:rsidR="00DC3068">
        <w:rPr>
          <w:rFonts w:ascii="Palatino Linotype" w:hAnsi="Palatino Linotype" w:cstheme="minorHAnsi"/>
        </w:rPr>
        <w:t>;</w:t>
      </w:r>
    </w:p>
    <w:p w:rsidR="00727D18" w:rsidRDefault="00554A28" w:rsidP="0001179E">
      <w:pPr>
        <w:autoSpaceDE w:val="0"/>
        <w:autoSpaceDN w:val="0"/>
        <w:adjustRightInd w:val="0"/>
        <w:spacing w:after="120"/>
        <w:ind w:left="705" w:hanging="705"/>
        <w:jc w:val="both"/>
        <w:rPr>
          <w:rFonts w:ascii="Palatino Linotype" w:hAnsi="Palatino Linotype" w:cstheme="minorHAnsi"/>
          <w:i/>
          <w:iCs/>
        </w:rPr>
      </w:pPr>
      <w:r w:rsidRPr="0001179E">
        <w:rPr>
          <w:rFonts w:ascii="Palatino Linotype" w:hAnsi="Palatino Linotype" w:cstheme="minorHAnsi"/>
          <w:b/>
        </w:rPr>
        <w:t>Que,</w:t>
      </w:r>
      <w:r w:rsidRPr="0001179E">
        <w:rPr>
          <w:rFonts w:ascii="Palatino Linotype" w:hAnsi="Palatino Linotype" w:cstheme="minorHAnsi"/>
        </w:rPr>
        <w:t xml:space="preserve"> </w:t>
      </w:r>
      <w:r w:rsidRPr="0001179E">
        <w:rPr>
          <w:rFonts w:ascii="Palatino Linotype" w:hAnsi="Palatino Linotype" w:cstheme="minorHAnsi"/>
        </w:rPr>
        <w:tab/>
        <w:t>el literal c) de los artículos 54 y 84 del COOTAD, establecen que el Municipio del Distrito Metropolitano de Quito tiene</w:t>
      </w:r>
      <w:r w:rsidR="00DC3068">
        <w:rPr>
          <w:rFonts w:ascii="Palatino Linotype" w:hAnsi="Palatino Linotype" w:cstheme="minorHAnsi"/>
        </w:rPr>
        <w:t>,</w:t>
      </w:r>
      <w:r w:rsidRPr="0001179E">
        <w:rPr>
          <w:rFonts w:ascii="Palatino Linotype" w:hAnsi="Palatino Linotype" w:cstheme="minorHAnsi"/>
        </w:rPr>
        <w:t xml:space="preserve"> entre otras, la siguiente función: </w:t>
      </w:r>
      <w:r w:rsidR="00A70713" w:rsidRPr="0001179E">
        <w:rPr>
          <w:rFonts w:ascii="Palatino Linotype" w:hAnsi="Palatino Linotype" w:cstheme="minorHAnsi"/>
        </w:rPr>
        <w:t>…</w:t>
      </w:r>
      <w:r w:rsidRPr="0001179E">
        <w:rPr>
          <w:rFonts w:ascii="Palatino Linotype" w:hAnsi="Palatino Linotype" w:cstheme="minorHAnsi"/>
        </w:rPr>
        <w:t>"</w:t>
      </w:r>
      <w:r w:rsidRPr="0001179E">
        <w:rPr>
          <w:rFonts w:ascii="Palatino Linotype" w:hAnsi="Palatino Linotype" w:cstheme="minorHAnsi"/>
          <w:i/>
          <w:iCs/>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Pr="00DC3068">
        <w:rPr>
          <w:rFonts w:ascii="Palatino Linotype" w:hAnsi="Palatino Linotype" w:cstheme="minorHAnsi"/>
          <w:iCs/>
        </w:rPr>
        <w:t>;</w:t>
      </w:r>
    </w:p>
    <w:p w:rsidR="00554A28" w:rsidRPr="0001179E" w:rsidRDefault="00554A28" w:rsidP="0001179E">
      <w:pPr>
        <w:autoSpaceDE w:val="0"/>
        <w:autoSpaceDN w:val="0"/>
        <w:adjustRightInd w:val="0"/>
        <w:spacing w:after="120"/>
        <w:ind w:left="705" w:hanging="705"/>
        <w:jc w:val="both"/>
        <w:rPr>
          <w:rFonts w:ascii="Palatino Linotype" w:hAnsi="Palatino Linotype" w:cstheme="minorHAnsi"/>
        </w:rPr>
      </w:pPr>
      <w:r w:rsidRPr="0001179E">
        <w:rPr>
          <w:rFonts w:ascii="Palatino Linotype" w:hAnsi="Palatino Linotype" w:cstheme="minorHAnsi"/>
          <w:b/>
        </w:rPr>
        <w:lastRenderedPageBreak/>
        <w:t>Que,</w:t>
      </w:r>
      <w:r w:rsidRPr="0001179E">
        <w:rPr>
          <w:rFonts w:ascii="Palatino Linotype" w:hAnsi="Palatino Linotype" w:cstheme="minorHAnsi"/>
        </w:rPr>
        <w:t xml:space="preserve"> </w:t>
      </w:r>
      <w:r w:rsidRPr="0001179E">
        <w:rPr>
          <w:rFonts w:ascii="Palatino Linotype" w:hAnsi="Palatino Linotype" w:cstheme="minorHAnsi"/>
        </w:rPr>
        <w:tab/>
        <w:t xml:space="preserve">el </w:t>
      </w:r>
      <w:r w:rsidR="00844CCA" w:rsidRPr="0001179E">
        <w:rPr>
          <w:rFonts w:ascii="Palatino Linotype" w:hAnsi="Palatino Linotype" w:cstheme="minorHAnsi"/>
        </w:rPr>
        <w:t xml:space="preserve">artículo 466 del </w:t>
      </w:r>
      <w:r w:rsidR="00514DA3" w:rsidRPr="0001179E">
        <w:rPr>
          <w:rFonts w:ascii="Palatino Linotype" w:hAnsi="Palatino Linotype" w:cstheme="minorHAnsi"/>
        </w:rPr>
        <w:t>COOTAD</w:t>
      </w:r>
      <w:r w:rsidR="00844CCA" w:rsidRPr="0001179E">
        <w:rPr>
          <w:rFonts w:ascii="Palatino Linotype" w:hAnsi="Palatino Linotype" w:cstheme="minorHAnsi"/>
        </w:rPr>
        <w:t xml:space="preserve"> dispone</w:t>
      </w:r>
      <w:r w:rsidRPr="0001179E">
        <w:rPr>
          <w:rFonts w:ascii="Palatino Linotype" w:hAnsi="Palatino Linotype" w:cstheme="minorHAnsi"/>
        </w:rPr>
        <w:t xml:space="preserve"> que </w:t>
      </w:r>
      <w:proofErr w:type="gramStart"/>
      <w:r w:rsidRPr="0001179E">
        <w:rPr>
          <w:rFonts w:ascii="Palatino Linotype" w:hAnsi="Palatino Linotype" w:cstheme="minorHAnsi"/>
        </w:rPr>
        <w:t>es</w:t>
      </w:r>
      <w:proofErr w:type="gramEnd"/>
      <w:r w:rsidRPr="0001179E">
        <w:rPr>
          <w:rFonts w:ascii="Palatino Linotype" w:hAnsi="Palatino Linotype" w:cstheme="minorHAnsi"/>
        </w:rPr>
        <w:t xml:space="preserve"> atribución exclusiva de los gobiernos municipales y metropolitanos el control sobre el uso y ocupación del suelo en el territorio del cantón; </w:t>
      </w:r>
    </w:p>
    <w:p w:rsidR="00514DA3" w:rsidRPr="0001179E" w:rsidRDefault="00554A28" w:rsidP="0001179E">
      <w:pPr>
        <w:autoSpaceDE w:val="0"/>
        <w:autoSpaceDN w:val="0"/>
        <w:adjustRightInd w:val="0"/>
        <w:spacing w:after="120"/>
        <w:ind w:left="705" w:hanging="705"/>
        <w:jc w:val="both"/>
        <w:rPr>
          <w:rFonts w:ascii="Palatino Linotype" w:hAnsi="Palatino Linotype" w:cstheme="minorHAnsi"/>
          <w:i/>
        </w:rPr>
      </w:pPr>
      <w:r w:rsidRPr="0001179E">
        <w:rPr>
          <w:rFonts w:ascii="Palatino Linotype" w:hAnsi="Palatino Linotype" w:cstheme="minorHAnsi"/>
          <w:b/>
        </w:rPr>
        <w:t>Que,</w:t>
      </w:r>
      <w:r w:rsidRPr="0001179E">
        <w:rPr>
          <w:rFonts w:ascii="Palatino Linotype" w:hAnsi="Palatino Linotype" w:cstheme="minorHAnsi"/>
        </w:rPr>
        <w:tab/>
      </w:r>
      <w:r w:rsidR="00317A76" w:rsidRPr="0001179E">
        <w:rPr>
          <w:rFonts w:ascii="Palatino Linotype" w:hAnsi="Palatino Linotype" w:cstheme="minorHAnsi"/>
        </w:rPr>
        <w:t>el artículo 42 de la Ley Orgánica Reformatoria al Código Orgánico de Organización Territorial, Autonomía y Descentralización, sustituye el artículo 481, por el siguiente:</w:t>
      </w:r>
      <w:r w:rsidR="00317A76" w:rsidRPr="0001179E">
        <w:rPr>
          <w:rFonts w:ascii="Palatino Linotype" w:hAnsi="Palatino Linotype" w:cstheme="minorHAnsi"/>
          <w:i/>
        </w:rPr>
        <w:t xml:space="preserve"> </w:t>
      </w:r>
      <w:r w:rsidR="00DC228D" w:rsidRPr="0001179E">
        <w:rPr>
          <w:rFonts w:ascii="Palatino Linotype" w:hAnsi="Palatino Linotype" w:cstheme="minorHAnsi"/>
          <w:i/>
        </w:rPr>
        <w:t>“A</w:t>
      </w:r>
      <w:r w:rsidRPr="0001179E">
        <w:rPr>
          <w:rFonts w:ascii="Palatino Linotype" w:hAnsi="Palatino Linotype" w:cstheme="minorHAnsi"/>
          <w:i/>
        </w:rPr>
        <w:t>rtículo 4</w:t>
      </w:r>
      <w:r w:rsidR="00DC228D" w:rsidRPr="0001179E">
        <w:rPr>
          <w:rFonts w:ascii="Palatino Linotype" w:hAnsi="Palatino Linotype" w:cstheme="minorHAnsi"/>
          <w:i/>
        </w:rPr>
        <w:t>81 del</w:t>
      </w:r>
      <w:r w:rsidRPr="0001179E">
        <w:rPr>
          <w:rFonts w:ascii="Palatino Linotype" w:hAnsi="Palatino Linotype" w:cstheme="minorHAnsi"/>
          <w:i/>
        </w:rPr>
        <w:t xml:space="preserve"> Código Orgánico de Organización Territorial, Autonomía y Descentralización</w:t>
      </w:r>
      <w:r w:rsidR="00DC228D" w:rsidRPr="0001179E">
        <w:rPr>
          <w:rFonts w:ascii="Palatino Linotype" w:hAnsi="Palatino Linotype" w:cstheme="minorHAnsi"/>
          <w:i/>
        </w:rPr>
        <w:t>.- L</w:t>
      </w:r>
      <w:r w:rsidRPr="0001179E">
        <w:rPr>
          <w:rFonts w:ascii="Palatino Linotype" w:hAnsi="Palatino Linotype" w:cstheme="minorHAnsi"/>
          <w:i/>
        </w:rPr>
        <w:t>otes, fajas o excedentes</w:t>
      </w:r>
      <w:r w:rsidR="00DC228D" w:rsidRPr="0001179E">
        <w:rPr>
          <w:rFonts w:ascii="Palatino Linotype" w:hAnsi="Palatino Linotype" w:cstheme="minorHAnsi"/>
          <w:i/>
        </w:rPr>
        <w:t xml:space="preserve">.- Para efectos de su enajenación, los terrenos de propiedad de los </w:t>
      </w:r>
      <w:r w:rsidRPr="0001179E">
        <w:rPr>
          <w:rFonts w:ascii="Palatino Linotype" w:hAnsi="Palatino Linotype" w:cstheme="minorHAnsi"/>
          <w:i/>
        </w:rPr>
        <w:t xml:space="preserve"> </w:t>
      </w:r>
      <w:r w:rsidR="00696730" w:rsidRPr="0001179E">
        <w:rPr>
          <w:rFonts w:ascii="Palatino Linotype" w:hAnsi="Palatino Linotype" w:cstheme="minorHAnsi"/>
          <w:i/>
        </w:rPr>
        <w:t>g</w:t>
      </w:r>
      <w:r w:rsidRPr="0001179E">
        <w:rPr>
          <w:rFonts w:ascii="Palatino Linotype" w:hAnsi="Palatino Linotype" w:cstheme="minorHAnsi"/>
          <w:i/>
        </w:rPr>
        <w:t xml:space="preserve">obiernos </w:t>
      </w:r>
      <w:r w:rsidR="00696730" w:rsidRPr="0001179E">
        <w:rPr>
          <w:rFonts w:ascii="Palatino Linotype" w:hAnsi="Palatino Linotype" w:cstheme="minorHAnsi"/>
          <w:i/>
        </w:rPr>
        <w:t>a</w:t>
      </w:r>
      <w:r w:rsidRPr="0001179E">
        <w:rPr>
          <w:rFonts w:ascii="Palatino Linotype" w:hAnsi="Palatino Linotype" w:cstheme="minorHAnsi"/>
          <w:i/>
        </w:rPr>
        <w:t xml:space="preserve">utónomos </w:t>
      </w:r>
      <w:r w:rsidR="00696730" w:rsidRPr="0001179E">
        <w:rPr>
          <w:rFonts w:ascii="Palatino Linotype" w:hAnsi="Palatino Linotype" w:cstheme="minorHAnsi"/>
          <w:i/>
        </w:rPr>
        <w:t>d</w:t>
      </w:r>
      <w:r w:rsidRPr="0001179E">
        <w:rPr>
          <w:rFonts w:ascii="Palatino Linotype" w:hAnsi="Palatino Linotype" w:cstheme="minorHAnsi"/>
          <w:i/>
        </w:rPr>
        <w:t xml:space="preserve">escentralizados </w:t>
      </w:r>
      <w:r w:rsidR="00696730" w:rsidRPr="0001179E">
        <w:rPr>
          <w:rFonts w:ascii="Palatino Linotype" w:hAnsi="Palatino Linotype" w:cstheme="minorHAnsi"/>
          <w:i/>
        </w:rPr>
        <w:t>m</w:t>
      </w:r>
      <w:r w:rsidRPr="0001179E">
        <w:rPr>
          <w:rFonts w:ascii="Palatino Linotype" w:hAnsi="Palatino Linotype" w:cstheme="minorHAnsi"/>
          <w:i/>
        </w:rPr>
        <w:t xml:space="preserve">unicipales o </w:t>
      </w:r>
      <w:r w:rsidR="00696730" w:rsidRPr="0001179E">
        <w:rPr>
          <w:rFonts w:ascii="Palatino Linotype" w:hAnsi="Palatino Linotype" w:cstheme="minorHAnsi"/>
          <w:i/>
        </w:rPr>
        <w:t>m</w:t>
      </w:r>
      <w:r w:rsidRPr="0001179E">
        <w:rPr>
          <w:rFonts w:ascii="Palatino Linotype" w:hAnsi="Palatino Linotype" w:cstheme="minorHAnsi"/>
          <w:i/>
        </w:rPr>
        <w:t>etropolitanos</w:t>
      </w:r>
      <w:r w:rsidR="00696730" w:rsidRPr="0001179E">
        <w:rPr>
          <w:rFonts w:ascii="Palatino Linotype" w:hAnsi="Palatino Linotype" w:cstheme="minorHAnsi"/>
          <w:i/>
        </w:rPr>
        <w:t xml:space="preserve"> se consideran como lotes, fajas o excedentes provenientes de errores de medición.</w:t>
      </w:r>
      <w:r w:rsidR="0001179E" w:rsidRPr="0001179E">
        <w:rPr>
          <w:rFonts w:ascii="Palatino Linotype" w:hAnsi="Palatino Linotype" w:cstheme="minorHAnsi"/>
          <w:i/>
        </w:rPr>
        <w:t xml:space="preserve"> </w:t>
      </w:r>
      <w:r w:rsidR="0001179E">
        <w:rPr>
          <w:rFonts w:ascii="Palatino Linotype" w:hAnsi="Palatino Linotype" w:cstheme="minorHAnsi"/>
          <w:i/>
        </w:rPr>
        <w:t xml:space="preserve">(…) </w:t>
      </w:r>
      <w:r w:rsidR="00696730" w:rsidRPr="0001179E">
        <w:rPr>
          <w:rFonts w:ascii="Palatino Linotype" w:hAnsi="Palatino Linotype" w:cstheme="minorHAnsi"/>
          <w:i/>
        </w:rPr>
        <w:t>Por excedentes o diferencias en los lotes o fajas municipales o metropolitanos, se entienden aquellas superficies de terreno que superen el error técnico aceptable de medición del área original que conste en el respectivo título y que se determinen al efectuar una medición municipal por cualquier causa o que resulten como diferencia entre una medición anterior y la última practicada, bien sea por errores de cálculo o de medidas.</w:t>
      </w:r>
      <w:r w:rsidR="0001179E">
        <w:rPr>
          <w:rFonts w:ascii="Palatino Linotype" w:hAnsi="Palatino Linotype" w:cstheme="minorHAnsi"/>
          <w:i/>
        </w:rPr>
        <w:t xml:space="preserve"> (…) </w:t>
      </w:r>
      <w:r w:rsidR="00696730" w:rsidRPr="0001179E">
        <w:rPr>
          <w:rFonts w:ascii="Palatino Linotype" w:hAnsi="Palatino Linotype" w:cstheme="minorHAnsi"/>
          <w:i/>
        </w:rPr>
        <w:t>Para el caso de la demás instituciones del sector público, se aplicará a lo dispuesto en el siguiente artículo.”</w:t>
      </w:r>
      <w:r w:rsidR="00696730" w:rsidRPr="00DC3068">
        <w:rPr>
          <w:rFonts w:ascii="Palatino Linotype" w:hAnsi="Palatino Linotype" w:cstheme="minorHAnsi"/>
        </w:rPr>
        <w:t>;</w:t>
      </w:r>
    </w:p>
    <w:p w:rsidR="003A0CF7" w:rsidRPr="0001179E" w:rsidRDefault="00554A28" w:rsidP="0001179E">
      <w:pPr>
        <w:autoSpaceDE w:val="0"/>
        <w:autoSpaceDN w:val="0"/>
        <w:adjustRightInd w:val="0"/>
        <w:spacing w:after="120"/>
        <w:ind w:left="705" w:hanging="705"/>
        <w:jc w:val="both"/>
        <w:rPr>
          <w:rFonts w:ascii="Palatino Linotype" w:hAnsi="Palatino Linotype" w:cstheme="minorHAnsi"/>
          <w:i/>
        </w:rPr>
      </w:pPr>
      <w:r w:rsidRPr="0001179E">
        <w:rPr>
          <w:rFonts w:ascii="Palatino Linotype" w:hAnsi="Palatino Linotype" w:cstheme="minorHAnsi"/>
          <w:b/>
        </w:rPr>
        <w:t xml:space="preserve">Que, </w:t>
      </w:r>
      <w:r w:rsidRPr="0001179E">
        <w:rPr>
          <w:rFonts w:ascii="Palatino Linotype" w:hAnsi="Palatino Linotype" w:cstheme="minorHAnsi"/>
          <w:b/>
        </w:rPr>
        <w:tab/>
      </w:r>
      <w:r w:rsidR="00317A76" w:rsidRPr="0001179E">
        <w:rPr>
          <w:rFonts w:ascii="Palatino Linotype" w:hAnsi="Palatino Linotype" w:cstheme="minorHAnsi"/>
        </w:rPr>
        <w:t xml:space="preserve">el artículo 43 de la </w:t>
      </w:r>
      <w:r w:rsidR="001E0F6F" w:rsidRPr="0001179E">
        <w:rPr>
          <w:rFonts w:ascii="Palatino Linotype" w:hAnsi="Palatino Linotype" w:cstheme="minorHAnsi"/>
        </w:rPr>
        <w:t>misma Ley</w:t>
      </w:r>
      <w:r w:rsidR="00317A76" w:rsidRPr="0001179E">
        <w:rPr>
          <w:rFonts w:ascii="Palatino Linotype" w:hAnsi="Palatino Linotype" w:cstheme="minorHAnsi"/>
        </w:rPr>
        <w:t xml:space="preserve">, agrega después del artículo 481, el siguiente: </w:t>
      </w:r>
      <w:r w:rsidR="00696730" w:rsidRPr="0001179E">
        <w:rPr>
          <w:rFonts w:ascii="Palatino Linotype" w:hAnsi="Palatino Linotype" w:cstheme="minorHAnsi"/>
          <w:i/>
        </w:rPr>
        <w:t>“A</w:t>
      </w:r>
      <w:r w:rsidRPr="0001179E">
        <w:rPr>
          <w:rFonts w:ascii="Palatino Linotype" w:hAnsi="Palatino Linotype" w:cstheme="minorHAnsi"/>
          <w:i/>
        </w:rPr>
        <w:t>rtículo 481.1</w:t>
      </w:r>
      <w:r w:rsidR="00696730" w:rsidRPr="0001179E">
        <w:rPr>
          <w:rFonts w:ascii="Palatino Linotype" w:hAnsi="Palatino Linotype" w:cstheme="minorHAnsi"/>
          <w:i/>
        </w:rPr>
        <w:t>.- Excedentes o diferencias de terrenos de propiedad privada.- Por excedentes de un terreno de propiedad privada se entiende aquellas superficies que forman parte de terrenos con linderos consolidados, que superen el área original que consten en el respectivo título de dominio al efectuar una medición municipal por cualquier causa, o resulten como diferencia entre una medición anterior y la última practicada, por errores de cálculo o de medidas</w:t>
      </w:r>
      <w:r w:rsidR="00C420CE" w:rsidRPr="0001179E">
        <w:rPr>
          <w:rFonts w:ascii="Palatino Linotype" w:hAnsi="Palatino Linotype" w:cstheme="minorHAnsi"/>
          <w:i/>
        </w:rPr>
        <w:t>. En ambos casos su titularidad no debe estar en disputa. Los excedentes que no superen el error técnico de medición, se rectificarán y regularizarán a favor del propietario del lote que ha sido mal medido</w:t>
      </w:r>
      <w:r w:rsidRPr="0001179E">
        <w:rPr>
          <w:rFonts w:ascii="Palatino Linotype" w:hAnsi="Palatino Linotype" w:cstheme="minorHAnsi"/>
          <w:i/>
        </w:rPr>
        <w:t>,</w:t>
      </w:r>
      <w:r w:rsidR="00C420CE" w:rsidRPr="0001179E">
        <w:rPr>
          <w:rFonts w:ascii="Palatino Linotype" w:hAnsi="Palatino Linotype" w:cstheme="minorHAnsi"/>
          <w:i/>
        </w:rPr>
        <w:t xml:space="preserve"> dejando a salvo el derecho de terceros perjudicados. El Gobierno Autónomo Descentralizado distrital o municipal establecerá mediante ordenanza el error técnico aceptable de medición y el procedimiento de regularización.</w:t>
      </w:r>
      <w:r w:rsidR="0001179E">
        <w:rPr>
          <w:rFonts w:ascii="Palatino Linotype" w:hAnsi="Palatino Linotype" w:cstheme="minorHAnsi"/>
          <w:i/>
        </w:rPr>
        <w:t xml:space="preserve"> (…) </w:t>
      </w:r>
      <w:r w:rsidR="00C420CE" w:rsidRPr="0001179E">
        <w:rPr>
          <w:rFonts w:ascii="Palatino Linotype" w:hAnsi="Palatino Linotype" w:cstheme="minorHAnsi"/>
          <w:i/>
        </w:rPr>
        <w:t>Si el excedente supera el error técnico de medición, los gobiernos autónomos descentralizados municipales o metropolitanos expedirán la ordenanza para regular la forma de adjudicación y precio a pagar tomando como referencia el avalúo c</w:t>
      </w:r>
      <w:r w:rsidR="003A0CF7" w:rsidRPr="0001179E">
        <w:rPr>
          <w:rFonts w:ascii="Palatino Linotype" w:hAnsi="Palatino Linotype" w:cstheme="minorHAnsi"/>
          <w:i/>
        </w:rPr>
        <w:t>atastral y las condiciones socio</w:t>
      </w:r>
      <w:r w:rsidR="00C420CE" w:rsidRPr="0001179E">
        <w:rPr>
          <w:rFonts w:ascii="Palatino Linotype" w:hAnsi="Palatino Linotype" w:cstheme="minorHAnsi"/>
          <w:i/>
        </w:rPr>
        <w:t xml:space="preserve"> económicas del propietario del lote de terreno.</w:t>
      </w:r>
      <w:r w:rsidR="0001179E">
        <w:rPr>
          <w:rFonts w:ascii="Palatino Linotype" w:hAnsi="Palatino Linotype" w:cstheme="minorHAnsi"/>
          <w:i/>
        </w:rPr>
        <w:t xml:space="preserve"> (...) </w:t>
      </w:r>
      <w:r w:rsidR="003A0CF7" w:rsidRPr="0001179E">
        <w:rPr>
          <w:rFonts w:ascii="Palatino Linotype" w:hAnsi="Palatino Linotype" w:cstheme="minorHAnsi"/>
          <w:i/>
        </w:rPr>
        <w:t xml:space="preserve">Para la aplicación de la presente normativa, se entiende por diferencias el faltante entre la superficie constante en el título de propiedad y la última medición realizada. El Gobierno Autónomo Descentralizado distrital o municipal de oficio o a petición de parte realizará la </w:t>
      </w:r>
      <w:r w:rsidR="003A0CF7" w:rsidRPr="0001179E">
        <w:rPr>
          <w:rFonts w:ascii="Palatino Linotype" w:hAnsi="Palatino Linotype" w:cstheme="minorHAnsi"/>
          <w:i/>
        </w:rPr>
        <w:lastRenderedPageBreak/>
        <w:t>rectificación y regularización correspondiente, dejando a salvo las acciones legales que puedan tener los particulares.</w:t>
      </w:r>
      <w:r w:rsidR="0001179E">
        <w:rPr>
          <w:rFonts w:ascii="Palatino Linotype" w:hAnsi="Palatino Linotype" w:cstheme="minorHAnsi"/>
          <w:i/>
        </w:rPr>
        <w:t xml:space="preserve"> (…) </w:t>
      </w:r>
      <w:r w:rsidR="003A0CF7" w:rsidRPr="0001179E">
        <w:rPr>
          <w:rFonts w:ascii="Palatino Linotype" w:hAnsi="Palatino Linotype" w:cstheme="minorHAnsi"/>
          <w:i/>
        </w:rPr>
        <w:t>El registrador de la propiedad, para los casos establecidos en el anterior y presente artículo, procederá a inscribir los actos administrativos de rectificación y regularización de excedentes y diferencias, documentos que constituyen justo título, dejando a salvo los derechos que pueden tener terceros perjudicados.”</w:t>
      </w:r>
      <w:r w:rsidR="003A0CF7" w:rsidRPr="00DC3068">
        <w:rPr>
          <w:rFonts w:ascii="Palatino Linotype" w:hAnsi="Palatino Linotype" w:cstheme="minorHAnsi"/>
        </w:rPr>
        <w:t>;</w:t>
      </w:r>
      <w:r w:rsidR="003A0CF7" w:rsidRPr="0001179E">
        <w:rPr>
          <w:rFonts w:ascii="Palatino Linotype" w:hAnsi="Palatino Linotype" w:cstheme="minorHAnsi"/>
          <w:i/>
        </w:rPr>
        <w:t xml:space="preserve"> </w:t>
      </w:r>
    </w:p>
    <w:p w:rsidR="001708AF" w:rsidRPr="0001179E" w:rsidRDefault="001708AF" w:rsidP="0001179E">
      <w:pPr>
        <w:autoSpaceDE w:val="0"/>
        <w:autoSpaceDN w:val="0"/>
        <w:adjustRightInd w:val="0"/>
        <w:spacing w:after="120"/>
        <w:ind w:left="705" w:hanging="705"/>
        <w:jc w:val="both"/>
        <w:rPr>
          <w:rFonts w:ascii="Palatino Linotype" w:hAnsi="Palatino Linotype" w:cstheme="minorHAnsi"/>
        </w:rPr>
      </w:pPr>
      <w:r w:rsidRPr="0001179E">
        <w:rPr>
          <w:rFonts w:ascii="Palatino Linotype" w:hAnsi="Palatino Linotype" w:cstheme="minorHAnsi"/>
          <w:b/>
        </w:rPr>
        <w:t>Que,</w:t>
      </w:r>
      <w:r w:rsidRPr="0001179E">
        <w:rPr>
          <w:rFonts w:ascii="Palatino Linotype" w:hAnsi="Palatino Linotype" w:cstheme="minorHAnsi"/>
          <w:b/>
        </w:rPr>
        <w:tab/>
      </w:r>
      <w:r w:rsidR="001D05BF" w:rsidRPr="0001179E">
        <w:rPr>
          <w:rFonts w:ascii="Palatino Linotype" w:hAnsi="Palatino Linotype" w:cstheme="minorHAnsi"/>
        </w:rPr>
        <w:t xml:space="preserve">la Disposición Reformatoria Segunda de la Ley </w:t>
      </w:r>
      <w:r w:rsidR="00E1086E" w:rsidRPr="0001179E">
        <w:rPr>
          <w:rFonts w:ascii="Palatino Linotype" w:hAnsi="Palatino Linotype" w:cstheme="minorHAnsi"/>
        </w:rPr>
        <w:t xml:space="preserve">Orgánica </w:t>
      </w:r>
      <w:r w:rsidR="001D05BF" w:rsidRPr="0001179E">
        <w:rPr>
          <w:rFonts w:ascii="Palatino Linotype" w:hAnsi="Palatino Linotype" w:cstheme="minorHAnsi"/>
        </w:rPr>
        <w:t>de Tierras Rurales y Territorios Ancestrales, sustituye el inciso segundo del artículo 481.1 del Código Orgánico de Organización Territorial, Autonomía y Descentralización por el siguiente:</w:t>
      </w:r>
      <w:r w:rsidR="00BB5192" w:rsidRPr="0001179E">
        <w:rPr>
          <w:rFonts w:ascii="Palatino Linotype" w:hAnsi="Palatino Linotype" w:cstheme="minorHAnsi"/>
        </w:rPr>
        <w:t xml:space="preserve"> </w:t>
      </w:r>
      <w:r w:rsidR="001D05BF" w:rsidRPr="0001179E">
        <w:rPr>
          <w:rFonts w:ascii="Palatino Linotype" w:hAnsi="Palatino Linotype" w:cstheme="minorHAnsi"/>
          <w:i/>
        </w:rPr>
        <w:t>“Si el excedente</w:t>
      </w:r>
      <w:r w:rsidR="001D05BF" w:rsidRPr="0001179E">
        <w:rPr>
          <w:rFonts w:ascii="Palatino Linotype" w:hAnsi="Palatino Linotype" w:cstheme="minorHAnsi"/>
        </w:rPr>
        <w:t xml:space="preserve">  </w:t>
      </w:r>
      <w:r w:rsidR="001D05BF" w:rsidRPr="0001179E">
        <w:rPr>
          <w:rFonts w:ascii="Palatino Linotype" w:hAnsi="Palatino Linotype" w:cstheme="minorHAnsi"/>
          <w:i/>
        </w:rPr>
        <w:t>supera el error técnico de medición previsto en la respectiva ordenanza del Gobierno Autónomo Descentralizado municipal o metropolitano, se rectificará la medición y el correspondiente avalúo e impuesto predial. Situación que se regularizará mediante resolución de la máxima autoridad ejecutiva del Gobierno Autónomo Descentralizado municipal, la misma que se protocolizará e inscribirá en el respectivo registro de la propiedad.”</w:t>
      </w:r>
      <w:r w:rsidR="0001179E">
        <w:rPr>
          <w:rFonts w:ascii="Palatino Linotype" w:hAnsi="Palatino Linotype" w:cstheme="minorHAnsi"/>
        </w:rPr>
        <w:t>;</w:t>
      </w:r>
    </w:p>
    <w:p w:rsidR="00554A28" w:rsidRPr="0001179E" w:rsidRDefault="00554A28" w:rsidP="0001179E">
      <w:pPr>
        <w:autoSpaceDE w:val="0"/>
        <w:autoSpaceDN w:val="0"/>
        <w:adjustRightInd w:val="0"/>
        <w:spacing w:after="120"/>
        <w:ind w:left="705" w:hanging="705"/>
        <w:jc w:val="both"/>
        <w:rPr>
          <w:rFonts w:ascii="Palatino Linotype" w:hAnsi="Palatino Linotype" w:cstheme="minorHAnsi"/>
          <w:i/>
          <w:iCs/>
        </w:rPr>
      </w:pPr>
      <w:r w:rsidRPr="0001179E">
        <w:rPr>
          <w:rFonts w:ascii="Palatino Linotype" w:hAnsi="Palatino Linotype" w:cstheme="minorHAnsi"/>
          <w:b/>
        </w:rPr>
        <w:t>Que,</w:t>
      </w:r>
      <w:r w:rsidRPr="0001179E">
        <w:rPr>
          <w:rFonts w:ascii="Palatino Linotype" w:hAnsi="Palatino Linotype" w:cstheme="minorHAnsi"/>
        </w:rPr>
        <w:tab/>
        <w:t>de conformidad con lo prescrito en el numeral 1 del artículo 2 de la Ley Orgánica de Régimen para el Distrito Metropolitano de Quito, el Municipio del Distrito Metropolitano de Quito cumplirá, entre otras, la siguiente finalidad:</w:t>
      </w:r>
      <w:r w:rsidR="005F547C" w:rsidRPr="0001179E">
        <w:rPr>
          <w:rFonts w:ascii="Palatino Linotype" w:hAnsi="Palatino Linotype" w:cstheme="minorHAnsi"/>
        </w:rPr>
        <w:t xml:space="preserve"> “</w:t>
      </w:r>
      <w:r w:rsidRPr="0001179E">
        <w:rPr>
          <w:rFonts w:ascii="Palatino Linotype" w:hAnsi="Palatino Linotype" w:cstheme="minorHAnsi"/>
        </w:rPr>
        <w:t xml:space="preserve"> </w:t>
      </w:r>
      <w:r w:rsidR="00DC3068" w:rsidRPr="00DC3068">
        <w:rPr>
          <w:rFonts w:ascii="Palatino Linotype" w:hAnsi="Palatino Linotype" w:cstheme="minorHAnsi"/>
          <w:i/>
        </w:rPr>
        <w:t xml:space="preserve">(…) </w:t>
      </w:r>
      <w:r w:rsidR="00DC3068">
        <w:rPr>
          <w:rFonts w:ascii="Palatino Linotype" w:hAnsi="Palatino Linotype" w:cstheme="minorHAnsi"/>
          <w:i/>
          <w:iCs/>
        </w:rPr>
        <w:t>1</w:t>
      </w:r>
      <w:r w:rsidRPr="0001179E">
        <w:rPr>
          <w:rFonts w:ascii="Palatino Linotype" w:hAnsi="Palatino Linotype" w:cstheme="minorHAnsi"/>
          <w:i/>
          <w:iCs/>
        </w:rPr>
        <w:t xml:space="preserve">. Regulará el uso y la adecuada ocupación del suelo y ejercerá control sobre el mismo con competencia exclusiva </w:t>
      </w:r>
      <w:r w:rsidRPr="0001179E">
        <w:rPr>
          <w:rFonts w:ascii="Palatino Linotype" w:hAnsi="Palatino Linotype" w:cstheme="minorHAnsi"/>
        </w:rPr>
        <w:t xml:space="preserve">y </w:t>
      </w:r>
      <w:r w:rsidRPr="0001179E">
        <w:rPr>
          <w:rFonts w:ascii="Palatino Linotype" w:hAnsi="Palatino Linotype" w:cstheme="minorHAnsi"/>
          <w:i/>
          <w:iCs/>
        </w:rPr>
        <w:t>privativa. De igual manera regulará y controlará, con competencia exclusiva y privativa las construcciones o edificaciones, su es</w:t>
      </w:r>
      <w:r w:rsidR="00DC3068">
        <w:rPr>
          <w:rFonts w:ascii="Palatino Linotype" w:hAnsi="Palatino Linotype" w:cstheme="minorHAnsi"/>
          <w:i/>
          <w:iCs/>
        </w:rPr>
        <w:t xml:space="preserve">tado, utilización y condiciones </w:t>
      </w:r>
      <w:r w:rsidR="00DC3068" w:rsidRPr="00DC3068">
        <w:rPr>
          <w:rFonts w:ascii="Palatino Linotype" w:hAnsi="Palatino Linotype" w:cstheme="minorHAnsi"/>
          <w:i/>
        </w:rPr>
        <w:t>(…)</w:t>
      </w:r>
      <w:r w:rsidRPr="0001179E">
        <w:rPr>
          <w:rFonts w:ascii="Palatino Linotype" w:hAnsi="Palatino Linotype" w:cstheme="minorHAnsi"/>
          <w:i/>
          <w:iCs/>
        </w:rPr>
        <w:t>"</w:t>
      </w:r>
      <w:r w:rsidRPr="00DC3068">
        <w:rPr>
          <w:rFonts w:ascii="Palatino Linotype" w:hAnsi="Palatino Linotype" w:cstheme="minorHAnsi"/>
          <w:iCs/>
        </w:rPr>
        <w:t>;</w:t>
      </w:r>
      <w:r w:rsidRPr="0001179E">
        <w:rPr>
          <w:rFonts w:ascii="Palatino Linotype" w:hAnsi="Palatino Linotype" w:cstheme="minorHAnsi"/>
          <w:i/>
          <w:iCs/>
        </w:rPr>
        <w:t xml:space="preserve"> </w:t>
      </w:r>
    </w:p>
    <w:p w:rsidR="00DF1F1F" w:rsidRPr="0001179E" w:rsidRDefault="00DF1F1F" w:rsidP="0001179E">
      <w:pPr>
        <w:autoSpaceDE w:val="0"/>
        <w:autoSpaceDN w:val="0"/>
        <w:adjustRightInd w:val="0"/>
        <w:spacing w:after="120"/>
        <w:ind w:left="705" w:hanging="705"/>
        <w:jc w:val="both"/>
        <w:rPr>
          <w:rFonts w:ascii="Palatino Linotype" w:hAnsi="Palatino Linotype" w:cstheme="minorHAnsi"/>
          <w:iCs/>
        </w:rPr>
      </w:pPr>
      <w:r w:rsidRPr="0001179E">
        <w:rPr>
          <w:rFonts w:ascii="Palatino Linotype" w:hAnsi="Palatino Linotype" w:cstheme="minorHAnsi"/>
          <w:b/>
          <w:iCs/>
        </w:rPr>
        <w:t>Que,</w:t>
      </w:r>
      <w:r w:rsidRPr="0001179E">
        <w:rPr>
          <w:rFonts w:ascii="Palatino Linotype" w:hAnsi="Palatino Linotype" w:cstheme="minorHAnsi"/>
          <w:iCs/>
        </w:rPr>
        <w:tab/>
        <w:t>el artículo 8 de</w:t>
      </w:r>
      <w:r w:rsidR="001E0F6F" w:rsidRPr="0001179E">
        <w:rPr>
          <w:rFonts w:ascii="Palatino Linotype" w:hAnsi="Palatino Linotype" w:cstheme="minorHAnsi"/>
          <w:iCs/>
        </w:rPr>
        <w:t>l mismo cuerpo legal</w:t>
      </w:r>
      <w:r w:rsidRPr="0001179E">
        <w:rPr>
          <w:rFonts w:ascii="Palatino Linotype" w:hAnsi="Palatino Linotype" w:cstheme="minorHAnsi"/>
          <w:iCs/>
        </w:rPr>
        <w:t xml:space="preserve"> </w:t>
      </w:r>
      <w:r w:rsidR="001C57C6" w:rsidRPr="0001179E">
        <w:rPr>
          <w:rFonts w:ascii="Palatino Linotype" w:hAnsi="Palatino Linotype" w:cstheme="minorHAnsi"/>
          <w:iCs/>
        </w:rPr>
        <w:t>establece que</w:t>
      </w:r>
      <w:r w:rsidRPr="0001179E">
        <w:rPr>
          <w:rFonts w:ascii="Palatino Linotype" w:hAnsi="Palatino Linotype" w:cstheme="minorHAnsi"/>
          <w:iCs/>
        </w:rPr>
        <w:t xml:space="preserve"> le corresponde especialmente al Concejo Metropolitano:</w:t>
      </w:r>
      <w:r w:rsidR="001C57C6" w:rsidRPr="0001179E">
        <w:rPr>
          <w:rFonts w:ascii="Palatino Linotype" w:hAnsi="Palatino Linotype" w:cstheme="minorHAnsi"/>
          <w:iCs/>
        </w:rPr>
        <w:t xml:space="preserve"> </w:t>
      </w:r>
      <w:r w:rsidR="001C57C6" w:rsidRPr="0001179E">
        <w:rPr>
          <w:rFonts w:ascii="Palatino Linotype" w:hAnsi="Palatino Linotype" w:cstheme="minorHAnsi"/>
          <w:i/>
          <w:iCs/>
        </w:rPr>
        <w:t>“</w:t>
      </w:r>
      <w:r w:rsidR="00DC3068">
        <w:rPr>
          <w:rFonts w:ascii="Palatino Linotype" w:hAnsi="Palatino Linotype" w:cstheme="minorHAnsi"/>
          <w:i/>
          <w:iCs/>
        </w:rPr>
        <w:t xml:space="preserve">(…) </w:t>
      </w:r>
      <w:r w:rsidRPr="0001179E">
        <w:rPr>
          <w:rFonts w:ascii="Palatino Linotype" w:hAnsi="Palatino Linotype" w:cstheme="minorHAnsi"/>
          <w:i/>
          <w:iCs/>
        </w:rPr>
        <w:t>1) 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r w:rsidR="001C57C6" w:rsidRPr="0001179E">
        <w:rPr>
          <w:rFonts w:ascii="Palatino Linotype" w:hAnsi="Palatino Linotype" w:cstheme="minorHAnsi"/>
          <w:iCs/>
        </w:rPr>
        <w:t>.</w:t>
      </w:r>
      <w:r w:rsidR="00DC3068">
        <w:rPr>
          <w:rFonts w:ascii="Palatino Linotype" w:hAnsi="Palatino Linotype" w:cstheme="minorHAnsi"/>
          <w:iCs/>
        </w:rPr>
        <w:t xml:space="preserve"> </w:t>
      </w:r>
      <w:r w:rsidR="00DC3068" w:rsidRPr="00DC3068">
        <w:rPr>
          <w:rFonts w:ascii="Palatino Linotype" w:hAnsi="Palatino Linotype" w:cstheme="minorHAnsi"/>
          <w:i/>
          <w:iCs/>
        </w:rPr>
        <w:t>(…)</w:t>
      </w:r>
      <w:r w:rsidR="001C57C6" w:rsidRPr="0001179E">
        <w:rPr>
          <w:rFonts w:ascii="Palatino Linotype" w:hAnsi="Palatino Linotype" w:cstheme="minorHAnsi"/>
          <w:iCs/>
        </w:rPr>
        <w:t>”;</w:t>
      </w:r>
    </w:p>
    <w:p w:rsidR="00F0080B" w:rsidRPr="0001179E" w:rsidRDefault="001E0F6F" w:rsidP="0001179E">
      <w:pPr>
        <w:autoSpaceDE w:val="0"/>
        <w:autoSpaceDN w:val="0"/>
        <w:adjustRightInd w:val="0"/>
        <w:spacing w:after="120"/>
        <w:ind w:left="705" w:hanging="705"/>
        <w:jc w:val="both"/>
        <w:rPr>
          <w:rFonts w:ascii="Palatino Linotype" w:hAnsi="Palatino Linotype" w:cstheme="minorHAnsi"/>
          <w:iCs/>
        </w:rPr>
      </w:pPr>
      <w:r w:rsidRPr="0001179E">
        <w:rPr>
          <w:rFonts w:ascii="Palatino Linotype" w:hAnsi="Palatino Linotype" w:cstheme="minorHAnsi"/>
          <w:b/>
          <w:iCs/>
        </w:rPr>
        <w:t>Que,</w:t>
      </w:r>
      <w:r w:rsidRPr="0001179E">
        <w:rPr>
          <w:rFonts w:ascii="Palatino Linotype" w:hAnsi="Palatino Linotype" w:cstheme="minorHAnsi"/>
          <w:iCs/>
        </w:rPr>
        <w:tab/>
        <w:t xml:space="preserve">la Ordenanza </w:t>
      </w:r>
      <w:r w:rsidR="0001179E">
        <w:rPr>
          <w:rFonts w:ascii="Palatino Linotype" w:hAnsi="Palatino Linotype" w:cstheme="minorHAnsi"/>
          <w:iCs/>
        </w:rPr>
        <w:t xml:space="preserve">Metropolitana No. </w:t>
      </w:r>
      <w:r w:rsidR="00F0080B" w:rsidRPr="0001179E">
        <w:rPr>
          <w:rFonts w:ascii="Palatino Linotype" w:hAnsi="Palatino Linotype" w:cstheme="minorHAnsi"/>
          <w:iCs/>
        </w:rPr>
        <w:t>269, sancionada el 30 de julio de 2012</w:t>
      </w:r>
      <w:r w:rsidR="002D5589" w:rsidRPr="0001179E">
        <w:rPr>
          <w:rFonts w:ascii="Palatino Linotype" w:hAnsi="Palatino Linotype" w:cstheme="minorHAnsi"/>
          <w:iCs/>
        </w:rPr>
        <w:t>, sustituyó la Ordenanza Metropolitana No. 163</w:t>
      </w:r>
      <w:r w:rsidR="00DC3068">
        <w:rPr>
          <w:rFonts w:ascii="Palatino Linotype" w:hAnsi="Palatino Linotype" w:cstheme="minorHAnsi"/>
          <w:iCs/>
        </w:rPr>
        <w:t>,</w:t>
      </w:r>
      <w:r w:rsidR="002D5589" w:rsidRPr="0001179E">
        <w:rPr>
          <w:rFonts w:ascii="Palatino Linotype" w:hAnsi="Palatino Linotype" w:cstheme="minorHAnsi"/>
          <w:iCs/>
        </w:rPr>
        <w:t xml:space="preserve"> que estableció el Régimen Administrativo de Regulación de Excedentes o Diferencias de Áreas de Terreno Urbano y Rural en el Distrito Metropolitano de Quito, provenientes de errores de medición;</w:t>
      </w:r>
    </w:p>
    <w:p w:rsidR="00A276B8" w:rsidRPr="0001179E" w:rsidRDefault="00A276B8" w:rsidP="0001179E">
      <w:pPr>
        <w:autoSpaceDE w:val="0"/>
        <w:autoSpaceDN w:val="0"/>
        <w:adjustRightInd w:val="0"/>
        <w:spacing w:after="120"/>
        <w:ind w:left="705" w:hanging="705"/>
        <w:jc w:val="both"/>
        <w:rPr>
          <w:rFonts w:ascii="Palatino Linotype" w:hAnsi="Palatino Linotype" w:cstheme="minorHAnsi"/>
          <w:iCs/>
        </w:rPr>
      </w:pPr>
      <w:r w:rsidRPr="0001179E">
        <w:rPr>
          <w:rFonts w:ascii="Palatino Linotype" w:hAnsi="Palatino Linotype" w:cstheme="minorHAnsi"/>
          <w:b/>
          <w:iCs/>
        </w:rPr>
        <w:lastRenderedPageBreak/>
        <w:t>Que,</w:t>
      </w:r>
      <w:r w:rsidRPr="0001179E">
        <w:rPr>
          <w:rFonts w:ascii="Palatino Linotype" w:hAnsi="Palatino Linotype" w:cstheme="minorHAnsi"/>
          <w:iCs/>
        </w:rPr>
        <w:tab/>
        <w:t xml:space="preserve">es indispensable adecuar el régimen de regularización de excedentes y diferencias de superficies de terreno de propiedad privada en suelo urbano y rural </w:t>
      </w:r>
      <w:r w:rsidR="00255373" w:rsidRPr="0001179E">
        <w:rPr>
          <w:rFonts w:ascii="Palatino Linotype" w:hAnsi="Palatino Linotype" w:cstheme="minorHAnsi"/>
          <w:iCs/>
        </w:rPr>
        <w:t>del D</w:t>
      </w:r>
      <w:r w:rsidR="00F7079A" w:rsidRPr="0001179E">
        <w:rPr>
          <w:rFonts w:ascii="Palatino Linotype" w:hAnsi="Palatino Linotype" w:cstheme="minorHAnsi"/>
          <w:iCs/>
        </w:rPr>
        <w:t xml:space="preserve">istrito Metropolitano de Quito </w:t>
      </w:r>
      <w:r w:rsidRPr="0001179E">
        <w:rPr>
          <w:rFonts w:ascii="Palatino Linotype" w:hAnsi="Palatino Linotype" w:cstheme="minorHAnsi"/>
          <w:iCs/>
        </w:rPr>
        <w:t xml:space="preserve">a la Ley Orgánica Reformatoria al </w:t>
      </w:r>
      <w:r w:rsidRPr="0001179E">
        <w:rPr>
          <w:rFonts w:ascii="Palatino Linotype" w:hAnsi="Palatino Linotype" w:cstheme="minorHAnsi"/>
        </w:rPr>
        <w:t>Código Orgánico de Organización Territorial, Autonomía y Descentralización</w:t>
      </w:r>
      <w:r w:rsidR="007F0178" w:rsidRPr="0001179E">
        <w:rPr>
          <w:rFonts w:ascii="Palatino Linotype" w:hAnsi="Palatino Linotype" w:cstheme="minorHAnsi"/>
        </w:rPr>
        <w:t>;</w:t>
      </w:r>
    </w:p>
    <w:p w:rsidR="00554A28" w:rsidRPr="0001179E" w:rsidRDefault="00554A28" w:rsidP="0001179E">
      <w:pPr>
        <w:autoSpaceDE w:val="0"/>
        <w:autoSpaceDN w:val="0"/>
        <w:adjustRightInd w:val="0"/>
        <w:spacing w:after="120"/>
        <w:ind w:left="705" w:hanging="705"/>
        <w:jc w:val="both"/>
        <w:rPr>
          <w:rFonts w:ascii="Palatino Linotype" w:hAnsi="Palatino Linotype" w:cstheme="minorHAnsi"/>
        </w:rPr>
      </w:pPr>
      <w:r w:rsidRPr="0001179E">
        <w:rPr>
          <w:rFonts w:ascii="Palatino Linotype" w:hAnsi="Palatino Linotype" w:cstheme="minorHAnsi"/>
          <w:b/>
        </w:rPr>
        <w:t>Que,</w:t>
      </w:r>
      <w:r w:rsidRPr="0001179E">
        <w:rPr>
          <w:rFonts w:ascii="Palatino Linotype" w:hAnsi="Palatino Linotype" w:cstheme="minorHAnsi"/>
        </w:rPr>
        <w:tab/>
        <w:t>es responsabilidad del Municipio del Distrito Metropolitano de Quito, como parte de su gestión sobre el espacio territorial, planificar e impulsar el desarrollo físico del cantón y sus áreas urbana y rural, así como definir normas generales sobre la generación, uso y mantenimiento de la información gráfica del territorio;</w:t>
      </w:r>
    </w:p>
    <w:p w:rsidR="00554A28" w:rsidRPr="0001179E" w:rsidRDefault="00554A28" w:rsidP="0001179E">
      <w:pPr>
        <w:autoSpaceDE w:val="0"/>
        <w:autoSpaceDN w:val="0"/>
        <w:adjustRightInd w:val="0"/>
        <w:spacing w:after="120"/>
        <w:ind w:left="705" w:hanging="705"/>
        <w:jc w:val="both"/>
        <w:rPr>
          <w:rFonts w:ascii="Palatino Linotype" w:hAnsi="Palatino Linotype" w:cstheme="minorHAnsi"/>
        </w:rPr>
      </w:pPr>
      <w:r w:rsidRPr="0001179E">
        <w:rPr>
          <w:rFonts w:ascii="Palatino Linotype" w:hAnsi="Palatino Linotype" w:cstheme="minorHAnsi"/>
          <w:b/>
        </w:rPr>
        <w:t>Que,</w:t>
      </w:r>
      <w:r w:rsidRPr="0001179E">
        <w:rPr>
          <w:rFonts w:ascii="Palatino Linotype" w:hAnsi="Palatino Linotype" w:cstheme="minorHAnsi"/>
        </w:rPr>
        <w:t xml:space="preserve"> </w:t>
      </w:r>
      <w:r w:rsidRPr="0001179E">
        <w:rPr>
          <w:rFonts w:ascii="Palatino Linotype" w:hAnsi="Palatino Linotype" w:cstheme="minorHAnsi"/>
        </w:rPr>
        <w:tab/>
        <w:t>es deber de la Municipalidad del Distrito Metropolitano de Quito, velar porque se mantenga actualizada la información de cabidas (superficies) de terreno en cada uno de los bienes inmuebles existentes en las áreas urbana y rural del Distrito Metropolitano de Quito, en beneficio de los intereses institucionales y de la comunidad;</w:t>
      </w:r>
    </w:p>
    <w:p w:rsidR="00554A28" w:rsidRPr="0001179E" w:rsidRDefault="00554A28" w:rsidP="0001179E">
      <w:pPr>
        <w:autoSpaceDE w:val="0"/>
        <w:autoSpaceDN w:val="0"/>
        <w:adjustRightInd w:val="0"/>
        <w:spacing w:after="120"/>
        <w:ind w:left="705" w:hanging="705"/>
        <w:jc w:val="both"/>
        <w:rPr>
          <w:rFonts w:ascii="Palatino Linotype" w:hAnsi="Palatino Linotype" w:cstheme="minorHAnsi"/>
        </w:rPr>
      </w:pPr>
      <w:r w:rsidRPr="0001179E">
        <w:rPr>
          <w:rFonts w:ascii="Palatino Linotype" w:hAnsi="Palatino Linotype" w:cstheme="minorHAnsi"/>
          <w:b/>
        </w:rPr>
        <w:t>Que,</w:t>
      </w:r>
      <w:r w:rsidRPr="0001179E">
        <w:rPr>
          <w:rFonts w:ascii="Palatino Linotype" w:hAnsi="Palatino Linotype" w:cstheme="minorHAnsi"/>
        </w:rPr>
        <w:tab/>
        <w:t xml:space="preserve">es indispensable dar una solución a los propietarios de bienes inmuebles urbanos y rurales cuyas superficies que constan en escrituras, difieren de la realidad física actual, por errores que arrastran desde los inicios de los procesos de lotización, urbanización o conformación de las áreas de terreno con fines habitacionales; y, </w:t>
      </w:r>
    </w:p>
    <w:p w:rsidR="00554A28" w:rsidRPr="0001179E" w:rsidRDefault="00554A28" w:rsidP="0001179E">
      <w:pPr>
        <w:autoSpaceDE w:val="0"/>
        <w:autoSpaceDN w:val="0"/>
        <w:adjustRightInd w:val="0"/>
        <w:spacing w:after="120"/>
        <w:ind w:left="705" w:hanging="705"/>
        <w:jc w:val="both"/>
        <w:rPr>
          <w:rFonts w:ascii="Palatino Linotype" w:hAnsi="Palatino Linotype" w:cstheme="minorHAnsi"/>
        </w:rPr>
      </w:pPr>
      <w:r w:rsidRPr="0001179E">
        <w:rPr>
          <w:rFonts w:ascii="Palatino Linotype" w:hAnsi="Palatino Linotype" w:cstheme="minorHAnsi"/>
          <w:b/>
        </w:rPr>
        <w:t>Que,</w:t>
      </w:r>
      <w:r w:rsidRPr="0001179E">
        <w:rPr>
          <w:rFonts w:ascii="Palatino Linotype" w:hAnsi="Palatino Linotype" w:cstheme="minorHAnsi"/>
        </w:rPr>
        <w:tab/>
        <w:t>corresponde al Municipio del Distrito Metropolitano de Quito, contar con una administración pública que constituya un servicio a la colectividad regido por los principios de eficacia, eficiencia, calidad, desconcentración, coordinación, planificación, transparencia y evaluación.</w:t>
      </w:r>
    </w:p>
    <w:p w:rsidR="00B62077" w:rsidRPr="0001179E" w:rsidRDefault="00554A28" w:rsidP="0001179E">
      <w:pPr>
        <w:autoSpaceDE w:val="0"/>
        <w:autoSpaceDN w:val="0"/>
        <w:adjustRightInd w:val="0"/>
        <w:spacing w:after="120"/>
        <w:jc w:val="both"/>
        <w:rPr>
          <w:rFonts w:ascii="Palatino Linotype" w:hAnsi="Palatino Linotype" w:cstheme="minorHAnsi"/>
          <w:b/>
        </w:rPr>
      </w:pPr>
      <w:r w:rsidRPr="0001179E">
        <w:rPr>
          <w:rFonts w:ascii="Palatino Linotype" w:hAnsi="Palatino Linotype" w:cstheme="minorHAnsi"/>
          <w:b/>
        </w:rPr>
        <w:t xml:space="preserve">En ejercicio de la atribución que le confieren el inciso segundo del artículo 266 de la Constitución de la República del Ecuador; artículos 57 literal a) y 87 literal a) del Código Orgánico de Organización Territorial, Autonomía y Descentralización; y, artículo 8 de la Ley Orgánica de Régimen para el </w:t>
      </w:r>
      <w:r w:rsidR="0001179E" w:rsidRPr="0001179E">
        <w:rPr>
          <w:rFonts w:ascii="Palatino Linotype" w:hAnsi="Palatino Linotype" w:cstheme="minorHAnsi"/>
          <w:b/>
        </w:rPr>
        <w:t>Distrito Metropolitano de Quito,</w:t>
      </w:r>
    </w:p>
    <w:p w:rsidR="00554A28" w:rsidRPr="0001179E" w:rsidRDefault="00554A28" w:rsidP="0001179E">
      <w:pPr>
        <w:autoSpaceDE w:val="0"/>
        <w:autoSpaceDN w:val="0"/>
        <w:adjustRightInd w:val="0"/>
        <w:spacing w:after="120"/>
        <w:jc w:val="center"/>
        <w:rPr>
          <w:rFonts w:ascii="Palatino Linotype" w:hAnsi="Palatino Linotype" w:cstheme="minorHAnsi"/>
          <w:b/>
        </w:rPr>
      </w:pPr>
      <w:r w:rsidRPr="0001179E">
        <w:rPr>
          <w:rFonts w:ascii="Palatino Linotype" w:hAnsi="Palatino Linotype" w:cstheme="minorHAnsi"/>
          <w:b/>
        </w:rPr>
        <w:t>EXPIDE</w:t>
      </w:r>
      <w:r w:rsidR="0001179E">
        <w:rPr>
          <w:rFonts w:ascii="Palatino Linotype" w:hAnsi="Palatino Linotype" w:cstheme="minorHAnsi"/>
          <w:b/>
        </w:rPr>
        <w:t xml:space="preserve"> LA SIGUIENTE</w:t>
      </w:r>
      <w:r w:rsidRPr="0001179E">
        <w:rPr>
          <w:rFonts w:ascii="Palatino Linotype" w:hAnsi="Palatino Linotype" w:cstheme="minorHAnsi"/>
          <w:b/>
        </w:rPr>
        <w:t>:</w:t>
      </w:r>
    </w:p>
    <w:p w:rsidR="00554A28" w:rsidRPr="0001179E" w:rsidRDefault="00554A28" w:rsidP="0001179E">
      <w:pPr>
        <w:autoSpaceDE w:val="0"/>
        <w:autoSpaceDN w:val="0"/>
        <w:adjustRightInd w:val="0"/>
        <w:spacing w:after="120"/>
        <w:jc w:val="center"/>
        <w:rPr>
          <w:rFonts w:ascii="Palatino Linotype" w:hAnsi="Palatino Linotype" w:cstheme="minorHAnsi"/>
          <w:b/>
        </w:rPr>
      </w:pPr>
      <w:r w:rsidRPr="0001179E">
        <w:rPr>
          <w:rFonts w:ascii="Palatino Linotype" w:hAnsi="Palatino Linotype" w:cstheme="minorHAnsi"/>
          <w:b/>
        </w:rPr>
        <w:t xml:space="preserve">ORDENANZA METROPOLITANA </w:t>
      </w:r>
      <w:r w:rsidR="009F7170" w:rsidRPr="0001179E">
        <w:rPr>
          <w:rFonts w:ascii="Palatino Linotype" w:hAnsi="Palatino Linotype" w:cstheme="minorHAnsi"/>
          <w:b/>
        </w:rPr>
        <w:t>SUSTITUTIVA</w:t>
      </w:r>
      <w:r w:rsidRPr="0001179E">
        <w:rPr>
          <w:rFonts w:ascii="Palatino Linotype" w:hAnsi="Palatino Linotype" w:cstheme="minorHAnsi"/>
          <w:b/>
        </w:rPr>
        <w:t xml:space="preserve"> DE LA ORDENANZA METROPO</w:t>
      </w:r>
      <w:r w:rsidR="006E7759" w:rsidRPr="0001179E">
        <w:rPr>
          <w:rFonts w:ascii="Palatino Linotype" w:hAnsi="Palatino Linotype" w:cstheme="minorHAnsi"/>
          <w:b/>
        </w:rPr>
        <w:t>LITANA No. 269, SANCIONADA EL 30</w:t>
      </w:r>
      <w:r w:rsidRPr="0001179E">
        <w:rPr>
          <w:rFonts w:ascii="Palatino Linotype" w:hAnsi="Palatino Linotype" w:cstheme="minorHAnsi"/>
          <w:b/>
        </w:rPr>
        <w:t xml:space="preserve"> DE JULIO DE 2012, QUE ESTABLECE EL RÉGIMEN ADMINISTRATIVO DE REGULARIZACIÓN DE EXCEDENTES O DIFERENCIAS DE SUPERFICIES DE TERRENO URBANO Y RURAL EN EL DISTRITO METROPOLITANO DE QUITO, PROVENIENTES DE ERRORES DE CÁLCULO O DE MEDIDAS</w:t>
      </w:r>
    </w:p>
    <w:p w:rsidR="002A2314" w:rsidRDefault="00267ECC"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rPr>
        <w:lastRenderedPageBreak/>
        <w:t xml:space="preserve">Artículo 1.- </w:t>
      </w:r>
      <w:r w:rsidRPr="0001179E">
        <w:rPr>
          <w:rFonts w:ascii="Palatino Linotype" w:hAnsi="Palatino Linotype" w:cstheme="minorHAnsi"/>
        </w:rPr>
        <w:t xml:space="preserve">Sustitúyase el Título </w:t>
      </w:r>
      <w:r w:rsidR="006E7759" w:rsidRPr="0001179E">
        <w:rPr>
          <w:rFonts w:ascii="Palatino Linotype" w:hAnsi="Palatino Linotype" w:cstheme="minorHAnsi"/>
        </w:rPr>
        <w:t>imnumerado</w:t>
      </w:r>
      <w:r w:rsidRPr="0001179E">
        <w:rPr>
          <w:rFonts w:ascii="Palatino Linotype" w:hAnsi="Palatino Linotype" w:cstheme="minorHAnsi"/>
          <w:i/>
        </w:rPr>
        <w:t>: “De la regularización de excedentes o diferencias de áreas de terreno urbano o rural en el Distrito Metropolitano de Quito, provenientes de errores de medición”</w:t>
      </w:r>
      <w:r w:rsidRPr="0001179E">
        <w:rPr>
          <w:rFonts w:ascii="Palatino Linotype" w:hAnsi="Palatino Linotype" w:cstheme="minorHAnsi"/>
        </w:rPr>
        <w:t xml:space="preserve">, agregado por </w:t>
      </w:r>
      <w:r w:rsidR="006E7759" w:rsidRPr="0001179E">
        <w:rPr>
          <w:rFonts w:ascii="Palatino Linotype" w:hAnsi="Palatino Linotype" w:cstheme="minorHAnsi"/>
        </w:rPr>
        <w:t xml:space="preserve">la Ordenanza Metropolitana No. </w:t>
      </w:r>
      <w:r w:rsidRPr="0001179E">
        <w:rPr>
          <w:rFonts w:ascii="Palatino Linotype" w:hAnsi="Palatino Linotype" w:cstheme="minorHAnsi"/>
        </w:rPr>
        <w:t xml:space="preserve">269, sancionada el 30 de julio de 2012, por el siguiente Título </w:t>
      </w:r>
      <w:proofErr w:type="spellStart"/>
      <w:r w:rsidR="006E7759" w:rsidRPr="0001179E">
        <w:rPr>
          <w:rFonts w:ascii="Palatino Linotype" w:hAnsi="Palatino Linotype" w:cstheme="minorHAnsi"/>
        </w:rPr>
        <w:t>imnumerado</w:t>
      </w:r>
      <w:proofErr w:type="spellEnd"/>
      <w:r w:rsidRPr="0001179E">
        <w:rPr>
          <w:rFonts w:ascii="Palatino Linotype" w:hAnsi="Palatino Linotype" w:cstheme="minorHAnsi"/>
        </w:rPr>
        <w:t>:</w:t>
      </w:r>
    </w:p>
    <w:p w:rsidR="00554A28" w:rsidRPr="0001179E" w:rsidRDefault="0001179E" w:rsidP="0001179E">
      <w:pPr>
        <w:autoSpaceDE w:val="0"/>
        <w:autoSpaceDN w:val="0"/>
        <w:adjustRightInd w:val="0"/>
        <w:spacing w:after="120"/>
        <w:jc w:val="center"/>
        <w:rPr>
          <w:rFonts w:ascii="Palatino Linotype" w:hAnsi="Palatino Linotype" w:cstheme="minorHAnsi"/>
          <w:b/>
        </w:rPr>
      </w:pPr>
      <w:r>
        <w:rPr>
          <w:rFonts w:ascii="Palatino Linotype" w:hAnsi="Palatino Linotype" w:cstheme="minorHAnsi"/>
          <w:b/>
        </w:rPr>
        <w:t>“</w:t>
      </w:r>
      <w:r w:rsidRPr="0001179E">
        <w:rPr>
          <w:rFonts w:ascii="Palatino Linotype" w:hAnsi="Palatino Linotype" w:cstheme="minorHAnsi"/>
          <w:b/>
        </w:rPr>
        <w:t>TÍTULO (...)</w:t>
      </w:r>
    </w:p>
    <w:p w:rsidR="00554A28" w:rsidRPr="0001179E" w:rsidRDefault="00DC3068" w:rsidP="00DC3068">
      <w:pPr>
        <w:autoSpaceDE w:val="0"/>
        <w:autoSpaceDN w:val="0"/>
        <w:adjustRightInd w:val="0"/>
        <w:spacing w:after="120"/>
        <w:jc w:val="center"/>
        <w:rPr>
          <w:rFonts w:ascii="Palatino Linotype" w:hAnsi="Palatino Linotype" w:cstheme="minorHAnsi"/>
          <w:b/>
        </w:rPr>
      </w:pPr>
      <w:r w:rsidRPr="0001179E">
        <w:rPr>
          <w:rFonts w:ascii="Palatino Linotype" w:hAnsi="Palatino Linotype" w:cstheme="minorHAnsi"/>
          <w:b/>
        </w:rPr>
        <w:t xml:space="preserve">DE LA REGULARIZACIÓN DE EXCEDENTES O DIFERENCIAS DE SUPERFICIES DE TERRENO URBANO Y RURAL EN EL DISTRITO METROPOLITANO DE QUITO, PROVENIENTES DE </w:t>
      </w:r>
      <w:r>
        <w:rPr>
          <w:rFonts w:ascii="Palatino Linotype" w:hAnsi="Palatino Linotype" w:cstheme="minorHAnsi"/>
          <w:b/>
        </w:rPr>
        <w:t>ERRORES DE CÁLCULO O DE MEDIDAS</w:t>
      </w:r>
    </w:p>
    <w:p w:rsidR="00554A28"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rPr>
        <w:t xml:space="preserve">Artículo... (1).- Ámbito de aplicación y excepciones.- </w:t>
      </w:r>
      <w:r w:rsidRPr="0001179E">
        <w:rPr>
          <w:rFonts w:ascii="Palatino Linotype" w:hAnsi="Palatino Linotype" w:cstheme="minorHAnsi"/>
        </w:rPr>
        <w:t>El presente Título establece el régimen administrativo de la regularización de excedentes o diferencias de superficies de terreno urbano y rural en el Distrito Metropolitano de Quito, provenientes de errores de cálculo o de medidas, con el fin de ordenar el territorio y otorgar seguridad jurídica a los propietarios de bienes inmuebles urbanos y rurales.</w:t>
      </w:r>
    </w:p>
    <w:p w:rsidR="00554A28"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t>No se aplicará el presente Título:</w:t>
      </w:r>
    </w:p>
    <w:p w:rsidR="00554A28" w:rsidRPr="0001179E" w:rsidRDefault="00554A28" w:rsidP="0001179E">
      <w:pPr>
        <w:pStyle w:val="Prrafodelista"/>
        <w:numPr>
          <w:ilvl w:val="0"/>
          <w:numId w:val="13"/>
        </w:num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t xml:space="preserve">Cuando en el título de transferencia de dominio no conste la superficie del terreno; </w:t>
      </w:r>
    </w:p>
    <w:p w:rsidR="000D0A29" w:rsidRPr="0001179E" w:rsidRDefault="00554A28" w:rsidP="0001179E">
      <w:pPr>
        <w:pStyle w:val="Prrafodelista"/>
        <w:numPr>
          <w:ilvl w:val="0"/>
          <w:numId w:val="13"/>
        </w:num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t>Cuando el error o defecto pueda ser corregido por las partes contractuales mediante una aclaratoria o rectifica</w:t>
      </w:r>
      <w:r w:rsidR="006E7759" w:rsidRPr="0001179E">
        <w:rPr>
          <w:rFonts w:ascii="Palatino Linotype" w:hAnsi="Palatino Linotype" w:cstheme="minorHAnsi"/>
        </w:rPr>
        <w:t>ción</w:t>
      </w:r>
      <w:r w:rsidRPr="0001179E">
        <w:rPr>
          <w:rFonts w:ascii="Palatino Linotype" w:hAnsi="Palatino Linotype" w:cstheme="minorHAnsi"/>
        </w:rPr>
        <w:t xml:space="preserve"> de la escritura pública, según corresponda, siempre que la corrección se justifique en los antecedentes de la historia de dominio del inmueble</w:t>
      </w:r>
      <w:r w:rsidR="005506EA" w:rsidRPr="0001179E">
        <w:rPr>
          <w:rFonts w:ascii="Palatino Linotype" w:hAnsi="Palatino Linotype" w:cstheme="minorHAnsi"/>
        </w:rPr>
        <w:t>;</w:t>
      </w:r>
    </w:p>
    <w:p w:rsidR="00554A28" w:rsidRPr="0001179E" w:rsidRDefault="00554A28" w:rsidP="0001179E">
      <w:pPr>
        <w:pStyle w:val="Prrafodelista"/>
        <w:numPr>
          <w:ilvl w:val="0"/>
          <w:numId w:val="13"/>
        </w:num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t xml:space="preserve">Cuando el título de dominio haya sido otorgado por el IERAC, INDA, Subsecretaria de Tierras y Reforma Agraria; o, Ministerio del Ambiente; </w:t>
      </w:r>
    </w:p>
    <w:p w:rsidR="00554A28" w:rsidRPr="0001179E" w:rsidRDefault="00554A28" w:rsidP="0001179E">
      <w:pPr>
        <w:pStyle w:val="Prrafodelista"/>
        <w:numPr>
          <w:ilvl w:val="0"/>
          <w:numId w:val="13"/>
        </w:num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t xml:space="preserve">Cuando el bien raíz fue adquirido por </w:t>
      </w:r>
      <w:r w:rsidR="005B08C8" w:rsidRPr="0001179E">
        <w:rPr>
          <w:rFonts w:ascii="Palatino Linotype" w:hAnsi="Palatino Linotype" w:cstheme="minorHAnsi"/>
        </w:rPr>
        <w:t>Sentencia Judicial debidamente ejecutoriada</w:t>
      </w:r>
      <w:r w:rsidR="00D77B06" w:rsidRPr="0001179E">
        <w:rPr>
          <w:rFonts w:ascii="Palatino Linotype" w:hAnsi="Palatino Linotype" w:cstheme="minorHAnsi"/>
        </w:rPr>
        <w:t xml:space="preserve">, protocolizada e inscrita en el Registro de la Propiedad </w:t>
      </w:r>
      <w:r w:rsidR="005506EA" w:rsidRPr="0001179E">
        <w:rPr>
          <w:rFonts w:ascii="Palatino Linotype" w:hAnsi="Palatino Linotype" w:cstheme="minorHAnsi"/>
        </w:rPr>
        <w:t>; y,</w:t>
      </w:r>
    </w:p>
    <w:p w:rsidR="005506EA" w:rsidRPr="0001179E" w:rsidRDefault="005506EA" w:rsidP="0001179E">
      <w:pPr>
        <w:pStyle w:val="Prrafodelista"/>
        <w:numPr>
          <w:ilvl w:val="0"/>
          <w:numId w:val="13"/>
        </w:num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t xml:space="preserve">Cuando la titularidad del </w:t>
      </w:r>
      <w:r w:rsidR="00224BD6" w:rsidRPr="0001179E">
        <w:rPr>
          <w:rFonts w:ascii="Palatino Linotype" w:hAnsi="Palatino Linotype" w:cstheme="minorHAnsi"/>
        </w:rPr>
        <w:t xml:space="preserve">bien </w:t>
      </w:r>
      <w:r w:rsidRPr="0001179E">
        <w:rPr>
          <w:rFonts w:ascii="Palatino Linotype" w:hAnsi="Palatino Linotype" w:cstheme="minorHAnsi"/>
        </w:rPr>
        <w:t>inmueble esté en disputa.</w:t>
      </w:r>
    </w:p>
    <w:p w:rsidR="00887C07"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rPr>
        <w:t>Artículo... (2).-</w:t>
      </w:r>
      <w:r w:rsidRPr="0001179E">
        <w:rPr>
          <w:rFonts w:ascii="Palatino Linotype" w:hAnsi="Palatino Linotype" w:cstheme="minorHAnsi"/>
        </w:rPr>
        <w:t xml:space="preserve"> </w:t>
      </w:r>
      <w:r w:rsidRPr="0001179E">
        <w:rPr>
          <w:rFonts w:ascii="Palatino Linotype" w:hAnsi="Palatino Linotype" w:cstheme="minorHAnsi"/>
          <w:b/>
        </w:rPr>
        <w:t>Excedentes o diferencias provenientes de errores de cálculo o de medidas</w:t>
      </w:r>
      <w:r w:rsidRPr="0001179E">
        <w:rPr>
          <w:rFonts w:ascii="Palatino Linotype" w:hAnsi="Palatino Linotype" w:cstheme="minorHAnsi"/>
        </w:rPr>
        <w:t>.- Para los efectos del presente Título, se entiende por excedentes de un terreno, a aquellas superficies que forman parte de terrenos con linderos consolidados, que superen el área original que conste en el respectivo título de dominio al efectuar una medición municipal por cualquier causa, o resulten como diferencia entre una medición anterior y la última practicada, por errores de cálculo o de medidas</w:t>
      </w:r>
      <w:r w:rsidR="00887C07" w:rsidRPr="0001179E">
        <w:rPr>
          <w:rFonts w:ascii="Palatino Linotype" w:hAnsi="Palatino Linotype" w:cstheme="minorHAnsi"/>
        </w:rPr>
        <w:t>.</w:t>
      </w:r>
    </w:p>
    <w:p w:rsidR="00554A28" w:rsidRPr="0001179E" w:rsidRDefault="00887C07"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t>P</w:t>
      </w:r>
      <w:r w:rsidR="00663487" w:rsidRPr="0001179E">
        <w:rPr>
          <w:rFonts w:ascii="Palatino Linotype" w:hAnsi="Palatino Linotype" w:cstheme="minorHAnsi"/>
        </w:rPr>
        <w:t xml:space="preserve">or cuanto el excedente a regularizarse </w:t>
      </w:r>
      <w:r w:rsidR="00980681" w:rsidRPr="0001179E">
        <w:rPr>
          <w:rFonts w:ascii="Palatino Linotype" w:hAnsi="Palatino Linotype" w:cstheme="minorHAnsi"/>
        </w:rPr>
        <w:t>forma parte</w:t>
      </w:r>
      <w:r w:rsidR="00A02A8F" w:rsidRPr="0001179E">
        <w:rPr>
          <w:rFonts w:ascii="Palatino Linotype" w:hAnsi="Palatino Linotype" w:cstheme="minorHAnsi"/>
        </w:rPr>
        <w:t xml:space="preserve"> integrante</w:t>
      </w:r>
      <w:r w:rsidR="00980681" w:rsidRPr="0001179E">
        <w:rPr>
          <w:rFonts w:ascii="Palatino Linotype" w:hAnsi="Palatino Linotype" w:cstheme="minorHAnsi"/>
        </w:rPr>
        <w:t xml:space="preserve"> del lote</w:t>
      </w:r>
      <w:r w:rsidR="00A02A8F" w:rsidRPr="0001179E">
        <w:rPr>
          <w:rFonts w:ascii="Palatino Linotype" w:hAnsi="Palatino Linotype" w:cstheme="minorHAnsi"/>
        </w:rPr>
        <w:t>,</w:t>
      </w:r>
      <w:r w:rsidR="00980681" w:rsidRPr="0001179E">
        <w:rPr>
          <w:rFonts w:ascii="Palatino Linotype" w:hAnsi="Palatino Linotype" w:cstheme="minorHAnsi"/>
        </w:rPr>
        <w:t xml:space="preserve"> </w:t>
      </w:r>
      <w:r w:rsidR="00A02A8F" w:rsidRPr="0001179E">
        <w:rPr>
          <w:rFonts w:ascii="Palatino Linotype" w:hAnsi="Palatino Linotype" w:cstheme="minorHAnsi"/>
        </w:rPr>
        <w:t>y al no tener una determinación material</w:t>
      </w:r>
      <w:r w:rsidR="005B1F14">
        <w:rPr>
          <w:rFonts w:ascii="Palatino Linotype" w:hAnsi="Palatino Linotype" w:cstheme="minorHAnsi"/>
        </w:rPr>
        <w:t>,</w:t>
      </w:r>
      <w:r w:rsidR="00A02A8F" w:rsidRPr="0001179E">
        <w:rPr>
          <w:rFonts w:ascii="Palatino Linotype" w:hAnsi="Palatino Linotype" w:cstheme="minorHAnsi"/>
        </w:rPr>
        <w:t xml:space="preserve"> deben ser rectificadas y regularizadas en el </w:t>
      </w:r>
      <w:r w:rsidR="00034BB1" w:rsidRPr="0001179E">
        <w:rPr>
          <w:rFonts w:ascii="Palatino Linotype" w:hAnsi="Palatino Linotype" w:cstheme="minorHAnsi"/>
        </w:rPr>
        <w:t>C</w:t>
      </w:r>
      <w:r w:rsidR="00A02A8F" w:rsidRPr="0001179E">
        <w:rPr>
          <w:rFonts w:ascii="Palatino Linotype" w:hAnsi="Palatino Linotype" w:cstheme="minorHAnsi"/>
        </w:rPr>
        <w:t>atastro y Registro de la Propiedad, a favor del propietario</w:t>
      </w:r>
      <w:r w:rsidR="00980681" w:rsidRPr="0001179E">
        <w:rPr>
          <w:rFonts w:ascii="Palatino Linotype" w:hAnsi="Palatino Linotype" w:cstheme="minorHAnsi"/>
        </w:rPr>
        <w:t xml:space="preserve"> de</w:t>
      </w:r>
      <w:r w:rsidR="0083156F" w:rsidRPr="0001179E">
        <w:rPr>
          <w:rFonts w:ascii="Palatino Linotype" w:hAnsi="Palatino Linotype" w:cstheme="minorHAnsi"/>
        </w:rPr>
        <w:t>l lote que ha sido mal medido</w:t>
      </w:r>
      <w:r w:rsidRPr="0001179E">
        <w:rPr>
          <w:rFonts w:ascii="Palatino Linotype" w:hAnsi="Palatino Linotype" w:cstheme="minorHAnsi"/>
        </w:rPr>
        <w:t>.</w:t>
      </w:r>
      <w:r w:rsidR="00980681" w:rsidRPr="0001179E">
        <w:rPr>
          <w:rFonts w:ascii="Palatino Linotype" w:hAnsi="Palatino Linotype" w:cstheme="minorHAnsi"/>
        </w:rPr>
        <w:t xml:space="preserve"> </w:t>
      </w:r>
    </w:p>
    <w:p w:rsidR="00554A28"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lastRenderedPageBreak/>
        <w:t xml:space="preserve">Por diferencias, </w:t>
      </w:r>
      <w:r w:rsidR="00887C07" w:rsidRPr="0001179E">
        <w:rPr>
          <w:rFonts w:ascii="Palatino Linotype" w:hAnsi="Palatino Linotype" w:cstheme="minorHAnsi"/>
        </w:rPr>
        <w:t xml:space="preserve">se entiende </w:t>
      </w:r>
      <w:r w:rsidRPr="0001179E">
        <w:rPr>
          <w:rFonts w:ascii="Palatino Linotype" w:hAnsi="Palatino Linotype" w:cstheme="minorHAnsi"/>
        </w:rPr>
        <w:t>el faltante entre la superficie constante en el título de propiedad y la última medición realizada.</w:t>
      </w:r>
      <w:r w:rsidRPr="0001179E">
        <w:rPr>
          <w:rFonts w:ascii="Palatino Linotype" w:hAnsi="Palatino Linotype" w:cstheme="minorHAnsi"/>
        </w:rPr>
        <w:tab/>
      </w:r>
    </w:p>
    <w:p w:rsidR="00E44820"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t xml:space="preserve">En adelante, en la aplicación del presente Título se entenderá por </w:t>
      </w:r>
      <w:r w:rsidRPr="005B1F14">
        <w:rPr>
          <w:rFonts w:ascii="Palatino Linotype" w:hAnsi="Palatino Linotype" w:cstheme="minorHAnsi"/>
        </w:rPr>
        <w:t>"</w:t>
      </w:r>
      <w:r w:rsidR="005B1F14" w:rsidRPr="005B1F14">
        <w:rPr>
          <w:rFonts w:ascii="Palatino Linotype" w:hAnsi="Palatino Linotype" w:cstheme="minorHAnsi"/>
        </w:rPr>
        <w:t>Excedente</w:t>
      </w:r>
      <w:r w:rsidRPr="005B1F14">
        <w:rPr>
          <w:rFonts w:ascii="Palatino Linotype" w:hAnsi="Palatino Linotype" w:cstheme="minorHAnsi"/>
        </w:rPr>
        <w:t>",</w:t>
      </w:r>
      <w:r w:rsidRPr="0001179E">
        <w:rPr>
          <w:rFonts w:ascii="Palatino Linotype" w:hAnsi="Palatino Linotype" w:cstheme="minorHAnsi"/>
        </w:rPr>
        <w:t xml:space="preserve"> la superficie en más</w:t>
      </w:r>
      <w:r w:rsidR="00665853" w:rsidRPr="0001179E">
        <w:rPr>
          <w:rFonts w:ascii="Palatino Linotype" w:hAnsi="Palatino Linotype" w:cstheme="minorHAnsi"/>
        </w:rPr>
        <w:t>;</w:t>
      </w:r>
      <w:r w:rsidRPr="0001179E">
        <w:rPr>
          <w:rFonts w:ascii="Palatino Linotype" w:hAnsi="Palatino Linotype" w:cstheme="minorHAnsi"/>
        </w:rPr>
        <w:t xml:space="preserve"> y, por</w:t>
      </w:r>
      <w:r w:rsidRPr="0001179E">
        <w:rPr>
          <w:rFonts w:ascii="Palatino Linotype" w:hAnsi="Palatino Linotype" w:cstheme="minorHAnsi"/>
          <w:b/>
        </w:rPr>
        <w:t xml:space="preserve"> "</w:t>
      </w:r>
      <w:r w:rsidR="005B1F14">
        <w:rPr>
          <w:rFonts w:ascii="Palatino Linotype" w:hAnsi="Palatino Linotype" w:cstheme="minorHAnsi"/>
        </w:rPr>
        <w:t>Diferencia</w:t>
      </w:r>
      <w:r w:rsidRPr="0001179E">
        <w:rPr>
          <w:rFonts w:ascii="Palatino Linotype" w:hAnsi="Palatino Linotype" w:cstheme="minorHAnsi"/>
          <w:b/>
        </w:rPr>
        <w:t>"</w:t>
      </w:r>
      <w:r w:rsidRPr="0001179E">
        <w:rPr>
          <w:rFonts w:ascii="Palatino Linotype" w:hAnsi="Palatino Linotype" w:cstheme="minorHAnsi"/>
        </w:rPr>
        <w:t>, la superficie en menos.</w:t>
      </w:r>
      <w:r w:rsidR="00E44820" w:rsidRPr="0001179E">
        <w:rPr>
          <w:rFonts w:ascii="Palatino Linotype" w:hAnsi="Palatino Linotype" w:cstheme="minorHAnsi"/>
        </w:rPr>
        <w:t xml:space="preserve"> </w:t>
      </w:r>
    </w:p>
    <w:p w:rsidR="0035307D"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rPr>
        <w:t>Artículo… (3).- Error Técnico Aceptable de Medición</w:t>
      </w:r>
      <w:r w:rsidR="0001179E">
        <w:rPr>
          <w:rFonts w:ascii="Palatino Linotype" w:hAnsi="Palatino Linotype" w:cstheme="minorHAnsi"/>
          <w:b/>
        </w:rPr>
        <w:t xml:space="preserve"> </w:t>
      </w:r>
      <w:r w:rsidRPr="0001179E">
        <w:rPr>
          <w:rFonts w:ascii="Palatino Linotype" w:hAnsi="Palatino Linotype" w:cstheme="minorHAnsi"/>
          <w:b/>
        </w:rPr>
        <w:t>-</w:t>
      </w:r>
      <w:r w:rsidR="0001179E">
        <w:rPr>
          <w:rFonts w:ascii="Palatino Linotype" w:hAnsi="Palatino Linotype" w:cstheme="minorHAnsi"/>
          <w:b/>
        </w:rPr>
        <w:t xml:space="preserve"> </w:t>
      </w:r>
      <w:r w:rsidRPr="0001179E">
        <w:rPr>
          <w:rFonts w:ascii="Palatino Linotype" w:hAnsi="Palatino Linotype" w:cstheme="minorHAnsi"/>
          <w:b/>
        </w:rPr>
        <w:t>ETAM.-</w:t>
      </w:r>
      <w:r w:rsidRPr="0001179E">
        <w:rPr>
          <w:rFonts w:ascii="Palatino Linotype" w:hAnsi="Palatino Linotype" w:cstheme="minorHAnsi"/>
        </w:rPr>
        <w:t xml:space="preserve"> El Error Téc</w:t>
      </w:r>
      <w:r w:rsidR="00F537B9" w:rsidRPr="0001179E">
        <w:rPr>
          <w:rFonts w:ascii="Palatino Linotype" w:hAnsi="Palatino Linotype" w:cstheme="minorHAnsi"/>
        </w:rPr>
        <w:t>nico Aceptable de Medición-ETAM</w:t>
      </w:r>
      <w:r w:rsidRPr="0001179E">
        <w:rPr>
          <w:rFonts w:ascii="Palatino Linotype" w:hAnsi="Palatino Linotype" w:cstheme="minorHAnsi"/>
        </w:rPr>
        <w:t xml:space="preserve"> estará dado en función de la superficie del lote de terreno proveniente de la medición realizada </w:t>
      </w:r>
      <w:r w:rsidR="004F2FDA" w:rsidRPr="0001179E">
        <w:rPr>
          <w:rFonts w:ascii="Palatino Linotype" w:hAnsi="Palatino Linotype" w:cstheme="minorHAnsi"/>
        </w:rPr>
        <w:t xml:space="preserve">por el Municipio </w:t>
      </w:r>
      <w:r w:rsidR="00AE5437" w:rsidRPr="0001179E">
        <w:rPr>
          <w:rFonts w:ascii="Palatino Linotype" w:hAnsi="Palatino Linotype" w:cstheme="minorHAnsi"/>
        </w:rPr>
        <w:t xml:space="preserve">del Distrito Metropolitano de Quito </w:t>
      </w:r>
      <w:r w:rsidRPr="0001179E">
        <w:rPr>
          <w:rFonts w:ascii="Palatino Linotype" w:hAnsi="Palatino Linotype" w:cstheme="minorHAnsi"/>
        </w:rPr>
        <w:t xml:space="preserve">y comparada con la superficie que </w:t>
      </w:r>
      <w:r w:rsidR="00E44820" w:rsidRPr="0001179E">
        <w:rPr>
          <w:rFonts w:ascii="Palatino Linotype" w:hAnsi="Palatino Linotype" w:cstheme="minorHAnsi"/>
        </w:rPr>
        <w:t>c</w:t>
      </w:r>
      <w:r w:rsidRPr="0001179E">
        <w:rPr>
          <w:rFonts w:ascii="Palatino Linotype" w:hAnsi="Palatino Linotype" w:cstheme="minorHAnsi"/>
        </w:rPr>
        <w:t xml:space="preserve">onsta en el </w:t>
      </w:r>
      <w:r w:rsidR="007A5DAA" w:rsidRPr="0001179E">
        <w:rPr>
          <w:rFonts w:ascii="Palatino Linotype" w:hAnsi="Palatino Linotype" w:cstheme="minorHAnsi"/>
        </w:rPr>
        <w:t>título de dominio</w:t>
      </w:r>
      <w:r w:rsidRPr="0001179E">
        <w:rPr>
          <w:rFonts w:ascii="Palatino Linotype" w:hAnsi="Palatino Linotype" w:cstheme="minorHAnsi"/>
        </w:rPr>
        <w:t>.</w:t>
      </w:r>
      <w:r w:rsidR="004F2FDA" w:rsidRPr="0001179E">
        <w:rPr>
          <w:rFonts w:ascii="Palatino Linotype" w:hAnsi="Palatino Linotype" w:cstheme="minorHAnsi"/>
        </w:rPr>
        <w:t xml:space="preserve"> </w:t>
      </w:r>
      <w:r w:rsidR="00AB344E" w:rsidRPr="0001179E">
        <w:rPr>
          <w:rFonts w:ascii="Palatino Linotype" w:hAnsi="Palatino Linotype" w:cstheme="minorHAnsi"/>
        </w:rPr>
        <w:t>Para predios ubicados en suelo urbano</w:t>
      </w:r>
      <w:r w:rsidRPr="0001179E">
        <w:rPr>
          <w:rFonts w:ascii="Palatino Linotype" w:hAnsi="Palatino Linotype" w:cstheme="minorHAnsi"/>
        </w:rPr>
        <w:t xml:space="preserve"> del Distrito Metropolitano de Quito, </w:t>
      </w:r>
      <w:r w:rsidR="004B40A7" w:rsidRPr="0001179E">
        <w:rPr>
          <w:rFonts w:ascii="Palatino Linotype" w:hAnsi="Palatino Linotype" w:cstheme="minorHAnsi"/>
        </w:rPr>
        <w:t xml:space="preserve">se considerará </w:t>
      </w:r>
      <w:r w:rsidRPr="0001179E">
        <w:rPr>
          <w:rFonts w:ascii="Palatino Linotype" w:hAnsi="Palatino Linotype" w:cstheme="minorHAnsi"/>
        </w:rPr>
        <w:t>el Error Técnico Aceptable de Medición</w:t>
      </w:r>
      <w:r w:rsidR="005B1F14">
        <w:rPr>
          <w:rFonts w:ascii="Palatino Linotype" w:hAnsi="Palatino Linotype" w:cstheme="minorHAnsi"/>
        </w:rPr>
        <w:t xml:space="preserve"> </w:t>
      </w:r>
      <w:r w:rsidRPr="0001179E">
        <w:rPr>
          <w:rFonts w:ascii="Palatino Linotype" w:hAnsi="Palatino Linotype" w:cstheme="minorHAnsi"/>
        </w:rPr>
        <w:t>-</w:t>
      </w:r>
      <w:r w:rsidR="005B1F14">
        <w:rPr>
          <w:rFonts w:ascii="Palatino Linotype" w:hAnsi="Palatino Linotype" w:cstheme="minorHAnsi"/>
        </w:rPr>
        <w:t xml:space="preserve"> </w:t>
      </w:r>
      <w:r w:rsidRPr="0001179E">
        <w:rPr>
          <w:rFonts w:ascii="Palatino Linotype" w:hAnsi="Palatino Linotype" w:cstheme="minorHAnsi"/>
        </w:rPr>
        <w:t xml:space="preserve">ETAM, </w:t>
      </w:r>
      <w:r w:rsidR="009F60A2" w:rsidRPr="0001179E">
        <w:rPr>
          <w:rFonts w:ascii="Palatino Linotype" w:hAnsi="Palatino Linotype" w:cstheme="minorHAnsi"/>
        </w:rPr>
        <w:t xml:space="preserve">en un porcentaje de </w:t>
      </w:r>
      <w:r w:rsidR="00794F0B" w:rsidRPr="0001179E">
        <w:rPr>
          <w:rFonts w:ascii="Palatino Linotype" w:hAnsi="Palatino Linotype" w:cstheme="minorHAnsi"/>
        </w:rPr>
        <w:t xml:space="preserve">hasta el </w:t>
      </w:r>
      <w:r w:rsidR="009F60A2" w:rsidRPr="0001179E">
        <w:rPr>
          <w:rFonts w:ascii="Palatino Linotype" w:hAnsi="Palatino Linotype" w:cstheme="minorHAnsi"/>
        </w:rPr>
        <w:t>1</w:t>
      </w:r>
      <w:r w:rsidRPr="0001179E">
        <w:rPr>
          <w:rFonts w:ascii="Palatino Linotype" w:hAnsi="Palatino Linotype" w:cstheme="minorHAnsi"/>
        </w:rPr>
        <w:t>0%</w:t>
      </w:r>
      <w:r w:rsidR="009F60A2" w:rsidRPr="0001179E">
        <w:rPr>
          <w:rFonts w:ascii="Palatino Linotype" w:hAnsi="Palatino Linotype" w:cstheme="minorHAnsi"/>
        </w:rPr>
        <w:t xml:space="preserve"> en más del área original que conste en el respectivo título de dominio. </w:t>
      </w:r>
    </w:p>
    <w:p w:rsidR="00CF0B75"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t xml:space="preserve">Para predios ubicados en </w:t>
      </w:r>
      <w:r w:rsidR="00AB344E" w:rsidRPr="0001179E">
        <w:rPr>
          <w:rFonts w:ascii="Palatino Linotype" w:hAnsi="Palatino Linotype" w:cstheme="minorHAnsi"/>
        </w:rPr>
        <w:t>suelo</w:t>
      </w:r>
      <w:r w:rsidRPr="0001179E">
        <w:rPr>
          <w:rFonts w:ascii="Palatino Linotype" w:hAnsi="Palatino Linotype" w:cstheme="minorHAnsi"/>
        </w:rPr>
        <w:t xml:space="preserve"> rural, se </w:t>
      </w:r>
      <w:r w:rsidR="00CF0B75" w:rsidRPr="0001179E">
        <w:rPr>
          <w:rFonts w:ascii="Palatino Linotype" w:hAnsi="Palatino Linotype" w:cstheme="minorHAnsi"/>
        </w:rPr>
        <w:t xml:space="preserve">aplicará </w:t>
      </w:r>
      <w:r w:rsidRPr="0001179E">
        <w:rPr>
          <w:rFonts w:ascii="Palatino Linotype" w:hAnsi="Palatino Linotype" w:cstheme="minorHAnsi"/>
        </w:rPr>
        <w:t xml:space="preserve">un ETAM </w:t>
      </w:r>
      <w:r w:rsidR="00CF0B75" w:rsidRPr="0001179E">
        <w:rPr>
          <w:rFonts w:ascii="Palatino Linotype" w:hAnsi="Palatino Linotype" w:cstheme="minorHAnsi"/>
        </w:rPr>
        <w:t xml:space="preserve">conforme al </w:t>
      </w:r>
      <w:r w:rsidR="009F60A2" w:rsidRPr="0001179E">
        <w:rPr>
          <w:rFonts w:ascii="Palatino Linotype" w:hAnsi="Palatino Linotype" w:cstheme="minorHAnsi"/>
        </w:rPr>
        <w:t>porcentaje</w:t>
      </w:r>
      <w:r w:rsidR="00CF0B75" w:rsidRPr="0001179E">
        <w:rPr>
          <w:rFonts w:ascii="Palatino Linotype" w:hAnsi="Palatino Linotype" w:cstheme="minorHAnsi"/>
        </w:rPr>
        <w:t xml:space="preserve"> establecido en la siguiente tabla:</w:t>
      </w:r>
    </w:p>
    <w:p w:rsidR="00CF0B75" w:rsidRPr="0001179E" w:rsidRDefault="00F122F0" w:rsidP="0001179E">
      <w:pPr>
        <w:autoSpaceDE w:val="0"/>
        <w:autoSpaceDN w:val="0"/>
        <w:adjustRightInd w:val="0"/>
        <w:spacing w:after="120"/>
        <w:jc w:val="center"/>
        <w:rPr>
          <w:rFonts w:ascii="Palatino Linotype" w:hAnsi="Palatino Linotype" w:cstheme="minorHAnsi"/>
          <w:b/>
        </w:rPr>
      </w:pPr>
      <w:r w:rsidRPr="0001179E">
        <w:rPr>
          <w:rFonts w:ascii="Palatino Linotype" w:hAnsi="Palatino Linotype" w:cstheme="minorHAnsi"/>
          <w:b/>
        </w:rPr>
        <w:t>TABLA PARA CÁLCULO ETAM RURAL</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8"/>
        <w:gridCol w:w="3387"/>
        <w:gridCol w:w="3265"/>
      </w:tblGrid>
      <w:tr w:rsidR="00946DCE" w:rsidRPr="0001179E" w:rsidTr="00946DCE">
        <w:trPr>
          <w:trHeight w:val="69"/>
        </w:trPr>
        <w:tc>
          <w:tcPr>
            <w:tcW w:w="1229" w:type="pct"/>
            <w:vAlign w:val="center"/>
          </w:tcPr>
          <w:p w:rsidR="00A74F3F" w:rsidRPr="0001179E" w:rsidRDefault="00A74F3F" w:rsidP="007C47DE">
            <w:pPr>
              <w:spacing w:after="120"/>
              <w:jc w:val="center"/>
              <w:rPr>
                <w:rFonts w:ascii="Palatino Linotype" w:hAnsi="Palatino Linotype" w:cstheme="minorHAnsi"/>
                <w:b/>
              </w:rPr>
            </w:pPr>
            <w:r w:rsidRPr="0001179E">
              <w:rPr>
                <w:rFonts w:ascii="Palatino Linotype" w:hAnsi="Palatino Linotype" w:cstheme="minorHAnsi"/>
                <w:b/>
              </w:rPr>
              <w:t>D</w:t>
            </w:r>
            <w:r w:rsidR="005B1F14">
              <w:rPr>
                <w:rFonts w:ascii="Palatino Linotype" w:hAnsi="Palatino Linotype" w:cstheme="minorHAnsi"/>
                <w:b/>
              </w:rPr>
              <w:t>e</w:t>
            </w:r>
            <w:r w:rsidRPr="0001179E">
              <w:rPr>
                <w:rFonts w:ascii="Palatino Linotype" w:hAnsi="Palatino Linotype" w:cstheme="minorHAnsi"/>
                <w:b/>
              </w:rPr>
              <w:t xml:space="preserve"> </w:t>
            </w:r>
            <w:r w:rsidR="00F122F0" w:rsidRPr="0001179E">
              <w:rPr>
                <w:rFonts w:ascii="Palatino Linotype" w:hAnsi="Palatino Linotype" w:cstheme="minorHAnsi"/>
                <w:b/>
              </w:rPr>
              <w:t>(m</w:t>
            </w:r>
            <w:r w:rsidR="00F122F0" w:rsidRPr="005B1F14">
              <w:rPr>
                <w:rFonts w:ascii="Palatino Linotype" w:hAnsi="Palatino Linotype" w:cstheme="minorHAnsi"/>
                <w:b/>
                <w:vertAlign w:val="superscript"/>
              </w:rPr>
              <w:t>2</w:t>
            </w:r>
            <w:r w:rsidR="00F122F0" w:rsidRPr="0001179E">
              <w:rPr>
                <w:rFonts w:ascii="Palatino Linotype" w:hAnsi="Palatino Linotype" w:cstheme="minorHAnsi"/>
                <w:b/>
              </w:rPr>
              <w:t>)</w:t>
            </w:r>
          </w:p>
        </w:tc>
        <w:tc>
          <w:tcPr>
            <w:tcW w:w="1920" w:type="pct"/>
            <w:vAlign w:val="center"/>
          </w:tcPr>
          <w:p w:rsidR="00A74F3F" w:rsidRPr="0001179E" w:rsidRDefault="00A74F3F" w:rsidP="005B1F14">
            <w:pPr>
              <w:spacing w:after="120"/>
              <w:jc w:val="center"/>
              <w:rPr>
                <w:rFonts w:ascii="Palatino Linotype" w:hAnsi="Palatino Linotype" w:cstheme="minorHAnsi"/>
                <w:b/>
              </w:rPr>
            </w:pPr>
            <w:r w:rsidRPr="0001179E">
              <w:rPr>
                <w:rFonts w:ascii="Palatino Linotype" w:hAnsi="Palatino Linotype" w:cstheme="minorHAnsi"/>
                <w:b/>
              </w:rPr>
              <w:t>H</w:t>
            </w:r>
            <w:r w:rsidR="005B1F14">
              <w:rPr>
                <w:rFonts w:ascii="Palatino Linotype" w:hAnsi="Palatino Linotype" w:cstheme="minorHAnsi"/>
                <w:b/>
              </w:rPr>
              <w:t xml:space="preserve">asta </w:t>
            </w:r>
            <w:r w:rsidR="00F122F0" w:rsidRPr="0001179E">
              <w:rPr>
                <w:rFonts w:ascii="Palatino Linotype" w:hAnsi="Palatino Linotype" w:cstheme="minorHAnsi"/>
                <w:b/>
              </w:rPr>
              <w:t>(m</w:t>
            </w:r>
            <w:r w:rsidR="00F122F0" w:rsidRPr="005B1F14">
              <w:rPr>
                <w:rFonts w:ascii="Palatino Linotype" w:hAnsi="Palatino Linotype" w:cstheme="minorHAnsi"/>
                <w:b/>
                <w:vertAlign w:val="superscript"/>
              </w:rPr>
              <w:t>2</w:t>
            </w:r>
            <w:r w:rsidR="00F122F0" w:rsidRPr="0001179E">
              <w:rPr>
                <w:rFonts w:ascii="Palatino Linotype" w:hAnsi="Palatino Linotype" w:cstheme="minorHAnsi"/>
                <w:b/>
              </w:rPr>
              <w:t>)</w:t>
            </w:r>
          </w:p>
        </w:tc>
        <w:tc>
          <w:tcPr>
            <w:tcW w:w="1851" w:type="pct"/>
            <w:vAlign w:val="center"/>
          </w:tcPr>
          <w:p w:rsidR="00A74F3F" w:rsidRPr="0001179E" w:rsidRDefault="00A74F3F" w:rsidP="005B1F14">
            <w:pPr>
              <w:spacing w:after="120"/>
              <w:jc w:val="center"/>
              <w:rPr>
                <w:rFonts w:ascii="Palatino Linotype" w:hAnsi="Palatino Linotype" w:cstheme="minorHAnsi"/>
                <w:b/>
              </w:rPr>
            </w:pPr>
            <w:r w:rsidRPr="0001179E">
              <w:rPr>
                <w:rFonts w:ascii="Palatino Linotype" w:hAnsi="Palatino Linotype" w:cstheme="minorHAnsi"/>
                <w:b/>
              </w:rPr>
              <w:t>P</w:t>
            </w:r>
            <w:r w:rsidR="005B1F14">
              <w:rPr>
                <w:rFonts w:ascii="Palatino Linotype" w:hAnsi="Palatino Linotype" w:cstheme="minorHAnsi"/>
                <w:b/>
              </w:rPr>
              <w:t>orcentaje (</w:t>
            </w:r>
            <w:r w:rsidR="00F122F0" w:rsidRPr="0001179E">
              <w:rPr>
                <w:rFonts w:ascii="Palatino Linotype" w:hAnsi="Palatino Linotype" w:cstheme="minorHAnsi"/>
                <w:b/>
              </w:rPr>
              <w:t>%</w:t>
            </w:r>
            <w:r w:rsidR="005B1F14">
              <w:rPr>
                <w:rFonts w:ascii="Palatino Linotype" w:hAnsi="Palatino Linotype" w:cstheme="minorHAnsi"/>
                <w:b/>
              </w:rPr>
              <w:t>)</w:t>
            </w:r>
          </w:p>
        </w:tc>
      </w:tr>
      <w:tr w:rsidR="00946DCE" w:rsidRPr="00D429EB" w:rsidTr="00946DCE">
        <w:trPr>
          <w:trHeight w:val="55"/>
        </w:trPr>
        <w:tc>
          <w:tcPr>
            <w:tcW w:w="1229" w:type="pct"/>
            <w:vAlign w:val="center"/>
          </w:tcPr>
          <w:p w:rsidR="00CF0B75" w:rsidRPr="00D429EB" w:rsidRDefault="001B6953" w:rsidP="0001179E">
            <w:pPr>
              <w:spacing w:after="120"/>
              <w:jc w:val="center"/>
              <w:rPr>
                <w:rFonts w:ascii="Palatino Linotype" w:hAnsi="Palatino Linotype" w:cstheme="minorHAnsi"/>
              </w:rPr>
            </w:pPr>
            <w:r w:rsidRPr="00D429EB">
              <w:rPr>
                <w:rFonts w:ascii="Palatino Linotype" w:hAnsi="Palatino Linotype" w:cstheme="minorHAnsi"/>
              </w:rPr>
              <w:t>1</w:t>
            </w:r>
          </w:p>
        </w:tc>
        <w:tc>
          <w:tcPr>
            <w:tcW w:w="1920" w:type="pct"/>
            <w:vAlign w:val="center"/>
          </w:tcPr>
          <w:p w:rsidR="00CF0B75" w:rsidRPr="00D429EB" w:rsidRDefault="001B6953" w:rsidP="0001179E">
            <w:pPr>
              <w:spacing w:after="120"/>
              <w:jc w:val="center"/>
              <w:rPr>
                <w:rFonts w:ascii="Palatino Linotype" w:hAnsi="Palatino Linotype" w:cstheme="minorHAnsi"/>
              </w:rPr>
            </w:pPr>
            <w:r w:rsidRPr="00D429EB">
              <w:rPr>
                <w:rFonts w:ascii="Palatino Linotype" w:hAnsi="Palatino Linotype" w:cstheme="minorHAnsi"/>
              </w:rPr>
              <w:t>5.000</w:t>
            </w:r>
          </w:p>
        </w:tc>
        <w:tc>
          <w:tcPr>
            <w:tcW w:w="1851" w:type="pct"/>
            <w:vAlign w:val="center"/>
          </w:tcPr>
          <w:p w:rsidR="00CF0B75" w:rsidRPr="00D429EB" w:rsidRDefault="00A74F3F" w:rsidP="0001179E">
            <w:pPr>
              <w:spacing w:after="120"/>
              <w:jc w:val="center"/>
              <w:rPr>
                <w:rFonts w:ascii="Palatino Linotype" w:hAnsi="Palatino Linotype" w:cstheme="minorHAnsi"/>
              </w:rPr>
            </w:pPr>
            <w:r w:rsidRPr="00D429EB">
              <w:rPr>
                <w:rFonts w:ascii="Palatino Linotype" w:hAnsi="Palatino Linotype" w:cstheme="minorHAnsi"/>
              </w:rPr>
              <w:t>10%</w:t>
            </w:r>
          </w:p>
        </w:tc>
      </w:tr>
      <w:tr w:rsidR="00946DCE" w:rsidRPr="00D429EB" w:rsidTr="00946DCE">
        <w:trPr>
          <w:trHeight w:val="61"/>
        </w:trPr>
        <w:tc>
          <w:tcPr>
            <w:tcW w:w="1229" w:type="pct"/>
            <w:vAlign w:val="center"/>
          </w:tcPr>
          <w:p w:rsidR="00A74F3F" w:rsidRPr="00D429EB" w:rsidRDefault="001B6953" w:rsidP="0001179E">
            <w:pPr>
              <w:spacing w:after="120"/>
              <w:jc w:val="center"/>
              <w:rPr>
                <w:rFonts w:ascii="Palatino Linotype" w:hAnsi="Palatino Linotype" w:cstheme="minorHAnsi"/>
              </w:rPr>
            </w:pPr>
            <w:r w:rsidRPr="00D429EB">
              <w:rPr>
                <w:rFonts w:ascii="Palatino Linotype" w:hAnsi="Palatino Linotype" w:cstheme="minorHAnsi"/>
              </w:rPr>
              <w:t>5.001</w:t>
            </w:r>
          </w:p>
        </w:tc>
        <w:tc>
          <w:tcPr>
            <w:tcW w:w="1920" w:type="pct"/>
            <w:vAlign w:val="center"/>
          </w:tcPr>
          <w:p w:rsidR="00A74F3F" w:rsidRPr="00D429EB" w:rsidRDefault="00A74F3F" w:rsidP="0001179E">
            <w:pPr>
              <w:spacing w:after="120"/>
              <w:jc w:val="center"/>
              <w:rPr>
                <w:rFonts w:ascii="Palatino Linotype" w:hAnsi="Palatino Linotype" w:cstheme="minorHAnsi"/>
              </w:rPr>
            </w:pPr>
            <w:r w:rsidRPr="00D429EB">
              <w:rPr>
                <w:rFonts w:ascii="Palatino Linotype" w:hAnsi="Palatino Linotype" w:cstheme="minorHAnsi"/>
              </w:rPr>
              <w:t>25.000</w:t>
            </w:r>
          </w:p>
        </w:tc>
        <w:tc>
          <w:tcPr>
            <w:tcW w:w="1851" w:type="pct"/>
            <w:vAlign w:val="center"/>
          </w:tcPr>
          <w:p w:rsidR="00A74F3F" w:rsidRPr="00D429EB" w:rsidRDefault="001B6953" w:rsidP="0001179E">
            <w:pPr>
              <w:spacing w:after="120"/>
              <w:jc w:val="center"/>
              <w:rPr>
                <w:rFonts w:ascii="Palatino Linotype" w:hAnsi="Palatino Linotype" w:cstheme="minorHAnsi"/>
              </w:rPr>
            </w:pPr>
            <w:r w:rsidRPr="00D429EB">
              <w:rPr>
                <w:rFonts w:ascii="Palatino Linotype" w:hAnsi="Palatino Linotype" w:cstheme="minorHAnsi"/>
              </w:rPr>
              <w:t>7.</w:t>
            </w:r>
            <w:r w:rsidR="00A74F3F" w:rsidRPr="00D429EB">
              <w:rPr>
                <w:rFonts w:ascii="Palatino Linotype" w:hAnsi="Palatino Linotype" w:cstheme="minorHAnsi"/>
              </w:rPr>
              <w:t>5%</w:t>
            </w:r>
          </w:p>
        </w:tc>
      </w:tr>
      <w:tr w:rsidR="00946DCE" w:rsidRPr="00D429EB" w:rsidTr="00946DCE">
        <w:trPr>
          <w:trHeight w:val="55"/>
        </w:trPr>
        <w:tc>
          <w:tcPr>
            <w:tcW w:w="1229" w:type="pct"/>
            <w:vAlign w:val="center"/>
          </w:tcPr>
          <w:p w:rsidR="00A74F3F" w:rsidRPr="00D429EB" w:rsidRDefault="00A74F3F" w:rsidP="0001179E">
            <w:pPr>
              <w:spacing w:after="120"/>
              <w:jc w:val="center"/>
              <w:rPr>
                <w:rFonts w:ascii="Palatino Linotype" w:hAnsi="Palatino Linotype" w:cstheme="minorHAnsi"/>
              </w:rPr>
            </w:pPr>
            <w:r w:rsidRPr="00D429EB">
              <w:rPr>
                <w:rFonts w:ascii="Palatino Linotype" w:hAnsi="Palatino Linotype" w:cstheme="minorHAnsi"/>
              </w:rPr>
              <w:t>25.001</w:t>
            </w:r>
          </w:p>
        </w:tc>
        <w:tc>
          <w:tcPr>
            <w:tcW w:w="1920" w:type="pct"/>
            <w:vAlign w:val="center"/>
          </w:tcPr>
          <w:p w:rsidR="00A74F3F" w:rsidRPr="00D429EB" w:rsidRDefault="00A74F3F" w:rsidP="0001179E">
            <w:pPr>
              <w:spacing w:after="120"/>
              <w:jc w:val="center"/>
              <w:rPr>
                <w:rFonts w:ascii="Palatino Linotype" w:hAnsi="Palatino Linotype" w:cstheme="minorHAnsi"/>
              </w:rPr>
            </w:pPr>
            <w:r w:rsidRPr="00D429EB">
              <w:rPr>
                <w:rFonts w:ascii="Palatino Linotype" w:hAnsi="Palatino Linotype" w:cstheme="minorHAnsi"/>
              </w:rPr>
              <w:t>100.000</w:t>
            </w:r>
          </w:p>
        </w:tc>
        <w:tc>
          <w:tcPr>
            <w:tcW w:w="1851" w:type="pct"/>
            <w:vAlign w:val="center"/>
          </w:tcPr>
          <w:p w:rsidR="00A74F3F" w:rsidRPr="00D429EB" w:rsidRDefault="001B6953" w:rsidP="0001179E">
            <w:pPr>
              <w:spacing w:after="120"/>
              <w:jc w:val="center"/>
              <w:rPr>
                <w:rFonts w:ascii="Palatino Linotype" w:hAnsi="Palatino Linotype" w:cstheme="minorHAnsi"/>
              </w:rPr>
            </w:pPr>
            <w:r w:rsidRPr="00D429EB">
              <w:rPr>
                <w:rFonts w:ascii="Palatino Linotype" w:hAnsi="Palatino Linotype" w:cstheme="minorHAnsi"/>
              </w:rPr>
              <w:t>5</w:t>
            </w:r>
            <w:r w:rsidR="00A74F3F" w:rsidRPr="00D429EB">
              <w:rPr>
                <w:rFonts w:ascii="Palatino Linotype" w:hAnsi="Palatino Linotype" w:cstheme="minorHAnsi"/>
              </w:rPr>
              <w:t>%</w:t>
            </w:r>
          </w:p>
        </w:tc>
      </w:tr>
      <w:tr w:rsidR="00946DCE" w:rsidRPr="00D429EB" w:rsidTr="00946DCE">
        <w:trPr>
          <w:trHeight w:val="55"/>
        </w:trPr>
        <w:tc>
          <w:tcPr>
            <w:tcW w:w="1229" w:type="pct"/>
            <w:vAlign w:val="center"/>
          </w:tcPr>
          <w:p w:rsidR="00A74F3F" w:rsidRPr="00D429EB" w:rsidRDefault="00A74F3F" w:rsidP="0001179E">
            <w:pPr>
              <w:spacing w:after="120"/>
              <w:jc w:val="center"/>
              <w:rPr>
                <w:rFonts w:ascii="Palatino Linotype" w:hAnsi="Palatino Linotype" w:cstheme="minorHAnsi"/>
              </w:rPr>
            </w:pPr>
            <w:r w:rsidRPr="00D429EB">
              <w:rPr>
                <w:rFonts w:ascii="Palatino Linotype" w:hAnsi="Palatino Linotype" w:cstheme="minorHAnsi"/>
              </w:rPr>
              <w:t>100.001</w:t>
            </w:r>
          </w:p>
        </w:tc>
        <w:tc>
          <w:tcPr>
            <w:tcW w:w="1920" w:type="pct"/>
            <w:vAlign w:val="center"/>
          </w:tcPr>
          <w:p w:rsidR="00A74F3F" w:rsidRPr="00D429EB" w:rsidRDefault="0001179E" w:rsidP="0001179E">
            <w:pPr>
              <w:spacing w:after="120"/>
              <w:jc w:val="center"/>
              <w:rPr>
                <w:rFonts w:ascii="Palatino Linotype" w:hAnsi="Palatino Linotype" w:cstheme="minorHAnsi"/>
              </w:rPr>
            </w:pPr>
            <w:r w:rsidRPr="00D429EB">
              <w:rPr>
                <w:rFonts w:ascii="Palatino Linotype" w:hAnsi="Palatino Linotype" w:cstheme="minorHAnsi"/>
              </w:rPr>
              <w:t>en adelante</w:t>
            </w:r>
          </w:p>
        </w:tc>
        <w:tc>
          <w:tcPr>
            <w:tcW w:w="1851" w:type="pct"/>
            <w:vAlign w:val="center"/>
          </w:tcPr>
          <w:p w:rsidR="00A74F3F" w:rsidRPr="00D429EB" w:rsidRDefault="001B6953" w:rsidP="0001179E">
            <w:pPr>
              <w:spacing w:after="120"/>
              <w:jc w:val="center"/>
              <w:rPr>
                <w:rFonts w:ascii="Palatino Linotype" w:hAnsi="Palatino Linotype" w:cstheme="minorHAnsi"/>
              </w:rPr>
            </w:pPr>
            <w:r w:rsidRPr="00D429EB">
              <w:rPr>
                <w:rFonts w:ascii="Palatino Linotype" w:hAnsi="Palatino Linotype" w:cstheme="minorHAnsi"/>
              </w:rPr>
              <w:t>2</w:t>
            </w:r>
            <w:r w:rsidR="00A74F3F" w:rsidRPr="00D429EB">
              <w:rPr>
                <w:rFonts w:ascii="Palatino Linotype" w:hAnsi="Palatino Linotype" w:cstheme="minorHAnsi"/>
              </w:rPr>
              <w:t>%</w:t>
            </w:r>
          </w:p>
        </w:tc>
      </w:tr>
      <w:tr w:rsidR="00CF0B75" w:rsidRPr="0001179E" w:rsidTr="00946DCE">
        <w:trPr>
          <w:trHeight w:val="354"/>
        </w:trPr>
        <w:tc>
          <w:tcPr>
            <w:tcW w:w="5000" w:type="pct"/>
            <w:gridSpan w:val="3"/>
            <w:tcBorders>
              <w:left w:val="nil"/>
              <w:bottom w:val="nil"/>
              <w:right w:val="nil"/>
            </w:tcBorders>
            <w:vAlign w:val="center"/>
          </w:tcPr>
          <w:p w:rsidR="00CF0B75" w:rsidRPr="0001179E" w:rsidRDefault="00CF0B75" w:rsidP="00D429EB">
            <w:pPr>
              <w:pStyle w:val="Prrafodelista"/>
              <w:autoSpaceDE w:val="0"/>
              <w:autoSpaceDN w:val="0"/>
              <w:adjustRightInd w:val="0"/>
              <w:spacing w:after="120"/>
              <w:ind w:left="0"/>
              <w:rPr>
                <w:rFonts w:ascii="Palatino Linotype" w:hAnsi="Palatino Linotype" w:cstheme="minorHAnsi"/>
                <w:b/>
                <w:strike/>
              </w:rPr>
            </w:pPr>
          </w:p>
        </w:tc>
      </w:tr>
    </w:tbl>
    <w:p w:rsidR="00630716" w:rsidRPr="0001179E" w:rsidRDefault="00630716" w:rsidP="0001179E">
      <w:pPr>
        <w:autoSpaceDE w:val="0"/>
        <w:autoSpaceDN w:val="0"/>
        <w:adjustRightInd w:val="0"/>
        <w:spacing w:after="120"/>
        <w:jc w:val="both"/>
        <w:rPr>
          <w:rFonts w:ascii="Palatino Linotype" w:hAnsi="Palatino Linotype" w:cs="Calibri-Italic"/>
          <w:iCs/>
        </w:rPr>
      </w:pPr>
      <w:r w:rsidRPr="0001179E">
        <w:rPr>
          <w:rFonts w:ascii="Palatino Linotype" w:hAnsi="Palatino Linotype" w:cs="Calibri-BoldItalic"/>
          <w:b/>
          <w:bCs/>
          <w:iCs/>
        </w:rPr>
        <w:t>Artículo... (4).- Formas de detección de presuntos excedentes y diferencias en relación a la superficie constante en el título de dominio y procedimiento a seguir</w:t>
      </w:r>
      <w:r w:rsidRPr="0001179E">
        <w:rPr>
          <w:rFonts w:ascii="Palatino Linotype" w:hAnsi="Palatino Linotype" w:cs="Calibri-Italic"/>
          <w:iCs/>
        </w:rPr>
        <w:t>.</w:t>
      </w:r>
      <w:r w:rsidR="0001179E">
        <w:rPr>
          <w:rFonts w:ascii="Palatino Linotype" w:hAnsi="Palatino Linotype" w:cs="Calibri-Italic"/>
          <w:iCs/>
        </w:rPr>
        <w:t xml:space="preserve">- </w:t>
      </w:r>
      <w:r w:rsidRPr="0001179E">
        <w:rPr>
          <w:rFonts w:ascii="Palatino Linotype" w:hAnsi="Palatino Linotype" w:cs="Calibri-Italic"/>
          <w:iCs/>
        </w:rPr>
        <w:t xml:space="preserve">Los mecanismos para la detección de presuntos excedentes y diferencias y los trámites que requieran como requisito previo </w:t>
      </w:r>
      <w:r w:rsidR="00AD6417">
        <w:rPr>
          <w:rFonts w:ascii="Palatino Linotype" w:hAnsi="Palatino Linotype" w:cs="Calibri-Italic"/>
          <w:iCs/>
        </w:rPr>
        <w:t xml:space="preserve">a </w:t>
      </w:r>
      <w:r w:rsidRPr="0001179E">
        <w:rPr>
          <w:rFonts w:ascii="Palatino Linotype" w:hAnsi="Palatino Linotype" w:cs="Calibri-Italic"/>
          <w:iCs/>
        </w:rPr>
        <w:t>la regularización prevista en este Título, serán determinados mediante resolución del Alcalde Metropolitano.</w:t>
      </w:r>
    </w:p>
    <w:p w:rsidR="00630716" w:rsidRPr="0001179E" w:rsidRDefault="00630716" w:rsidP="0001179E">
      <w:pPr>
        <w:autoSpaceDE w:val="0"/>
        <w:autoSpaceDN w:val="0"/>
        <w:adjustRightInd w:val="0"/>
        <w:spacing w:after="120"/>
        <w:jc w:val="both"/>
        <w:rPr>
          <w:rFonts w:ascii="Palatino Linotype" w:hAnsi="Palatino Linotype" w:cs="Calibri-Italic"/>
          <w:iCs/>
        </w:rPr>
      </w:pPr>
      <w:r w:rsidRPr="0001179E">
        <w:rPr>
          <w:rFonts w:ascii="Palatino Linotype" w:hAnsi="Palatino Linotype" w:cs="Calibri-Italic"/>
          <w:iCs/>
        </w:rPr>
        <w:t>La presunción de excedente o diferencia, puede ser desvirtuada a través de documentación y/o inspección solicitada por el administrado y practicada por la Autoridad Administrativa competente que, in situ, demuestre que no existe el excedente o diferencia.</w:t>
      </w:r>
    </w:p>
    <w:p w:rsidR="00630716" w:rsidRPr="0001179E" w:rsidRDefault="00630716" w:rsidP="0001179E">
      <w:pPr>
        <w:autoSpaceDE w:val="0"/>
        <w:autoSpaceDN w:val="0"/>
        <w:adjustRightInd w:val="0"/>
        <w:spacing w:after="120"/>
        <w:jc w:val="both"/>
        <w:rPr>
          <w:rFonts w:ascii="Palatino Linotype" w:hAnsi="Palatino Linotype"/>
        </w:rPr>
      </w:pPr>
      <w:r w:rsidRPr="0001179E">
        <w:rPr>
          <w:rFonts w:ascii="Palatino Linotype" w:hAnsi="Palatino Linotype" w:cs="Calibri-Italic"/>
          <w:iCs/>
        </w:rPr>
        <w:lastRenderedPageBreak/>
        <w:t>De verificarse excedente o diferencia de superficie en los trámites y por los mecanismos que se determinen mediante resolución del Alcalde, el administrado se sujetará al proceso de regularización constante en este Título</w:t>
      </w:r>
    </w:p>
    <w:p w:rsidR="00554A28"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bCs/>
        </w:rPr>
        <w:t xml:space="preserve">Artículo... (5).- Determinación de </w:t>
      </w:r>
      <w:r w:rsidR="00D429EB">
        <w:rPr>
          <w:rFonts w:ascii="Palatino Linotype" w:hAnsi="Palatino Linotype" w:cstheme="minorHAnsi"/>
          <w:b/>
          <w:bCs/>
        </w:rPr>
        <w:t>l</w:t>
      </w:r>
      <w:r w:rsidR="00BB4464" w:rsidRPr="0001179E">
        <w:rPr>
          <w:rFonts w:ascii="Palatino Linotype" w:hAnsi="Palatino Linotype" w:cstheme="minorHAnsi"/>
          <w:b/>
          <w:bCs/>
        </w:rPr>
        <w:t xml:space="preserve">inderos </w:t>
      </w:r>
      <w:r w:rsidR="00D429EB">
        <w:rPr>
          <w:rFonts w:ascii="Palatino Linotype" w:hAnsi="Palatino Linotype" w:cstheme="minorHAnsi"/>
          <w:b/>
          <w:bCs/>
        </w:rPr>
        <w:t>c</w:t>
      </w:r>
      <w:r w:rsidRPr="0001179E">
        <w:rPr>
          <w:rFonts w:ascii="Palatino Linotype" w:hAnsi="Palatino Linotype" w:cstheme="minorHAnsi"/>
          <w:b/>
          <w:bCs/>
        </w:rPr>
        <w:t>o</w:t>
      </w:r>
      <w:r w:rsidR="00BB4464" w:rsidRPr="0001179E">
        <w:rPr>
          <w:rFonts w:ascii="Palatino Linotype" w:hAnsi="Palatino Linotype" w:cstheme="minorHAnsi"/>
          <w:b/>
          <w:bCs/>
        </w:rPr>
        <w:t>nso</w:t>
      </w:r>
      <w:r w:rsidRPr="0001179E">
        <w:rPr>
          <w:rFonts w:ascii="Palatino Linotype" w:hAnsi="Palatino Linotype" w:cstheme="minorHAnsi"/>
          <w:b/>
          <w:bCs/>
        </w:rPr>
        <w:t xml:space="preserve">lidados.- </w:t>
      </w:r>
      <w:r w:rsidRPr="0001179E">
        <w:rPr>
          <w:rFonts w:ascii="Palatino Linotype" w:hAnsi="Palatino Linotype" w:cstheme="minorHAnsi"/>
        </w:rPr>
        <w:t>Para la determinación de los linderos consolidados se considerará tanto los elementos físicos permanentes existentes en el lote, como muros, cerramientos y similares; carreteras, caminos; así como los elementos naturales existentes, como ríos, quebradas, taludes, espejos de agua o cualquier otro accidente geográfico.</w:t>
      </w:r>
    </w:p>
    <w:p w:rsidR="00554A28"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bCs/>
        </w:rPr>
        <w:t xml:space="preserve">Artículo... (6).- Autoridad Administrativa Competente.- </w:t>
      </w:r>
      <w:r w:rsidRPr="0001179E">
        <w:rPr>
          <w:rFonts w:ascii="Palatino Linotype" w:hAnsi="Palatino Linotype" w:cstheme="minorHAnsi"/>
          <w:bCs/>
        </w:rPr>
        <w:t xml:space="preserve">El </w:t>
      </w:r>
      <w:r w:rsidR="007F1D5A" w:rsidRPr="0001179E">
        <w:rPr>
          <w:rFonts w:ascii="Palatino Linotype" w:hAnsi="Palatino Linotype" w:cstheme="minorHAnsi"/>
          <w:bCs/>
        </w:rPr>
        <w:t>Alcalde Metropolitano del Distrito Metropolitano de Quito</w:t>
      </w:r>
      <w:r w:rsidR="00904C76" w:rsidRPr="0001179E">
        <w:rPr>
          <w:rFonts w:ascii="Palatino Linotype" w:hAnsi="Palatino Linotype" w:cstheme="minorHAnsi"/>
          <w:bCs/>
        </w:rPr>
        <w:t xml:space="preserve"> o su Delegado</w:t>
      </w:r>
      <w:r w:rsidR="00862B42" w:rsidRPr="0001179E">
        <w:rPr>
          <w:rFonts w:ascii="Palatino Linotype" w:hAnsi="Palatino Linotype" w:cstheme="minorHAnsi"/>
          <w:bCs/>
        </w:rPr>
        <w:t>,</w:t>
      </w:r>
      <w:r w:rsidRPr="0001179E">
        <w:rPr>
          <w:rFonts w:ascii="Palatino Linotype" w:hAnsi="Palatino Linotype" w:cstheme="minorHAnsi"/>
          <w:bCs/>
        </w:rPr>
        <w:t xml:space="preserve"> </w:t>
      </w:r>
      <w:r w:rsidR="007D28EA" w:rsidRPr="0001179E">
        <w:rPr>
          <w:rFonts w:ascii="Palatino Linotype" w:hAnsi="Palatino Linotype" w:cstheme="minorHAnsi"/>
          <w:bCs/>
        </w:rPr>
        <w:t>es</w:t>
      </w:r>
      <w:r w:rsidRPr="0001179E">
        <w:rPr>
          <w:rFonts w:ascii="Palatino Linotype" w:hAnsi="Palatino Linotype" w:cstheme="minorHAnsi"/>
        </w:rPr>
        <w:t xml:space="preserve"> la Autoridad Administrativa competente para conocer y resolver bajo su responsabilidad el proceso de regularización de excedentes o diferencias provenientes de errores de cálculo o </w:t>
      </w:r>
      <w:r w:rsidR="000E5BB0" w:rsidRPr="0001179E">
        <w:rPr>
          <w:rFonts w:ascii="Palatino Linotype" w:hAnsi="Palatino Linotype" w:cstheme="minorHAnsi"/>
        </w:rPr>
        <w:t>de medidas</w:t>
      </w:r>
      <w:r w:rsidRPr="0001179E">
        <w:rPr>
          <w:rFonts w:ascii="Palatino Linotype" w:hAnsi="Palatino Linotype" w:cstheme="minorHAnsi"/>
        </w:rPr>
        <w:t xml:space="preserve"> objeto de este Título.</w:t>
      </w:r>
    </w:p>
    <w:p w:rsidR="00554A28" w:rsidRPr="0001179E" w:rsidRDefault="00554A28" w:rsidP="0001179E">
      <w:pPr>
        <w:autoSpaceDE w:val="0"/>
        <w:autoSpaceDN w:val="0"/>
        <w:adjustRightInd w:val="0"/>
        <w:spacing w:after="120"/>
        <w:jc w:val="both"/>
        <w:rPr>
          <w:rFonts w:ascii="Palatino Linotype" w:hAnsi="Palatino Linotype" w:cstheme="minorHAnsi"/>
          <w:b/>
          <w:bCs/>
        </w:rPr>
      </w:pPr>
      <w:r w:rsidRPr="0001179E">
        <w:rPr>
          <w:rFonts w:ascii="Palatino Linotype" w:hAnsi="Palatino Linotype" w:cstheme="minorHAnsi"/>
          <w:b/>
          <w:bCs/>
        </w:rPr>
        <w:t>Artículo... (7).- Iniciativa de la regularización.-</w:t>
      </w:r>
    </w:p>
    <w:p w:rsidR="00554A28" w:rsidRPr="0001179E" w:rsidRDefault="00554A28" w:rsidP="0001179E">
      <w:pPr>
        <w:autoSpaceDE w:val="0"/>
        <w:autoSpaceDN w:val="0"/>
        <w:adjustRightInd w:val="0"/>
        <w:spacing w:after="120"/>
        <w:jc w:val="both"/>
        <w:rPr>
          <w:rFonts w:ascii="Palatino Linotype" w:hAnsi="Palatino Linotype" w:cstheme="minorHAnsi"/>
        </w:rPr>
      </w:pPr>
      <w:r w:rsidRPr="00D429EB">
        <w:rPr>
          <w:rFonts w:ascii="Palatino Linotype" w:hAnsi="Palatino Linotype" w:cstheme="minorHAnsi"/>
          <w:b/>
        </w:rPr>
        <w:t xml:space="preserve">1.- </w:t>
      </w:r>
      <w:r w:rsidRPr="0001179E">
        <w:rPr>
          <w:rFonts w:ascii="Palatino Linotype" w:hAnsi="Palatino Linotype" w:cstheme="minorHAnsi"/>
        </w:rPr>
        <w:t>Sin perjuicio de lo previsto en el artículo anterior, la iniciativa para la regularización de excedentes o diferencias objeto de este Título, podrá provenir directamente del administrado o de oficio, a través de la Autoridad Administrativa Competente del Municipio del Distrito Metropolitano de Quito.</w:t>
      </w:r>
    </w:p>
    <w:p w:rsidR="00554A28" w:rsidRPr="0001179E" w:rsidRDefault="00554A28" w:rsidP="0001179E">
      <w:pPr>
        <w:autoSpaceDE w:val="0"/>
        <w:autoSpaceDN w:val="0"/>
        <w:adjustRightInd w:val="0"/>
        <w:spacing w:after="120"/>
        <w:jc w:val="both"/>
        <w:rPr>
          <w:rFonts w:ascii="Palatino Linotype" w:hAnsi="Palatino Linotype" w:cstheme="minorHAnsi"/>
        </w:rPr>
      </w:pPr>
      <w:r w:rsidRPr="00D429EB">
        <w:rPr>
          <w:rFonts w:ascii="Palatino Linotype" w:hAnsi="Palatino Linotype" w:cstheme="minorHAnsi"/>
          <w:b/>
        </w:rPr>
        <w:t>2.-</w:t>
      </w:r>
      <w:r w:rsidRPr="0001179E">
        <w:rPr>
          <w:rFonts w:ascii="Palatino Linotype" w:hAnsi="Palatino Linotype" w:cstheme="minorHAnsi"/>
        </w:rPr>
        <w:t xml:space="preserve"> En el caso de que la iniciativa provenga del administrado, el trámite iniciará con la presentación de la solicitud ante </w:t>
      </w:r>
      <w:r w:rsidR="00482E4F" w:rsidRPr="0001179E">
        <w:rPr>
          <w:rFonts w:ascii="Palatino Linotype" w:hAnsi="Palatino Linotype" w:cstheme="minorHAnsi"/>
        </w:rPr>
        <w:t>el órgano administrativo competente</w:t>
      </w:r>
      <w:r w:rsidRPr="0001179E">
        <w:rPr>
          <w:rFonts w:ascii="Palatino Linotype" w:hAnsi="Palatino Linotype" w:cstheme="minorHAnsi"/>
        </w:rPr>
        <w:t>, formulario que deberá contener la declaración juramentada efectuada por el propietario en la que se determine que la titularidad del lote no est</w:t>
      </w:r>
      <w:r w:rsidR="006E7759" w:rsidRPr="0001179E">
        <w:rPr>
          <w:rFonts w:ascii="Palatino Linotype" w:hAnsi="Palatino Linotype" w:cstheme="minorHAnsi"/>
        </w:rPr>
        <w:t>á</w:t>
      </w:r>
      <w:r w:rsidRPr="0001179E">
        <w:rPr>
          <w:rFonts w:ascii="Palatino Linotype" w:hAnsi="Palatino Linotype" w:cstheme="minorHAnsi"/>
        </w:rPr>
        <w:t xml:space="preserve"> en disputa; y, que la regularización que se solicita no afecte pro</w:t>
      </w:r>
      <w:r w:rsidR="00C8246F" w:rsidRPr="0001179E">
        <w:rPr>
          <w:rFonts w:ascii="Palatino Linotype" w:hAnsi="Palatino Linotype" w:cstheme="minorHAnsi"/>
        </w:rPr>
        <w:t>piedad municipal ni de terceros.</w:t>
      </w:r>
      <w:r w:rsidRPr="0001179E">
        <w:rPr>
          <w:rFonts w:ascii="Palatino Linotype" w:hAnsi="Palatino Linotype" w:cstheme="minorHAnsi"/>
        </w:rPr>
        <w:t xml:space="preserve"> </w:t>
      </w:r>
      <w:r w:rsidR="00C8246F" w:rsidRPr="0001179E">
        <w:rPr>
          <w:rFonts w:ascii="Palatino Linotype" w:hAnsi="Palatino Linotype" w:cstheme="minorHAnsi"/>
        </w:rPr>
        <w:t>Cuando la petición sea para regularizar un excedente</w:t>
      </w:r>
      <w:r w:rsidR="009A1F8C" w:rsidRPr="0001179E">
        <w:rPr>
          <w:rFonts w:ascii="Palatino Linotype" w:hAnsi="Palatino Linotype" w:cstheme="minorHAnsi"/>
        </w:rPr>
        <w:t xml:space="preserve"> que supere el ETAM</w:t>
      </w:r>
      <w:r w:rsidR="00C8246F" w:rsidRPr="0001179E">
        <w:rPr>
          <w:rFonts w:ascii="Palatino Linotype" w:hAnsi="Palatino Linotype" w:cstheme="minorHAnsi"/>
        </w:rPr>
        <w:t xml:space="preserve">, la declaración juramentada debe realizarla el propietario o uno de los copropietarios del inmueble; tratándose de diferencias, la declaración </w:t>
      </w:r>
      <w:r w:rsidR="00BA7CB6" w:rsidRPr="0001179E">
        <w:rPr>
          <w:rFonts w:ascii="Palatino Linotype" w:hAnsi="Palatino Linotype" w:cstheme="minorHAnsi"/>
        </w:rPr>
        <w:t>la realizará</w:t>
      </w:r>
      <w:r w:rsidR="00C8246F" w:rsidRPr="0001179E">
        <w:rPr>
          <w:rFonts w:ascii="Palatino Linotype" w:hAnsi="Palatino Linotype" w:cstheme="minorHAnsi"/>
        </w:rPr>
        <w:t xml:space="preserve"> </w:t>
      </w:r>
      <w:r w:rsidR="00A61818" w:rsidRPr="0001179E">
        <w:rPr>
          <w:rFonts w:ascii="Palatino Linotype" w:hAnsi="Palatino Linotype" w:cstheme="minorHAnsi"/>
        </w:rPr>
        <w:t>e</w:t>
      </w:r>
      <w:r w:rsidR="00C8246F" w:rsidRPr="0001179E">
        <w:rPr>
          <w:rFonts w:ascii="Palatino Linotype" w:hAnsi="Palatino Linotype" w:cstheme="minorHAnsi"/>
        </w:rPr>
        <w:t>l o los propietarios del mismo</w:t>
      </w:r>
      <w:r w:rsidR="006E7759" w:rsidRPr="0001179E">
        <w:rPr>
          <w:rFonts w:ascii="Palatino Linotype" w:hAnsi="Palatino Linotype" w:cstheme="minorHAnsi"/>
        </w:rPr>
        <w:t>.</w:t>
      </w:r>
      <w:r w:rsidR="00C8246F" w:rsidRPr="0001179E">
        <w:rPr>
          <w:rFonts w:ascii="Palatino Linotype" w:hAnsi="Palatino Linotype" w:cstheme="minorHAnsi"/>
        </w:rPr>
        <w:t xml:space="preserve"> </w:t>
      </w:r>
      <w:r w:rsidR="006E7759" w:rsidRPr="0001179E">
        <w:rPr>
          <w:rFonts w:ascii="Palatino Linotype" w:hAnsi="Palatino Linotype" w:cstheme="minorHAnsi"/>
        </w:rPr>
        <w:t>A</w:t>
      </w:r>
      <w:r w:rsidR="00C8246F" w:rsidRPr="0001179E">
        <w:rPr>
          <w:rFonts w:ascii="Palatino Linotype" w:hAnsi="Palatino Linotype" w:cstheme="minorHAnsi"/>
        </w:rPr>
        <w:t xml:space="preserve"> esta </w:t>
      </w:r>
      <w:r w:rsidRPr="0001179E">
        <w:rPr>
          <w:rFonts w:ascii="Palatino Linotype" w:hAnsi="Palatino Linotype" w:cstheme="minorHAnsi"/>
        </w:rPr>
        <w:t>petición se acompañará</w:t>
      </w:r>
      <w:r w:rsidR="009A1F8C" w:rsidRPr="0001179E">
        <w:rPr>
          <w:rFonts w:ascii="Palatino Linotype" w:hAnsi="Palatino Linotype" w:cstheme="minorHAnsi"/>
        </w:rPr>
        <w:t>n</w:t>
      </w:r>
      <w:r w:rsidRPr="0001179E">
        <w:rPr>
          <w:rFonts w:ascii="Palatino Linotype" w:hAnsi="Palatino Linotype" w:cstheme="minorHAnsi"/>
        </w:rPr>
        <w:t xml:space="preserve"> los requisitos que se detallan a continuación:   </w:t>
      </w:r>
    </w:p>
    <w:p w:rsidR="00554A28" w:rsidRPr="0001179E" w:rsidRDefault="00554A28" w:rsidP="0001179E">
      <w:pPr>
        <w:pStyle w:val="Prrafodelista"/>
        <w:numPr>
          <w:ilvl w:val="0"/>
          <w:numId w:val="12"/>
        </w:numPr>
        <w:spacing w:after="120"/>
        <w:jc w:val="both"/>
        <w:rPr>
          <w:rFonts w:ascii="Palatino Linotype" w:hAnsi="Palatino Linotype" w:cstheme="minorHAnsi"/>
        </w:rPr>
      </w:pPr>
      <w:r w:rsidRPr="0001179E">
        <w:rPr>
          <w:rFonts w:ascii="Palatino Linotype" w:hAnsi="Palatino Linotype" w:cstheme="minorHAnsi"/>
        </w:rPr>
        <w:t xml:space="preserve">Cédula y papeleta de votación </w:t>
      </w:r>
      <w:r w:rsidRPr="0001179E">
        <w:rPr>
          <w:rFonts w:ascii="Palatino Linotype" w:hAnsi="Palatino Linotype" w:cstheme="minorHAnsi"/>
          <w:color w:val="000000" w:themeColor="text1"/>
        </w:rPr>
        <w:t>del propietario</w:t>
      </w:r>
      <w:r w:rsidR="007A1F2A" w:rsidRPr="0001179E">
        <w:rPr>
          <w:rFonts w:ascii="Palatino Linotype" w:hAnsi="Palatino Linotype" w:cstheme="minorHAnsi"/>
          <w:color w:val="000000" w:themeColor="text1"/>
        </w:rPr>
        <w:t>(s) y/</w:t>
      </w:r>
      <w:r w:rsidR="00A626A4" w:rsidRPr="0001179E">
        <w:rPr>
          <w:rFonts w:ascii="Palatino Linotype" w:hAnsi="Palatino Linotype" w:cstheme="minorHAnsi"/>
          <w:color w:val="000000" w:themeColor="text1"/>
        </w:rPr>
        <w:t>o</w:t>
      </w:r>
      <w:r w:rsidR="007A1F2A" w:rsidRPr="0001179E">
        <w:rPr>
          <w:rFonts w:ascii="Palatino Linotype" w:hAnsi="Palatino Linotype" w:cstheme="minorHAnsi"/>
          <w:color w:val="000000" w:themeColor="text1"/>
        </w:rPr>
        <w:t xml:space="preserve"> copropietarios</w:t>
      </w:r>
      <w:r w:rsidR="0045676A" w:rsidRPr="0001179E">
        <w:rPr>
          <w:rFonts w:ascii="Palatino Linotype" w:hAnsi="Palatino Linotype" w:cstheme="minorHAnsi"/>
        </w:rPr>
        <w:t xml:space="preserve"> del inmueble</w:t>
      </w:r>
      <w:r w:rsidR="00245A59" w:rsidRPr="0001179E">
        <w:rPr>
          <w:rFonts w:ascii="Palatino Linotype" w:hAnsi="Palatino Linotype" w:cstheme="minorHAnsi"/>
        </w:rPr>
        <w:t>,</w:t>
      </w:r>
      <w:r w:rsidR="0045676A" w:rsidRPr="0001179E">
        <w:rPr>
          <w:rFonts w:ascii="Palatino Linotype" w:hAnsi="Palatino Linotype" w:cstheme="minorHAnsi"/>
        </w:rPr>
        <w:t xml:space="preserve"> según sea el caso;</w:t>
      </w:r>
    </w:p>
    <w:p w:rsidR="00554A28" w:rsidRPr="0001179E" w:rsidRDefault="00554A28" w:rsidP="0001179E">
      <w:pPr>
        <w:pStyle w:val="Prrafodelista"/>
        <w:numPr>
          <w:ilvl w:val="0"/>
          <w:numId w:val="12"/>
        </w:numPr>
        <w:spacing w:after="120"/>
        <w:jc w:val="both"/>
        <w:rPr>
          <w:rFonts w:ascii="Palatino Linotype" w:hAnsi="Palatino Linotype" w:cstheme="minorHAnsi"/>
        </w:rPr>
      </w:pPr>
      <w:r w:rsidRPr="0001179E">
        <w:rPr>
          <w:rFonts w:ascii="Palatino Linotype" w:hAnsi="Palatino Linotype" w:cstheme="minorHAnsi"/>
        </w:rPr>
        <w:t>Título que acredite la propiedad del inmueble que contenga la superficie del lote;</w:t>
      </w:r>
    </w:p>
    <w:p w:rsidR="00554A28" w:rsidRPr="0001179E" w:rsidRDefault="00554A28" w:rsidP="0001179E">
      <w:pPr>
        <w:pStyle w:val="Prrafodelista"/>
        <w:numPr>
          <w:ilvl w:val="0"/>
          <w:numId w:val="12"/>
        </w:numPr>
        <w:spacing w:after="120"/>
        <w:jc w:val="both"/>
        <w:rPr>
          <w:rFonts w:ascii="Palatino Linotype" w:hAnsi="Palatino Linotype" w:cstheme="minorHAnsi"/>
        </w:rPr>
      </w:pPr>
      <w:r w:rsidRPr="0001179E">
        <w:rPr>
          <w:rFonts w:ascii="Palatino Linotype" w:hAnsi="Palatino Linotype" w:cstheme="minorHAnsi"/>
        </w:rPr>
        <w:t xml:space="preserve">Certificado de gravámenes emitido por el Registrador </w:t>
      </w:r>
      <w:r w:rsidR="00C2031C" w:rsidRPr="0001179E">
        <w:rPr>
          <w:rFonts w:ascii="Palatino Linotype" w:hAnsi="Palatino Linotype" w:cstheme="minorHAnsi"/>
        </w:rPr>
        <w:t>de la Propiedad</w:t>
      </w:r>
      <w:r w:rsidRPr="0001179E">
        <w:rPr>
          <w:rFonts w:ascii="Palatino Linotype" w:hAnsi="Palatino Linotype" w:cstheme="minorHAnsi"/>
        </w:rPr>
        <w:t xml:space="preserve">; </w:t>
      </w:r>
    </w:p>
    <w:p w:rsidR="00595BDD" w:rsidRPr="0001179E" w:rsidRDefault="00554A28" w:rsidP="0001179E">
      <w:pPr>
        <w:pStyle w:val="Prrafodelista"/>
        <w:numPr>
          <w:ilvl w:val="0"/>
          <w:numId w:val="12"/>
        </w:num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lastRenderedPageBreak/>
        <w:t>Levantamiento planimétrico georeferenciado del inmueble, que no afecte el derecho de terceros y que tenga relación con los linderos consolidados del lote</w:t>
      </w:r>
      <w:r w:rsidR="006B0371" w:rsidRPr="0001179E">
        <w:rPr>
          <w:rFonts w:ascii="Palatino Linotype" w:hAnsi="Palatino Linotype" w:cstheme="minorHAnsi"/>
        </w:rPr>
        <w:t xml:space="preserve">, para los casos de lotes que superen el error </w:t>
      </w:r>
      <w:r w:rsidR="00D8560C" w:rsidRPr="0001179E">
        <w:rPr>
          <w:rFonts w:ascii="Palatino Linotype" w:hAnsi="Palatino Linotype" w:cstheme="minorHAnsi"/>
        </w:rPr>
        <w:t>técnico aceptable de medición;</w:t>
      </w:r>
      <w:r w:rsidR="00412147" w:rsidRPr="0001179E">
        <w:rPr>
          <w:rFonts w:ascii="Palatino Linotype" w:hAnsi="Palatino Linotype" w:cstheme="minorHAnsi"/>
        </w:rPr>
        <w:t xml:space="preserve"> </w:t>
      </w:r>
      <w:r w:rsidR="00D8560C" w:rsidRPr="0001179E">
        <w:rPr>
          <w:rFonts w:ascii="Palatino Linotype" w:hAnsi="Palatino Linotype" w:cstheme="minorHAnsi"/>
        </w:rPr>
        <w:t>y,</w:t>
      </w:r>
    </w:p>
    <w:p w:rsidR="00D8560C" w:rsidRPr="0001179E" w:rsidRDefault="00D8560C" w:rsidP="0001179E">
      <w:pPr>
        <w:pStyle w:val="Prrafodelista"/>
        <w:numPr>
          <w:ilvl w:val="0"/>
          <w:numId w:val="12"/>
        </w:num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t xml:space="preserve">Pago de tasa por trámites y servicios municipales en los procedimientos de regularización de superficies que superan el ETAM y de </w:t>
      </w:r>
      <w:r w:rsidR="006A334D">
        <w:rPr>
          <w:rFonts w:ascii="Palatino Linotype" w:hAnsi="Palatino Linotype" w:cstheme="minorHAnsi"/>
        </w:rPr>
        <w:t>d</w:t>
      </w:r>
      <w:r w:rsidRPr="0001179E">
        <w:rPr>
          <w:rFonts w:ascii="Palatino Linotype" w:hAnsi="Palatino Linotype" w:cstheme="minorHAnsi"/>
        </w:rPr>
        <w:t>iferencias de áreas de terreno.</w:t>
      </w:r>
    </w:p>
    <w:p w:rsidR="00120062" w:rsidRPr="0001179E" w:rsidRDefault="00554A28" w:rsidP="0001179E">
      <w:pPr>
        <w:autoSpaceDE w:val="0"/>
        <w:autoSpaceDN w:val="0"/>
        <w:adjustRightInd w:val="0"/>
        <w:spacing w:after="120"/>
        <w:jc w:val="both"/>
        <w:rPr>
          <w:rFonts w:ascii="Palatino Linotype" w:hAnsi="Palatino Linotype" w:cstheme="minorHAnsi"/>
        </w:rPr>
      </w:pPr>
      <w:r w:rsidRPr="006A334D">
        <w:rPr>
          <w:rFonts w:ascii="Palatino Linotype" w:hAnsi="Palatino Linotype" w:cstheme="minorHAnsi"/>
          <w:b/>
        </w:rPr>
        <w:t>3.</w:t>
      </w:r>
      <w:r w:rsidR="006A334D" w:rsidRPr="006A334D">
        <w:rPr>
          <w:rFonts w:ascii="Palatino Linotype" w:hAnsi="Palatino Linotype" w:cstheme="minorHAnsi"/>
          <w:b/>
        </w:rPr>
        <w:t>-</w:t>
      </w:r>
      <w:r w:rsidRPr="0001179E">
        <w:rPr>
          <w:rFonts w:ascii="Palatino Linotype" w:hAnsi="Palatino Linotype" w:cstheme="minorHAnsi"/>
        </w:rPr>
        <w:t xml:space="preserve"> Cuando en un trámite que se realice en instancia metropolitana, se requiera la regularización de excedentes o diferencias objeto de este Título, </w:t>
      </w:r>
      <w:r w:rsidR="00DA596A" w:rsidRPr="0001179E">
        <w:rPr>
          <w:rFonts w:ascii="Palatino Linotype" w:hAnsi="Palatino Linotype" w:cstheme="minorHAnsi"/>
        </w:rPr>
        <w:t>e</w:t>
      </w:r>
      <w:r w:rsidRPr="0001179E">
        <w:rPr>
          <w:rFonts w:ascii="Palatino Linotype" w:hAnsi="Palatino Linotype" w:cstheme="minorHAnsi"/>
        </w:rPr>
        <w:t xml:space="preserve">l organismo administrativo responsable, deberá notificar previamente al administrado </w:t>
      </w:r>
      <w:r w:rsidR="008C3D64" w:rsidRPr="0001179E">
        <w:rPr>
          <w:rFonts w:ascii="Palatino Linotype" w:hAnsi="Palatino Linotype" w:cstheme="minorHAnsi"/>
        </w:rPr>
        <w:t xml:space="preserve">de la forma más expedita </w:t>
      </w:r>
      <w:r w:rsidRPr="0001179E">
        <w:rPr>
          <w:rFonts w:ascii="Palatino Linotype" w:hAnsi="Palatino Linotype" w:cstheme="minorHAnsi"/>
        </w:rPr>
        <w:t xml:space="preserve">para que sea éste quien inicie el proceso. En caso de negativa expresa o de ausencia de respuesta en el término de quince días; y, una vez que </w:t>
      </w:r>
      <w:r w:rsidR="005068AE" w:rsidRPr="0001179E">
        <w:rPr>
          <w:rFonts w:ascii="Palatino Linotype" w:hAnsi="Palatino Linotype" w:cstheme="minorHAnsi"/>
        </w:rPr>
        <w:t>el organismo administrativo comp</w:t>
      </w:r>
      <w:r w:rsidR="00322BB0" w:rsidRPr="0001179E">
        <w:rPr>
          <w:rFonts w:ascii="Palatino Linotype" w:hAnsi="Palatino Linotype" w:cstheme="minorHAnsi"/>
        </w:rPr>
        <w:t>e</w:t>
      </w:r>
      <w:r w:rsidR="005068AE" w:rsidRPr="0001179E">
        <w:rPr>
          <w:rFonts w:ascii="Palatino Linotype" w:hAnsi="Palatino Linotype" w:cstheme="minorHAnsi"/>
        </w:rPr>
        <w:t>tente</w:t>
      </w:r>
      <w:r w:rsidRPr="0001179E">
        <w:rPr>
          <w:rFonts w:ascii="Palatino Linotype" w:hAnsi="Palatino Linotype" w:cstheme="minorHAnsi"/>
        </w:rPr>
        <w:t xml:space="preserve"> verifique la falta de comparecencia, notificará con el inicio del expediente de oficio; se requerirá al administrado la presentación de los requisitos señalados en esta ordenanza, de no hacerlo, se levantará</w:t>
      </w:r>
      <w:r w:rsidR="006E7759" w:rsidRPr="0001179E">
        <w:rPr>
          <w:rFonts w:ascii="Palatino Linotype" w:hAnsi="Palatino Linotype" w:cstheme="minorHAnsi"/>
        </w:rPr>
        <w:t xml:space="preserve"> la</w:t>
      </w:r>
      <w:r w:rsidR="00BE352E" w:rsidRPr="0001179E">
        <w:rPr>
          <w:rFonts w:ascii="Palatino Linotype" w:hAnsi="Palatino Linotype" w:cstheme="minorHAnsi"/>
        </w:rPr>
        <w:t xml:space="preserve"> información catastral respectiva.</w:t>
      </w:r>
    </w:p>
    <w:p w:rsidR="00191FA4"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t>Determinado el excedente o diferencia, el órgano competente, notificará al administrado con la obligación de iniciar el trámite de regularización aplicando este Título</w:t>
      </w:r>
      <w:r w:rsidR="00191FA4" w:rsidRPr="0001179E">
        <w:rPr>
          <w:rFonts w:ascii="Palatino Linotype" w:hAnsi="Palatino Linotype" w:cstheme="minorHAnsi"/>
        </w:rPr>
        <w:t>.</w:t>
      </w:r>
    </w:p>
    <w:p w:rsidR="00554A28"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t xml:space="preserve">Para efectos de notificación colectiva a los administrados y sin perjuicio de realizarse la misma en sus domicilios conocidos, podrá notificárseles en forma colectiva por la prensa, a través de una publicación en uno de los </w:t>
      </w:r>
      <w:r w:rsidR="00802FA9" w:rsidRPr="0001179E">
        <w:rPr>
          <w:rFonts w:ascii="Palatino Linotype" w:hAnsi="Palatino Linotype" w:cstheme="minorHAnsi"/>
        </w:rPr>
        <w:t xml:space="preserve">periódicos </w:t>
      </w:r>
      <w:r w:rsidRPr="0001179E">
        <w:rPr>
          <w:rFonts w:ascii="Palatino Linotype" w:hAnsi="Palatino Linotype" w:cstheme="minorHAnsi"/>
        </w:rPr>
        <w:t>de</w:t>
      </w:r>
      <w:r w:rsidR="00802FA9" w:rsidRPr="0001179E">
        <w:rPr>
          <w:rFonts w:ascii="Palatino Linotype" w:hAnsi="Palatino Linotype" w:cstheme="minorHAnsi"/>
        </w:rPr>
        <w:t xml:space="preserve"> amplia</w:t>
      </w:r>
      <w:r w:rsidRPr="0001179E">
        <w:rPr>
          <w:rFonts w:ascii="Palatino Linotype" w:hAnsi="Palatino Linotype" w:cstheme="minorHAnsi"/>
        </w:rPr>
        <w:t xml:space="preserve"> circulación del Distrito. </w:t>
      </w:r>
    </w:p>
    <w:p w:rsidR="00322D12" w:rsidRPr="0001179E" w:rsidRDefault="00554A28" w:rsidP="0001179E">
      <w:pPr>
        <w:autoSpaceDE w:val="0"/>
        <w:autoSpaceDN w:val="0"/>
        <w:adjustRightInd w:val="0"/>
        <w:spacing w:after="120"/>
        <w:jc w:val="both"/>
        <w:rPr>
          <w:rFonts w:ascii="Palatino Linotype" w:hAnsi="Palatino Linotype" w:cstheme="minorHAnsi"/>
        </w:rPr>
      </w:pPr>
      <w:r w:rsidRPr="006A334D">
        <w:rPr>
          <w:rFonts w:ascii="Palatino Linotype" w:hAnsi="Palatino Linotype" w:cstheme="minorHAnsi"/>
          <w:b/>
        </w:rPr>
        <w:t>4.</w:t>
      </w:r>
      <w:r w:rsidR="006A334D" w:rsidRPr="006A334D">
        <w:rPr>
          <w:rFonts w:ascii="Palatino Linotype" w:hAnsi="Palatino Linotype" w:cstheme="minorHAnsi"/>
          <w:b/>
        </w:rPr>
        <w:t>-</w:t>
      </w:r>
      <w:r w:rsidRPr="0001179E">
        <w:rPr>
          <w:rFonts w:ascii="Palatino Linotype" w:hAnsi="Palatino Linotype" w:cstheme="minorHAnsi"/>
        </w:rPr>
        <w:t xml:space="preserve"> Iniciado el procedimiento, la Autoridad Administrativa Competente </w:t>
      </w:r>
      <w:r w:rsidR="008B0340" w:rsidRPr="0001179E">
        <w:rPr>
          <w:rFonts w:ascii="Palatino Linotype" w:hAnsi="Palatino Linotype" w:cstheme="minorHAnsi"/>
        </w:rPr>
        <w:t xml:space="preserve">o su delegado </w:t>
      </w:r>
      <w:r w:rsidRPr="0001179E">
        <w:rPr>
          <w:rFonts w:ascii="Palatino Linotype" w:hAnsi="Palatino Linotype" w:cstheme="minorHAnsi"/>
        </w:rPr>
        <w:t>procederá de conformidad con el flujo de procedimientos determinado vía Resolución Administrativa,</w:t>
      </w:r>
      <w:r w:rsidR="00E348DA" w:rsidRPr="0001179E">
        <w:rPr>
          <w:rFonts w:ascii="Palatino Linotype" w:hAnsi="Palatino Linotype" w:cstheme="minorHAnsi"/>
        </w:rPr>
        <w:t xml:space="preserve"> </w:t>
      </w:r>
      <w:r w:rsidRPr="0001179E">
        <w:rPr>
          <w:rFonts w:ascii="Palatino Linotype" w:hAnsi="Palatino Linotype" w:cstheme="minorHAnsi"/>
        </w:rPr>
        <w:t xml:space="preserve"> </w:t>
      </w:r>
      <w:r w:rsidR="001D548C" w:rsidRPr="0001179E">
        <w:rPr>
          <w:rFonts w:ascii="Palatino Linotype" w:hAnsi="Palatino Linotype" w:cstheme="minorHAnsi"/>
        </w:rPr>
        <w:t xml:space="preserve">para el efecto dictará </w:t>
      </w:r>
      <w:r w:rsidR="00322D12" w:rsidRPr="0001179E">
        <w:rPr>
          <w:rFonts w:ascii="Palatino Linotype" w:hAnsi="Palatino Linotype" w:cstheme="minorHAnsi"/>
        </w:rPr>
        <w:t>el correspondiente acto administrativo en mérito a los antecedentes del expediente.</w:t>
      </w:r>
    </w:p>
    <w:p w:rsidR="006A0893" w:rsidRPr="0001179E" w:rsidRDefault="006A334D" w:rsidP="0001179E">
      <w:pPr>
        <w:autoSpaceDE w:val="0"/>
        <w:autoSpaceDN w:val="0"/>
        <w:adjustRightInd w:val="0"/>
        <w:spacing w:after="120"/>
        <w:jc w:val="both"/>
        <w:rPr>
          <w:rFonts w:ascii="Palatino Linotype" w:hAnsi="Palatino Linotype" w:cstheme="minorHAnsi"/>
        </w:rPr>
      </w:pPr>
      <w:r>
        <w:rPr>
          <w:rFonts w:ascii="Palatino Linotype" w:hAnsi="Palatino Linotype" w:cstheme="minorHAnsi"/>
          <w:b/>
          <w:bCs/>
        </w:rPr>
        <w:t>Artículo... (8).- Informe t</w:t>
      </w:r>
      <w:r w:rsidR="00554A28" w:rsidRPr="0001179E">
        <w:rPr>
          <w:rFonts w:ascii="Palatino Linotype" w:hAnsi="Palatino Linotype" w:cstheme="minorHAnsi"/>
          <w:b/>
          <w:bCs/>
        </w:rPr>
        <w:t xml:space="preserve">écnico.- </w:t>
      </w:r>
      <w:r w:rsidR="00554A28" w:rsidRPr="0001179E">
        <w:rPr>
          <w:rFonts w:ascii="Palatino Linotype" w:hAnsi="Palatino Linotype" w:cstheme="minorHAnsi"/>
        </w:rPr>
        <w:t xml:space="preserve">Sin perjuicio de lo previsto en el numeral 4 del artículo anterior, constituirá de obligatoria expedición, dentro del procedimiento de regularización de excedentes </w:t>
      </w:r>
      <w:r w:rsidR="00C85AB2" w:rsidRPr="0001179E">
        <w:rPr>
          <w:rFonts w:ascii="Palatino Linotype" w:hAnsi="Palatino Linotype" w:cstheme="minorHAnsi"/>
        </w:rPr>
        <w:t>que superen el Error Técnico Aceptable de Medición</w:t>
      </w:r>
      <w:r>
        <w:rPr>
          <w:rFonts w:ascii="Palatino Linotype" w:hAnsi="Palatino Linotype" w:cstheme="minorHAnsi"/>
        </w:rPr>
        <w:t xml:space="preserve"> </w:t>
      </w:r>
      <w:r w:rsidR="00C85AB2" w:rsidRPr="0001179E">
        <w:rPr>
          <w:rFonts w:ascii="Palatino Linotype" w:hAnsi="Palatino Linotype" w:cstheme="minorHAnsi"/>
        </w:rPr>
        <w:t xml:space="preserve">-ETAM </w:t>
      </w:r>
      <w:r w:rsidR="00554A28" w:rsidRPr="0001179E">
        <w:rPr>
          <w:rFonts w:ascii="Palatino Linotype" w:hAnsi="Palatino Linotype" w:cstheme="minorHAnsi"/>
        </w:rPr>
        <w:t xml:space="preserve">o </w:t>
      </w:r>
      <w:r w:rsidR="00166AB5" w:rsidRPr="0001179E">
        <w:rPr>
          <w:rFonts w:ascii="Palatino Linotype" w:hAnsi="Palatino Linotype" w:cstheme="minorHAnsi"/>
        </w:rPr>
        <w:t xml:space="preserve">de </w:t>
      </w:r>
      <w:r w:rsidR="00554A28" w:rsidRPr="0001179E">
        <w:rPr>
          <w:rFonts w:ascii="Palatino Linotype" w:hAnsi="Palatino Linotype" w:cstheme="minorHAnsi"/>
        </w:rPr>
        <w:t>diferencias</w:t>
      </w:r>
      <w:r w:rsidR="00166AB5" w:rsidRPr="0001179E">
        <w:rPr>
          <w:rFonts w:ascii="Palatino Linotype" w:hAnsi="Palatino Linotype" w:cstheme="minorHAnsi"/>
        </w:rPr>
        <w:t xml:space="preserve"> de superficie,</w:t>
      </w:r>
      <w:r w:rsidR="00554A28" w:rsidRPr="0001179E">
        <w:rPr>
          <w:rFonts w:ascii="Palatino Linotype" w:hAnsi="Palatino Linotype" w:cstheme="minorHAnsi"/>
        </w:rPr>
        <w:t xml:space="preserve"> a iniciativa del Municipio del Distrito Metropolitano de Quito o del administrado, el informe del organi</w:t>
      </w:r>
      <w:r w:rsidR="009052C4" w:rsidRPr="0001179E">
        <w:rPr>
          <w:rFonts w:ascii="Palatino Linotype" w:hAnsi="Palatino Linotype" w:cstheme="minorHAnsi"/>
        </w:rPr>
        <w:t>smo administrativo responsable</w:t>
      </w:r>
      <w:r w:rsidR="00166AB5" w:rsidRPr="0001179E">
        <w:rPr>
          <w:rFonts w:ascii="Palatino Linotype" w:hAnsi="Palatino Linotype" w:cstheme="minorHAnsi"/>
        </w:rPr>
        <w:t xml:space="preserve"> que </w:t>
      </w:r>
      <w:r w:rsidR="00554A28" w:rsidRPr="0001179E">
        <w:rPr>
          <w:rFonts w:ascii="Palatino Linotype" w:hAnsi="Palatino Linotype" w:cstheme="minorHAnsi"/>
        </w:rPr>
        <w:t>deberá determinar de conformidad con el ordenamiento jurídico nacional y metropolitano, lo siguiente:</w:t>
      </w:r>
      <w:r w:rsidR="006A0893" w:rsidRPr="0001179E">
        <w:rPr>
          <w:rFonts w:ascii="Palatino Linotype" w:hAnsi="Palatino Linotype" w:cstheme="minorHAnsi"/>
        </w:rPr>
        <w:t xml:space="preserve"> </w:t>
      </w:r>
    </w:p>
    <w:p w:rsidR="00554A28" w:rsidRPr="0001179E" w:rsidRDefault="00554A28" w:rsidP="0001179E">
      <w:pPr>
        <w:autoSpaceDE w:val="0"/>
        <w:autoSpaceDN w:val="0"/>
        <w:adjustRightInd w:val="0"/>
        <w:spacing w:after="120"/>
        <w:jc w:val="both"/>
        <w:rPr>
          <w:rFonts w:ascii="Palatino Linotype" w:hAnsi="Palatino Linotype" w:cstheme="minorHAnsi"/>
        </w:rPr>
      </w:pPr>
      <w:r w:rsidRPr="006A334D">
        <w:rPr>
          <w:rFonts w:ascii="Palatino Linotype" w:hAnsi="Palatino Linotype" w:cstheme="minorHAnsi"/>
          <w:b/>
        </w:rPr>
        <w:t xml:space="preserve">a) </w:t>
      </w:r>
      <w:r w:rsidRPr="0001179E">
        <w:rPr>
          <w:rFonts w:ascii="Palatino Linotype" w:hAnsi="Palatino Linotype" w:cstheme="minorHAnsi"/>
        </w:rPr>
        <w:t>La superficie del excedente o diferencia;</w:t>
      </w:r>
      <w:r w:rsidR="006A334D">
        <w:rPr>
          <w:rFonts w:ascii="Palatino Linotype" w:hAnsi="Palatino Linotype" w:cstheme="minorHAnsi"/>
        </w:rPr>
        <w:t xml:space="preserve"> y,</w:t>
      </w:r>
    </w:p>
    <w:p w:rsidR="00435729" w:rsidRPr="0001179E" w:rsidRDefault="00D82C9F" w:rsidP="0001179E">
      <w:pPr>
        <w:autoSpaceDE w:val="0"/>
        <w:autoSpaceDN w:val="0"/>
        <w:adjustRightInd w:val="0"/>
        <w:spacing w:after="120"/>
        <w:jc w:val="both"/>
        <w:rPr>
          <w:rFonts w:ascii="Palatino Linotype" w:hAnsi="Palatino Linotype" w:cstheme="minorHAnsi"/>
        </w:rPr>
      </w:pPr>
      <w:r w:rsidRPr="006A334D">
        <w:rPr>
          <w:rFonts w:ascii="Palatino Linotype" w:hAnsi="Palatino Linotype" w:cstheme="minorHAnsi"/>
          <w:b/>
        </w:rPr>
        <w:t>b)</w:t>
      </w:r>
      <w:r w:rsidR="006A334D" w:rsidRPr="006A334D">
        <w:rPr>
          <w:rFonts w:ascii="Palatino Linotype" w:hAnsi="Palatino Linotype" w:cstheme="minorHAnsi"/>
          <w:b/>
        </w:rPr>
        <w:t xml:space="preserve"> </w:t>
      </w:r>
      <w:r w:rsidRPr="0001179E">
        <w:rPr>
          <w:rFonts w:ascii="Palatino Linotype" w:hAnsi="Palatino Linotype" w:cstheme="minorHAnsi"/>
        </w:rPr>
        <w:t xml:space="preserve">El </w:t>
      </w:r>
      <w:r w:rsidR="006A334D">
        <w:rPr>
          <w:rFonts w:ascii="Palatino Linotype" w:hAnsi="Palatino Linotype" w:cstheme="minorHAnsi"/>
        </w:rPr>
        <w:t>a</w:t>
      </w:r>
      <w:r w:rsidRPr="0001179E">
        <w:rPr>
          <w:rFonts w:ascii="Palatino Linotype" w:hAnsi="Palatino Linotype" w:cstheme="minorHAnsi"/>
        </w:rPr>
        <w:t>valúo del lote</w:t>
      </w:r>
      <w:r w:rsidR="006A334D">
        <w:rPr>
          <w:rFonts w:ascii="Palatino Linotype" w:hAnsi="Palatino Linotype" w:cstheme="minorHAnsi"/>
        </w:rPr>
        <w:t>.</w:t>
      </w:r>
    </w:p>
    <w:p w:rsidR="00554A28"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lastRenderedPageBreak/>
        <w:t>Para el caso de diferencias</w:t>
      </w:r>
      <w:r w:rsidR="006A334D">
        <w:rPr>
          <w:rFonts w:ascii="Palatino Linotype" w:hAnsi="Palatino Linotype" w:cstheme="minorHAnsi"/>
        </w:rPr>
        <w:t>,</w:t>
      </w:r>
      <w:r w:rsidRPr="0001179E">
        <w:rPr>
          <w:rFonts w:ascii="Palatino Linotype" w:hAnsi="Palatino Linotype" w:cstheme="minorHAnsi"/>
        </w:rPr>
        <w:t xml:space="preserve"> en el informe constará solamente el requisito establecido en el literal a).</w:t>
      </w:r>
    </w:p>
    <w:p w:rsidR="00F00B7B"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bCs/>
        </w:rPr>
        <w:t>Artículo... (9).-</w:t>
      </w:r>
      <w:r w:rsidR="00F00B7B" w:rsidRPr="0001179E">
        <w:rPr>
          <w:rFonts w:ascii="Palatino Linotype" w:hAnsi="Palatino Linotype" w:cstheme="minorHAnsi"/>
          <w:b/>
          <w:bCs/>
        </w:rPr>
        <w:t xml:space="preserve"> </w:t>
      </w:r>
      <w:r w:rsidR="00F00B7B" w:rsidRPr="0001179E">
        <w:rPr>
          <w:rFonts w:ascii="Palatino Linotype" w:hAnsi="Palatino Linotype" w:cstheme="minorHAnsi"/>
          <w:b/>
        </w:rPr>
        <w:t xml:space="preserve">Regularización de </w:t>
      </w:r>
      <w:r w:rsidR="006A334D">
        <w:rPr>
          <w:rFonts w:ascii="Palatino Linotype" w:hAnsi="Palatino Linotype" w:cstheme="minorHAnsi"/>
          <w:b/>
        </w:rPr>
        <w:t>e</w:t>
      </w:r>
      <w:r w:rsidR="00F00B7B" w:rsidRPr="0001179E">
        <w:rPr>
          <w:rFonts w:ascii="Palatino Linotype" w:hAnsi="Palatino Linotype" w:cstheme="minorHAnsi"/>
          <w:b/>
        </w:rPr>
        <w:t xml:space="preserve">xcedentes de </w:t>
      </w:r>
      <w:r w:rsidR="006A334D">
        <w:rPr>
          <w:rFonts w:ascii="Palatino Linotype" w:hAnsi="Palatino Linotype" w:cstheme="minorHAnsi"/>
          <w:b/>
        </w:rPr>
        <w:t>s</w:t>
      </w:r>
      <w:r w:rsidR="00F00B7B" w:rsidRPr="0001179E">
        <w:rPr>
          <w:rFonts w:ascii="Palatino Linotype" w:hAnsi="Palatino Linotype" w:cstheme="minorHAnsi"/>
          <w:b/>
        </w:rPr>
        <w:t xml:space="preserve">uperficies que </w:t>
      </w:r>
      <w:r w:rsidR="006A334D">
        <w:rPr>
          <w:rFonts w:ascii="Palatino Linotype" w:hAnsi="Palatino Linotype" w:cstheme="minorHAnsi"/>
          <w:b/>
        </w:rPr>
        <w:t>no</w:t>
      </w:r>
      <w:r w:rsidR="00F00B7B" w:rsidRPr="0001179E">
        <w:rPr>
          <w:rFonts w:ascii="Palatino Linotype" w:hAnsi="Palatino Linotype" w:cstheme="minorHAnsi"/>
          <w:b/>
        </w:rPr>
        <w:t xml:space="preserve"> superan el ETAM.-</w:t>
      </w:r>
      <w:r w:rsidR="00F00B7B" w:rsidRPr="0001179E">
        <w:rPr>
          <w:rFonts w:ascii="Palatino Linotype" w:hAnsi="Palatino Linotype" w:cstheme="minorHAnsi"/>
        </w:rPr>
        <w:t xml:space="preserve"> Los excedentes que no superen el </w:t>
      </w:r>
      <w:r w:rsidR="006A334D" w:rsidRPr="0001179E">
        <w:rPr>
          <w:rFonts w:ascii="Palatino Linotype" w:hAnsi="Palatino Linotype" w:cstheme="minorHAnsi"/>
        </w:rPr>
        <w:t>Error Técnico Aceptable de Medición</w:t>
      </w:r>
      <w:r w:rsidR="006A334D">
        <w:rPr>
          <w:rFonts w:ascii="Palatino Linotype" w:hAnsi="Palatino Linotype" w:cstheme="minorHAnsi"/>
        </w:rPr>
        <w:t xml:space="preserve"> </w:t>
      </w:r>
      <w:r w:rsidR="006A334D" w:rsidRPr="0001179E">
        <w:rPr>
          <w:rFonts w:ascii="Palatino Linotype" w:hAnsi="Palatino Linotype" w:cstheme="minorHAnsi"/>
        </w:rPr>
        <w:t>-</w:t>
      </w:r>
      <w:r w:rsidR="00F00B7B" w:rsidRPr="0001179E">
        <w:rPr>
          <w:rFonts w:ascii="Palatino Linotype" w:hAnsi="Palatino Linotype" w:cstheme="minorHAnsi"/>
        </w:rPr>
        <w:t>ETAM, se rectificarán y regularizarán a favor del propietario del lote que ha sido mal medido, para lo cual, la Autoridad Administrativa Competente</w:t>
      </w:r>
      <w:r w:rsidR="00E72942" w:rsidRPr="0001179E">
        <w:rPr>
          <w:rFonts w:ascii="Palatino Linotype" w:hAnsi="Palatino Linotype" w:cstheme="minorHAnsi"/>
        </w:rPr>
        <w:t xml:space="preserve"> o su Delegado</w:t>
      </w:r>
      <w:r w:rsidR="00F00B7B" w:rsidRPr="0001179E">
        <w:rPr>
          <w:rFonts w:ascii="Palatino Linotype" w:hAnsi="Palatino Linotype" w:cstheme="minorHAnsi"/>
        </w:rPr>
        <w:t xml:space="preserve">, una vez verificada la superficie establecida en el catastro, emitirá </w:t>
      </w:r>
      <w:r w:rsidR="00884F1D" w:rsidRPr="0001179E">
        <w:rPr>
          <w:rFonts w:ascii="Palatino Linotype" w:hAnsi="Palatino Linotype" w:cstheme="minorHAnsi"/>
        </w:rPr>
        <w:t xml:space="preserve">el respectivo </w:t>
      </w:r>
      <w:r w:rsidR="00B76AFC" w:rsidRPr="0001179E">
        <w:rPr>
          <w:rFonts w:ascii="Palatino Linotype" w:hAnsi="Palatino Linotype" w:cstheme="minorHAnsi"/>
        </w:rPr>
        <w:t xml:space="preserve">acto </w:t>
      </w:r>
      <w:r w:rsidR="00F00B7B" w:rsidRPr="0001179E">
        <w:rPr>
          <w:rFonts w:ascii="Palatino Linotype" w:hAnsi="Palatino Linotype" w:cstheme="minorHAnsi"/>
        </w:rPr>
        <w:t>administrativ</w:t>
      </w:r>
      <w:r w:rsidR="00B76AFC" w:rsidRPr="0001179E">
        <w:rPr>
          <w:rFonts w:ascii="Palatino Linotype" w:hAnsi="Palatino Linotype" w:cstheme="minorHAnsi"/>
        </w:rPr>
        <w:t>o</w:t>
      </w:r>
      <w:r w:rsidR="0031285D" w:rsidRPr="0001179E">
        <w:rPr>
          <w:rFonts w:ascii="Palatino Linotype" w:hAnsi="Palatino Linotype" w:cstheme="minorHAnsi"/>
        </w:rPr>
        <w:t xml:space="preserve"> de rectificación</w:t>
      </w:r>
      <w:r w:rsidR="00FF3FC8" w:rsidRPr="0001179E">
        <w:rPr>
          <w:rFonts w:ascii="Palatino Linotype" w:hAnsi="Palatino Linotype" w:cstheme="minorHAnsi"/>
        </w:rPr>
        <w:t xml:space="preserve"> el cual </w:t>
      </w:r>
      <w:r w:rsidR="00F00B7B" w:rsidRPr="0001179E">
        <w:rPr>
          <w:rFonts w:ascii="Palatino Linotype" w:hAnsi="Palatino Linotype" w:cstheme="minorHAnsi"/>
        </w:rPr>
        <w:t xml:space="preserve">para su plena validez se </w:t>
      </w:r>
      <w:r w:rsidR="00346AB4" w:rsidRPr="0001179E">
        <w:rPr>
          <w:rFonts w:ascii="Palatino Linotype" w:hAnsi="Palatino Linotype" w:cstheme="minorHAnsi"/>
        </w:rPr>
        <w:t>inscribirá</w:t>
      </w:r>
      <w:r w:rsidR="00F00B7B" w:rsidRPr="0001179E">
        <w:rPr>
          <w:rFonts w:ascii="Palatino Linotype" w:hAnsi="Palatino Linotype" w:cstheme="minorHAnsi"/>
        </w:rPr>
        <w:t xml:space="preserve"> en el Registro de la Propiedad del </w:t>
      </w:r>
      <w:r w:rsidR="0003692F" w:rsidRPr="0001179E">
        <w:rPr>
          <w:rFonts w:ascii="Palatino Linotype" w:hAnsi="Palatino Linotype" w:cstheme="minorHAnsi"/>
        </w:rPr>
        <w:t>Distrito Metropolitano de</w:t>
      </w:r>
      <w:r w:rsidR="00F00B7B" w:rsidRPr="0001179E">
        <w:rPr>
          <w:rFonts w:ascii="Palatino Linotype" w:hAnsi="Palatino Linotype" w:cstheme="minorHAnsi"/>
        </w:rPr>
        <w:t xml:space="preserve"> Quito.</w:t>
      </w:r>
      <w:r w:rsidR="006A334D">
        <w:rPr>
          <w:rFonts w:ascii="Palatino Linotype" w:hAnsi="Palatino Linotype" w:cstheme="minorHAnsi"/>
        </w:rPr>
        <w:t xml:space="preserve"> </w:t>
      </w:r>
    </w:p>
    <w:p w:rsidR="00F00B7B" w:rsidRPr="0001179E" w:rsidRDefault="00F00B7B"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rPr>
        <w:t xml:space="preserve">Artículo…(10).- Regularización de </w:t>
      </w:r>
      <w:r w:rsidR="006A334D">
        <w:rPr>
          <w:rFonts w:ascii="Palatino Linotype" w:hAnsi="Palatino Linotype" w:cstheme="minorHAnsi"/>
          <w:b/>
        </w:rPr>
        <w:t>d</w:t>
      </w:r>
      <w:r w:rsidRPr="0001179E">
        <w:rPr>
          <w:rFonts w:ascii="Palatino Linotype" w:hAnsi="Palatino Linotype" w:cstheme="minorHAnsi"/>
          <w:b/>
        </w:rPr>
        <w:t>iferencias de</w:t>
      </w:r>
      <w:r w:rsidR="00097910" w:rsidRPr="0001179E">
        <w:rPr>
          <w:rFonts w:ascii="Palatino Linotype" w:hAnsi="Palatino Linotype" w:cstheme="minorHAnsi"/>
          <w:b/>
        </w:rPr>
        <w:t xml:space="preserve"> </w:t>
      </w:r>
      <w:r w:rsidR="006A334D">
        <w:rPr>
          <w:rFonts w:ascii="Palatino Linotype" w:hAnsi="Palatino Linotype" w:cstheme="minorHAnsi"/>
          <w:b/>
        </w:rPr>
        <w:t>s</w:t>
      </w:r>
      <w:r w:rsidRPr="0001179E">
        <w:rPr>
          <w:rFonts w:ascii="Palatino Linotype" w:hAnsi="Palatino Linotype" w:cstheme="minorHAnsi"/>
          <w:b/>
        </w:rPr>
        <w:t xml:space="preserve">uperficie.- </w:t>
      </w:r>
      <w:r w:rsidRPr="0001179E">
        <w:rPr>
          <w:rFonts w:ascii="Palatino Linotype" w:hAnsi="Palatino Linotype" w:cstheme="minorHAnsi"/>
        </w:rPr>
        <w:t>En el caso de diferencias o faltantes entre la superficie constante en el título de propiedad y la última medición realizad</w:t>
      </w:r>
      <w:r w:rsidR="00D14905" w:rsidRPr="0001179E">
        <w:rPr>
          <w:rFonts w:ascii="Palatino Linotype" w:hAnsi="Palatino Linotype" w:cstheme="minorHAnsi"/>
        </w:rPr>
        <w:t>a</w:t>
      </w:r>
      <w:r w:rsidRPr="0001179E">
        <w:rPr>
          <w:rFonts w:ascii="Palatino Linotype" w:hAnsi="Palatino Linotype" w:cstheme="minorHAnsi"/>
        </w:rPr>
        <w:t>, se procederá a la rectificación del área gráfica en el catastro, luego de lo cual, la Autoridad Administrativa Competente</w:t>
      </w:r>
      <w:r w:rsidR="00D265F0" w:rsidRPr="0001179E">
        <w:rPr>
          <w:rFonts w:ascii="Palatino Linotype" w:hAnsi="Palatino Linotype" w:cstheme="minorHAnsi"/>
        </w:rPr>
        <w:t xml:space="preserve"> o su delegado</w:t>
      </w:r>
      <w:r w:rsidRPr="0001179E">
        <w:rPr>
          <w:rFonts w:ascii="Palatino Linotype" w:hAnsi="Palatino Linotype" w:cstheme="minorHAnsi"/>
        </w:rPr>
        <w:t xml:space="preserve">, una vez verificada la superficie establecida en el catastro, emitirá la resolución administrativa de rectificación </w:t>
      </w:r>
      <w:r w:rsidR="006A334D">
        <w:rPr>
          <w:rFonts w:ascii="Palatino Linotype" w:hAnsi="Palatino Linotype" w:cstheme="minorHAnsi"/>
        </w:rPr>
        <w:t>,</w:t>
      </w:r>
      <w:r w:rsidR="0011475E" w:rsidRPr="0001179E">
        <w:rPr>
          <w:rFonts w:ascii="Palatino Linotype" w:hAnsi="Palatino Linotype" w:cstheme="minorHAnsi"/>
        </w:rPr>
        <w:t xml:space="preserve"> la cual </w:t>
      </w:r>
      <w:r w:rsidR="00F16C8D" w:rsidRPr="0001179E">
        <w:rPr>
          <w:rFonts w:ascii="Palatino Linotype" w:hAnsi="Palatino Linotype" w:cstheme="minorHAnsi"/>
        </w:rPr>
        <w:t>se</w:t>
      </w:r>
      <w:r w:rsidRPr="0001179E">
        <w:rPr>
          <w:rFonts w:ascii="Palatino Linotype" w:hAnsi="Palatino Linotype" w:cstheme="minorHAnsi"/>
        </w:rPr>
        <w:t xml:space="preserve"> </w:t>
      </w:r>
      <w:r w:rsidR="00536F4E" w:rsidRPr="0001179E">
        <w:rPr>
          <w:rFonts w:ascii="Palatino Linotype" w:hAnsi="Palatino Linotype" w:cstheme="minorHAnsi"/>
        </w:rPr>
        <w:t xml:space="preserve">protocolizará e </w:t>
      </w:r>
      <w:r w:rsidR="00B14308" w:rsidRPr="0001179E">
        <w:rPr>
          <w:rFonts w:ascii="Palatino Linotype" w:hAnsi="Palatino Linotype" w:cstheme="minorHAnsi"/>
        </w:rPr>
        <w:t>inscribirá</w:t>
      </w:r>
      <w:r w:rsidRPr="0001179E">
        <w:rPr>
          <w:rFonts w:ascii="Palatino Linotype" w:hAnsi="Palatino Linotype" w:cstheme="minorHAnsi"/>
        </w:rPr>
        <w:t xml:space="preserve"> en el Registro de la Propiedad del </w:t>
      </w:r>
      <w:r w:rsidR="006E7759" w:rsidRPr="0001179E">
        <w:rPr>
          <w:rFonts w:ascii="Palatino Linotype" w:hAnsi="Palatino Linotype" w:cstheme="minorHAnsi"/>
        </w:rPr>
        <w:t xml:space="preserve">Distrito Metropolitano de </w:t>
      </w:r>
      <w:r w:rsidRPr="0001179E">
        <w:rPr>
          <w:rFonts w:ascii="Palatino Linotype" w:hAnsi="Palatino Linotype" w:cstheme="minorHAnsi"/>
        </w:rPr>
        <w:t>Quito.</w:t>
      </w:r>
    </w:p>
    <w:p w:rsidR="00100179"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bCs/>
        </w:rPr>
        <w:t>Artículo... (1</w:t>
      </w:r>
      <w:r w:rsidR="00AB250C" w:rsidRPr="0001179E">
        <w:rPr>
          <w:rFonts w:ascii="Palatino Linotype" w:hAnsi="Palatino Linotype" w:cstheme="minorHAnsi"/>
          <w:b/>
          <w:bCs/>
        </w:rPr>
        <w:t>1</w:t>
      </w:r>
      <w:r w:rsidR="000A4A58" w:rsidRPr="0001179E">
        <w:rPr>
          <w:rFonts w:ascii="Palatino Linotype" w:hAnsi="Palatino Linotype" w:cstheme="minorHAnsi"/>
          <w:b/>
          <w:bCs/>
        </w:rPr>
        <w:t xml:space="preserve">).- </w:t>
      </w:r>
      <w:r w:rsidR="00FA2388" w:rsidRPr="0001179E">
        <w:rPr>
          <w:rFonts w:ascii="Palatino Linotype" w:hAnsi="Palatino Linotype" w:cstheme="minorHAnsi"/>
          <w:b/>
          <w:bCs/>
        </w:rPr>
        <w:t xml:space="preserve">Regularización de </w:t>
      </w:r>
      <w:r w:rsidR="006A334D">
        <w:rPr>
          <w:rFonts w:ascii="Palatino Linotype" w:hAnsi="Palatino Linotype" w:cstheme="minorHAnsi"/>
          <w:b/>
          <w:bCs/>
        </w:rPr>
        <w:t>e</w:t>
      </w:r>
      <w:r w:rsidR="00FA2388" w:rsidRPr="0001179E">
        <w:rPr>
          <w:rFonts w:ascii="Palatino Linotype" w:hAnsi="Palatino Linotype" w:cstheme="minorHAnsi"/>
          <w:b/>
          <w:bCs/>
        </w:rPr>
        <w:t xml:space="preserve">xcedentes de </w:t>
      </w:r>
      <w:r w:rsidR="006A334D">
        <w:rPr>
          <w:rFonts w:ascii="Palatino Linotype" w:hAnsi="Palatino Linotype" w:cstheme="minorHAnsi"/>
          <w:b/>
          <w:bCs/>
        </w:rPr>
        <w:t>s</w:t>
      </w:r>
      <w:r w:rsidR="00FA2388" w:rsidRPr="0001179E">
        <w:rPr>
          <w:rFonts w:ascii="Palatino Linotype" w:hAnsi="Palatino Linotype" w:cstheme="minorHAnsi"/>
          <w:b/>
          <w:bCs/>
        </w:rPr>
        <w:t xml:space="preserve">uperficie que </w:t>
      </w:r>
      <w:r w:rsidR="006A334D">
        <w:rPr>
          <w:rFonts w:ascii="Palatino Linotype" w:hAnsi="Palatino Linotype" w:cstheme="minorHAnsi"/>
          <w:b/>
          <w:bCs/>
        </w:rPr>
        <w:t>s</w:t>
      </w:r>
      <w:r w:rsidR="00FA2388" w:rsidRPr="0001179E">
        <w:rPr>
          <w:rFonts w:ascii="Palatino Linotype" w:hAnsi="Palatino Linotype" w:cstheme="minorHAnsi"/>
          <w:b/>
          <w:bCs/>
        </w:rPr>
        <w:t>uperan el ETAM</w:t>
      </w:r>
      <w:r w:rsidRPr="0001179E">
        <w:rPr>
          <w:rFonts w:ascii="Palatino Linotype" w:hAnsi="Palatino Linotype" w:cstheme="minorHAnsi"/>
          <w:b/>
          <w:bCs/>
        </w:rPr>
        <w:t>.-</w:t>
      </w:r>
      <w:r w:rsidR="00835EB0" w:rsidRPr="0001179E">
        <w:rPr>
          <w:rFonts w:ascii="Palatino Linotype" w:hAnsi="Palatino Linotype" w:cstheme="minorHAnsi"/>
          <w:b/>
          <w:bCs/>
        </w:rPr>
        <w:t xml:space="preserve"> </w:t>
      </w:r>
      <w:r w:rsidR="006268BF" w:rsidRPr="0001179E">
        <w:rPr>
          <w:rFonts w:ascii="Palatino Linotype" w:hAnsi="Palatino Linotype" w:cstheme="minorHAnsi"/>
          <w:bCs/>
        </w:rPr>
        <w:t xml:space="preserve">En </w:t>
      </w:r>
      <w:r w:rsidR="000E5171" w:rsidRPr="0001179E">
        <w:rPr>
          <w:rFonts w:ascii="Palatino Linotype" w:hAnsi="Palatino Linotype" w:cstheme="minorHAnsi"/>
          <w:bCs/>
        </w:rPr>
        <w:t>el caso de</w:t>
      </w:r>
      <w:r w:rsidR="003900B2" w:rsidRPr="0001179E">
        <w:rPr>
          <w:rFonts w:ascii="Palatino Linotype" w:hAnsi="Palatino Linotype" w:cstheme="minorHAnsi"/>
          <w:bCs/>
        </w:rPr>
        <w:t xml:space="preserve"> excedentes de superficie que superen el </w:t>
      </w:r>
      <w:r w:rsidR="006A334D" w:rsidRPr="0001179E">
        <w:rPr>
          <w:rFonts w:ascii="Palatino Linotype" w:hAnsi="Palatino Linotype" w:cstheme="minorHAnsi"/>
        </w:rPr>
        <w:t>Error Técnico Aceptable de Medición</w:t>
      </w:r>
      <w:r w:rsidR="006A334D">
        <w:rPr>
          <w:rFonts w:ascii="Palatino Linotype" w:hAnsi="Palatino Linotype" w:cstheme="minorHAnsi"/>
        </w:rPr>
        <w:t xml:space="preserve"> </w:t>
      </w:r>
      <w:r w:rsidR="006A334D" w:rsidRPr="0001179E">
        <w:rPr>
          <w:rFonts w:ascii="Palatino Linotype" w:hAnsi="Palatino Linotype" w:cstheme="minorHAnsi"/>
        </w:rPr>
        <w:t>-</w:t>
      </w:r>
      <w:r w:rsidR="006A334D">
        <w:rPr>
          <w:rFonts w:ascii="Palatino Linotype" w:hAnsi="Palatino Linotype" w:cstheme="minorHAnsi"/>
        </w:rPr>
        <w:t xml:space="preserve"> </w:t>
      </w:r>
      <w:r w:rsidR="003900B2" w:rsidRPr="0001179E">
        <w:rPr>
          <w:rFonts w:ascii="Palatino Linotype" w:hAnsi="Palatino Linotype" w:cstheme="minorHAnsi"/>
          <w:bCs/>
        </w:rPr>
        <w:t>ETAM con relación al título de dominio</w:t>
      </w:r>
      <w:r w:rsidR="005E2211" w:rsidRPr="0001179E">
        <w:rPr>
          <w:rFonts w:ascii="Palatino Linotype" w:hAnsi="Palatino Linotype" w:cstheme="minorHAnsi"/>
          <w:bCs/>
        </w:rPr>
        <w:t xml:space="preserve">, </w:t>
      </w:r>
      <w:r w:rsidRPr="0001179E">
        <w:rPr>
          <w:rFonts w:ascii="Palatino Linotype" w:hAnsi="Palatino Linotype" w:cstheme="minorHAnsi"/>
        </w:rPr>
        <w:t>la Autoridad Administrativa Competente</w:t>
      </w:r>
      <w:r w:rsidR="003C152F" w:rsidRPr="0001179E">
        <w:rPr>
          <w:rFonts w:ascii="Palatino Linotype" w:hAnsi="Palatino Linotype" w:cstheme="minorHAnsi"/>
        </w:rPr>
        <w:t xml:space="preserve"> o su Delegado</w:t>
      </w:r>
      <w:r w:rsidR="005E2211" w:rsidRPr="0001179E">
        <w:rPr>
          <w:rFonts w:ascii="Palatino Linotype" w:hAnsi="Palatino Linotype" w:cstheme="minorHAnsi"/>
        </w:rPr>
        <w:t xml:space="preserve">, emitirá el correspondiente acto administrativo disponiendo </w:t>
      </w:r>
      <w:r w:rsidR="00F60B05" w:rsidRPr="0001179E">
        <w:rPr>
          <w:rFonts w:ascii="Palatino Linotype" w:hAnsi="Palatino Linotype" w:cstheme="minorHAnsi"/>
        </w:rPr>
        <w:t>la</w:t>
      </w:r>
      <w:r w:rsidR="005E2211" w:rsidRPr="0001179E">
        <w:rPr>
          <w:rFonts w:ascii="Palatino Linotype" w:hAnsi="Palatino Linotype" w:cstheme="minorHAnsi"/>
        </w:rPr>
        <w:t xml:space="preserve"> rectificación</w:t>
      </w:r>
      <w:r w:rsidR="00F60B05" w:rsidRPr="0001179E">
        <w:rPr>
          <w:rFonts w:ascii="Palatino Linotype" w:hAnsi="Palatino Linotype" w:cstheme="minorHAnsi"/>
        </w:rPr>
        <w:t xml:space="preserve"> de la medición</w:t>
      </w:r>
      <w:r w:rsidR="00E86F94" w:rsidRPr="0001179E">
        <w:rPr>
          <w:rFonts w:ascii="Palatino Linotype" w:hAnsi="Palatino Linotype" w:cstheme="minorHAnsi"/>
        </w:rPr>
        <w:t xml:space="preserve"> y avalúo del lote a ser regularizado</w:t>
      </w:r>
      <w:r w:rsidR="009A3D8F" w:rsidRPr="0001179E">
        <w:rPr>
          <w:rFonts w:ascii="Palatino Linotype" w:hAnsi="Palatino Linotype" w:cstheme="minorHAnsi"/>
        </w:rPr>
        <w:t>.</w:t>
      </w:r>
    </w:p>
    <w:p w:rsidR="00022B18" w:rsidRPr="0001179E" w:rsidRDefault="00022B1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t xml:space="preserve">Los actos </w:t>
      </w:r>
      <w:r w:rsidR="00D5753F" w:rsidRPr="0001179E">
        <w:rPr>
          <w:rFonts w:ascii="Palatino Linotype" w:hAnsi="Palatino Linotype" w:cstheme="minorHAnsi"/>
        </w:rPr>
        <w:t xml:space="preserve">de rectificación de superficies </w:t>
      </w:r>
      <w:r w:rsidRPr="0001179E">
        <w:rPr>
          <w:rFonts w:ascii="Palatino Linotype" w:hAnsi="Palatino Linotype" w:cstheme="minorHAnsi"/>
        </w:rPr>
        <w:t>referidos en est</w:t>
      </w:r>
      <w:r w:rsidR="00D5753F" w:rsidRPr="0001179E">
        <w:rPr>
          <w:rFonts w:ascii="Palatino Linotype" w:hAnsi="Palatino Linotype" w:cstheme="minorHAnsi"/>
        </w:rPr>
        <w:t>a ordenanza</w:t>
      </w:r>
      <w:r w:rsidRPr="0001179E">
        <w:rPr>
          <w:rFonts w:ascii="Palatino Linotype" w:hAnsi="Palatino Linotype" w:cstheme="minorHAnsi"/>
        </w:rPr>
        <w:t xml:space="preserve">, constituirán justo título a favor de los administrados, dejando a salvo el derecho de terceros. </w:t>
      </w:r>
    </w:p>
    <w:p w:rsidR="001C6F2E" w:rsidRPr="0001179E" w:rsidRDefault="00EB668A" w:rsidP="0001179E">
      <w:pPr>
        <w:autoSpaceDE w:val="0"/>
        <w:autoSpaceDN w:val="0"/>
        <w:adjustRightInd w:val="0"/>
        <w:spacing w:after="120"/>
        <w:jc w:val="both"/>
        <w:rPr>
          <w:rFonts w:ascii="Palatino Linotype" w:hAnsi="Palatino Linotype" w:cs="Arial"/>
        </w:rPr>
      </w:pPr>
      <w:r w:rsidRPr="0001179E">
        <w:rPr>
          <w:rFonts w:ascii="Palatino Linotype" w:hAnsi="Palatino Linotype" w:cs="Arial"/>
          <w:b/>
        </w:rPr>
        <w:t>Artículo… (12).- Tasa por servicios y trámites administrativos.-</w:t>
      </w:r>
      <w:r w:rsidRPr="0001179E">
        <w:rPr>
          <w:rFonts w:ascii="Palatino Linotype" w:hAnsi="Palatino Linotype" w:cs="Arial"/>
        </w:rPr>
        <w:t xml:space="preserve"> </w:t>
      </w:r>
      <w:r w:rsidR="00641B8B" w:rsidRPr="0001179E">
        <w:rPr>
          <w:rFonts w:ascii="Palatino Linotype" w:hAnsi="Palatino Linotype" w:cs="Arial"/>
        </w:rPr>
        <w:t>En</w:t>
      </w:r>
      <w:r w:rsidRPr="0001179E">
        <w:rPr>
          <w:rFonts w:ascii="Palatino Linotype" w:hAnsi="Palatino Linotype" w:cs="Arial"/>
        </w:rPr>
        <w:t xml:space="preserve"> los casos de excedentes que superan el E</w:t>
      </w:r>
      <w:r w:rsidR="0009674F" w:rsidRPr="0001179E">
        <w:rPr>
          <w:rFonts w:ascii="Palatino Linotype" w:hAnsi="Palatino Linotype" w:cs="Arial"/>
        </w:rPr>
        <w:t xml:space="preserve">rror </w:t>
      </w:r>
      <w:r w:rsidRPr="0001179E">
        <w:rPr>
          <w:rFonts w:ascii="Palatino Linotype" w:hAnsi="Palatino Linotype" w:cs="Arial"/>
        </w:rPr>
        <w:t>T</w:t>
      </w:r>
      <w:r w:rsidR="0009674F" w:rsidRPr="0001179E">
        <w:rPr>
          <w:rFonts w:ascii="Palatino Linotype" w:hAnsi="Palatino Linotype" w:cs="Arial"/>
        </w:rPr>
        <w:t xml:space="preserve">écnico </w:t>
      </w:r>
      <w:r w:rsidRPr="0001179E">
        <w:rPr>
          <w:rFonts w:ascii="Palatino Linotype" w:hAnsi="Palatino Linotype" w:cs="Arial"/>
        </w:rPr>
        <w:t>A</w:t>
      </w:r>
      <w:r w:rsidR="0009674F" w:rsidRPr="0001179E">
        <w:rPr>
          <w:rFonts w:ascii="Palatino Linotype" w:hAnsi="Palatino Linotype" w:cs="Arial"/>
        </w:rPr>
        <w:t xml:space="preserve">ceptable de </w:t>
      </w:r>
      <w:r w:rsidRPr="0001179E">
        <w:rPr>
          <w:rFonts w:ascii="Palatino Linotype" w:hAnsi="Palatino Linotype" w:cs="Arial"/>
        </w:rPr>
        <w:t>M</w:t>
      </w:r>
      <w:r w:rsidR="0009674F" w:rsidRPr="0001179E">
        <w:rPr>
          <w:rFonts w:ascii="Palatino Linotype" w:hAnsi="Palatino Linotype" w:cs="Arial"/>
        </w:rPr>
        <w:t>edición</w:t>
      </w:r>
      <w:r w:rsidRPr="0001179E">
        <w:rPr>
          <w:rFonts w:ascii="Palatino Linotype" w:hAnsi="Palatino Linotype" w:cs="Arial"/>
        </w:rPr>
        <w:t xml:space="preserve"> </w:t>
      </w:r>
      <w:r w:rsidR="006A334D">
        <w:rPr>
          <w:rFonts w:ascii="Palatino Linotype" w:hAnsi="Palatino Linotype" w:cs="Arial"/>
        </w:rPr>
        <w:t>– ETAM</w:t>
      </w:r>
      <w:r w:rsidR="00090281">
        <w:rPr>
          <w:rFonts w:ascii="Palatino Linotype" w:hAnsi="Palatino Linotype" w:cs="Arial"/>
        </w:rPr>
        <w:t>,</w:t>
      </w:r>
      <w:r w:rsidR="006A334D">
        <w:rPr>
          <w:rFonts w:ascii="Palatino Linotype" w:hAnsi="Palatino Linotype" w:cs="Arial"/>
        </w:rPr>
        <w:t xml:space="preserve"> </w:t>
      </w:r>
      <w:r w:rsidRPr="0001179E">
        <w:rPr>
          <w:rFonts w:ascii="Palatino Linotype" w:hAnsi="Palatino Linotype" w:cs="Arial"/>
        </w:rPr>
        <w:t>y de diferencias de superficies</w:t>
      </w:r>
      <w:r w:rsidR="003B74C6" w:rsidRPr="0001179E">
        <w:rPr>
          <w:rFonts w:ascii="Palatino Linotype" w:hAnsi="Palatino Linotype" w:cs="Arial"/>
        </w:rPr>
        <w:t xml:space="preserve"> de terreno</w:t>
      </w:r>
      <w:r w:rsidRPr="0001179E">
        <w:rPr>
          <w:rFonts w:ascii="Palatino Linotype" w:hAnsi="Palatino Linotype" w:cs="Arial"/>
        </w:rPr>
        <w:t xml:space="preserve">, </w:t>
      </w:r>
      <w:r w:rsidR="00641B8B" w:rsidRPr="0001179E">
        <w:rPr>
          <w:rFonts w:ascii="Palatino Linotype" w:hAnsi="Palatino Linotype" w:cs="Arial"/>
        </w:rPr>
        <w:t xml:space="preserve">para su rectificación </w:t>
      </w:r>
      <w:r w:rsidRPr="0001179E">
        <w:rPr>
          <w:rFonts w:ascii="Palatino Linotype" w:hAnsi="Palatino Linotype" w:cs="Arial"/>
        </w:rPr>
        <w:t>se cobrará una tasa por trámites y servicios administrativos</w:t>
      </w:r>
      <w:r w:rsidR="00090281">
        <w:rPr>
          <w:rFonts w:ascii="Palatino Linotype" w:hAnsi="Palatino Linotype" w:cs="Arial"/>
        </w:rPr>
        <w:t>,</w:t>
      </w:r>
      <w:r w:rsidRPr="0001179E">
        <w:rPr>
          <w:rFonts w:ascii="Palatino Linotype" w:hAnsi="Palatino Linotype" w:cs="Arial"/>
        </w:rPr>
        <w:t xml:space="preserve"> que será el equivalente al </w:t>
      </w:r>
      <w:r w:rsidR="00090281">
        <w:rPr>
          <w:rFonts w:ascii="Palatino Linotype" w:hAnsi="Palatino Linotype" w:cs="Arial"/>
        </w:rPr>
        <w:t>6</w:t>
      </w:r>
      <w:r w:rsidR="007C28C8">
        <w:rPr>
          <w:rFonts w:ascii="Palatino Linotype" w:hAnsi="Palatino Linotype" w:cs="Arial"/>
        </w:rPr>
        <w:t>% de un</w:t>
      </w:r>
      <w:r w:rsidRPr="0001179E">
        <w:rPr>
          <w:rFonts w:ascii="Palatino Linotype" w:hAnsi="Palatino Linotype" w:cs="Arial"/>
        </w:rPr>
        <w:t xml:space="preserve"> </w:t>
      </w:r>
      <w:r w:rsidR="007C28C8">
        <w:rPr>
          <w:rFonts w:ascii="Palatino Linotype" w:hAnsi="Palatino Linotype" w:cs="Arial"/>
        </w:rPr>
        <w:t>salario básico unificado</w:t>
      </w:r>
      <w:r w:rsidRPr="0001179E">
        <w:rPr>
          <w:rFonts w:ascii="Palatino Linotype" w:hAnsi="Palatino Linotype" w:cs="Arial"/>
        </w:rPr>
        <w:t>. Para los casos de rectificación de superficies</w:t>
      </w:r>
      <w:r w:rsidR="0009674F" w:rsidRPr="0001179E">
        <w:rPr>
          <w:rFonts w:ascii="Palatino Linotype" w:hAnsi="Palatino Linotype" w:cs="Arial"/>
        </w:rPr>
        <w:t xml:space="preserve"> de terreno </w:t>
      </w:r>
      <w:r w:rsidRPr="0001179E">
        <w:rPr>
          <w:rFonts w:ascii="Palatino Linotype" w:hAnsi="Palatino Linotype" w:cs="Arial"/>
        </w:rPr>
        <w:t>que están dentro del Error Técnico Aceptable de Medición</w:t>
      </w:r>
      <w:r w:rsidR="00090281">
        <w:rPr>
          <w:rFonts w:ascii="Palatino Linotype" w:hAnsi="Palatino Linotype" w:cs="Arial"/>
        </w:rPr>
        <w:t xml:space="preserve"> - ETAM</w:t>
      </w:r>
      <w:r w:rsidRPr="0001179E">
        <w:rPr>
          <w:rFonts w:ascii="Palatino Linotype" w:hAnsi="Palatino Linotype" w:cs="Arial"/>
        </w:rPr>
        <w:t xml:space="preserve">, </w:t>
      </w:r>
      <w:r w:rsidR="002A552E" w:rsidRPr="0001179E">
        <w:rPr>
          <w:rFonts w:ascii="Palatino Linotype" w:hAnsi="Palatino Linotype" w:cs="Arial"/>
        </w:rPr>
        <w:t>y en los casos que el proceso de regularización de superficies de terreno se</w:t>
      </w:r>
      <w:r w:rsidR="006D268B" w:rsidRPr="0001179E">
        <w:rPr>
          <w:rFonts w:ascii="Palatino Linotype" w:hAnsi="Palatino Linotype" w:cs="Arial"/>
        </w:rPr>
        <w:t>a</w:t>
      </w:r>
      <w:r w:rsidR="002A552E" w:rsidRPr="0001179E">
        <w:rPr>
          <w:rFonts w:ascii="Palatino Linotype" w:hAnsi="Palatino Linotype" w:cs="Arial"/>
        </w:rPr>
        <w:t xml:space="preserve"> de oficio a instancia municipal, </w:t>
      </w:r>
      <w:r w:rsidRPr="0001179E">
        <w:rPr>
          <w:rFonts w:ascii="Palatino Linotype" w:hAnsi="Palatino Linotype" w:cs="Arial"/>
        </w:rPr>
        <w:t xml:space="preserve">no se cobrará tasa por </w:t>
      </w:r>
      <w:r w:rsidR="001766EE" w:rsidRPr="0001179E">
        <w:rPr>
          <w:rFonts w:ascii="Palatino Linotype" w:hAnsi="Palatino Linotype" w:cs="Arial"/>
        </w:rPr>
        <w:t xml:space="preserve">trámites y </w:t>
      </w:r>
      <w:r w:rsidRPr="0001179E">
        <w:rPr>
          <w:rFonts w:ascii="Palatino Linotype" w:hAnsi="Palatino Linotype" w:cs="Arial"/>
        </w:rPr>
        <w:t>servicios administrativos.</w:t>
      </w:r>
    </w:p>
    <w:p w:rsidR="008D7C0D" w:rsidRPr="0001179E" w:rsidRDefault="003A4297"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rPr>
        <w:t>Artículo…</w:t>
      </w:r>
      <w:r w:rsidR="00EB668A" w:rsidRPr="0001179E">
        <w:rPr>
          <w:rFonts w:ascii="Palatino Linotype" w:hAnsi="Palatino Linotype" w:cstheme="minorHAnsi"/>
          <w:b/>
        </w:rPr>
        <w:t xml:space="preserve"> </w:t>
      </w:r>
      <w:r w:rsidRPr="0001179E">
        <w:rPr>
          <w:rFonts w:ascii="Palatino Linotype" w:hAnsi="Palatino Linotype" w:cstheme="minorHAnsi"/>
          <w:b/>
        </w:rPr>
        <w:t>(1</w:t>
      </w:r>
      <w:r w:rsidR="00EB668A" w:rsidRPr="0001179E">
        <w:rPr>
          <w:rFonts w:ascii="Palatino Linotype" w:hAnsi="Palatino Linotype" w:cstheme="minorHAnsi"/>
          <w:b/>
        </w:rPr>
        <w:t>3</w:t>
      </w:r>
      <w:r w:rsidRPr="0001179E">
        <w:rPr>
          <w:rFonts w:ascii="Palatino Linotype" w:hAnsi="Palatino Linotype" w:cstheme="minorHAnsi"/>
          <w:b/>
        </w:rPr>
        <w:t>).-</w:t>
      </w:r>
      <w:r w:rsidRPr="0001179E">
        <w:rPr>
          <w:rFonts w:ascii="Palatino Linotype" w:hAnsi="Palatino Linotype" w:cstheme="minorHAnsi"/>
        </w:rPr>
        <w:t xml:space="preserve"> </w:t>
      </w:r>
      <w:r w:rsidR="002B581A" w:rsidRPr="0001179E">
        <w:rPr>
          <w:rFonts w:ascii="Palatino Linotype" w:hAnsi="Palatino Linotype" w:cstheme="minorHAnsi"/>
          <w:b/>
        </w:rPr>
        <w:t xml:space="preserve">De la inscripción.- </w:t>
      </w:r>
      <w:r w:rsidR="006E7759" w:rsidRPr="0001179E">
        <w:rPr>
          <w:rFonts w:ascii="Palatino Linotype" w:hAnsi="Palatino Linotype" w:cstheme="minorHAnsi"/>
        </w:rPr>
        <w:t>L</w:t>
      </w:r>
      <w:r w:rsidRPr="0001179E">
        <w:rPr>
          <w:rFonts w:ascii="Palatino Linotype" w:hAnsi="Palatino Linotype" w:cstheme="minorHAnsi"/>
        </w:rPr>
        <w:t xml:space="preserve">a resolución </w:t>
      </w:r>
      <w:r w:rsidR="009A3D8F" w:rsidRPr="0001179E">
        <w:rPr>
          <w:rFonts w:ascii="Palatino Linotype" w:hAnsi="Palatino Linotype" w:cstheme="minorHAnsi"/>
        </w:rPr>
        <w:t xml:space="preserve"> de regularización de excedentes de superficies que superan el </w:t>
      </w:r>
      <w:r w:rsidR="007C28C8" w:rsidRPr="0001179E">
        <w:rPr>
          <w:rFonts w:ascii="Palatino Linotype" w:hAnsi="Palatino Linotype" w:cs="Arial"/>
        </w:rPr>
        <w:t>Error Técnico Aceptable de Medición</w:t>
      </w:r>
      <w:r w:rsidR="007C28C8">
        <w:rPr>
          <w:rFonts w:ascii="Palatino Linotype" w:hAnsi="Palatino Linotype" w:cs="Arial"/>
        </w:rPr>
        <w:t xml:space="preserve"> - </w:t>
      </w:r>
      <w:r w:rsidR="009A3D8F" w:rsidRPr="0001179E">
        <w:rPr>
          <w:rFonts w:ascii="Palatino Linotype" w:hAnsi="Palatino Linotype" w:cstheme="minorHAnsi"/>
        </w:rPr>
        <w:t>ETAM</w:t>
      </w:r>
      <w:r w:rsidRPr="0001179E">
        <w:rPr>
          <w:rFonts w:ascii="Palatino Linotype" w:hAnsi="Palatino Linotype" w:cstheme="minorHAnsi"/>
        </w:rPr>
        <w:t xml:space="preserve">, constituye justo </w:t>
      </w:r>
      <w:r w:rsidRPr="0001179E">
        <w:rPr>
          <w:rFonts w:ascii="Palatino Linotype" w:hAnsi="Palatino Linotype" w:cstheme="minorHAnsi"/>
        </w:rPr>
        <w:lastRenderedPageBreak/>
        <w:t>título para la modificación de la</w:t>
      </w:r>
      <w:r w:rsidR="006E7759" w:rsidRPr="0001179E">
        <w:rPr>
          <w:rFonts w:ascii="Palatino Linotype" w:hAnsi="Palatino Linotype" w:cstheme="minorHAnsi"/>
        </w:rPr>
        <w:t xml:space="preserve"> historia del dominio del </w:t>
      </w:r>
      <w:r w:rsidR="009A3D8F" w:rsidRPr="0001179E">
        <w:rPr>
          <w:rFonts w:ascii="Palatino Linotype" w:hAnsi="Palatino Linotype" w:cstheme="minorHAnsi"/>
        </w:rPr>
        <w:t>lote</w:t>
      </w:r>
      <w:r w:rsidR="0098671D" w:rsidRPr="0001179E">
        <w:rPr>
          <w:rFonts w:ascii="Palatino Linotype" w:hAnsi="Palatino Linotype" w:cstheme="minorHAnsi"/>
        </w:rPr>
        <w:t>; p</w:t>
      </w:r>
      <w:r w:rsidR="006E7759" w:rsidRPr="0001179E">
        <w:rPr>
          <w:rFonts w:ascii="Palatino Linotype" w:hAnsi="Palatino Linotype" w:cstheme="minorHAnsi"/>
        </w:rPr>
        <w:t xml:space="preserve">ara </w:t>
      </w:r>
      <w:r w:rsidR="00C8068B" w:rsidRPr="0001179E">
        <w:rPr>
          <w:rFonts w:ascii="Palatino Linotype" w:hAnsi="Palatino Linotype" w:cstheme="minorHAnsi"/>
        </w:rPr>
        <w:t xml:space="preserve">que surta efectos legales, </w:t>
      </w:r>
      <w:r w:rsidR="008D7C0D" w:rsidRPr="0001179E">
        <w:rPr>
          <w:rFonts w:ascii="Palatino Linotype" w:hAnsi="Palatino Linotype" w:cstheme="minorHAnsi"/>
        </w:rPr>
        <w:t xml:space="preserve">deberá previamente ser protocolizada en una Notaría e </w:t>
      </w:r>
      <w:r w:rsidR="006E7759" w:rsidRPr="0001179E">
        <w:rPr>
          <w:rFonts w:ascii="Palatino Linotype" w:hAnsi="Palatino Linotype" w:cstheme="minorHAnsi"/>
        </w:rPr>
        <w:t>inscri</w:t>
      </w:r>
      <w:r w:rsidR="008D7C0D" w:rsidRPr="0001179E">
        <w:rPr>
          <w:rFonts w:ascii="Palatino Linotype" w:hAnsi="Palatino Linotype" w:cstheme="minorHAnsi"/>
        </w:rPr>
        <w:t>ta</w:t>
      </w:r>
      <w:r w:rsidR="006E7759" w:rsidRPr="0001179E">
        <w:rPr>
          <w:rFonts w:ascii="Palatino Linotype" w:hAnsi="Palatino Linotype" w:cstheme="minorHAnsi"/>
        </w:rPr>
        <w:t xml:space="preserve"> </w:t>
      </w:r>
      <w:r w:rsidRPr="0001179E">
        <w:rPr>
          <w:rFonts w:ascii="Palatino Linotype" w:hAnsi="Palatino Linotype" w:cstheme="minorHAnsi"/>
        </w:rPr>
        <w:t>en el Registro de la Propiedad del Distrito Metropolitano de Quito</w:t>
      </w:r>
      <w:r w:rsidR="008D7C0D" w:rsidRPr="0001179E">
        <w:rPr>
          <w:rFonts w:ascii="Palatino Linotype" w:hAnsi="Palatino Linotype" w:cstheme="minorHAnsi"/>
        </w:rPr>
        <w:t>.</w:t>
      </w:r>
      <w:r w:rsidR="007C28C8">
        <w:rPr>
          <w:rFonts w:ascii="Palatino Linotype" w:hAnsi="Palatino Linotype" w:cstheme="minorHAnsi"/>
        </w:rPr>
        <w:t xml:space="preserve"> </w:t>
      </w:r>
    </w:p>
    <w:p w:rsidR="002B581A" w:rsidRPr="0001179E" w:rsidRDefault="002B581A"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t xml:space="preserve">El Registro de la Propiedad del </w:t>
      </w:r>
      <w:r w:rsidR="008858E7" w:rsidRPr="0001179E">
        <w:rPr>
          <w:rFonts w:ascii="Palatino Linotype" w:hAnsi="Palatino Linotype" w:cstheme="minorHAnsi"/>
        </w:rPr>
        <w:t>Distrito Metropolitano de Quito</w:t>
      </w:r>
      <w:r w:rsidR="00E76CCD" w:rsidRPr="0001179E">
        <w:rPr>
          <w:rFonts w:ascii="Palatino Linotype" w:hAnsi="Palatino Linotype" w:cstheme="minorHAnsi"/>
        </w:rPr>
        <w:t>,</w:t>
      </w:r>
      <w:r w:rsidRPr="0001179E">
        <w:rPr>
          <w:rFonts w:ascii="Palatino Linotype" w:hAnsi="Palatino Linotype" w:cstheme="minorHAnsi"/>
        </w:rPr>
        <w:t xml:space="preserve"> remitirá un detalle de la in</w:t>
      </w:r>
      <w:r w:rsidR="008858E7" w:rsidRPr="0001179E">
        <w:rPr>
          <w:rFonts w:ascii="Palatino Linotype" w:hAnsi="Palatino Linotype" w:cstheme="minorHAnsi"/>
        </w:rPr>
        <w:t xml:space="preserve">scripción de </w:t>
      </w:r>
      <w:r w:rsidR="008858E7" w:rsidRPr="0001179E">
        <w:rPr>
          <w:rFonts w:ascii="Palatino Linotype" w:hAnsi="Palatino Linotype" w:cstheme="minorHAnsi"/>
          <w:color w:val="000000" w:themeColor="text1"/>
        </w:rPr>
        <w:t>las</w:t>
      </w:r>
      <w:r w:rsidR="008858E7" w:rsidRPr="0001179E">
        <w:rPr>
          <w:rFonts w:ascii="Palatino Linotype" w:hAnsi="Palatino Linotype" w:cstheme="minorHAnsi"/>
        </w:rPr>
        <w:t xml:space="preserve"> regularizaciones</w:t>
      </w:r>
      <w:r w:rsidRPr="0001179E">
        <w:rPr>
          <w:rFonts w:ascii="Palatino Linotype" w:hAnsi="Palatino Linotype" w:cstheme="minorHAnsi"/>
        </w:rPr>
        <w:t xml:space="preserve"> de excedentes o diferencias a la Autoridad Administrativa Competente, a efectos de que proceda con la actualización catastral correspondiente.</w:t>
      </w:r>
    </w:p>
    <w:p w:rsidR="00554A28"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bCs/>
        </w:rPr>
        <w:t>Artículo</w:t>
      </w:r>
      <w:r w:rsidR="00C911CC" w:rsidRPr="0001179E">
        <w:rPr>
          <w:rFonts w:ascii="Palatino Linotype" w:hAnsi="Palatino Linotype" w:cstheme="minorHAnsi"/>
          <w:b/>
          <w:bCs/>
        </w:rPr>
        <w:t>…</w:t>
      </w:r>
      <w:r w:rsidRPr="0001179E">
        <w:rPr>
          <w:rFonts w:ascii="Palatino Linotype" w:hAnsi="Palatino Linotype" w:cstheme="minorHAnsi"/>
          <w:b/>
          <w:bCs/>
        </w:rPr>
        <w:t xml:space="preserve"> (1</w:t>
      </w:r>
      <w:r w:rsidR="00EB668A" w:rsidRPr="0001179E">
        <w:rPr>
          <w:rFonts w:ascii="Palatino Linotype" w:hAnsi="Palatino Linotype" w:cstheme="minorHAnsi"/>
          <w:b/>
          <w:bCs/>
        </w:rPr>
        <w:t>4</w:t>
      </w:r>
      <w:r w:rsidRPr="0001179E">
        <w:rPr>
          <w:rFonts w:ascii="Palatino Linotype" w:hAnsi="Palatino Linotype" w:cstheme="minorHAnsi"/>
          <w:b/>
          <w:bCs/>
        </w:rPr>
        <w:t>).- Prohibición de inscripción.-</w:t>
      </w:r>
      <w:r w:rsidR="00A4351B">
        <w:rPr>
          <w:rFonts w:ascii="Palatino Linotype" w:hAnsi="Palatino Linotype" w:cstheme="minorHAnsi"/>
          <w:b/>
          <w:bCs/>
        </w:rPr>
        <w:t xml:space="preserve"> </w:t>
      </w:r>
      <w:r w:rsidRPr="0001179E">
        <w:rPr>
          <w:rFonts w:ascii="Palatino Linotype" w:hAnsi="Palatino Linotype" w:cstheme="minorHAnsi"/>
        </w:rPr>
        <w:t>En ningún caso el Registrador de la Propiedad del Distrito Metropolitano de Quito inscribirá escrituras públicas que modifiquen el área del último título de dominio, sin que se demuestre por parte del administrado que el proceso de regularización por excedente o diferencia ha concluido.</w:t>
      </w:r>
    </w:p>
    <w:p w:rsidR="00554A28" w:rsidRPr="0001179E" w:rsidRDefault="008858E7"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rPr>
        <w:t>Están exenta</w:t>
      </w:r>
      <w:r w:rsidR="00554A28" w:rsidRPr="0001179E">
        <w:rPr>
          <w:rFonts w:ascii="Palatino Linotype" w:hAnsi="Palatino Linotype" w:cstheme="minorHAnsi"/>
        </w:rPr>
        <w:t xml:space="preserve">s de esta prohibición las escrituras que se encuentren dentro de las excepciones contenidas en el </w:t>
      </w:r>
      <w:r w:rsidR="00EC4929" w:rsidRPr="0001179E">
        <w:rPr>
          <w:rFonts w:ascii="Palatino Linotype" w:hAnsi="Palatino Linotype" w:cstheme="minorHAnsi"/>
        </w:rPr>
        <w:t>inciso segundo</w:t>
      </w:r>
      <w:r w:rsidR="00554A28" w:rsidRPr="0001179E">
        <w:rPr>
          <w:rFonts w:ascii="Palatino Linotype" w:hAnsi="Palatino Linotype" w:cstheme="minorHAnsi"/>
        </w:rPr>
        <w:t xml:space="preserve"> del artículo 1 de la presente ordenanza</w:t>
      </w:r>
      <w:r w:rsidR="00A31366" w:rsidRPr="0001179E">
        <w:rPr>
          <w:rFonts w:ascii="Palatino Linotype" w:hAnsi="Palatino Linotype" w:cstheme="minorHAnsi"/>
        </w:rPr>
        <w:t>.</w:t>
      </w:r>
      <w:r w:rsidR="00554A28" w:rsidRPr="0001179E">
        <w:rPr>
          <w:rFonts w:ascii="Palatino Linotype" w:hAnsi="Palatino Linotype" w:cstheme="minorHAnsi"/>
        </w:rPr>
        <w:t xml:space="preserve"> </w:t>
      </w:r>
    </w:p>
    <w:p w:rsidR="00554A28" w:rsidRPr="0001179E" w:rsidRDefault="00554A28" w:rsidP="0001179E">
      <w:pPr>
        <w:autoSpaceDE w:val="0"/>
        <w:autoSpaceDN w:val="0"/>
        <w:adjustRightInd w:val="0"/>
        <w:spacing w:after="120"/>
        <w:jc w:val="both"/>
        <w:rPr>
          <w:rFonts w:ascii="Palatino Linotype" w:hAnsi="Palatino Linotype" w:cstheme="minorHAnsi"/>
          <w:bCs/>
        </w:rPr>
      </w:pPr>
      <w:r w:rsidRPr="0001179E">
        <w:rPr>
          <w:rFonts w:ascii="Palatino Linotype" w:hAnsi="Palatino Linotype" w:cstheme="minorHAnsi"/>
          <w:b/>
        </w:rPr>
        <w:t>Artículo… (1</w:t>
      </w:r>
      <w:r w:rsidR="00EB668A" w:rsidRPr="0001179E">
        <w:rPr>
          <w:rFonts w:ascii="Palatino Linotype" w:hAnsi="Palatino Linotype" w:cstheme="minorHAnsi"/>
          <w:b/>
        </w:rPr>
        <w:t>5</w:t>
      </w:r>
      <w:r w:rsidR="007C28C8">
        <w:rPr>
          <w:rFonts w:ascii="Palatino Linotype" w:hAnsi="Palatino Linotype" w:cstheme="minorHAnsi"/>
          <w:b/>
        </w:rPr>
        <w:t>).- Casos e</w:t>
      </w:r>
      <w:r w:rsidRPr="0001179E">
        <w:rPr>
          <w:rFonts w:ascii="Palatino Linotype" w:hAnsi="Palatino Linotype" w:cstheme="minorHAnsi"/>
          <w:b/>
        </w:rPr>
        <w:t xml:space="preserve">speciales.- </w:t>
      </w:r>
      <w:r w:rsidR="00BB7B40" w:rsidRPr="0001179E">
        <w:rPr>
          <w:rFonts w:ascii="Palatino Linotype" w:hAnsi="Palatino Linotype" w:cstheme="minorHAnsi"/>
        </w:rPr>
        <w:t xml:space="preserve">Para los </w:t>
      </w:r>
      <w:r w:rsidRPr="0001179E">
        <w:rPr>
          <w:rFonts w:ascii="Palatino Linotype" w:hAnsi="Palatino Linotype" w:cstheme="minorHAnsi"/>
          <w:bCs/>
        </w:rPr>
        <w:t xml:space="preserve">casos </w:t>
      </w:r>
      <w:r w:rsidR="00892290" w:rsidRPr="0001179E">
        <w:rPr>
          <w:rFonts w:ascii="Palatino Linotype" w:hAnsi="Palatino Linotype" w:cstheme="minorHAnsi"/>
          <w:bCs/>
        </w:rPr>
        <w:t>que por su complejidad necesitan un mayor análisis</w:t>
      </w:r>
      <w:r w:rsidRPr="0001179E">
        <w:rPr>
          <w:rFonts w:ascii="Palatino Linotype" w:hAnsi="Palatino Linotype" w:cstheme="minorHAnsi"/>
          <w:bCs/>
        </w:rPr>
        <w:t>, se conformará una comisión que estará integrada por</w:t>
      </w:r>
      <w:r w:rsidR="004F30C6" w:rsidRPr="0001179E">
        <w:rPr>
          <w:rFonts w:ascii="Palatino Linotype" w:hAnsi="Palatino Linotype" w:cstheme="minorHAnsi"/>
          <w:bCs/>
        </w:rPr>
        <w:t xml:space="preserve"> </w:t>
      </w:r>
      <w:r w:rsidR="008858E7" w:rsidRPr="0001179E">
        <w:rPr>
          <w:rFonts w:ascii="Palatino Linotype" w:hAnsi="Palatino Linotype" w:cstheme="minorHAnsi"/>
          <w:bCs/>
        </w:rPr>
        <w:t>e</w:t>
      </w:r>
      <w:r w:rsidRPr="0001179E">
        <w:rPr>
          <w:rFonts w:ascii="Palatino Linotype" w:hAnsi="Palatino Linotype" w:cstheme="minorHAnsi"/>
          <w:bCs/>
        </w:rPr>
        <w:t>l Secretario de</w:t>
      </w:r>
      <w:r w:rsidR="008858E7" w:rsidRPr="0001179E">
        <w:rPr>
          <w:rFonts w:ascii="Palatino Linotype" w:hAnsi="Palatino Linotype" w:cstheme="minorHAnsi"/>
          <w:bCs/>
        </w:rPr>
        <w:t xml:space="preserve"> Territorio, Hábitat y Vivienda,</w:t>
      </w:r>
      <w:r w:rsidRPr="0001179E">
        <w:rPr>
          <w:rFonts w:ascii="Palatino Linotype" w:hAnsi="Palatino Linotype" w:cstheme="minorHAnsi"/>
          <w:bCs/>
        </w:rPr>
        <w:t xml:space="preserve"> </w:t>
      </w:r>
      <w:r w:rsidR="008858E7" w:rsidRPr="0001179E">
        <w:rPr>
          <w:rFonts w:ascii="Palatino Linotype" w:hAnsi="Palatino Linotype" w:cstheme="minorHAnsi"/>
          <w:bCs/>
        </w:rPr>
        <w:t>e</w:t>
      </w:r>
      <w:r w:rsidRPr="0001179E">
        <w:rPr>
          <w:rFonts w:ascii="Palatino Linotype" w:hAnsi="Palatino Linotype" w:cstheme="minorHAnsi"/>
          <w:bCs/>
        </w:rPr>
        <w:t>l Director Metropolitano</w:t>
      </w:r>
      <w:r w:rsidR="008858E7" w:rsidRPr="0001179E">
        <w:rPr>
          <w:rFonts w:ascii="Palatino Linotype" w:hAnsi="Palatino Linotype" w:cstheme="minorHAnsi"/>
          <w:bCs/>
        </w:rPr>
        <w:t xml:space="preserve"> de </w:t>
      </w:r>
      <w:r w:rsidR="001A4896" w:rsidRPr="0001179E">
        <w:rPr>
          <w:rFonts w:ascii="Palatino Linotype" w:hAnsi="Palatino Linotype" w:cstheme="minorHAnsi"/>
          <w:bCs/>
        </w:rPr>
        <w:t>Catastro</w:t>
      </w:r>
      <w:r w:rsidR="000A77E3" w:rsidRPr="0001179E">
        <w:rPr>
          <w:rFonts w:ascii="Palatino Linotype" w:hAnsi="Palatino Linotype" w:cstheme="minorHAnsi"/>
          <w:bCs/>
        </w:rPr>
        <w:t xml:space="preserve"> y</w:t>
      </w:r>
      <w:r w:rsidR="007C28C8">
        <w:rPr>
          <w:rFonts w:ascii="Palatino Linotype" w:hAnsi="Palatino Linotype" w:cstheme="minorHAnsi"/>
          <w:bCs/>
        </w:rPr>
        <w:t xml:space="preserve"> el</w:t>
      </w:r>
      <w:r w:rsidR="000A77E3" w:rsidRPr="0001179E">
        <w:rPr>
          <w:rFonts w:ascii="Palatino Linotype" w:hAnsi="Palatino Linotype" w:cstheme="minorHAnsi"/>
          <w:bCs/>
        </w:rPr>
        <w:t xml:space="preserve"> Director Metropolitano de </w:t>
      </w:r>
      <w:r w:rsidR="008858E7" w:rsidRPr="0001179E">
        <w:rPr>
          <w:rFonts w:ascii="Palatino Linotype" w:hAnsi="Palatino Linotype" w:cstheme="minorHAnsi"/>
          <w:bCs/>
        </w:rPr>
        <w:t>Gestión de Bienes Inmuebles</w:t>
      </w:r>
      <w:r w:rsidRPr="0001179E">
        <w:rPr>
          <w:rFonts w:ascii="Palatino Linotype" w:hAnsi="Palatino Linotype" w:cstheme="minorHAnsi"/>
          <w:bCs/>
        </w:rPr>
        <w:t>, o sus respectivos delegados</w:t>
      </w:r>
      <w:r w:rsidR="008858E7" w:rsidRPr="0001179E">
        <w:rPr>
          <w:rFonts w:ascii="Palatino Linotype" w:hAnsi="Palatino Linotype" w:cstheme="minorHAnsi"/>
          <w:bCs/>
        </w:rPr>
        <w:t>.</w:t>
      </w:r>
      <w:r w:rsidR="007C28C8">
        <w:rPr>
          <w:rFonts w:ascii="Palatino Linotype" w:hAnsi="Palatino Linotype" w:cstheme="minorHAnsi"/>
          <w:bCs/>
        </w:rPr>
        <w:t xml:space="preserve"> </w:t>
      </w:r>
      <w:r w:rsidR="00DC1153" w:rsidRPr="0001179E">
        <w:rPr>
          <w:rFonts w:ascii="Palatino Linotype" w:hAnsi="Palatino Linotype" w:cstheme="minorHAnsi"/>
          <w:bCs/>
        </w:rPr>
        <w:t>Est</w:t>
      </w:r>
      <w:r w:rsidR="00DC1153">
        <w:rPr>
          <w:rFonts w:ascii="Palatino Linotype" w:hAnsi="Palatino Linotype" w:cstheme="minorHAnsi"/>
          <w:bCs/>
        </w:rPr>
        <w:t>a</w:t>
      </w:r>
      <w:r w:rsidR="00DC1153" w:rsidRPr="0001179E">
        <w:rPr>
          <w:rFonts w:ascii="Palatino Linotype" w:hAnsi="Palatino Linotype" w:cstheme="minorHAnsi"/>
          <w:bCs/>
        </w:rPr>
        <w:t xml:space="preserve"> </w:t>
      </w:r>
      <w:r w:rsidRPr="0001179E">
        <w:rPr>
          <w:rFonts w:ascii="Palatino Linotype" w:hAnsi="Palatino Linotype" w:cstheme="minorHAnsi"/>
          <w:bCs/>
        </w:rPr>
        <w:t xml:space="preserve">comisión </w:t>
      </w:r>
      <w:r w:rsidR="00347E22" w:rsidRPr="0001179E">
        <w:rPr>
          <w:rFonts w:ascii="Palatino Linotype" w:hAnsi="Palatino Linotype" w:cstheme="minorHAnsi"/>
          <w:bCs/>
        </w:rPr>
        <w:t xml:space="preserve">se reunirá cada quince días y en el mismo tiempo </w:t>
      </w:r>
      <w:r w:rsidRPr="0001179E">
        <w:rPr>
          <w:rFonts w:ascii="Palatino Linotype" w:hAnsi="Palatino Linotype" w:cstheme="minorHAnsi"/>
          <w:bCs/>
        </w:rPr>
        <w:t xml:space="preserve">emitirá un informe sobre la procedencia o no de la petición de regularización de excedentes o diferencias </w:t>
      </w:r>
      <w:r w:rsidR="00745217" w:rsidRPr="0001179E">
        <w:rPr>
          <w:rFonts w:ascii="Palatino Linotype" w:hAnsi="Palatino Linotype" w:cstheme="minorHAnsi"/>
          <w:bCs/>
        </w:rPr>
        <w:t>solicitada</w:t>
      </w:r>
      <w:r w:rsidRPr="0001179E">
        <w:rPr>
          <w:rFonts w:ascii="Palatino Linotype" w:hAnsi="Palatino Linotype" w:cstheme="minorHAnsi"/>
          <w:bCs/>
        </w:rPr>
        <w:t xml:space="preserve"> por los administrados, en los siguientes casos</w:t>
      </w:r>
      <w:r w:rsidR="00511DC8" w:rsidRPr="0001179E">
        <w:rPr>
          <w:rFonts w:ascii="Palatino Linotype" w:hAnsi="Palatino Linotype" w:cstheme="minorHAnsi"/>
          <w:bCs/>
        </w:rPr>
        <w:t>:</w:t>
      </w:r>
      <w:r w:rsidR="003D2CEC" w:rsidRPr="0001179E">
        <w:rPr>
          <w:rFonts w:ascii="Palatino Linotype" w:hAnsi="Palatino Linotype" w:cstheme="minorHAnsi"/>
          <w:bCs/>
        </w:rPr>
        <w:t xml:space="preserve"> </w:t>
      </w:r>
    </w:p>
    <w:p w:rsidR="00FB37CC" w:rsidRPr="0001179E" w:rsidRDefault="00FB37CC" w:rsidP="0001179E">
      <w:pPr>
        <w:pStyle w:val="Prrafodelista"/>
        <w:numPr>
          <w:ilvl w:val="0"/>
          <w:numId w:val="14"/>
        </w:num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Cs/>
        </w:rPr>
        <w:t>En los casos relacionados c</w:t>
      </w:r>
      <w:r w:rsidR="001C4A08" w:rsidRPr="0001179E">
        <w:rPr>
          <w:rFonts w:ascii="Palatino Linotype" w:hAnsi="Palatino Linotype" w:cstheme="minorHAnsi"/>
          <w:bCs/>
        </w:rPr>
        <w:t>on propiedades horizontales;</w:t>
      </w:r>
    </w:p>
    <w:p w:rsidR="006A665F" w:rsidRPr="0001179E" w:rsidRDefault="00115C85" w:rsidP="0001179E">
      <w:pPr>
        <w:pStyle w:val="Prrafodelista"/>
        <w:numPr>
          <w:ilvl w:val="0"/>
          <w:numId w:val="14"/>
        </w:num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Cs/>
        </w:rPr>
        <w:t xml:space="preserve">En los casos de Asentamientos </w:t>
      </w:r>
      <w:r w:rsidR="00CA5EA3" w:rsidRPr="0001179E">
        <w:rPr>
          <w:rFonts w:ascii="Palatino Linotype" w:hAnsi="Palatino Linotype" w:cstheme="minorHAnsi"/>
          <w:bCs/>
        </w:rPr>
        <w:t xml:space="preserve">Humanos </w:t>
      </w:r>
      <w:r w:rsidRPr="0001179E">
        <w:rPr>
          <w:rFonts w:ascii="Palatino Linotype" w:hAnsi="Palatino Linotype" w:cstheme="minorHAnsi"/>
          <w:bCs/>
        </w:rPr>
        <w:t>de Hecho y Consolidados</w:t>
      </w:r>
      <w:r w:rsidR="00DC1153">
        <w:rPr>
          <w:rFonts w:ascii="Palatino Linotype" w:hAnsi="Palatino Linotype" w:cstheme="minorHAnsi"/>
          <w:bCs/>
        </w:rPr>
        <w:t>, inclusive aquellos casos sujetos a procesos de expropiación especial</w:t>
      </w:r>
      <w:r w:rsidR="001C4A08" w:rsidRPr="0001179E">
        <w:rPr>
          <w:rFonts w:ascii="Palatino Linotype" w:hAnsi="Palatino Linotype" w:cstheme="minorHAnsi"/>
          <w:bCs/>
        </w:rPr>
        <w:t>; y,</w:t>
      </w:r>
    </w:p>
    <w:p w:rsidR="001C4A08" w:rsidRPr="0001179E" w:rsidRDefault="001C4A08" w:rsidP="0001179E">
      <w:pPr>
        <w:pStyle w:val="Prrafodelista"/>
        <w:numPr>
          <w:ilvl w:val="0"/>
          <w:numId w:val="14"/>
        </w:num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Cs/>
        </w:rPr>
        <w:t xml:space="preserve">Cuando la superficie a regularizarse supere el 50% </w:t>
      </w:r>
      <w:r w:rsidR="009174EF" w:rsidRPr="0001179E">
        <w:rPr>
          <w:rFonts w:ascii="Palatino Linotype" w:hAnsi="Palatino Linotype" w:cstheme="minorHAnsi"/>
          <w:bCs/>
        </w:rPr>
        <w:t xml:space="preserve">que conste en el título de dominio </w:t>
      </w:r>
      <w:r w:rsidRPr="0001179E">
        <w:rPr>
          <w:rFonts w:ascii="Palatino Linotype" w:hAnsi="Palatino Linotype" w:cstheme="minorHAnsi"/>
          <w:bCs/>
        </w:rPr>
        <w:t xml:space="preserve">en suelo urbano y el 30% </w:t>
      </w:r>
      <w:r w:rsidR="009174EF" w:rsidRPr="0001179E">
        <w:rPr>
          <w:rFonts w:ascii="Palatino Linotype" w:hAnsi="Palatino Linotype" w:cstheme="minorHAnsi"/>
          <w:bCs/>
        </w:rPr>
        <w:t xml:space="preserve">que conste en el título de dominio </w:t>
      </w:r>
      <w:r w:rsidRPr="0001179E">
        <w:rPr>
          <w:rFonts w:ascii="Palatino Linotype" w:hAnsi="Palatino Linotype" w:cstheme="minorHAnsi"/>
          <w:bCs/>
        </w:rPr>
        <w:t>en suelo rural.</w:t>
      </w:r>
    </w:p>
    <w:p w:rsidR="00554A28" w:rsidRPr="0001179E" w:rsidRDefault="00554A28" w:rsidP="0001179E">
      <w:pPr>
        <w:autoSpaceDE w:val="0"/>
        <w:autoSpaceDN w:val="0"/>
        <w:adjustRightInd w:val="0"/>
        <w:spacing w:after="120"/>
        <w:jc w:val="both"/>
        <w:rPr>
          <w:rFonts w:ascii="Palatino Linotype" w:hAnsi="Palatino Linotype" w:cstheme="minorHAnsi"/>
          <w:b/>
          <w:bCs/>
        </w:rPr>
      </w:pPr>
      <w:r w:rsidRPr="0001179E">
        <w:rPr>
          <w:rFonts w:ascii="Palatino Linotype" w:hAnsi="Palatino Linotype" w:cstheme="minorHAnsi"/>
          <w:b/>
          <w:bCs/>
        </w:rPr>
        <w:t>Disposiciones Generales</w:t>
      </w:r>
      <w:r w:rsidR="0087725C" w:rsidRPr="0001179E">
        <w:rPr>
          <w:rFonts w:ascii="Palatino Linotype" w:hAnsi="Palatino Linotype" w:cstheme="minorHAnsi"/>
          <w:b/>
          <w:bCs/>
        </w:rPr>
        <w:t>:</w:t>
      </w:r>
    </w:p>
    <w:p w:rsidR="00554A28"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bCs/>
        </w:rPr>
        <w:t xml:space="preserve">Primera.- </w:t>
      </w:r>
      <w:r w:rsidRPr="0001179E">
        <w:rPr>
          <w:rFonts w:ascii="Palatino Linotype" w:hAnsi="Palatino Linotype" w:cstheme="minorHAnsi"/>
        </w:rPr>
        <w:t xml:space="preserve">En caso de que en el procedimiento administrativo de declaratoria de utilidad pública con fines de expropiación total </w:t>
      </w:r>
      <w:r w:rsidR="001537DE" w:rsidRPr="0001179E">
        <w:rPr>
          <w:rFonts w:ascii="Palatino Linotype" w:hAnsi="Palatino Linotype" w:cstheme="minorHAnsi"/>
        </w:rPr>
        <w:t>o parcial</w:t>
      </w:r>
      <w:r w:rsidR="00B256BC" w:rsidRPr="0001179E">
        <w:rPr>
          <w:rFonts w:ascii="Palatino Linotype" w:hAnsi="Palatino Linotype" w:cstheme="minorHAnsi"/>
        </w:rPr>
        <w:t>,</w:t>
      </w:r>
      <w:r w:rsidR="001537DE" w:rsidRPr="0001179E">
        <w:rPr>
          <w:rFonts w:ascii="Palatino Linotype" w:hAnsi="Palatino Linotype" w:cstheme="minorHAnsi"/>
        </w:rPr>
        <w:t xml:space="preserve"> previamente a </w:t>
      </w:r>
      <w:r w:rsidR="00B256BC" w:rsidRPr="0001179E">
        <w:rPr>
          <w:rFonts w:ascii="Palatino Linotype" w:hAnsi="Palatino Linotype" w:cstheme="minorHAnsi"/>
        </w:rPr>
        <w:t>la emisión del acto administrativo motivado</w:t>
      </w:r>
      <w:r w:rsidR="00E822C6" w:rsidRPr="0001179E">
        <w:rPr>
          <w:rFonts w:ascii="Palatino Linotype" w:hAnsi="Palatino Linotype" w:cstheme="minorHAnsi"/>
        </w:rPr>
        <w:t>, se deberá</w:t>
      </w:r>
      <w:r w:rsidR="00B256BC" w:rsidRPr="0001179E">
        <w:rPr>
          <w:rFonts w:ascii="Palatino Linotype" w:hAnsi="Palatino Linotype" w:cstheme="minorHAnsi"/>
        </w:rPr>
        <w:t xml:space="preserve"> determinar la individualización del bien o bienes requeridos, </w:t>
      </w:r>
      <w:r w:rsidR="00E822C6" w:rsidRPr="0001179E">
        <w:rPr>
          <w:rFonts w:ascii="Palatino Linotype" w:hAnsi="Palatino Linotype" w:cstheme="minorHAnsi"/>
        </w:rPr>
        <w:t xml:space="preserve">y </w:t>
      </w:r>
      <w:r w:rsidR="00B256BC" w:rsidRPr="0001179E">
        <w:rPr>
          <w:rFonts w:ascii="Palatino Linotype" w:hAnsi="Palatino Linotype" w:cstheme="minorHAnsi"/>
        </w:rPr>
        <w:t>s</w:t>
      </w:r>
      <w:r w:rsidR="00E822C6" w:rsidRPr="0001179E">
        <w:rPr>
          <w:rFonts w:ascii="Palatino Linotype" w:hAnsi="Palatino Linotype" w:cstheme="minorHAnsi"/>
        </w:rPr>
        <w:t>i en el proceso s</w:t>
      </w:r>
      <w:r w:rsidR="00B256BC" w:rsidRPr="0001179E">
        <w:rPr>
          <w:rFonts w:ascii="Palatino Linotype" w:hAnsi="Palatino Linotype" w:cstheme="minorHAnsi"/>
        </w:rPr>
        <w:t xml:space="preserve">e detectare </w:t>
      </w:r>
      <w:r w:rsidRPr="0001179E">
        <w:rPr>
          <w:rFonts w:ascii="Palatino Linotype" w:hAnsi="Palatino Linotype" w:cstheme="minorHAnsi"/>
        </w:rPr>
        <w:t>un excedente</w:t>
      </w:r>
      <w:r w:rsidR="00B256BC" w:rsidRPr="0001179E">
        <w:rPr>
          <w:rFonts w:ascii="Palatino Linotype" w:hAnsi="Palatino Linotype" w:cstheme="minorHAnsi"/>
        </w:rPr>
        <w:t xml:space="preserve"> o diferencia de superficie, el organismo </w:t>
      </w:r>
      <w:r w:rsidR="00E822C6" w:rsidRPr="0001179E">
        <w:rPr>
          <w:rFonts w:ascii="Palatino Linotype" w:hAnsi="Palatino Linotype" w:cstheme="minorHAnsi"/>
        </w:rPr>
        <w:t>requirente, solicitará a la Autoridad Administrativa Competente o su delegado</w:t>
      </w:r>
      <w:r w:rsidR="00C76EBD" w:rsidRPr="0001179E">
        <w:rPr>
          <w:rFonts w:ascii="Palatino Linotype" w:hAnsi="Palatino Linotype" w:cstheme="minorHAnsi"/>
        </w:rPr>
        <w:t>,</w:t>
      </w:r>
      <w:r w:rsidR="00E822C6" w:rsidRPr="0001179E">
        <w:rPr>
          <w:rFonts w:ascii="Palatino Linotype" w:hAnsi="Palatino Linotype" w:cstheme="minorHAnsi"/>
        </w:rPr>
        <w:t xml:space="preserve"> la rectificación y regularización de las áreas</w:t>
      </w:r>
      <w:r w:rsidR="00B256BC" w:rsidRPr="0001179E">
        <w:rPr>
          <w:rFonts w:ascii="Palatino Linotype" w:hAnsi="Palatino Linotype" w:cstheme="minorHAnsi"/>
        </w:rPr>
        <w:t xml:space="preserve">, </w:t>
      </w:r>
    </w:p>
    <w:p w:rsidR="004F30C5" w:rsidRPr="0001179E" w:rsidRDefault="004F30C5" w:rsidP="0001179E">
      <w:pPr>
        <w:spacing w:after="120"/>
        <w:jc w:val="both"/>
        <w:rPr>
          <w:rFonts w:ascii="Palatino Linotype" w:hAnsi="Palatino Linotype" w:cstheme="minorHAnsi"/>
        </w:rPr>
      </w:pPr>
      <w:r w:rsidRPr="0001179E">
        <w:rPr>
          <w:rFonts w:ascii="Palatino Linotype" w:hAnsi="Palatino Linotype" w:cstheme="minorHAnsi"/>
          <w:b/>
          <w:bCs/>
        </w:rPr>
        <w:lastRenderedPageBreak/>
        <w:t xml:space="preserve">Segunda.- </w:t>
      </w:r>
      <w:r w:rsidRPr="0001179E">
        <w:rPr>
          <w:rFonts w:ascii="Palatino Linotype" w:hAnsi="Palatino Linotype" w:cstheme="minorHAnsi"/>
          <w:bCs/>
        </w:rPr>
        <w:t>En</w:t>
      </w:r>
      <w:r w:rsidRPr="0001179E">
        <w:rPr>
          <w:rFonts w:ascii="Palatino Linotype" w:hAnsi="Palatino Linotype" w:cstheme="minorHAnsi"/>
          <w:b/>
          <w:bCs/>
        </w:rPr>
        <w:t xml:space="preserve"> </w:t>
      </w:r>
      <w:r w:rsidR="00DC1153">
        <w:rPr>
          <w:rFonts w:ascii="Palatino Linotype" w:hAnsi="Palatino Linotype" w:cstheme="minorHAnsi"/>
          <w:bCs/>
        </w:rPr>
        <w:t>los casos en que se d</w:t>
      </w:r>
      <w:r w:rsidR="007C28C8">
        <w:rPr>
          <w:rFonts w:ascii="Palatino Linotype" w:hAnsi="Palatino Linotype" w:cstheme="minorHAnsi"/>
          <w:bCs/>
        </w:rPr>
        <w:t>etectare</w:t>
      </w:r>
      <w:r w:rsidR="00DC1153">
        <w:rPr>
          <w:rFonts w:ascii="Palatino Linotype" w:hAnsi="Palatino Linotype" w:cstheme="minorHAnsi"/>
          <w:bCs/>
        </w:rPr>
        <w:t xml:space="preserve"> la existencia de diferencias o excedentes de </w:t>
      </w:r>
      <w:r w:rsidR="008B7825">
        <w:rPr>
          <w:rFonts w:ascii="Palatino Linotype" w:hAnsi="Palatino Linotype" w:cstheme="minorHAnsi"/>
          <w:bCs/>
        </w:rPr>
        <w:t>superficies</w:t>
      </w:r>
      <w:r w:rsidR="00DC1153">
        <w:rPr>
          <w:rFonts w:ascii="Palatino Linotype" w:hAnsi="Palatino Linotype" w:cstheme="minorHAnsi"/>
          <w:bCs/>
        </w:rPr>
        <w:t xml:space="preserve">, </w:t>
      </w:r>
      <w:r w:rsidRPr="0001179E">
        <w:rPr>
          <w:rFonts w:ascii="Palatino Linotype" w:hAnsi="Palatino Linotype" w:cstheme="minorHAnsi"/>
        </w:rPr>
        <w:t xml:space="preserve">los procesos de regularización de </w:t>
      </w:r>
      <w:r w:rsidR="00445B05" w:rsidRPr="0001179E">
        <w:rPr>
          <w:rFonts w:ascii="Palatino Linotype" w:hAnsi="Palatino Linotype" w:cstheme="minorHAnsi"/>
        </w:rPr>
        <w:t>A</w:t>
      </w:r>
      <w:r w:rsidRPr="0001179E">
        <w:rPr>
          <w:rFonts w:ascii="Palatino Linotype" w:hAnsi="Palatino Linotype" w:cstheme="minorHAnsi"/>
        </w:rPr>
        <w:t xml:space="preserve">sentamientos </w:t>
      </w:r>
      <w:r w:rsidR="00445B05" w:rsidRPr="0001179E">
        <w:rPr>
          <w:rFonts w:ascii="Palatino Linotype" w:hAnsi="Palatino Linotype" w:cstheme="minorHAnsi"/>
        </w:rPr>
        <w:t>H</w:t>
      </w:r>
      <w:r w:rsidRPr="0001179E">
        <w:rPr>
          <w:rFonts w:ascii="Palatino Linotype" w:hAnsi="Palatino Linotype" w:cstheme="minorHAnsi"/>
        </w:rPr>
        <w:t xml:space="preserve">umanos de </w:t>
      </w:r>
      <w:r w:rsidR="00445B05" w:rsidRPr="0001179E">
        <w:rPr>
          <w:rFonts w:ascii="Palatino Linotype" w:hAnsi="Palatino Linotype" w:cstheme="minorHAnsi"/>
        </w:rPr>
        <w:t>H</w:t>
      </w:r>
      <w:r w:rsidRPr="0001179E">
        <w:rPr>
          <w:rFonts w:ascii="Palatino Linotype" w:hAnsi="Palatino Linotype" w:cstheme="minorHAnsi"/>
        </w:rPr>
        <w:t xml:space="preserve">echo y </w:t>
      </w:r>
      <w:r w:rsidR="00445B05" w:rsidRPr="0001179E">
        <w:rPr>
          <w:rFonts w:ascii="Palatino Linotype" w:hAnsi="Palatino Linotype" w:cstheme="minorHAnsi"/>
        </w:rPr>
        <w:t>C</w:t>
      </w:r>
      <w:r w:rsidRPr="0001179E">
        <w:rPr>
          <w:rFonts w:ascii="Palatino Linotype" w:hAnsi="Palatino Linotype" w:cstheme="minorHAnsi"/>
        </w:rPr>
        <w:t xml:space="preserve">onsolidados, previo al acto normativo de regularización del asentamiento, </w:t>
      </w:r>
      <w:r w:rsidR="00445B05" w:rsidRPr="0001179E">
        <w:rPr>
          <w:rFonts w:ascii="Palatino Linotype" w:hAnsi="Palatino Linotype" w:cstheme="minorHAnsi"/>
        </w:rPr>
        <w:t xml:space="preserve">se someterán a los procesos establecidos en la presente ordenanza, para lo cual </w:t>
      </w:r>
      <w:r w:rsidRPr="0001179E">
        <w:rPr>
          <w:rFonts w:ascii="Palatino Linotype" w:hAnsi="Palatino Linotype" w:cstheme="minorHAnsi"/>
        </w:rPr>
        <w:t>se deberá establecer las áreas tanto del título</w:t>
      </w:r>
      <w:r w:rsidR="00445B05" w:rsidRPr="0001179E">
        <w:rPr>
          <w:rFonts w:ascii="Palatino Linotype" w:hAnsi="Palatino Linotype" w:cstheme="minorHAnsi"/>
        </w:rPr>
        <w:t xml:space="preserve"> de dominio,</w:t>
      </w:r>
      <w:r w:rsidRPr="0001179E">
        <w:rPr>
          <w:rFonts w:ascii="Palatino Linotype" w:hAnsi="Palatino Linotype" w:cstheme="minorHAnsi"/>
        </w:rPr>
        <w:t xml:space="preserve"> como del levantamiento planimétrico del predio o los predios globales en los cuales se encuentra</w:t>
      </w:r>
      <w:r w:rsidR="001C53FD" w:rsidRPr="0001179E">
        <w:rPr>
          <w:rFonts w:ascii="Palatino Linotype" w:hAnsi="Palatino Linotype" w:cstheme="minorHAnsi"/>
        </w:rPr>
        <w:t>n</w:t>
      </w:r>
      <w:r w:rsidRPr="0001179E">
        <w:rPr>
          <w:rFonts w:ascii="Palatino Linotype" w:hAnsi="Palatino Linotype" w:cstheme="minorHAnsi"/>
        </w:rPr>
        <w:t xml:space="preserve"> ubicados los asentamientos</w:t>
      </w:r>
      <w:r w:rsidR="00202E7A" w:rsidRPr="0001179E">
        <w:rPr>
          <w:rFonts w:ascii="Palatino Linotype" w:hAnsi="Palatino Linotype" w:cstheme="minorHAnsi"/>
        </w:rPr>
        <w:t>.</w:t>
      </w:r>
      <w:r w:rsidRPr="0001179E">
        <w:rPr>
          <w:rFonts w:ascii="Palatino Linotype" w:hAnsi="Palatino Linotype" w:cstheme="minorHAnsi"/>
        </w:rPr>
        <w:t xml:space="preserve"> </w:t>
      </w:r>
      <w:r w:rsidR="00202E7A" w:rsidRPr="0001179E">
        <w:rPr>
          <w:rFonts w:ascii="Palatino Linotype" w:hAnsi="Palatino Linotype" w:cstheme="minorHAnsi"/>
        </w:rPr>
        <w:t>L</w:t>
      </w:r>
      <w:r w:rsidRPr="0001179E">
        <w:rPr>
          <w:rFonts w:ascii="Palatino Linotype" w:hAnsi="Palatino Linotype" w:cstheme="minorHAnsi"/>
        </w:rPr>
        <w:t>a Unidad Especial Regula Tu Barrio remitirá a la Autoridad Administrativa Competente, toda la documentación necesaria para la regularización de las superficies de los Asentamientos</w:t>
      </w:r>
      <w:r w:rsidR="00445B05" w:rsidRPr="0001179E">
        <w:rPr>
          <w:rFonts w:ascii="Palatino Linotype" w:hAnsi="Palatino Linotype" w:cstheme="minorHAnsi"/>
        </w:rPr>
        <w:t xml:space="preserve"> Humanos de Hecho y Consolidados</w:t>
      </w:r>
      <w:r w:rsidRPr="0001179E">
        <w:rPr>
          <w:rFonts w:ascii="Palatino Linotype" w:hAnsi="Palatino Linotype" w:cstheme="minorHAnsi"/>
        </w:rPr>
        <w:t xml:space="preserve">. </w:t>
      </w:r>
    </w:p>
    <w:p w:rsidR="00EB34DF" w:rsidRPr="0001179E" w:rsidRDefault="00EB34DF" w:rsidP="0001179E">
      <w:pPr>
        <w:spacing w:after="120"/>
        <w:jc w:val="both"/>
        <w:rPr>
          <w:rFonts w:ascii="Palatino Linotype" w:hAnsi="Palatino Linotype" w:cstheme="minorHAnsi"/>
        </w:rPr>
      </w:pPr>
      <w:r w:rsidRPr="0001179E">
        <w:rPr>
          <w:rFonts w:ascii="Palatino Linotype" w:hAnsi="Palatino Linotype" w:cstheme="minorHAnsi"/>
        </w:rPr>
        <w:t xml:space="preserve">Los Asentamientos Humanos de Hecho y Consolidados, estarán exentos de pago por concepto de tasa de trámites y servicios administrativos en los procesos de regularización de excedentes y diferencias de áreas de los predios </w:t>
      </w:r>
      <w:r w:rsidR="00316D30" w:rsidRPr="0001179E">
        <w:rPr>
          <w:rFonts w:ascii="Palatino Linotype" w:hAnsi="Palatino Linotype" w:cstheme="minorHAnsi"/>
        </w:rPr>
        <w:t>en los cuales están ubicados.</w:t>
      </w:r>
    </w:p>
    <w:p w:rsidR="00554A28" w:rsidRPr="0001179E" w:rsidRDefault="004F30C5"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rPr>
        <w:t>Tercera</w:t>
      </w:r>
      <w:r w:rsidR="00554A28" w:rsidRPr="0001179E">
        <w:rPr>
          <w:rFonts w:ascii="Palatino Linotype" w:hAnsi="Palatino Linotype" w:cstheme="minorHAnsi"/>
          <w:b/>
        </w:rPr>
        <w:t xml:space="preserve">.- </w:t>
      </w:r>
      <w:r w:rsidR="00554A28" w:rsidRPr="0001179E">
        <w:rPr>
          <w:rFonts w:ascii="Palatino Linotype" w:hAnsi="Palatino Linotype" w:cstheme="minorHAnsi"/>
        </w:rPr>
        <w:t>En casos de Propiedades Horizontales</w:t>
      </w:r>
      <w:r w:rsidR="00101D01" w:rsidRPr="0001179E">
        <w:rPr>
          <w:rFonts w:ascii="Palatino Linotype" w:hAnsi="Palatino Linotype" w:cstheme="minorHAnsi"/>
        </w:rPr>
        <w:t xml:space="preserve"> y en derechos y acciones,</w:t>
      </w:r>
      <w:r w:rsidR="00554A28" w:rsidRPr="0001179E">
        <w:rPr>
          <w:rFonts w:ascii="Palatino Linotype" w:hAnsi="Palatino Linotype" w:cstheme="minorHAnsi"/>
        </w:rPr>
        <w:t xml:space="preserve"> se considerará la petición cuando cuente con la autorización del </w:t>
      </w:r>
      <w:r w:rsidR="00CB215A" w:rsidRPr="0001179E">
        <w:rPr>
          <w:rFonts w:ascii="Palatino Linotype" w:hAnsi="Palatino Linotype" w:cstheme="minorHAnsi"/>
        </w:rPr>
        <w:t>100</w:t>
      </w:r>
      <w:r w:rsidR="00554A28" w:rsidRPr="0001179E">
        <w:rPr>
          <w:rFonts w:ascii="Palatino Linotype" w:hAnsi="Palatino Linotype" w:cstheme="minorHAnsi"/>
        </w:rPr>
        <w:t>%</w:t>
      </w:r>
      <w:r w:rsidR="000A543E" w:rsidRPr="0001179E">
        <w:rPr>
          <w:rFonts w:ascii="Palatino Linotype" w:hAnsi="Palatino Linotype" w:cstheme="minorHAnsi"/>
        </w:rPr>
        <w:t xml:space="preserve"> de los copropietarios</w:t>
      </w:r>
      <w:r w:rsidR="00554A28" w:rsidRPr="0001179E">
        <w:rPr>
          <w:rFonts w:ascii="Palatino Linotype" w:hAnsi="Palatino Linotype" w:cstheme="minorHAnsi"/>
        </w:rPr>
        <w:t xml:space="preserve">. </w:t>
      </w:r>
    </w:p>
    <w:p w:rsidR="00554A28" w:rsidRPr="0001179E" w:rsidRDefault="004F30C5"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rPr>
        <w:t>Cuarta</w:t>
      </w:r>
      <w:r w:rsidR="00554A28" w:rsidRPr="0001179E">
        <w:rPr>
          <w:rFonts w:ascii="Palatino Linotype" w:hAnsi="Palatino Linotype" w:cstheme="minorHAnsi"/>
          <w:b/>
        </w:rPr>
        <w:t xml:space="preserve">.- </w:t>
      </w:r>
      <w:r w:rsidR="00554A28" w:rsidRPr="0001179E">
        <w:rPr>
          <w:rFonts w:ascii="Palatino Linotype" w:hAnsi="Palatino Linotype" w:cstheme="minorHAnsi"/>
        </w:rPr>
        <w:t xml:space="preserve">Para el caso de lotes de patrimonio de las instituciones del sector público que se encuentren dentro </w:t>
      </w:r>
      <w:r w:rsidR="000A543E" w:rsidRPr="0001179E">
        <w:rPr>
          <w:rFonts w:ascii="Palatino Linotype" w:hAnsi="Palatino Linotype" w:cstheme="minorHAnsi"/>
        </w:rPr>
        <w:t>de suelo</w:t>
      </w:r>
      <w:r w:rsidR="00554A28" w:rsidRPr="0001179E">
        <w:rPr>
          <w:rFonts w:ascii="Palatino Linotype" w:hAnsi="Palatino Linotype" w:cstheme="minorHAnsi"/>
        </w:rPr>
        <w:t xml:space="preserve"> urbano </w:t>
      </w:r>
      <w:r w:rsidR="000A543E" w:rsidRPr="0001179E">
        <w:rPr>
          <w:rFonts w:ascii="Palatino Linotype" w:hAnsi="Palatino Linotype" w:cstheme="minorHAnsi"/>
        </w:rPr>
        <w:t>o</w:t>
      </w:r>
      <w:r w:rsidR="00554A28" w:rsidRPr="0001179E">
        <w:rPr>
          <w:rFonts w:ascii="Palatino Linotype" w:hAnsi="Palatino Linotype" w:cstheme="minorHAnsi"/>
        </w:rPr>
        <w:t xml:space="preserve"> rural del Distrito Metropolitano de Quito, se aplicarán las disposiciones contenidas en la presente ordenanza. </w:t>
      </w:r>
    </w:p>
    <w:p w:rsidR="00D64B67" w:rsidRPr="0001179E" w:rsidRDefault="004F30C5"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rPr>
        <w:t>Quinta</w:t>
      </w:r>
      <w:r w:rsidR="004C6CB9" w:rsidRPr="0001179E">
        <w:rPr>
          <w:rFonts w:ascii="Palatino Linotype" w:hAnsi="Palatino Linotype" w:cstheme="minorHAnsi"/>
          <w:b/>
        </w:rPr>
        <w:t xml:space="preserve">.- </w:t>
      </w:r>
      <w:r w:rsidR="004C6CB9" w:rsidRPr="0001179E">
        <w:rPr>
          <w:rFonts w:ascii="Palatino Linotype" w:hAnsi="Palatino Linotype" w:cstheme="minorHAnsi"/>
        </w:rPr>
        <w:t>Los predios que fueron rectificados y/o regularizados</w:t>
      </w:r>
      <w:r w:rsidR="007C28C8">
        <w:rPr>
          <w:rFonts w:ascii="Palatino Linotype" w:hAnsi="Palatino Linotype" w:cstheme="minorHAnsi"/>
        </w:rPr>
        <w:t xml:space="preserve"> mediante la aplicación de las O</w:t>
      </w:r>
      <w:r w:rsidR="004C6CB9" w:rsidRPr="0001179E">
        <w:rPr>
          <w:rFonts w:ascii="Palatino Linotype" w:hAnsi="Palatino Linotype" w:cstheme="minorHAnsi"/>
        </w:rPr>
        <w:t xml:space="preserve">rdenanzas </w:t>
      </w:r>
      <w:r w:rsidR="007C28C8">
        <w:rPr>
          <w:rFonts w:ascii="Palatino Linotype" w:hAnsi="Palatino Linotype" w:cstheme="minorHAnsi"/>
        </w:rPr>
        <w:t xml:space="preserve">Nos. </w:t>
      </w:r>
      <w:r w:rsidR="004C6CB9" w:rsidRPr="0001179E">
        <w:rPr>
          <w:rFonts w:ascii="Palatino Linotype" w:hAnsi="Palatino Linotype" w:cstheme="minorHAnsi"/>
        </w:rPr>
        <w:t xml:space="preserve">231, 261, </w:t>
      </w:r>
      <w:r w:rsidR="008E48D3" w:rsidRPr="0001179E">
        <w:rPr>
          <w:rFonts w:ascii="Palatino Linotype" w:hAnsi="Palatino Linotype" w:cstheme="minorHAnsi"/>
        </w:rPr>
        <w:t xml:space="preserve">163, </w:t>
      </w:r>
      <w:r w:rsidR="004C6CB9" w:rsidRPr="0001179E">
        <w:rPr>
          <w:rFonts w:ascii="Palatino Linotype" w:hAnsi="Palatino Linotype" w:cstheme="minorHAnsi"/>
        </w:rPr>
        <w:t xml:space="preserve">269 y la presente, no podrán  acogerse a una nueva rectificación y/o regularización. </w:t>
      </w:r>
    </w:p>
    <w:p w:rsidR="00BA65CB" w:rsidRPr="0001179E" w:rsidRDefault="004F30C5" w:rsidP="0001179E">
      <w:pPr>
        <w:spacing w:after="120"/>
        <w:jc w:val="both"/>
        <w:rPr>
          <w:rFonts w:ascii="Palatino Linotype" w:hAnsi="Palatino Linotype" w:cstheme="minorHAnsi"/>
        </w:rPr>
      </w:pPr>
      <w:r w:rsidRPr="0001179E">
        <w:rPr>
          <w:rFonts w:ascii="Palatino Linotype" w:hAnsi="Palatino Linotype" w:cstheme="minorHAnsi"/>
          <w:b/>
        </w:rPr>
        <w:t>Sexta</w:t>
      </w:r>
      <w:r w:rsidR="006136A2" w:rsidRPr="0001179E">
        <w:rPr>
          <w:rFonts w:ascii="Palatino Linotype" w:hAnsi="Palatino Linotype" w:cstheme="minorHAnsi"/>
          <w:b/>
        </w:rPr>
        <w:t xml:space="preserve">.- </w:t>
      </w:r>
      <w:r w:rsidR="00BA65CB" w:rsidRPr="0001179E">
        <w:rPr>
          <w:rFonts w:ascii="Palatino Linotype" w:hAnsi="Palatino Linotype" w:cstheme="minorHAnsi"/>
        </w:rPr>
        <w:t xml:space="preserve">Para el pago de aranceles por calificación legal e inscripción de actos administrativos de rectificación o regularización de excedentes de superficies que se encuentran dentro o fuera del Error Técnico Aceptable de Medición-ETAM; o, de diferencias de áreas, se considerará un valor conforme a lo dispuesto en </w:t>
      </w:r>
      <w:r w:rsidR="00CA5A37" w:rsidRPr="0001179E">
        <w:rPr>
          <w:rFonts w:ascii="Palatino Linotype" w:hAnsi="Palatino Linotype" w:cstheme="minorHAnsi"/>
        </w:rPr>
        <w:t xml:space="preserve">el artículo 6 de </w:t>
      </w:r>
      <w:r w:rsidR="00BA65CB" w:rsidRPr="0001179E">
        <w:rPr>
          <w:rFonts w:ascii="Palatino Linotype" w:hAnsi="Palatino Linotype" w:cstheme="minorHAnsi"/>
        </w:rPr>
        <w:t>la Ordenanza 090</w:t>
      </w:r>
      <w:r w:rsidR="0094085D" w:rsidRPr="0001179E">
        <w:rPr>
          <w:rFonts w:ascii="Palatino Linotype" w:hAnsi="Palatino Linotype" w:cstheme="minorHAnsi"/>
        </w:rPr>
        <w:t>,</w:t>
      </w:r>
      <w:r w:rsidR="00BA65CB" w:rsidRPr="0001179E">
        <w:rPr>
          <w:rFonts w:ascii="Palatino Linotype" w:hAnsi="Palatino Linotype" w:cstheme="minorHAnsi"/>
        </w:rPr>
        <w:t xml:space="preserve"> de 27 de junio de 2011</w:t>
      </w:r>
      <w:r w:rsidR="003E38A1" w:rsidRPr="0001179E">
        <w:rPr>
          <w:rFonts w:ascii="Palatino Linotype" w:hAnsi="Palatino Linotype" w:cstheme="minorHAnsi"/>
        </w:rPr>
        <w:t>,</w:t>
      </w:r>
      <w:r w:rsidR="00BA65CB" w:rsidRPr="0001179E">
        <w:rPr>
          <w:rFonts w:ascii="Palatino Linotype" w:hAnsi="Palatino Linotype" w:cstheme="minorHAnsi"/>
        </w:rPr>
        <w:t xml:space="preserve"> </w:t>
      </w:r>
      <w:r w:rsidR="003E38A1" w:rsidRPr="0001179E">
        <w:rPr>
          <w:rFonts w:ascii="Palatino Linotype" w:hAnsi="Palatino Linotype" w:cstheme="minorHAnsi"/>
        </w:rPr>
        <w:t>que fija la tabla</w:t>
      </w:r>
      <w:r w:rsidR="00BA65CB" w:rsidRPr="0001179E">
        <w:rPr>
          <w:rFonts w:ascii="Palatino Linotype" w:hAnsi="Palatino Linotype" w:cstheme="minorHAnsi"/>
        </w:rPr>
        <w:t xml:space="preserve"> de aranceles o tarifas por servicios que presta el Registro de la Propiedad del </w:t>
      </w:r>
      <w:r w:rsidR="003E38A1" w:rsidRPr="0001179E">
        <w:rPr>
          <w:rFonts w:ascii="Palatino Linotype" w:hAnsi="Palatino Linotype" w:cstheme="minorHAnsi"/>
        </w:rPr>
        <w:t>Distrito Metropolitano de Quito.</w:t>
      </w:r>
    </w:p>
    <w:p w:rsidR="00554A28" w:rsidRPr="0001179E" w:rsidRDefault="00554A28" w:rsidP="0001179E">
      <w:pPr>
        <w:autoSpaceDE w:val="0"/>
        <w:autoSpaceDN w:val="0"/>
        <w:adjustRightInd w:val="0"/>
        <w:spacing w:after="120"/>
        <w:jc w:val="both"/>
        <w:rPr>
          <w:rFonts w:ascii="Palatino Linotype" w:hAnsi="Palatino Linotype" w:cstheme="minorHAnsi"/>
          <w:b/>
          <w:bCs/>
        </w:rPr>
      </w:pPr>
      <w:r w:rsidRPr="0001179E">
        <w:rPr>
          <w:rFonts w:ascii="Palatino Linotype" w:hAnsi="Palatino Linotype" w:cstheme="minorHAnsi"/>
          <w:b/>
          <w:bCs/>
        </w:rPr>
        <w:t>Disposiciones Transitorias</w:t>
      </w:r>
      <w:r w:rsidR="007C28C8">
        <w:rPr>
          <w:rFonts w:ascii="Palatino Linotype" w:hAnsi="Palatino Linotype" w:cstheme="minorHAnsi"/>
          <w:b/>
          <w:bCs/>
        </w:rPr>
        <w:t>:</w:t>
      </w:r>
    </w:p>
    <w:p w:rsidR="00554A28"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bCs/>
        </w:rPr>
        <w:t xml:space="preserve">Primera.- </w:t>
      </w:r>
      <w:r w:rsidR="000A543E" w:rsidRPr="0001179E">
        <w:rPr>
          <w:rFonts w:ascii="Palatino Linotype" w:hAnsi="Palatino Linotype" w:cstheme="minorHAnsi"/>
        </w:rPr>
        <w:t>La a</w:t>
      </w:r>
      <w:r w:rsidRPr="0001179E">
        <w:rPr>
          <w:rFonts w:ascii="Palatino Linotype" w:hAnsi="Palatino Linotype" w:cstheme="minorHAnsi"/>
        </w:rPr>
        <w:t xml:space="preserve">dministración </w:t>
      </w:r>
      <w:r w:rsidR="000A543E" w:rsidRPr="0001179E">
        <w:rPr>
          <w:rFonts w:ascii="Palatino Linotype" w:hAnsi="Palatino Linotype" w:cstheme="minorHAnsi"/>
        </w:rPr>
        <w:t>municipal</w:t>
      </w:r>
      <w:r w:rsidRPr="0001179E">
        <w:rPr>
          <w:rFonts w:ascii="Palatino Linotype" w:hAnsi="Palatino Linotype" w:cstheme="minorHAnsi"/>
        </w:rPr>
        <w:t xml:space="preserve"> proveerá los fondos necesarios para la difusión, instrumentación y ejecución de la presente ordenanza, gestión que la realizará en coordinación con la Secretaría de Comunicación, la Dirección Metropolitana Financiera y la Dirección Metropolitana de Catastro.</w:t>
      </w:r>
    </w:p>
    <w:p w:rsidR="00554A28"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rPr>
        <w:lastRenderedPageBreak/>
        <w:t xml:space="preserve">Segunda.- </w:t>
      </w:r>
      <w:r w:rsidRPr="0001179E">
        <w:rPr>
          <w:rFonts w:ascii="Palatino Linotype" w:hAnsi="Palatino Linotype" w:cstheme="minorHAnsi"/>
        </w:rPr>
        <w:t xml:space="preserve">El flujo de procedimientos para la regularización de excedentes o diferencias provenientes de errores de cálculo o de medidas; así como el formulario de solicitud </w:t>
      </w:r>
      <w:r w:rsidRPr="00DC1153">
        <w:rPr>
          <w:rFonts w:ascii="Palatino Linotype" w:hAnsi="Palatino Linotype" w:cstheme="minorHAnsi"/>
        </w:rPr>
        <w:t>normalizado, serán determinados mediante Re</w:t>
      </w:r>
      <w:r w:rsidR="00CB380E" w:rsidRPr="00DC1153">
        <w:rPr>
          <w:rFonts w:ascii="Palatino Linotype" w:hAnsi="Palatino Linotype" w:cstheme="minorHAnsi"/>
        </w:rPr>
        <w:t>solución Administrativa emitida</w:t>
      </w:r>
      <w:r w:rsidRPr="00DC1153">
        <w:rPr>
          <w:rFonts w:ascii="Palatino Linotype" w:hAnsi="Palatino Linotype" w:cstheme="minorHAnsi"/>
        </w:rPr>
        <w:t xml:space="preserve"> por el </w:t>
      </w:r>
      <w:r w:rsidR="00D91D73" w:rsidRPr="00DC1153">
        <w:rPr>
          <w:rFonts w:ascii="Palatino Linotype" w:hAnsi="Palatino Linotype" w:cstheme="minorHAnsi"/>
        </w:rPr>
        <w:t>Alcalde Metropolitano de Quito</w:t>
      </w:r>
      <w:r w:rsidRPr="00DC1153">
        <w:rPr>
          <w:rFonts w:ascii="Palatino Linotype" w:hAnsi="Palatino Linotype" w:cstheme="minorHAnsi"/>
        </w:rPr>
        <w:t xml:space="preserve">, </w:t>
      </w:r>
      <w:r w:rsidR="007722D5" w:rsidRPr="00DC1153">
        <w:rPr>
          <w:rFonts w:ascii="Palatino Linotype" w:hAnsi="Palatino Linotype" w:cstheme="minorHAnsi"/>
        </w:rPr>
        <w:t xml:space="preserve">los </w:t>
      </w:r>
      <w:r w:rsidR="00F71979" w:rsidRPr="00DC1153">
        <w:rPr>
          <w:rFonts w:ascii="Palatino Linotype" w:hAnsi="Palatino Linotype" w:cstheme="minorHAnsi"/>
        </w:rPr>
        <w:t>cual</w:t>
      </w:r>
      <w:r w:rsidR="007722D5" w:rsidRPr="00DC1153">
        <w:rPr>
          <w:rFonts w:ascii="Palatino Linotype" w:hAnsi="Palatino Linotype" w:cstheme="minorHAnsi"/>
        </w:rPr>
        <w:t>es</w:t>
      </w:r>
      <w:r w:rsidRPr="00DC1153">
        <w:rPr>
          <w:rFonts w:ascii="Palatino Linotype" w:hAnsi="Palatino Linotype" w:cstheme="minorHAnsi"/>
        </w:rPr>
        <w:t xml:space="preserve"> podrán ser modificados atendiend</w:t>
      </w:r>
      <w:r w:rsidR="001C308A" w:rsidRPr="00DC1153">
        <w:rPr>
          <w:rFonts w:ascii="Palatino Linotype" w:hAnsi="Palatino Linotype" w:cstheme="minorHAnsi"/>
        </w:rPr>
        <w:t>o las necesidades de la gestión</w:t>
      </w:r>
      <w:r w:rsidR="001A741C" w:rsidRPr="00DC1153">
        <w:rPr>
          <w:rFonts w:ascii="Palatino Linotype" w:hAnsi="Palatino Linotype" w:cstheme="minorHAnsi"/>
        </w:rPr>
        <w:t>;</w:t>
      </w:r>
      <w:r w:rsidR="00CB380E" w:rsidRPr="00DC1153">
        <w:rPr>
          <w:rFonts w:ascii="Palatino Linotype" w:hAnsi="Palatino Linotype" w:cstheme="minorHAnsi"/>
        </w:rPr>
        <w:t xml:space="preserve"> </w:t>
      </w:r>
      <w:r w:rsidR="001C308A" w:rsidRPr="00DC1153">
        <w:rPr>
          <w:rFonts w:ascii="Palatino Linotype" w:hAnsi="Palatino Linotype" w:cstheme="minorHAnsi"/>
        </w:rPr>
        <w:t>e</w:t>
      </w:r>
      <w:r w:rsidR="00CB380E" w:rsidRPr="00DC1153">
        <w:rPr>
          <w:rFonts w:ascii="Palatino Linotype" w:hAnsi="Palatino Linotype" w:cstheme="minorHAnsi"/>
        </w:rPr>
        <w:t xml:space="preserve">sta resolución será emitida en el plazo máximo de </w:t>
      </w:r>
      <w:r w:rsidR="003063A2" w:rsidRPr="00DC1153">
        <w:rPr>
          <w:rFonts w:ascii="Palatino Linotype" w:hAnsi="Palatino Linotype" w:cstheme="minorHAnsi"/>
        </w:rPr>
        <w:t>sesenta</w:t>
      </w:r>
      <w:r w:rsidR="00CB380E" w:rsidRPr="00DC1153">
        <w:rPr>
          <w:rFonts w:ascii="Palatino Linotype" w:hAnsi="Palatino Linotype" w:cstheme="minorHAnsi"/>
        </w:rPr>
        <w:t xml:space="preserve"> días a partir de la sanción de la presente ordenanza.</w:t>
      </w:r>
    </w:p>
    <w:p w:rsidR="00554A28" w:rsidRPr="0001179E" w:rsidRDefault="00554A28"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bCs/>
        </w:rPr>
        <w:t xml:space="preserve">Tercera.- </w:t>
      </w:r>
      <w:r w:rsidRPr="0001179E">
        <w:rPr>
          <w:rFonts w:ascii="Palatino Linotype" w:hAnsi="Palatino Linotype" w:cstheme="minorHAnsi"/>
        </w:rPr>
        <w:t xml:space="preserve">Encárguese a la </w:t>
      </w:r>
      <w:r w:rsidR="00C65226" w:rsidRPr="0001179E">
        <w:rPr>
          <w:rFonts w:ascii="Palatino Linotype" w:hAnsi="Palatino Linotype" w:cstheme="minorHAnsi"/>
        </w:rPr>
        <w:t>Autoridad Administrativa competente,</w:t>
      </w:r>
      <w:r w:rsidRPr="0001179E">
        <w:rPr>
          <w:rFonts w:ascii="Palatino Linotype" w:hAnsi="Palatino Linotype" w:cstheme="minorHAnsi"/>
        </w:rPr>
        <w:t xml:space="preserve"> la implementación</w:t>
      </w:r>
      <w:r w:rsidR="00727D18">
        <w:rPr>
          <w:rFonts w:ascii="Palatino Linotype" w:hAnsi="Palatino Linotype" w:cstheme="minorHAnsi"/>
        </w:rPr>
        <w:t xml:space="preserve"> y</w:t>
      </w:r>
      <w:r w:rsidRPr="0001179E">
        <w:rPr>
          <w:rFonts w:ascii="Palatino Linotype" w:hAnsi="Palatino Linotype" w:cstheme="minorHAnsi"/>
        </w:rPr>
        <w:t xml:space="preserve"> elaboración de formularios</w:t>
      </w:r>
      <w:r w:rsidR="00FB6F4F" w:rsidRPr="0001179E">
        <w:rPr>
          <w:rFonts w:ascii="Palatino Linotype" w:hAnsi="Palatino Linotype" w:cstheme="minorHAnsi"/>
        </w:rPr>
        <w:t>;</w:t>
      </w:r>
      <w:r w:rsidRPr="0001179E">
        <w:rPr>
          <w:rFonts w:ascii="Palatino Linotype" w:hAnsi="Palatino Linotype" w:cstheme="minorHAnsi"/>
        </w:rPr>
        <w:t xml:space="preserve"> y</w:t>
      </w:r>
      <w:r w:rsidR="000A543E" w:rsidRPr="0001179E">
        <w:rPr>
          <w:rFonts w:ascii="Palatino Linotype" w:hAnsi="Palatino Linotype" w:cstheme="minorHAnsi"/>
        </w:rPr>
        <w:t>,</w:t>
      </w:r>
      <w:r w:rsidR="00FB6F4F" w:rsidRPr="0001179E">
        <w:rPr>
          <w:rFonts w:ascii="Palatino Linotype" w:hAnsi="Palatino Linotype" w:cstheme="minorHAnsi"/>
        </w:rPr>
        <w:t xml:space="preserve"> a</w:t>
      </w:r>
      <w:r w:rsidR="000A543E" w:rsidRPr="0001179E">
        <w:rPr>
          <w:rFonts w:ascii="Palatino Linotype" w:hAnsi="Palatino Linotype" w:cstheme="minorHAnsi"/>
        </w:rPr>
        <w:t xml:space="preserve"> la </w:t>
      </w:r>
      <w:r w:rsidR="008A6D87" w:rsidRPr="0001179E">
        <w:rPr>
          <w:rFonts w:ascii="Palatino Linotype" w:hAnsi="Palatino Linotype" w:cstheme="minorHAnsi"/>
        </w:rPr>
        <w:t>Dirección</w:t>
      </w:r>
      <w:r w:rsidR="000A543E" w:rsidRPr="0001179E">
        <w:rPr>
          <w:rFonts w:ascii="Palatino Linotype" w:hAnsi="Palatino Linotype" w:cstheme="minorHAnsi"/>
        </w:rPr>
        <w:t xml:space="preserve"> Metropolitana de Informática</w:t>
      </w:r>
      <w:r w:rsidR="00727D18">
        <w:rPr>
          <w:rFonts w:ascii="Palatino Linotype" w:hAnsi="Palatino Linotype" w:cstheme="minorHAnsi"/>
        </w:rPr>
        <w:t>,</w:t>
      </w:r>
      <w:r w:rsidR="000A543E" w:rsidRPr="0001179E">
        <w:rPr>
          <w:rFonts w:ascii="Palatino Linotype" w:hAnsi="Palatino Linotype" w:cstheme="minorHAnsi"/>
        </w:rPr>
        <w:t xml:space="preserve"> el desarrollo de los</w:t>
      </w:r>
      <w:r w:rsidRPr="0001179E">
        <w:rPr>
          <w:rFonts w:ascii="Palatino Linotype" w:hAnsi="Palatino Linotype" w:cstheme="minorHAnsi"/>
        </w:rPr>
        <w:t xml:space="preserve"> aplicativos informáticos para la correcta aplicación de la presente ordenanza</w:t>
      </w:r>
      <w:r w:rsidR="008A6D87" w:rsidRPr="0001179E">
        <w:rPr>
          <w:rFonts w:ascii="Palatino Linotype" w:hAnsi="Palatino Linotype" w:cstheme="minorHAnsi"/>
        </w:rPr>
        <w:t>.</w:t>
      </w:r>
    </w:p>
    <w:p w:rsidR="00554A28" w:rsidRPr="0001179E" w:rsidRDefault="00727D18" w:rsidP="0001179E">
      <w:pPr>
        <w:autoSpaceDE w:val="0"/>
        <w:autoSpaceDN w:val="0"/>
        <w:adjustRightInd w:val="0"/>
        <w:spacing w:after="120"/>
        <w:jc w:val="both"/>
        <w:rPr>
          <w:rFonts w:ascii="Palatino Linotype" w:hAnsi="Palatino Linotype" w:cstheme="minorHAnsi"/>
        </w:rPr>
      </w:pPr>
      <w:r>
        <w:rPr>
          <w:rFonts w:ascii="Palatino Linotype" w:hAnsi="Palatino Linotype" w:cstheme="minorHAnsi"/>
        </w:rPr>
        <w:t xml:space="preserve">Mientras </w:t>
      </w:r>
      <w:r w:rsidR="00554A28" w:rsidRPr="0001179E">
        <w:rPr>
          <w:rFonts w:ascii="Palatino Linotype" w:hAnsi="Palatino Linotype" w:cstheme="minorHAnsi"/>
        </w:rPr>
        <w:t>se desarroll</w:t>
      </w:r>
      <w:r>
        <w:rPr>
          <w:rFonts w:ascii="Palatino Linotype" w:hAnsi="Palatino Linotype" w:cstheme="minorHAnsi"/>
        </w:rPr>
        <w:t>a</w:t>
      </w:r>
      <w:r w:rsidR="00554A28" w:rsidRPr="0001179E">
        <w:rPr>
          <w:rFonts w:ascii="Palatino Linotype" w:hAnsi="Palatino Linotype" w:cstheme="minorHAnsi"/>
        </w:rPr>
        <w:t xml:space="preserve">n por parte de la Dirección Metropolitana de Informática los aplicativos en tecnología </w:t>
      </w:r>
      <w:r>
        <w:rPr>
          <w:rFonts w:ascii="Palatino Linotype" w:hAnsi="Palatino Linotype" w:cstheme="minorHAnsi"/>
        </w:rPr>
        <w:t>w</w:t>
      </w:r>
      <w:r w:rsidR="00554A28" w:rsidRPr="0001179E">
        <w:rPr>
          <w:rFonts w:ascii="Palatino Linotype" w:hAnsi="Palatino Linotype" w:cstheme="minorHAnsi"/>
        </w:rPr>
        <w:t xml:space="preserve">eb, los trámites para regularizar los excedentes y diferencias de superficies, se concentrarán en la Dirección Metropolitana de Catastro. </w:t>
      </w:r>
    </w:p>
    <w:p w:rsidR="00133FF4" w:rsidRPr="0001179E" w:rsidRDefault="00133FF4"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rPr>
        <w:t xml:space="preserve">Cuarta.- </w:t>
      </w:r>
      <w:r w:rsidRPr="0001179E">
        <w:rPr>
          <w:rFonts w:ascii="Palatino Linotype" w:hAnsi="Palatino Linotype" w:cstheme="minorHAnsi"/>
        </w:rPr>
        <w:t>A partir de la sanción de la presente ordenanza</w:t>
      </w:r>
      <w:r w:rsidR="006408E0" w:rsidRPr="0001179E">
        <w:rPr>
          <w:rFonts w:ascii="Palatino Linotype" w:hAnsi="Palatino Linotype" w:cstheme="minorHAnsi"/>
        </w:rPr>
        <w:t>,</w:t>
      </w:r>
      <w:r w:rsidRPr="0001179E">
        <w:rPr>
          <w:rFonts w:ascii="Palatino Linotype" w:hAnsi="Palatino Linotype" w:cstheme="minorHAnsi"/>
        </w:rPr>
        <w:t xml:space="preserve"> las dependencias del Municipio del Distrito Metropolitano de Quito en las cuales se encuentran sustanciando trámite</w:t>
      </w:r>
      <w:r w:rsidR="00C7745E" w:rsidRPr="0001179E">
        <w:rPr>
          <w:rFonts w:ascii="Palatino Linotype" w:hAnsi="Palatino Linotype" w:cstheme="minorHAnsi"/>
        </w:rPr>
        <w:t>s</w:t>
      </w:r>
      <w:r w:rsidRPr="0001179E">
        <w:rPr>
          <w:rFonts w:ascii="Palatino Linotype" w:hAnsi="Palatino Linotype" w:cstheme="minorHAnsi"/>
        </w:rPr>
        <w:t xml:space="preserve"> de regularización de excedentes y diferencias de áreas de terreno con fundamento en la Ordenanza No. 269, tendrán </w:t>
      </w:r>
      <w:r w:rsidR="00C7745E" w:rsidRPr="0001179E">
        <w:rPr>
          <w:rFonts w:ascii="Palatino Linotype" w:hAnsi="Palatino Linotype" w:cstheme="minorHAnsi"/>
        </w:rPr>
        <w:t xml:space="preserve">un </w:t>
      </w:r>
      <w:r w:rsidR="009E0322" w:rsidRPr="0001179E">
        <w:rPr>
          <w:rFonts w:ascii="Palatino Linotype" w:hAnsi="Palatino Linotype" w:cstheme="minorHAnsi"/>
        </w:rPr>
        <w:t>término</w:t>
      </w:r>
      <w:r w:rsidR="00CA22FB" w:rsidRPr="0001179E">
        <w:rPr>
          <w:rFonts w:ascii="Palatino Linotype" w:hAnsi="Palatino Linotype" w:cstheme="minorHAnsi"/>
        </w:rPr>
        <w:t xml:space="preserve"> </w:t>
      </w:r>
      <w:r w:rsidRPr="0001179E">
        <w:rPr>
          <w:rFonts w:ascii="Palatino Linotype" w:hAnsi="Palatino Linotype" w:cstheme="minorHAnsi"/>
        </w:rPr>
        <w:t xml:space="preserve">de </w:t>
      </w:r>
      <w:r w:rsidR="00967C84" w:rsidRPr="0001179E">
        <w:rPr>
          <w:rFonts w:ascii="Palatino Linotype" w:hAnsi="Palatino Linotype" w:cstheme="minorHAnsi"/>
        </w:rPr>
        <w:t>sesenta</w:t>
      </w:r>
      <w:r w:rsidRPr="0001179E">
        <w:rPr>
          <w:rFonts w:ascii="Palatino Linotype" w:hAnsi="Palatino Linotype" w:cstheme="minorHAnsi"/>
        </w:rPr>
        <w:t xml:space="preserve"> días para concluirlos.</w:t>
      </w:r>
      <w:r w:rsidR="004E5897" w:rsidRPr="0001179E">
        <w:rPr>
          <w:rFonts w:ascii="Palatino Linotype" w:hAnsi="Palatino Linotype" w:cstheme="minorHAnsi"/>
        </w:rPr>
        <w:t xml:space="preserve"> </w:t>
      </w:r>
    </w:p>
    <w:p w:rsidR="004E5897" w:rsidRPr="0001179E" w:rsidRDefault="004E5897" w:rsidP="0001179E">
      <w:pPr>
        <w:autoSpaceDE w:val="0"/>
        <w:autoSpaceDN w:val="0"/>
        <w:adjustRightInd w:val="0"/>
        <w:spacing w:after="120"/>
        <w:jc w:val="both"/>
        <w:rPr>
          <w:rFonts w:ascii="Palatino Linotype" w:hAnsi="Palatino Linotype" w:cstheme="minorHAnsi"/>
        </w:rPr>
      </w:pPr>
      <w:r w:rsidRPr="0001179E">
        <w:rPr>
          <w:rFonts w:ascii="Palatino Linotype" w:hAnsi="Palatino Linotype" w:cstheme="minorHAnsi"/>
          <w:b/>
        </w:rPr>
        <w:t xml:space="preserve">Quinta.- </w:t>
      </w:r>
      <w:r w:rsidR="00E71A4F" w:rsidRPr="0001179E">
        <w:rPr>
          <w:rFonts w:ascii="Palatino Linotype" w:hAnsi="Palatino Linotype" w:cstheme="minorHAnsi"/>
        </w:rPr>
        <w:t>Una vez que sea sancionada la presente ordenanza, en el plazo de 30 días</w:t>
      </w:r>
      <w:r w:rsidR="00727D18">
        <w:rPr>
          <w:rFonts w:ascii="Palatino Linotype" w:hAnsi="Palatino Linotype" w:cstheme="minorHAnsi"/>
        </w:rPr>
        <w:t>,</w:t>
      </w:r>
      <w:r w:rsidR="00E71A4F" w:rsidRPr="0001179E">
        <w:rPr>
          <w:rFonts w:ascii="Palatino Linotype" w:hAnsi="Palatino Linotype" w:cstheme="minorHAnsi"/>
        </w:rPr>
        <w:t xml:space="preserve"> se socializará su contenido con los gremios de Notarios, </w:t>
      </w:r>
      <w:r w:rsidR="00727D18">
        <w:rPr>
          <w:rFonts w:ascii="Palatino Linotype" w:hAnsi="Palatino Linotype" w:cstheme="minorHAnsi"/>
        </w:rPr>
        <w:t>abogados</w:t>
      </w:r>
      <w:r w:rsidR="00E71A4F" w:rsidRPr="0001179E">
        <w:rPr>
          <w:rFonts w:ascii="Palatino Linotype" w:hAnsi="Palatino Linotype" w:cstheme="minorHAnsi"/>
        </w:rPr>
        <w:t xml:space="preserve"> y las dependencias del Municipio del Distrito Metropolitano de Quito, que tengan que aplicar </w:t>
      </w:r>
      <w:r w:rsidR="00115563" w:rsidRPr="0001179E">
        <w:rPr>
          <w:rFonts w:ascii="Palatino Linotype" w:hAnsi="Palatino Linotype" w:cstheme="minorHAnsi"/>
        </w:rPr>
        <w:t xml:space="preserve">esta norma </w:t>
      </w:r>
      <w:r w:rsidR="00E71A4F" w:rsidRPr="0001179E">
        <w:rPr>
          <w:rFonts w:ascii="Palatino Linotype" w:hAnsi="Palatino Linotype" w:cstheme="minorHAnsi"/>
        </w:rPr>
        <w:t>dentro de sus competencias.</w:t>
      </w:r>
    </w:p>
    <w:p w:rsidR="00F06AFD" w:rsidRPr="0001179E" w:rsidRDefault="00554A28" w:rsidP="0001179E">
      <w:pPr>
        <w:spacing w:after="120"/>
        <w:jc w:val="both"/>
        <w:rPr>
          <w:rFonts w:ascii="Palatino Linotype" w:hAnsi="Palatino Linotype" w:cstheme="minorHAnsi"/>
        </w:rPr>
      </w:pPr>
      <w:r w:rsidRPr="0001179E">
        <w:rPr>
          <w:rFonts w:ascii="Palatino Linotype" w:hAnsi="Palatino Linotype" w:cstheme="minorHAnsi"/>
          <w:b/>
        </w:rPr>
        <w:t xml:space="preserve">Disposición Derogatoria.- </w:t>
      </w:r>
      <w:r w:rsidR="00B33E61" w:rsidRPr="0001179E">
        <w:rPr>
          <w:rFonts w:ascii="Palatino Linotype" w:hAnsi="Palatino Linotype" w:cstheme="minorHAnsi"/>
        </w:rPr>
        <w:t>Deróguese</w:t>
      </w:r>
      <w:r w:rsidRPr="0001179E">
        <w:rPr>
          <w:rFonts w:ascii="Palatino Linotype" w:hAnsi="Palatino Linotype" w:cstheme="minorHAnsi"/>
        </w:rPr>
        <w:t xml:space="preserve"> la Ordenanza Metropolitana No. 269</w:t>
      </w:r>
      <w:r w:rsidR="00727D18">
        <w:rPr>
          <w:rFonts w:ascii="Palatino Linotype" w:hAnsi="Palatino Linotype" w:cstheme="minorHAnsi"/>
        </w:rPr>
        <w:t>,</w:t>
      </w:r>
      <w:r w:rsidR="00EC6869" w:rsidRPr="0001179E">
        <w:rPr>
          <w:rFonts w:ascii="Palatino Linotype" w:hAnsi="Palatino Linotype" w:cstheme="minorHAnsi"/>
        </w:rPr>
        <w:t xml:space="preserve"> sancionada el 30 de julio de 2012</w:t>
      </w:r>
      <w:r w:rsidR="000842BC">
        <w:rPr>
          <w:rFonts w:ascii="Palatino Linotype" w:hAnsi="Palatino Linotype" w:cstheme="minorHAnsi"/>
        </w:rPr>
        <w:t>;</w:t>
      </w:r>
      <w:r w:rsidR="00727D18">
        <w:rPr>
          <w:rFonts w:ascii="Palatino Linotype" w:hAnsi="Palatino Linotype" w:cstheme="minorHAnsi"/>
        </w:rPr>
        <w:t xml:space="preserve"> </w:t>
      </w:r>
      <w:r w:rsidR="00C40B6E" w:rsidRPr="0001179E">
        <w:rPr>
          <w:rFonts w:ascii="Palatino Linotype" w:hAnsi="Palatino Linotype" w:cstheme="minorHAnsi"/>
        </w:rPr>
        <w:t>la Ordenanza Metropolitana No. 0099</w:t>
      </w:r>
      <w:r w:rsidR="00727D18">
        <w:rPr>
          <w:rFonts w:ascii="Palatino Linotype" w:hAnsi="Palatino Linotype" w:cstheme="minorHAnsi"/>
        </w:rPr>
        <w:t>,</w:t>
      </w:r>
      <w:r w:rsidR="00C40B6E" w:rsidRPr="0001179E">
        <w:rPr>
          <w:rFonts w:ascii="Palatino Linotype" w:hAnsi="Palatino Linotype" w:cstheme="minorHAnsi"/>
        </w:rPr>
        <w:t xml:space="preserve"> de 4 de febrero de 2016</w:t>
      </w:r>
      <w:r w:rsidR="00BD5955" w:rsidRPr="0001179E">
        <w:rPr>
          <w:rFonts w:ascii="Palatino Linotype" w:hAnsi="Palatino Linotype" w:cstheme="minorHAnsi"/>
        </w:rPr>
        <w:t>; así como todas las disposiciones que se opongan a las normas constan</w:t>
      </w:r>
      <w:r w:rsidR="00CB42D2" w:rsidRPr="0001179E">
        <w:rPr>
          <w:rFonts w:ascii="Palatino Linotype" w:hAnsi="Palatino Linotype" w:cstheme="minorHAnsi"/>
        </w:rPr>
        <w:t>tes</w:t>
      </w:r>
      <w:r w:rsidR="00BD5955" w:rsidRPr="0001179E">
        <w:rPr>
          <w:rFonts w:ascii="Palatino Linotype" w:hAnsi="Palatino Linotype" w:cstheme="minorHAnsi"/>
        </w:rPr>
        <w:t xml:space="preserve"> en la presente Ordenanza.</w:t>
      </w:r>
    </w:p>
    <w:p w:rsidR="00A4351B" w:rsidRPr="006638AD" w:rsidRDefault="00A4351B" w:rsidP="00A4351B">
      <w:pPr>
        <w:spacing w:before="240"/>
        <w:jc w:val="both"/>
        <w:rPr>
          <w:rFonts w:ascii="Palatino Linotype" w:hAnsi="Palatino Linotype" w:cs="Arial"/>
          <w:bCs/>
        </w:rPr>
      </w:pPr>
      <w:r w:rsidRPr="006638AD">
        <w:rPr>
          <w:rFonts w:ascii="Palatino Linotype" w:hAnsi="Palatino Linotype" w:cs="Arial"/>
          <w:b/>
        </w:rPr>
        <w:t xml:space="preserve">Disposición final.-  </w:t>
      </w:r>
      <w:r w:rsidRPr="006638AD">
        <w:rPr>
          <w:rFonts w:ascii="Palatino Linotype" w:hAnsi="Palatino Linotype" w:cs="Arial"/>
          <w:bCs/>
        </w:rPr>
        <w:t xml:space="preserve">Esta ordenanza entrará en vigencia a partir de la fecha de su sanción, sin perjuicio de su publicación en </w:t>
      </w:r>
      <w:r w:rsidR="00727D18">
        <w:rPr>
          <w:rFonts w:ascii="Palatino Linotype" w:hAnsi="Palatino Linotype" w:cs="Arial"/>
          <w:bCs/>
        </w:rPr>
        <w:t xml:space="preserve">el Registro </w:t>
      </w:r>
      <w:r w:rsidRPr="006638AD">
        <w:rPr>
          <w:rFonts w:ascii="Palatino Linotype" w:hAnsi="Palatino Linotype" w:cs="Arial"/>
          <w:bCs/>
        </w:rPr>
        <w:t>Oficial y página web institucional de la Municipalidad.</w:t>
      </w:r>
    </w:p>
    <w:p w:rsidR="00A4351B" w:rsidRDefault="00A4351B" w:rsidP="00A4351B">
      <w:pPr>
        <w:pStyle w:val="Cuadrculaclara-nfasis31"/>
        <w:tabs>
          <w:tab w:val="left" w:pos="2410"/>
        </w:tabs>
        <w:suppressAutoHyphens w:val="0"/>
        <w:spacing w:before="240" w:line="276" w:lineRule="auto"/>
        <w:ind w:left="0"/>
        <w:jc w:val="both"/>
        <w:rPr>
          <w:rFonts w:ascii="Palatino Linotype" w:hAnsi="Palatino Linotype" w:cs="Times New Roman"/>
          <w:sz w:val="22"/>
          <w:szCs w:val="22"/>
        </w:rPr>
      </w:pPr>
      <w:r>
        <w:rPr>
          <w:rFonts w:ascii="Palatino Linotype" w:hAnsi="Palatino Linotype"/>
          <w:sz w:val="22"/>
          <w:szCs w:val="22"/>
        </w:rPr>
        <w:t xml:space="preserve">Dada, en la Sala de Sesiones del Concejo Metropolitano de Quito, el </w:t>
      </w:r>
      <w:r w:rsidR="00727D18">
        <w:rPr>
          <w:rFonts w:ascii="Palatino Linotype" w:hAnsi="Palatino Linotype"/>
          <w:sz w:val="22"/>
          <w:szCs w:val="22"/>
        </w:rPr>
        <w:t>18</w:t>
      </w:r>
      <w:r>
        <w:rPr>
          <w:rFonts w:ascii="Palatino Linotype" w:hAnsi="Palatino Linotype"/>
          <w:sz w:val="22"/>
          <w:szCs w:val="22"/>
        </w:rPr>
        <w:t xml:space="preserve"> de </w:t>
      </w:r>
      <w:r w:rsidR="00727D18">
        <w:rPr>
          <w:rFonts w:ascii="Palatino Linotype" w:hAnsi="Palatino Linotype"/>
          <w:sz w:val="22"/>
          <w:szCs w:val="22"/>
        </w:rPr>
        <w:t xml:space="preserve">julio </w:t>
      </w:r>
      <w:r>
        <w:rPr>
          <w:rFonts w:ascii="Palatino Linotype" w:hAnsi="Palatino Linotype"/>
          <w:sz w:val="22"/>
          <w:szCs w:val="22"/>
        </w:rPr>
        <w:t>de 2016.</w:t>
      </w:r>
    </w:p>
    <w:p w:rsidR="00A4351B" w:rsidRDefault="00A4351B" w:rsidP="00A4351B">
      <w:pPr>
        <w:pStyle w:val="Textopredeterminado"/>
        <w:shd w:val="clear" w:color="auto" w:fill="FFFFFF"/>
        <w:jc w:val="both"/>
        <w:rPr>
          <w:rFonts w:ascii="Palatino Linotype" w:hAnsi="Palatino Linotype"/>
          <w:sz w:val="22"/>
          <w:szCs w:val="22"/>
        </w:rPr>
      </w:pPr>
    </w:p>
    <w:p w:rsidR="00A4351B" w:rsidRDefault="00A4351B" w:rsidP="00A4351B">
      <w:pPr>
        <w:pStyle w:val="Textopredeterminado"/>
        <w:shd w:val="clear" w:color="auto" w:fill="FFFFFF"/>
        <w:jc w:val="both"/>
        <w:rPr>
          <w:rFonts w:ascii="Palatino Linotype" w:hAnsi="Palatino Linotype"/>
          <w:sz w:val="22"/>
          <w:szCs w:val="22"/>
        </w:rPr>
      </w:pPr>
    </w:p>
    <w:p w:rsidR="00727D18" w:rsidRDefault="00727D18" w:rsidP="00A4351B">
      <w:pPr>
        <w:pStyle w:val="Textopredeterminado"/>
        <w:shd w:val="clear" w:color="auto" w:fill="FFFFFF"/>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A4351B" w:rsidRPr="008D7F62" w:rsidTr="000F2959">
        <w:trPr>
          <w:jc w:val="center"/>
        </w:trPr>
        <w:tc>
          <w:tcPr>
            <w:tcW w:w="5575" w:type="dxa"/>
            <w:hideMark/>
          </w:tcPr>
          <w:p w:rsidR="00A4351B" w:rsidRPr="008D7F62" w:rsidRDefault="00A4351B" w:rsidP="000F2959">
            <w:pPr>
              <w:pStyle w:val="Textopredeterminado"/>
              <w:jc w:val="center"/>
              <w:rPr>
                <w:rFonts w:ascii="Palatino Linotype" w:hAnsi="Palatino Linotype" w:cs="Arial"/>
                <w:sz w:val="18"/>
                <w:szCs w:val="18"/>
              </w:rPr>
            </w:pPr>
            <w:r w:rsidRPr="008D7F62">
              <w:rPr>
                <w:rFonts w:ascii="Palatino Linotype" w:hAnsi="Palatino Linotype" w:cs="Arial"/>
                <w:sz w:val="18"/>
                <w:szCs w:val="18"/>
              </w:rPr>
              <w:t>Abg. Daniela Chacón Arias</w:t>
            </w:r>
          </w:p>
          <w:p w:rsidR="00A4351B" w:rsidRPr="008D7F62" w:rsidRDefault="00A4351B" w:rsidP="000F2959">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Primera Vicepresidenta del Concejo Metropolitano de Quito</w:t>
            </w:r>
          </w:p>
        </w:tc>
        <w:tc>
          <w:tcPr>
            <w:tcW w:w="5324" w:type="dxa"/>
            <w:hideMark/>
          </w:tcPr>
          <w:p w:rsidR="00A4351B" w:rsidRPr="008D7F62" w:rsidRDefault="00A4351B" w:rsidP="000F2959">
            <w:pPr>
              <w:pStyle w:val="Textopredeterminado"/>
              <w:jc w:val="center"/>
              <w:rPr>
                <w:rFonts w:ascii="Palatino Linotype" w:hAnsi="Palatino Linotype" w:cs="Arial"/>
                <w:sz w:val="18"/>
                <w:szCs w:val="18"/>
              </w:rPr>
            </w:pPr>
            <w:r w:rsidRPr="008D7F62">
              <w:rPr>
                <w:rFonts w:ascii="Palatino Linotype" w:hAnsi="Palatino Linotype" w:cs="Arial"/>
                <w:sz w:val="18"/>
                <w:szCs w:val="18"/>
              </w:rPr>
              <w:t xml:space="preserve">Abg. </w:t>
            </w:r>
            <w:r w:rsidR="00727D18">
              <w:rPr>
                <w:rFonts w:ascii="Palatino Linotype" w:hAnsi="Palatino Linotype" w:cs="Arial"/>
                <w:sz w:val="18"/>
                <w:szCs w:val="18"/>
              </w:rPr>
              <w:t>Diego Cevallos Salgado</w:t>
            </w:r>
          </w:p>
          <w:p w:rsidR="00A4351B" w:rsidRPr="008D7F62" w:rsidRDefault="00A4351B" w:rsidP="000F2959">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Secretari</w:t>
            </w:r>
            <w:r w:rsidR="00727D18">
              <w:rPr>
                <w:rFonts w:ascii="Palatino Linotype" w:hAnsi="Palatino Linotype" w:cs="Arial"/>
                <w:b/>
                <w:sz w:val="18"/>
                <w:szCs w:val="18"/>
              </w:rPr>
              <w:t>o</w:t>
            </w:r>
            <w:r w:rsidRPr="008D7F62">
              <w:rPr>
                <w:rFonts w:ascii="Palatino Linotype" w:hAnsi="Palatino Linotype" w:cs="Arial"/>
                <w:b/>
                <w:sz w:val="18"/>
                <w:szCs w:val="18"/>
              </w:rPr>
              <w:t xml:space="preserve"> General del Concejo Metropolitano de Quito</w:t>
            </w:r>
            <w:r w:rsidR="00727D18">
              <w:rPr>
                <w:rFonts w:ascii="Palatino Linotype" w:hAnsi="Palatino Linotype" w:cs="Arial"/>
                <w:b/>
                <w:sz w:val="18"/>
                <w:szCs w:val="18"/>
              </w:rPr>
              <w:t xml:space="preserve"> (S)</w:t>
            </w:r>
          </w:p>
          <w:p w:rsidR="00A4351B" w:rsidRPr="008D7F62" w:rsidRDefault="00A4351B" w:rsidP="000F2959">
            <w:pPr>
              <w:pStyle w:val="Textopredeterminado"/>
              <w:rPr>
                <w:rFonts w:ascii="Palatino Linotype" w:hAnsi="Palatino Linotype" w:cs="Arial"/>
                <w:b/>
                <w:sz w:val="18"/>
                <w:szCs w:val="18"/>
              </w:rPr>
            </w:pPr>
          </w:p>
        </w:tc>
      </w:tr>
    </w:tbl>
    <w:p w:rsidR="00A4351B" w:rsidRPr="006336FA" w:rsidRDefault="00A4351B" w:rsidP="00A4351B">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lastRenderedPageBreak/>
        <w:t>CERTIFICADO DE DISCUSIÓN</w:t>
      </w:r>
    </w:p>
    <w:p w:rsidR="00A4351B" w:rsidRPr="006336FA" w:rsidRDefault="00A4351B" w:rsidP="00A4351B">
      <w:pPr>
        <w:pStyle w:val="Textosinformato"/>
        <w:jc w:val="both"/>
        <w:rPr>
          <w:rFonts w:ascii="Palatino Linotype" w:eastAsia="MS Mincho" w:hAnsi="Palatino Linotype" w:cs="Arial"/>
          <w:sz w:val="22"/>
          <w:szCs w:val="22"/>
        </w:rPr>
      </w:pPr>
    </w:p>
    <w:p w:rsidR="00A4351B" w:rsidRPr="006336FA" w:rsidRDefault="00B06FF7" w:rsidP="00A4351B">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A4351B"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A4351B">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A4351B" w:rsidRPr="006336FA">
        <w:rPr>
          <w:rFonts w:ascii="Palatino Linotype" w:eastAsia="MS Mincho" w:hAnsi="Palatino Linotype" w:cs="Arial"/>
          <w:sz w:val="22"/>
          <w:szCs w:val="22"/>
        </w:rPr>
        <w:t xml:space="preserve"> General del Concejo Metropolitano de Quito</w:t>
      </w:r>
      <w:r>
        <w:rPr>
          <w:rFonts w:ascii="Palatino Linotype" w:eastAsia="MS Mincho" w:hAnsi="Palatino Linotype" w:cs="Arial"/>
          <w:sz w:val="22"/>
          <w:szCs w:val="22"/>
        </w:rPr>
        <w:t xml:space="preserve"> (S)</w:t>
      </w:r>
      <w:r w:rsidR="00A4351B" w:rsidRPr="006336FA">
        <w:rPr>
          <w:rFonts w:ascii="Palatino Linotype" w:eastAsia="MS Mincho" w:hAnsi="Palatino Linotype" w:cs="Arial"/>
          <w:sz w:val="22"/>
          <w:szCs w:val="22"/>
        </w:rPr>
        <w:t xml:space="preserve">, certifica que la presente ordenanza fue discutida y aprobada en dos debates, en sesiones de </w:t>
      </w:r>
      <w:r w:rsidR="009443ED">
        <w:rPr>
          <w:rFonts w:ascii="Palatino Linotype" w:eastAsia="MS Mincho" w:hAnsi="Palatino Linotype" w:cs="Arial"/>
          <w:sz w:val="22"/>
          <w:szCs w:val="22"/>
        </w:rPr>
        <w:t>16</w:t>
      </w:r>
      <w:r w:rsidR="00A4351B">
        <w:rPr>
          <w:rFonts w:ascii="Palatino Linotype" w:eastAsia="MS Mincho" w:hAnsi="Palatino Linotype" w:cs="Arial"/>
          <w:sz w:val="22"/>
          <w:szCs w:val="22"/>
        </w:rPr>
        <w:t xml:space="preserve"> de </w:t>
      </w:r>
      <w:r w:rsidR="009443ED">
        <w:rPr>
          <w:rFonts w:ascii="Palatino Linotype" w:eastAsia="MS Mincho" w:hAnsi="Palatino Linotype" w:cs="Arial"/>
          <w:sz w:val="22"/>
          <w:szCs w:val="22"/>
        </w:rPr>
        <w:t xml:space="preserve">junio </w:t>
      </w:r>
      <w:r w:rsidR="00A4351B" w:rsidRPr="006336FA">
        <w:rPr>
          <w:rFonts w:ascii="Palatino Linotype" w:eastAsia="MS Mincho" w:hAnsi="Palatino Linotype" w:cs="Arial"/>
          <w:sz w:val="22"/>
          <w:szCs w:val="22"/>
        </w:rPr>
        <w:t xml:space="preserve">y </w:t>
      </w:r>
      <w:r w:rsidR="009443ED">
        <w:rPr>
          <w:rFonts w:ascii="Palatino Linotype" w:eastAsia="MS Mincho" w:hAnsi="Palatino Linotype" w:cs="Arial"/>
          <w:sz w:val="22"/>
          <w:szCs w:val="22"/>
        </w:rPr>
        <w:t>18</w:t>
      </w:r>
      <w:r w:rsidR="00A4351B" w:rsidRPr="006336FA">
        <w:rPr>
          <w:rFonts w:ascii="Palatino Linotype" w:eastAsia="MS Mincho" w:hAnsi="Palatino Linotype" w:cs="Arial"/>
          <w:sz w:val="22"/>
          <w:szCs w:val="22"/>
        </w:rPr>
        <w:t xml:space="preserve"> de </w:t>
      </w:r>
      <w:r w:rsidR="009443ED">
        <w:rPr>
          <w:rFonts w:ascii="Palatino Linotype" w:eastAsia="MS Mincho" w:hAnsi="Palatino Linotype" w:cs="Arial"/>
          <w:sz w:val="22"/>
          <w:szCs w:val="22"/>
        </w:rPr>
        <w:t xml:space="preserve">julio </w:t>
      </w:r>
      <w:r w:rsidR="00A4351B" w:rsidRPr="006336FA">
        <w:rPr>
          <w:rFonts w:ascii="Palatino Linotype" w:eastAsia="MS Mincho" w:hAnsi="Palatino Linotype" w:cs="Arial"/>
          <w:sz w:val="22"/>
          <w:szCs w:val="22"/>
        </w:rPr>
        <w:t>de 201</w:t>
      </w:r>
      <w:r w:rsidR="00A4351B">
        <w:rPr>
          <w:rFonts w:ascii="Palatino Linotype" w:eastAsia="MS Mincho" w:hAnsi="Palatino Linotype" w:cs="Arial"/>
          <w:sz w:val="22"/>
          <w:szCs w:val="22"/>
        </w:rPr>
        <w:t>6</w:t>
      </w:r>
      <w:r w:rsidR="00A4351B" w:rsidRPr="006336FA">
        <w:rPr>
          <w:rFonts w:ascii="Palatino Linotype" w:eastAsia="MS Mincho" w:hAnsi="Palatino Linotype" w:cs="Arial"/>
          <w:sz w:val="22"/>
          <w:szCs w:val="22"/>
        </w:rPr>
        <w:t>.- Quito,</w:t>
      </w:r>
    </w:p>
    <w:p w:rsidR="00A4351B" w:rsidRDefault="00A4351B" w:rsidP="00A4351B">
      <w:pPr>
        <w:pStyle w:val="Textosinformato"/>
        <w:jc w:val="both"/>
        <w:rPr>
          <w:rFonts w:ascii="Palatino Linotype" w:eastAsia="MS Mincho" w:hAnsi="Palatino Linotype" w:cs="Arial"/>
          <w:sz w:val="22"/>
          <w:szCs w:val="22"/>
        </w:rPr>
      </w:pPr>
    </w:p>
    <w:p w:rsidR="00A4351B" w:rsidRPr="006336FA" w:rsidRDefault="00A4351B" w:rsidP="00A4351B">
      <w:pPr>
        <w:pStyle w:val="Textosinformato"/>
        <w:jc w:val="both"/>
        <w:rPr>
          <w:rFonts w:ascii="Palatino Linotype" w:eastAsia="MS Mincho" w:hAnsi="Palatino Linotype" w:cs="Arial"/>
          <w:sz w:val="22"/>
          <w:szCs w:val="22"/>
        </w:rPr>
      </w:pPr>
    </w:p>
    <w:p w:rsidR="00A4351B" w:rsidRPr="006336FA" w:rsidRDefault="00A4351B" w:rsidP="00A4351B">
      <w:pPr>
        <w:pStyle w:val="Textosinformato"/>
        <w:jc w:val="center"/>
        <w:rPr>
          <w:rFonts w:ascii="Palatino Linotype" w:eastAsia="MS Mincho" w:hAnsi="Palatino Linotype" w:cs="Arial"/>
          <w:sz w:val="22"/>
          <w:szCs w:val="22"/>
        </w:rPr>
      </w:pPr>
    </w:p>
    <w:p w:rsidR="00A4351B" w:rsidRPr="006336FA" w:rsidRDefault="00A4351B" w:rsidP="00A4351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B06FF7">
        <w:rPr>
          <w:rFonts w:ascii="Palatino Linotype" w:eastAsia="MS Mincho" w:hAnsi="Palatino Linotype" w:cs="Arial"/>
          <w:sz w:val="22"/>
          <w:szCs w:val="22"/>
        </w:rPr>
        <w:t>Diego Cevallos Salgado</w:t>
      </w:r>
    </w:p>
    <w:p w:rsidR="00A4351B" w:rsidRPr="006336FA" w:rsidRDefault="00A4351B" w:rsidP="00A4351B">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B06FF7">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r w:rsidR="00B06FF7">
        <w:rPr>
          <w:rFonts w:ascii="Palatino Linotype" w:eastAsia="MS Mincho" w:hAnsi="Palatino Linotype" w:cs="Arial"/>
          <w:b/>
          <w:bCs/>
          <w:sz w:val="22"/>
          <w:szCs w:val="22"/>
        </w:rPr>
        <w:t xml:space="preserve"> (S)</w:t>
      </w:r>
    </w:p>
    <w:p w:rsidR="00A4351B" w:rsidRPr="006336FA" w:rsidRDefault="00A4351B" w:rsidP="00A4351B">
      <w:pPr>
        <w:pStyle w:val="Textosinformato"/>
        <w:jc w:val="center"/>
        <w:rPr>
          <w:rFonts w:ascii="Palatino Linotype" w:eastAsia="MS Mincho" w:hAnsi="Palatino Linotype" w:cs="Arial"/>
          <w:sz w:val="22"/>
          <w:szCs w:val="22"/>
        </w:rPr>
      </w:pPr>
    </w:p>
    <w:p w:rsidR="00A4351B" w:rsidRPr="006336FA" w:rsidRDefault="00A4351B" w:rsidP="00A4351B">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A4351B" w:rsidRPr="006336FA" w:rsidRDefault="00A4351B" w:rsidP="00A4351B">
      <w:pPr>
        <w:pStyle w:val="Textosinformato"/>
        <w:jc w:val="center"/>
        <w:rPr>
          <w:rFonts w:ascii="Palatino Linotype" w:eastAsia="MS Mincho" w:hAnsi="Palatino Linotype" w:cs="Arial"/>
          <w:b/>
          <w:sz w:val="22"/>
          <w:szCs w:val="22"/>
        </w:rPr>
      </w:pPr>
    </w:p>
    <w:p w:rsidR="00A4351B" w:rsidRPr="006336FA" w:rsidRDefault="00A4351B" w:rsidP="00A4351B">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A4351B" w:rsidRPr="006336FA" w:rsidRDefault="00A4351B" w:rsidP="00A4351B">
      <w:pPr>
        <w:pStyle w:val="Textosinformato"/>
        <w:jc w:val="center"/>
        <w:rPr>
          <w:rFonts w:ascii="Palatino Linotype" w:eastAsia="MS Mincho" w:hAnsi="Palatino Linotype" w:cs="Arial"/>
          <w:sz w:val="22"/>
          <w:szCs w:val="22"/>
        </w:rPr>
      </w:pPr>
      <w:bookmarkStart w:id="0" w:name="_GoBack"/>
      <w:bookmarkEnd w:id="0"/>
    </w:p>
    <w:p w:rsidR="00A4351B" w:rsidRPr="006336FA" w:rsidRDefault="00A4351B" w:rsidP="00A4351B">
      <w:pPr>
        <w:pStyle w:val="Textosinformato"/>
        <w:jc w:val="center"/>
        <w:rPr>
          <w:rFonts w:ascii="Palatino Linotype" w:eastAsia="MS Mincho" w:hAnsi="Palatino Linotype" w:cs="Arial"/>
          <w:sz w:val="22"/>
          <w:szCs w:val="22"/>
        </w:rPr>
      </w:pPr>
    </w:p>
    <w:p w:rsidR="00A4351B" w:rsidRPr="006336FA" w:rsidRDefault="00A4351B" w:rsidP="00A4351B">
      <w:pPr>
        <w:pStyle w:val="Textosinformato"/>
        <w:jc w:val="center"/>
        <w:rPr>
          <w:rFonts w:ascii="Palatino Linotype" w:eastAsia="MS Mincho" w:hAnsi="Palatino Linotype" w:cs="Arial"/>
          <w:sz w:val="22"/>
          <w:szCs w:val="22"/>
        </w:rPr>
      </w:pPr>
    </w:p>
    <w:p w:rsidR="00A4351B" w:rsidRPr="006336FA" w:rsidRDefault="00A4351B" w:rsidP="00A4351B">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A4351B" w:rsidRPr="006336FA" w:rsidRDefault="00A4351B" w:rsidP="00A4351B">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A4351B" w:rsidRPr="006336FA" w:rsidRDefault="00A4351B" w:rsidP="00A4351B">
      <w:pPr>
        <w:pStyle w:val="Textosinformato"/>
        <w:jc w:val="center"/>
        <w:rPr>
          <w:rFonts w:ascii="Palatino Linotype" w:eastAsia="MS Mincho" w:hAnsi="Palatino Linotype" w:cs="Arial"/>
          <w:sz w:val="22"/>
          <w:szCs w:val="22"/>
        </w:rPr>
      </w:pPr>
    </w:p>
    <w:p w:rsidR="00A4351B" w:rsidRPr="006336FA" w:rsidRDefault="00A4351B" w:rsidP="00A4351B">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4351B" w:rsidRPr="006336FA" w:rsidRDefault="00A4351B" w:rsidP="00A4351B">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A4351B" w:rsidRPr="006336FA" w:rsidRDefault="00A4351B" w:rsidP="00A4351B">
      <w:pPr>
        <w:pStyle w:val="Textosinformato"/>
        <w:jc w:val="center"/>
        <w:rPr>
          <w:rFonts w:ascii="Palatino Linotype" w:eastAsia="MS Mincho" w:hAnsi="Palatino Linotype" w:cs="Arial"/>
          <w:sz w:val="22"/>
          <w:szCs w:val="22"/>
        </w:rPr>
      </w:pPr>
    </w:p>
    <w:p w:rsidR="00A4351B" w:rsidRPr="006336FA" w:rsidRDefault="00A4351B" w:rsidP="00A4351B">
      <w:pPr>
        <w:pStyle w:val="Textosinformato"/>
        <w:jc w:val="center"/>
        <w:rPr>
          <w:rFonts w:ascii="Palatino Linotype" w:eastAsia="MS Mincho" w:hAnsi="Palatino Linotype" w:cs="Arial"/>
          <w:sz w:val="22"/>
          <w:szCs w:val="22"/>
        </w:rPr>
      </w:pPr>
    </w:p>
    <w:p w:rsidR="00A4351B" w:rsidRPr="006336FA" w:rsidRDefault="00A4351B" w:rsidP="00A4351B">
      <w:pPr>
        <w:pStyle w:val="Textosinformato"/>
        <w:jc w:val="center"/>
        <w:rPr>
          <w:rFonts w:ascii="Palatino Linotype" w:eastAsia="MS Mincho" w:hAnsi="Palatino Linotype" w:cs="Arial"/>
          <w:sz w:val="22"/>
          <w:szCs w:val="22"/>
        </w:rPr>
      </w:pPr>
    </w:p>
    <w:p w:rsidR="00B06FF7" w:rsidRPr="006336FA" w:rsidRDefault="00B06FF7" w:rsidP="00B06FF7">
      <w:pPr>
        <w:pStyle w:val="Textosinformato"/>
        <w:jc w:val="center"/>
        <w:rPr>
          <w:rFonts w:ascii="Palatino Linotype" w:eastAsia="MS Mincho" w:hAnsi="Palatino Linotype" w:cs="Arial"/>
          <w:sz w:val="22"/>
          <w:szCs w:val="22"/>
        </w:rPr>
      </w:pPr>
    </w:p>
    <w:p w:rsidR="00B06FF7" w:rsidRPr="006336FA" w:rsidRDefault="00B06FF7" w:rsidP="00B06FF7">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B06FF7" w:rsidRPr="006336FA" w:rsidRDefault="00B06FF7" w:rsidP="00B06FF7">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r>
        <w:rPr>
          <w:rFonts w:ascii="Palatino Linotype" w:eastAsia="MS Mincho" w:hAnsi="Palatino Linotype" w:cs="Arial"/>
          <w:b/>
          <w:bCs/>
          <w:sz w:val="22"/>
          <w:szCs w:val="22"/>
        </w:rPr>
        <w:t xml:space="preserve"> (S)</w:t>
      </w:r>
    </w:p>
    <w:p w:rsidR="00A4351B" w:rsidRPr="009C0D07" w:rsidRDefault="00A4351B" w:rsidP="00A4351B">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p w:rsidR="00841140" w:rsidRPr="0001179E" w:rsidRDefault="00841140" w:rsidP="0001179E">
      <w:pPr>
        <w:spacing w:after="120"/>
        <w:rPr>
          <w:rFonts w:ascii="Palatino Linotype" w:hAnsi="Palatino Linotype" w:cs="Arial"/>
        </w:rPr>
      </w:pPr>
    </w:p>
    <w:p w:rsidR="00841140" w:rsidRPr="0001179E" w:rsidRDefault="00841140" w:rsidP="0001179E">
      <w:pPr>
        <w:spacing w:after="120"/>
        <w:rPr>
          <w:rFonts w:ascii="Palatino Linotype" w:hAnsi="Palatino Linotype" w:cs="Arial"/>
        </w:rPr>
      </w:pPr>
    </w:p>
    <w:sectPr w:rsidR="00841140" w:rsidRPr="0001179E" w:rsidSect="00727D18">
      <w:headerReference w:type="default" r:id="rId10"/>
      <w:footerReference w:type="default" r:id="rId11"/>
      <w:pgSz w:w="11907" w:h="16839" w:code="9"/>
      <w:pgMar w:top="1701" w:right="1417" w:bottom="1701" w:left="1701" w:header="720" w:footer="720"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42" w:rsidRDefault="00215042" w:rsidP="0001179E">
      <w:pPr>
        <w:spacing w:after="0" w:line="240" w:lineRule="auto"/>
      </w:pPr>
      <w:r>
        <w:separator/>
      </w:r>
    </w:p>
  </w:endnote>
  <w:endnote w:type="continuationSeparator" w:id="0">
    <w:p w:rsidR="00215042" w:rsidRDefault="00215042" w:rsidP="0001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590645"/>
      <w:docPartObj>
        <w:docPartGallery w:val="Page Numbers (Bottom of Page)"/>
        <w:docPartUnique/>
      </w:docPartObj>
    </w:sdtPr>
    <w:sdtEndPr/>
    <w:sdtContent>
      <w:sdt>
        <w:sdtPr>
          <w:id w:val="860082579"/>
          <w:docPartObj>
            <w:docPartGallery w:val="Page Numbers (Top of Page)"/>
            <w:docPartUnique/>
          </w:docPartObj>
        </w:sdtPr>
        <w:sdtEndPr/>
        <w:sdtContent>
          <w:p w:rsidR="0001179E" w:rsidRDefault="0001179E">
            <w:pPr>
              <w:pStyle w:val="Piedepgina"/>
              <w:jc w:val="right"/>
            </w:pPr>
            <w:r w:rsidRPr="00727D18">
              <w:rPr>
                <w:rFonts w:ascii="Palatino Linotype" w:hAnsi="Palatino Linotype"/>
                <w:lang w:val="es-ES"/>
              </w:rPr>
              <w:t xml:space="preserve">Página </w:t>
            </w:r>
            <w:r w:rsidRPr="00727D18">
              <w:rPr>
                <w:rFonts w:ascii="Palatino Linotype" w:hAnsi="Palatino Linotype"/>
                <w:b/>
                <w:bCs/>
              </w:rPr>
              <w:fldChar w:fldCharType="begin"/>
            </w:r>
            <w:r w:rsidRPr="00727D18">
              <w:rPr>
                <w:rFonts w:ascii="Palatino Linotype" w:hAnsi="Palatino Linotype"/>
                <w:b/>
                <w:bCs/>
              </w:rPr>
              <w:instrText>PAGE</w:instrText>
            </w:r>
            <w:r w:rsidRPr="00727D18">
              <w:rPr>
                <w:rFonts w:ascii="Palatino Linotype" w:hAnsi="Palatino Linotype"/>
                <w:b/>
                <w:bCs/>
              </w:rPr>
              <w:fldChar w:fldCharType="separate"/>
            </w:r>
            <w:r w:rsidR="00B06FF7">
              <w:rPr>
                <w:rFonts w:ascii="Palatino Linotype" w:hAnsi="Palatino Linotype"/>
                <w:b/>
                <w:bCs/>
                <w:noProof/>
              </w:rPr>
              <w:t>13</w:t>
            </w:r>
            <w:r w:rsidRPr="00727D18">
              <w:rPr>
                <w:rFonts w:ascii="Palatino Linotype" w:hAnsi="Palatino Linotype"/>
                <w:b/>
                <w:bCs/>
              </w:rPr>
              <w:fldChar w:fldCharType="end"/>
            </w:r>
            <w:r w:rsidRPr="00727D18">
              <w:rPr>
                <w:rFonts w:ascii="Palatino Linotype" w:hAnsi="Palatino Linotype"/>
                <w:lang w:val="es-ES"/>
              </w:rPr>
              <w:t xml:space="preserve"> de </w:t>
            </w:r>
            <w:r w:rsidR="00727D18" w:rsidRPr="00727D18">
              <w:rPr>
                <w:rFonts w:ascii="Palatino Linotype" w:hAnsi="Palatino Linotype"/>
                <w:b/>
                <w:bCs/>
              </w:rPr>
              <w:t>13</w:t>
            </w:r>
          </w:p>
        </w:sdtContent>
      </w:sdt>
    </w:sdtContent>
  </w:sdt>
  <w:p w:rsidR="0001179E" w:rsidRDefault="000117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42" w:rsidRDefault="00215042" w:rsidP="0001179E">
      <w:pPr>
        <w:spacing w:after="0" w:line="240" w:lineRule="auto"/>
      </w:pPr>
      <w:r>
        <w:separator/>
      </w:r>
    </w:p>
  </w:footnote>
  <w:footnote w:type="continuationSeparator" w:id="0">
    <w:p w:rsidR="00215042" w:rsidRDefault="00215042" w:rsidP="00011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9E" w:rsidRDefault="0001179E" w:rsidP="0001179E">
    <w:pPr>
      <w:autoSpaceDE w:val="0"/>
      <w:autoSpaceDN w:val="0"/>
      <w:adjustRightInd w:val="0"/>
      <w:spacing w:after="120"/>
      <w:jc w:val="center"/>
      <w:rPr>
        <w:rFonts w:ascii="Palatino Linotype" w:hAnsi="Palatino Linotype" w:cstheme="minorHAnsi"/>
        <w:b/>
      </w:rPr>
    </w:pPr>
  </w:p>
  <w:p w:rsidR="0001179E" w:rsidRDefault="0001179E" w:rsidP="0001179E">
    <w:pPr>
      <w:autoSpaceDE w:val="0"/>
      <w:autoSpaceDN w:val="0"/>
      <w:adjustRightInd w:val="0"/>
      <w:spacing w:after="120"/>
      <w:jc w:val="center"/>
      <w:rPr>
        <w:rFonts w:ascii="Palatino Linotype" w:hAnsi="Palatino Linotype" w:cstheme="minorHAnsi"/>
        <w:b/>
      </w:rPr>
    </w:pPr>
  </w:p>
  <w:p w:rsidR="0001179E" w:rsidRDefault="0001179E" w:rsidP="0001179E">
    <w:pPr>
      <w:autoSpaceDE w:val="0"/>
      <w:autoSpaceDN w:val="0"/>
      <w:adjustRightInd w:val="0"/>
      <w:spacing w:after="120"/>
      <w:jc w:val="center"/>
      <w:rPr>
        <w:rFonts w:ascii="Palatino Linotype" w:hAnsi="Palatino Linotype" w:cstheme="minorHAnsi"/>
        <w:b/>
      </w:rPr>
    </w:pPr>
  </w:p>
  <w:p w:rsidR="007C47DE" w:rsidRDefault="007C47DE" w:rsidP="0001179E">
    <w:pPr>
      <w:autoSpaceDE w:val="0"/>
      <w:autoSpaceDN w:val="0"/>
      <w:adjustRightInd w:val="0"/>
      <w:spacing w:after="120"/>
      <w:jc w:val="center"/>
      <w:rPr>
        <w:rFonts w:ascii="Palatino Linotype" w:hAnsi="Palatino Linotype" w:cstheme="minorHAnsi"/>
        <w:b/>
      </w:rPr>
    </w:pPr>
  </w:p>
  <w:p w:rsidR="0001179E" w:rsidRPr="0001179E" w:rsidRDefault="0001179E" w:rsidP="0001179E">
    <w:pPr>
      <w:autoSpaceDE w:val="0"/>
      <w:autoSpaceDN w:val="0"/>
      <w:adjustRightInd w:val="0"/>
      <w:spacing w:after="120"/>
      <w:jc w:val="center"/>
      <w:rPr>
        <w:rFonts w:ascii="Palatino Linotype" w:hAnsi="Palatino Linotype" w:cstheme="minorHAnsi"/>
        <w:b/>
      </w:rPr>
    </w:pPr>
    <w:r>
      <w:rPr>
        <w:rFonts w:ascii="Palatino Linotype" w:hAnsi="Palatino Linotype" w:cstheme="minorHAnsi"/>
        <w:b/>
      </w:rPr>
      <w:t>ORDENANZA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9E" w:rsidRDefault="0001179E" w:rsidP="0001179E">
    <w:pPr>
      <w:autoSpaceDE w:val="0"/>
      <w:autoSpaceDN w:val="0"/>
      <w:adjustRightInd w:val="0"/>
      <w:spacing w:after="120"/>
      <w:jc w:val="center"/>
      <w:rPr>
        <w:rFonts w:ascii="Palatino Linotype" w:hAnsi="Palatino Linotype" w:cstheme="minorHAnsi"/>
        <w:b/>
      </w:rPr>
    </w:pPr>
  </w:p>
  <w:p w:rsidR="0001179E" w:rsidRDefault="0001179E" w:rsidP="0001179E">
    <w:pPr>
      <w:autoSpaceDE w:val="0"/>
      <w:autoSpaceDN w:val="0"/>
      <w:adjustRightInd w:val="0"/>
      <w:spacing w:after="120"/>
      <w:jc w:val="center"/>
      <w:rPr>
        <w:rFonts w:ascii="Palatino Linotype" w:hAnsi="Palatino Linotype" w:cstheme="minorHAnsi"/>
        <w:b/>
      </w:rPr>
    </w:pPr>
  </w:p>
  <w:p w:rsidR="0001179E" w:rsidRDefault="0001179E" w:rsidP="0001179E">
    <w:pPr>
      <w:autoSpaceDE w:val="0"/>
      <w:autoSpaceDN w:val="0"/>
      <w:adjustRightInd w:val="0"/>
      <w:spacing w:after="120"/>
      <w:jc w:val="center"/>
      <w:rPr>
        <w:rFonts w:ascii="Palatino Linotype" w:hAnsi="Palatino Linotype" w:cstheme="minorHAnsi"/>
        <w:b/>
      </w:rPr>
    </w:pPr>
  </w:p>
  <w:p w:rsidR="007C47DE" w:rsidRDefault="007C47DE" w:rsidP="0001179E">
    <w:pPr>
      <w:autoSpaceDE w:val="0"/>
      <w:autoSpaceDN w:val="0"/>
      <w:adjustRightInd w:val="0"/>
      <w:spacing w:after="120"/>
      <w:jc w:val="center"/>
      <w:rPr>
        <w:rFonts w:ascii="Palatino Linotype" w:hAnsi="Palatino Linotype" w:cstheme="minorHAnsi"/>
        <w:b/>
      </w:rPr>
    </w:pPr>
  </w:p>
  <w:p w:rsidR="0001179E" w:rsidRPr="0001179E" w:rsidRDefault="0001179E" w:rsidP="0001179E">
    <w:pPr>
      <w:autoSpaceDE w:val="0"/>
      <w:autoSpaceDN w:val="0"/>
      <w:adjustRightInd w:val="0"/>
      <w:spacing w:after="120"/>
      <w:jc w:val="center"/>
      <w:rPr>
        <w:rFonts w:ascii="Palatino Linotype" w:hAnsi="Palatino Linotype" w:cstheme="minorHAnsi"/>
        <w:b/>
      </w:rPr>
    </w:pPr>
    <w:r>
      <w:rPr>
        <w:rFonts w:ascii="Palatino Linotype" w:hAnsi="Palatino Linotype" w:cstheme="minorHAnsi"/>
        <w:b/>
      </w:rPr>
      <w:t>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76F"/>
    <w:multiLevelType w:val="hybridMultilevel"/>
    <w:tmpl w:val="DCFC552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5A40F58"/>
    <w:multiLevelType w:val="hybridMultilevel"/>
    <w:tmpl w:val="FD344708"/>
    <w:lvl w:ilvl="0" w:tplc="524CB486">
      <w:start w:val="1"/>
      <w:numFmt w:val="lowerLetter"/>
      <w:lvlText w:val="%1)"/>
      <w:lvlJc w:val="left"/>
      <w:pPr>
        <w:ind w:left="720" w:hanging="360"/>
      </w:pPr>
      <w:rPr>
        <w:rFonts w:ascii="Arial" w:eastAsiaTheme="minorHAnsi"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1174440"/>
    <w:multiLevelType w:val="hybridMultilevel"/>
    <w:tmpl w:val="5AFE34C0"/>
    <w:lvl w:ilvl="0" w:tplc="300A0017">
      <w:start w:val="2"/>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1ED679E"/>
    <w:multiLevelType w:val="hybridMultilevel"/>
    <w:tmpl w:val="CD90A1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622556E"/>
    <w:multiLevelType w:val="hybridMultilevel"/>
    <w:tmpl w:val="D90E85D8"/>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C0C1EFC"/>
    <w:multiLevelType w:val="hybridMultilevel"/>
    <w:tmpl w:val="8AC054B6"/>
    <w:lvl w:ilvl="0" w:tplc="04AA314C">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23919B1"/>
    <w:multiLevelType w:val="hybridMultilevel"/>
    <w:tmpl w:val="710093E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5AB548C"/>
    <w:multiLevelType w:val="hybridMultilevel"/>
    <w:tmpl w:val="FAB23330"/>
    <w:lvl w:ilvl="0" w:tplc="028AAFB4">
      <w:start w:val="1"/>
      <w:numFmt w:val="lowerRoman"/>
      <w:lvlText w:val="%1)"/>
      <w:lvlJc w:val="left"/>
      <w:pPr>
        <w:ind w:left="1425" w:hanging="720"/>
      </w:pPr>
      <w:rPr>
        <w:rFonts w:ascii="Arial" w:hAnsi="Arial" w:cs="Arial"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8">
    <w:nsid w:val="2B157E7C"/>
    <w:multiLevelType w:val="hybridMultilevel"/>
    <w:tmpl w:val="2C08A3D2"/>
    <w:lvl w:ilvl="0" w:tplc="4E383E36">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3C678EB"/>
    <w:multiLevelType w:val="hybridMultilevel"/>
    <w:tmpl w:val="7908CC3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9007FBB"/>
    <w:multiLevelType w:val="hybridMultilevel"/>
    <w:tmpl w:val="0A0CDB24"/>
    <w:lvl w:ilvl="0" w:tplc="85BAA4FA">
      <w:start w:val="1"/>
      <w:numFmt w:val="lowerLetter"/>
      <w:lvlText w:val="%1)"/>
      <w:lvlJc w:val="left"/>
      <w:pPr>
        <w:ind w:left="644"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B7A67DD"/>
    <w:multiLevelType w:val="hybridMultilevel"/>
    <w:tmpl w:val="EB84E3F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227157B"/>
    <w:multiLevelType w:val="hybridMultilevel"/>
    <w:tmpl w:val="C08AF24E"/>
    <w:lvl w:ilvl="0" w:tplc="57F253CA">
      <w:start w:val="3"/>
      <w:numFmt w:val="upperLetter"/>
      <w:lvlText w:val="%1)"/>
      <w:lvlJc w:val="left"/>
      <w:pPr>
        <w:ind w:left="360" w:hanging="360"/>
      </w:pPr>
      <w:rPr>
        <w:rFonts w:hint="default"/>
        <w:sz w:val="22"/>
        <w:szCs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480D55C6"/>
    <w:multiLevelType w:val="hybridMultilevel"/>
    <w:tmpl w:val="3008F8A8"/>
    <w:lvl w:ilvl="0" w:tplc="4EA6C2F2">
      <w:start w:val="1"/>
      <w:numFmt w:val="decimal"/>
      <w:lvlText w:val="%1."/>
      <w:lvlJc w:val="left"/>
      <w:pPr>
        <w:ind w:left="1495"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14">
    <w:nsid w:val="497C602B"/>
    <w:multiLevelType w:val="hybridMultilevel"/>
    <w:tmpl w:val="7270B8EA"/>
    <w:lvl w:ilvl="0" w:tplc="9240257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D0453E3"/>
    <w:multiLevelType w:val="hybridMultilevel"/>
    <w:tmpl w:val="D5083C2C"/>
    <w:lvl w:ilvl="0" w:tplc="C21C5E64">
      <w:start w:val="1"/>
      <w:numFmt w:val="bullet"/>
      <w:lvlText w:val="–"/>
      <w:lvlJc w:val="left"/>
      <w:pPr>
        <w:tabs>
          <w:tab w:val="num" w:pos="720"/>
        </w:tabs>
        <w:ind w:left="720" w:hanging="360"/>
      </w:pPr>
      <w:rPr>
        <w:rFonts w:ascii="Times New Roman" w:hAnsi="Times New Roman" w:hint="default"/>
      </w:rPr>
    </w:lvl>
    <w:lvl w:ilvl="1" w:tplc="825EF22A">
      <w:start w:val="1"/>
      <w:numFmt w:val="bullet"/>
      <w:lvlText w:val="–"/>
      <w:lvlJc w:val="left"/>
      <w:pPr>
        <w:tabs>
          <w:tab w:val="num" w:pos="1440"/>
        </w:tabs>
        <w:ind w:left="1440" w:hanging="360"/>
      </w:pPr>
      <w:rPr>
        <w:rFonts w:ascii="Times New Roman" w:hAnsi="Times New Roman" w:hint="default"/>
      </w:rPr>
    </w:lvl>
    <w:lvl w:ilvl="2" w:tplc="F4DA095E" w:tentative="1">
      <w:start w:val="1"/>
      <w:numFmt w:val="bullet"/>
      <w:lvlText w:val="–"/>
      <w:lvlJc w:val="left"/>
      <w:pPr>
        <w:tabs>
          <w:tab w:val="num" w:pos="2160"/>
        </w:tabs>
        <w:ind w:left="2160" w:hanging="360"/>
      </w:pPr>
      <w:rPr>
        <w:rFonts w:ascii="Times New Roman" w:hAnsi="Times New Roman" w:hint="default"/>
      </w:rPr>
    </w:lvl>
    <w:lvl w:ilvl="3" w:tplc="AC24684C" w:tentative="1">
      <w:start w:val="1"/>
      <w:numFmt w:val="bullet"/>
      <w:lvlText w:val="–"/>
      <w:lvlJc w:val="left"/>
      <w:pPr>
        <w:tabs>
          <w:tab w:val="num" w:pos="2880"/>
        </w:tabs>
        <w:ind w:left="2880" w:hanging="360"/>
      </w:pPr>
      <w:rPr>
        <w:rFonts w:ascii="Times New Roman" w:hAnsi="Times New Roman" w:hint="default"/>
      </w:rPr>
    </w:lvl>
    <w:lvl w:ilvl="4" w:tplc="8154F7A6" w:tentative="1">
      <w:start w:val="1"/>
      <w:numFmt w:val="bullet"/>
      <w:lvlText w:val="–"/>
      <w:lvlJc w:val="left"/>
      <w:pPr>
        <w:tabs>
          <w:tab w:val="num" w:pos="3600"/>
        </w:tabs>
        <w:ind w:left="3600" w:hanging="360"/>
      </w:pPr>
      <w:rPr>
        <w:rFonts w:ascii="Times New Roman" w:hAnsi="Times New Roman" w:hint="default"/>
      </w:rPr>
    </w:lvl>
    <w:lvl w:ilvl="5" w:tplc="1E76F256" w:tentative="1">
      <w:start w:val="1"/>
      <w:numFmt w:val="bullet"/>
      <w:lvlText w:val="–"/>
      <w:lvlJc w:val="left"/>
      <w:pPr>
        <w:tabs>
          <w:tab w:val="num" w:pos="4320"/>
        </w:tabs>
        <w:ind w:left="4320" w:hanging="360"/>
      </w:pPr>
      <w:rPr>
        <w:rFonts w:ascii="Times New Roman" w:hAnsi="Times New Roman" w:hint="default"/>
      </w:rPr>
    </w:lvl>
    <w:lvl w:ilvl="6" w:tplc="62246A1A" w:tentative="1">
      <w:start w:val="1"/>
      <w:numFmt w:val="bullet"/>
      <w:lvlText w:val="–"/>
      <w:lvlJc w:val="left"/>
      <w:pPr>
        <w:tabs>
          <w:tab w:val="num" w:pos="5040"/>
        </w:tabs>
        <w:ind w:left="5040" w:hanging="360"/>
      </w:pPr>
      <w:rPr>
        <w:rFonts w:ascii="Times New Roman" w:hAnsi="Times New Roman" w:hint="default"/>
      </w:rPr>
    </w:lvl>
    <w:lvl w:ilvl="7" w:tplc="02DE569A" w:tentative="1">
      <w:start w:val="1"/>
      <w:numFmt w:val="bullet"/>
      <w:lvlText w:val="–"/>
      <w:lvlJc w:val="left"/>
      <w:pPr>
        <w:tabs>
          <w:tab w:val="num" w:pos="5760"/>
        </w:tabs>
        <w:ind w:left="5760" w:hanging="360"/>
      </w:pPr>
      <w:rPr>
        <w:rFonts w:ascii="Times New Roman" w:hAnsi="Times New Roman" w:hint="default"/>
      </w:rPr>
    </w:lvl>
    <w:lvl w:ilvl="8" w:tplc="D80E533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2E842C3"/>
    <w:multiLevelType w:val="hybridMultilevel"/>
    <w:tmpl w:val="A7A60DC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62B03674"/>
    <w:multiLevelType w:val="hybridMultilevel"/>
    <w:tmpl w:val="149C0C9E"/>
    <w:lvl w:ilvl="0" w:tplc="6BA869FA">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51B5876"/>
    <w:multiLevelType w:val="hybridMultilevel"/>
    <w:tmpl w:val="87902ABA"/>
    <w:lvl w:ilvl="0" w:tplc="0FA0B1A4">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9">
    <w:nsid w:val="76F618CA"/>
    <w:multiLevelType w:val="hybridMultilevel"/>
    <w:tmpl w:val="5372ADB4"/>
    <w:lvl w:ilvl="0" w:tplc="9920D9A6">
      <w:start w:val="1"/>
      <w:numFmt w:val="lowerRoman"/>
      <w:lvlText w:val="%1)"/>
      <w:lvlJc w:val="left"/>
      <w:pPr>
        <w:ind w:left="1425" w:hanging="720"/>
      </w:pPr>
      <w:rPr>
        <w:rFonts w:ascii="Arial" w:hAnsi="Arial" w:cs="Arial"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num w:numId="1">
    <w:abstractNumId w:val="16"/>
  </w:num>
  <w:num w:numId="2">
    <w:abstractNumId w:val="4"/>
  </w:num>
  <w:num w:numId="3">
    <w:abstractNumId w:val="13"/>
  </w:num>
  <w:num w:numId="4">
    <w:abstractNumId w:val="1"/>
  </w:num>
  <w:num w:numId="5">
    <w:abstractNumId w:val="12"/>
  </w:num>
  <w:num w:numId="6">
    <w:abstractNumId w:val="6"/>
  </w:num>
  <w:num w:numId="7">
    <w:abstractNumId w:val="11"/>
  </w:num>
  <w:num w:numId="8">
    <w:abstractNumId w:val="9"/>
  </w:num>
  <w:num w:numId="9">
    <w:abstractNumId w:val="18"/>
  </w:num>
  <w:num w:numId="10">
    <w:abstractNumId w:val="15"/>
  </w:num>
  <w:num w:numId="11">
    <w:abstractNumId w:val="0"/>
  </w:num>
  <w:num w:numId="12">
    <w:abstractNumId w:val="17"/>
  </w:num>
  <w:num w:numId="13">
    <w:abstractNumId w:val="14"/>
  </w:num>
  <w:num w:numId="14">
    <w:abstractNumId w:val="10"/>
  </w:num>
  <w:num w:numId="15">
    <w:abstractNumId w:val="7"/>
  </w:num>
  <w:num w:numId="16">
    <w:abstractNumId w:val="19"/>
  </w:num>
  <w:num w:numId="17">
    <w:abstractNumId w:val="8"/>
  </w:num>
  <w:num w:numId="18">
    <w:abstractNumId w:val="5"/>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0F"/>
    <w:rsid w:val="000079C0"/>
    <w:rsid w:val="000114D6"/>
    <w:rsid w:val="0001179E"/>
    <w:rsid w:val="000160F1"/>
    <w:rsid w:val="000167CB"/>
    <w:rsid w:val="00020F33"/>
    <w:rsid w:val="00022B18"/>
    <w:rsid w:val="00025066"/>
    <w:rsid w:val="0002794C"/>
    <w:rsid w:val="00027991"/>
    <w:rsid w:val="00027CDC"/>
    <w:rsid w:val="00032241"/>
    <w:rsid w:val="00032A29"/>
    <w:rsid w:val="00032BCA"/>
    <w:rsid w:val="00034BB1"/>
    <w:rsid w:val="00036439"/>
    <w:rsid w:val="0003692F"/>
    <w:rsid w:val="00036A1B"/>
    <w:rsid w:val="00036F3E"/>
    <w:rsid w:val="00040954"/>
    <w:rsid w:val="00042D88"/>
    <w:rsid w:val="000454E3"/>
    <w:rsid w:val="000606E0"/>
    <w:rsid w:val="0007244F"/>
    <w:rsid w:val="00072BCD"/>
    <w:rsid w:val="000842BC"/>
    <w:rsid w:val="000849D1"/>
    <w:rsid w:val="00085178"/>
    <w:rsid w:val="00085341"/>
    <w:rsid w:val="00087E95"/>
    <w:rsid w:val="00090281"/>
    <w:rsid w:val="00091A66"/>
    <w:rsid w:val="000947BB"/>
    <w:rsid w:val="0009674F"/>
    <w:rsid w:val="00097910"/>
    <w:rsid w:val="000A0760"/>
    <w:rsid w:val="000A17C7"/>
    <w:rsid w:val="000A4A58"/>
    <w:rsid w:val="000A543E"/>
    <w:rsid w:val="000A5BBB"/>
    <w:rsid w:val="000A77E3"/>
    <w:rsid w:val="000B0D71"/>
    <w:rsid w:val="000B24E3"/>
    <w:rsid w:val="000C040C"/>
    <w:rsid w:val="000D0A29"/>
    <w:rsid w:val="000D4C03"/>
    <w:rsid w:val="000D64E3"/>
    <w:rsid w:val="000E247D"/>
    <w:rsid w:val="000E2799"/>
    <w:rsid w:val="000E3FED"/>
    <w:rsid w:val="000E5171"/>
    <w:rsid w:val="000E5BB0"/>
    <w:rsid w:val="000E6939"/>
    <w:rsid w:val="000E6F15"/>
    <w:rsid w:val="000E7632"/>
    <w:rsid w:val="000F2A27"/>
    <w:rsid w:val="000F3196"/>
    <w:rsid w:val="000F48D0"/>
    <w:rsid w:val="000F511A"/>
    <w:rsid w:val="000F705F"/>
    <w:rsid w:val="000F78DA"/>
    <w:rsid w:val="000F796D"/>
    <w:rsid w:val="00100179"/>
    <w:rsid w:val="00101D01"/>
    <w:rsid w:val="0010259E"/>
    <w:rsid w:val="0010358A"/>
    <w:rsid w:val="001046AC"/>
    <w:rsid w:val="00107B3A"/>
    <w:rsid w:val="00107CE7"/>
    <w:rsid w:val="00107D75"/>
    <w:rsid w:val="00107DB7"/>
    <w:rsid w:val="001102BB"/>
    <w:rsid w:val="00111601"/>
    <w:rsid w:val="00114343"/>
    <w:rsid w:val="0011455C"/>
    <w:rsid w:val="0011475E"/>
    <w:rsid w:val="00114BB5"/>
    <w:rsid w:val="001154EA"/>
    <w:rsid w:val="00115563"/>
    <w:rsid w:val="0011586B"/>
    <w:rsid w:val="00115C85"/>
    <w:rsid w:val="0011631D"/>
    <w:rsid w:val="0011736A"/>
    <w:rsid w:val="00120062"/>
    <w:rsid w:val="00122C50"/>
    <w:rsid w:val="00122E12"/>
    <w:rsid w:val="00123922"/>
    <w:rsid w:val="00124915"/>
    <w:rsid w:val="00126A36"/>
    <w:rsid w:val="00127C1C"/>
    <w:rsid w:val="00132FCB"/>
    <w:rsid w:val="001338D4"/>
    <w:rsid w:val="00133FF4"/>
    <w:rsid w:val="001379E3"/>
    <w:rsid w:val="001411AD"/>
    <w:rsid w:val="00141BFA"/>
    <w:rsid w:val="00142BAD"/>
    <w:rsid w:val="00145BEF"/>
    <w:rsid w:val="001536CA"/>
    <w:rsid w:val="001537DE"/>
    <w:rsid w:val="001539D8"/>
    <w:rsid w:val="001546C9"/>
    <w:rsid w:val="001570EE"/>
    <w:rsid w:val="00157DD9"/>
    <w:rsid w:val="00164875"/>
    <w:rsid w:val="00166AB5"/>
    <w:rsid w:val="00166F05"/>
    <w:rsid w:val="001672A2"/>
    <w:rsid w:val="001708AF"/>
    <w:rsid w:val="00170BCF"/>
    <w:rsid w:val="0017380F"/>
    <w:rsid w:val="001744D6"/>
    <w:rsid w:val="001766EE"/>
    <w:rsid w:val="00184770"/>
    <w:rsid w:val="0018728C"/>
    <w:rsid w:val="0018741B"/>
    <w:rsid w:val="001906A7"/>
    <w:rsid w:val="00191E21"/>
    <w:rsid w:val="00191FA4"/>
    <w:rsid w:val="00192058"/>
    <w:rsid w:val="00192EFC"/>
    <w:rsid w:val="0019360B"/>
    <w:rsid w:val="00195617"/>
    <w:rsid w:val="001A27FA"/>
    <w:rsid w:val="001A3535"/>
    <w:rsid w:val="001A4896"/>
    <w:rsid w:val="001A741C"/>
    <w:rsid w:val="001A7AA6"/>
    <w:rsid w:val="001B0C16"/>
    <w:rsid w:val="001B3BC0"/>
    <w:rsid w:val="001B6953"/>
    <w:rsid w:val="001C17CE"/>
    <w:rsid w:val="001C223E"/>
    <w:rsid w:val="001C2A45"/>
    <w:rsid w:val="001C308A"/>
    <w:rsid w:val="001C30D9"/>
    <w:rsid w:val="001C3B2A"/>
    <w:rsid w:val="001C4A08"/>
    <w:rsid w:val="001C53FD"/>
    <w:rsid w:val="001C5762"/>
    <w:rsid w:val="001C57C6"/>
    <w:rsid w:val="001C6F2E"/>
    <w:rsid w:val="001D0334"/>
    <w:rsid w:val="001D05BF"/>
    <w:rsid w:val="001D16B6"/>
    <w:rsid w:val="001D548C"/>
    <w:rsid w:val="001D5A89"/>
    <w:rsid w:val="001D66E4"/>
    <w:rsid w:val="001D77A0"/>
    <w:rsid w:val="001E0F6F"/>
    <w:rsid w:val="001E48A7"/>
    <w:rsid w:val="001E6BED"/>
    <w:rsid w:val="001F235D"/>
    <w:rsid w:val="001F63FC"/>
    <w:rsid w:val="002025EA"/>
    <w:rsid w:val="00202E7A"/>
    <w:rsid w:val="00204077"/>
    <w:rsid w:val="00205E65"/>
    <w:rsid w:val="002074B9"/>
    <w:rsid w:val="0021025F"/>
    <w:rsid w:val="00212DFA"/>
    <w:rsid w:val="002134DE"/>
    <w:rsid w:val="00215042"/>
    <w:rsid w:val="00216DBB"/>
    <w:rsid w:val="002205EC"/>
    <w:rsid w:val="002237FD"/>
    <w:rsid w:val="00224BD6"/>
    <w:rsid w:val="00225923"/>
    <w:rsid w:val="00227A7C"/>
    <w:rsid w:val="00231C94"/>
    <w:rsid w:val="00232711"/>
    <w:rsid w:val="00233DB9"/>
    <w:rsid w:val="002345A2"/>
    <w:rsid w:val="00240D25"/>
    <w:rsid w:val="00243134"/>
    <w:rsid w:val="002446F6"/>
    <w:rsid w:val="00245A59"/>
    <w:rsid w:val="0024602A"/>
    <w:rsid w:val="00250C11"/>
    <w:rsid w:val="00250FBA"/>
    <w:rsid w:val="0025437F"/>
    <w:rsid w:val="00254D24"/>
    <w:rsid w:val="00255373"/>
    <w:rsid w:val="0025722C"/>
    <w:rsid w:val="00263727"/>
    <w:rsid w:val="00265010"/>
    <w:rsid w:val="0026561A"/>
    <w:rsid w:val="00267ECC"/>
    <w:rsid w:val="00277ECF"/>
    <w:rsid w:val="002803F1"/>
    <w:rsid w:val="00282170"/>
    <w:rsid w:val="0028226D"/>
    <w:rsid w:val="00282E96"/>
    <w:rsid w:val="00290EFB"/>
    <w:rsid w:val="00291F64"/>
    <w:rsid w:val="00292A5B"/>
    <w:rsid w:val="00294102"/>
    <w:rsid w:val="00296727"/>
    <w:rsid w:val="002A0CA6"/>
    <w:rsid w:val="002A2314"/>
    <w:rsid w:val="002A52A6"/>
    <w:rsid w:val="002A552E"/>
    <w:rsid w:val="002A7860"/>
    <w:rsid w:val="002B2AAA"/>
    <w:rsid w:val="002B3972"/>
    <w:rsid w:val="002B581A"/>
    <w:rsid w:val="002C2F44"/>
    <w:rsid w:val="002C4D03"/>
    <w:rsid w:val="002C5B79"/>
    <w:rsid w:val="002D183A"/>
    <w:rsid w:val="002D2956"/>
    <w:rsid w:val="002D5589"/>
    <w:rsid w:val="002D657F"/>
    <w:rsid w:val="002E42C8"/>
    <w:rsid w:val="002F099A"/>
    <w:rsid w:val="002F1FE9"/>
    <w:rsid w:val="002F30C8"/>
    <w:rsid w:val="003063A2"/>
    <w:rsid w:val="003102FE"/>
    <w:rsid w:val="00310B53"/>
    <w:rsid w:val="0031187A"/>
    <w:rsid w:val="00311A78"/>
    <w:rsid w:val="0031285D"/>
    <w:rsid w:val="003128A0"/>
    <w:rsid w:val="00314F74"/>
    <w:rsid w:val="00315157"/>
    <w:rsid w:val="00316D30"/>
    <w:rsid w:val="0031723D"/>
    <w:rsid w:val="00317A76"/>
    <w:rsid w:val="00320621"/>
    <w:rsid w:val="0032208D"/>
    <w:rsid w:val="00322B9E"/>
    <w:rsid w:val="00322BB0"/>
    <w:rsid w:val="00322C42"/>
    <w:rsid w:val="00322D12"/>
    <w:rsid w:val="00323B54"/>
    <w:rsid w:val="00340288"/>
    <w:rsid w:val="00342359"/>
    <w:rsid w:val="0034260F"/>
    <w:rsid w:val="00345C37"/>
    <w:rsid w:val="00346AB4"/>
    <w:rsid w:val="003470C5"/>
    <w:rsid w:val="00347E22"/>
    <w:rsid w:val="003516C9"/>
    <w:rsid w:val="003522DB"/>
    <w:rsid w:val="0035250A"/>
    <w:rsid w:val="0035307D"/>
    <w:rsid w:val="00353B2E"/>
    <w:rsid w:val="00356A4A"/>
    <w:rsid w:val="00356B28"/>
    <w:rsid w:val="00356DB9"/>
    <w:rsid w:val="00360BDF"/>
    <w:rsid w:val="00361900"/>
    <w:rsid w:val="003708AE"/>
    <w:rsid w:val="00372056"/>
    <w:rsid w:val="00375D6E"/>
    <w:rsid w:val="003835D8"/>
    <w:rsid w:val="003865CF"/>
    <w:rsid w:val="003900B2"/>
    <w:rsid w:val="00390373"/>
    <w:rsid w:val="003A0CF7"/>
    <w:rsid w:val="003A0ED4"/>
    <w:rsid w:val="003A3D4D"/>
    <w:rsid w:val="003A4297"/>
    <w:rsid w:val="003A4CC9"/>
    <w:rsid w:val="003B3947"/>
    <w:rsid w:val="003B74C6"/>
    <w:rsid w:val="003B7A6B"/>
    <w:rsid w:val="003C0EEA"/>
    <w:rsid w:val="003C152F"/>
    <w:rsid w:val="003C1876"/>
    <w:rsid w:val="003C358E"/>
    <w:rsid w:val="003C4E04"/>
    <w:rsid w:val="003C79B0"/>
    <w:rsid w:val="003D28D6"/>
    <w:rsid w:val="003D2CEC"/>
    <w:rsid w:val="003D57FA"/>
    <w:rsid w:val="003D665D"/>
    <w:rsid w:val="003D6F0D"/>
    <w:rsid w:val="003E2145"/>
    <w:rsid w:val="003E2424"/>
    <w:rsid w:val="003E38A1"/>
    <w:rsid w:val="003E3D1D"/>
    <w:rsid w:val="003E73F2"/>
    <w:rsid w:val="003E7FA5"/>
    <w:rsid w:val="003F0E81"/>
    <w:rsid w:val="003F2BCB"/>
    <w:rsid w:val="003F6D48"/>
    <w:rsid w:val="00400458"/>
    <w:rsid w:val="00403D19"/>
    <w:rsid w:val="0040623D"/>
    <w:rsid w:val="00410FE6"/>
    <w:rsid w:val="00412147"/>
    <w:rsid w:val="0041693F"/>
    <w:rsid w:val="00421CDE"/>
    <w:rsid w:val="0042344E"/>
    <w:rsid w:val="0042474A"/>
    <w:rsid w:val="00424DFA"/>
    <w:rsid w:val="0042547C"/>
    <w:rsid w:val="004270DF"/>
    <w:rsid w:val="00427B30"/>
    <w:rsid w:val="00431874"/>
    <w:rsid w:val="00434B44"/>
    <w:rsid w:val="00435729"/>
    <w:rsid w:val="00436873"/>
    <w:rsid w:val="0043754E"/>
    <w:rsid w:val="004407D9"/>
    <w:rsid w:val="00440BBC"/>
    <w:rsid w:val="00445B05"/>
    <w:rsid w:val="004467D5"/>
    <w:rsid w:val="00453B63"/>
    <w:rsid w:val="00454BAF"/>
    <w:rsid w:val="0045676A"/>
    <w:rsid w:val="00456A62"/>
    <w:rsid w:val="004606B0"/>
    <w:rsid w:val="00462989"/>
    <w:rsid w:val="0046468E"/>
    <w:rsid w:val="004648F2"/>
    <w:rsid w:val="00467CF4"/>
    <w:rsid w:val="00467FD1"/>
    <w:rsid w:val="00472D91"/>
    <w:rsid w:val="00474478"/>
    <w:rsid w:val="00474E42"/>
    <w:rsid w:val="00477B49"/>
    <w:rsid w:val="00480FAB"/>
    <w:rsid w:val="00482843"/>
    <w:rsid w:val="00482E4F"/>
    <w:rsid w:val="004966D8"/>
    <w:rsid w:val="0049717E"/>
    <w:rsid w:val="004973BB"/>
    <w:rsid w:val="004A2836"/>
    <w:rsid w:val="004A4C73"/>
    <w:rsid w:val="004B40A7"/>
    <w:rsid w:val="004B603E"/>
    <w:rsid w:val="004B6814"/>
    <w:rsid w:val="004C1D42"/>
    <w:rsid w:val="004C212E"/>
    <w:rsid w:val="004C220E"/>
    <w:rsid w:val="004C27AC"/>
    <w:rsid w:val="004C28AE"/>
    <w:rsid w:val="004C3C75"/>
    <w:rsid w:val="004C6CB9"/>
    <w:rsid w:val="004D0594"/>
    <w:rsid w:val="004D1F90"/>
    <w:rsid w:val="004D335F"/>
    <w:rsid w:val="004D47EC"/>
    <w:rsid w:val="004E43EB"/>
    <w:rsid w:val="004E5897"/>
    <w:rsid w:val="004E765E"/>
    <w:rsid w:val="004F2FDA"/>
    <w:rsid w:val="004F30C5"/>
    <w:rsid w:val="004F30C6"/>
    <w:rsid w:val="004F6803"/>
    <w:rsid w:val="0050032D"/>
    <w:rsid w:val="00501220"/>
    <w:rsid w:val="005015FE"/>
    <w:rsid w:val="005019B0"/>
    <w:rsid w:val="00503D2C"/>
    <w:rsid w:val="0050426D"/>
    <w:rsid w:val="00504355"/>
    <w:rsid w:val="0050473E"/>
    <w:rsid w:val="005068AE"/>
    <w:rsid w:val="00510708"/>
    <w:rsid w:val="0051127E"/>
    <w:rsid w:val="00511DC8"/>
    <w:rsid w:val="00513C02"/>
    <w:rsid w:val="00514DA3"/>
    <w:rsid w:val="005154C6"/>
    <w:rsid w:val="00516F37"/>
    <w:rsid w:val="00525D2E"/>
    <w:rsid w:val="0052705C"/>
    <w:rsid w:val="00531A96"/>
    <w:rsid w:val="00532577"/>
    <w:rsid w:val="00536F4E"/>
    <w:rsid w:val="005376BB"/>
    <w:rsid w:val="00537CF6"/>
    <w:rsid w:val="00541136"/>
    <w:rsid w:val="00541BD4"/>
    <w:rsid w:val="00542DE5"/>
    <w:rsid w:val="00545D8A"/>
    <w:rsid w:val="00545E91"/>
    <w:rsid w:val="005475D8"/>
    <w:rsid w:val="005506EA"/>
    <w:rsid w:val="00553243"/>
    <w:rsid w:val="00554A28"/>
    <w:rsid w:val="00555175"/>
    <w:rsid w:val="00555DA2"/>
    <w:rsid w:val="00560462"/>
    <w:rsid w:val="00562C68"/>
    <w:rsid w:val="00563A2E"/>
    <w:rsid w:val="005652C1"/>
    <w:rsid w:val="00573C9F"/>
    <w:rsid w:val="00575575"/>
    <w:rsid w:val="00585074"/>
    <w:rsid w:val="005871FD"/>
    <w:rsid w:val="00587D36"/>
    <w:rsid w:val="00590CA6"/>
    <w:rsid w:val="00591410"/>
    <w:rsid w:val="00593FB1"/>
    <w:rsid w:val="00595BDD"/>
    <w:rsid w:val="005A4336"/>
    <w:rsid w:val="005A49D7"/>
    <w:rsid w:val="005B08C8"/>
    <w:rsid w:val="005B1394"/>
    <w:rsid w:val="005B1F14"/>
    <w:rsid w:val="005B39DD"/>
    <w:rsid w:val="005B4D7B"/>
    <w:rsid w:val="005B766D"/>
    <w:rsid w:val="005C2075"/>
    <w:rsid w:val="005C229A"/>
    <w:rsid w:val="005C7928"/>
    <w:rsid w:val="005D027E"/>
    <w:rsid w:val="005D51FB"/>
    <w:rsid w:val="005D575C"/>
    <w:rsid w:val="005D5A42"/>
    <w:rsid w:val="005E2211"/>
    <w:rsid w:val="005E4AED"/>
    <w:rsid w:val="005E5390"/>
    <w:rsid w:val="005F0774"/>
    <w:rsid w:val="005F547C"/>
    <w:rsid w:val="00602ADD"/>
    <w:rsid w:val="0060341B"/>
    <w:rsid w:val="0060394D"/>
    <w:rsid w:val="0061129B"/>
    <w:rsid w:val="006136A2"/>
    <w:rsid w:val="00613D30"/>
    <w:rsid w:val="006156D4"/>
    <w:rsid w:val="006215A1"/>
    <w:rsid w:val="0062274D"/>
    <w:rsid w:val="00624AFD"/>
    <w:rsid w:val="006250B2"/>
    <w:rsid w:val="0062562F"/>
    <w:rsid w:val="006268BF"/>
    <w:rsid w:val="00630716"/>
    <w:rsid w:val="006408E0"/>
    <w:rsid w:val="00641B8B"/>
    <w:rsid w:val="0064238B"/>
    <w:rsid w:val="00642EE8"/>
    <w:rsid w:val="0064424F"/>
    <w:rsid w:val="006454C8"/>
    <w:rsid w:val="00650024"/>
    <w:rsid w:val="00650BD7"/>
    <w:rsid w:val="006517DD"/>
    <w:rsid w:val="006527F4"/>
    <w:rsid w:val="00652A49"/>
    <w:rsid w:val="00655FCF"/>
    <w:rsid w:val="00661AA6"/>
    <w:rsid w:val="006630B7"/>
    <w:rsid w:val="00663487"/>
    <w:rsid w:val="00665853"/>
    <w:rsid w:val="006740AB"/>
    <w:rsid w:val="00677B41"/>
    <w:rsid w:val="006815C8"/>
    <w:rsid w:val="00691EB2"/>
    <w:rsid w:val="006948ED"/>
    <w:rsid w:val="00696730"/>
    <w:rsid w:val="006A0893"/>
    <w:rsid w:val="006A334D"/>
    <w:rsid w:val="006A3639"/>
    <w:rsid w:val="006A665F"/>
    <w:rsid w:val="006B0371"/>
    <w:rsid w:val="006B1A45"/>
    <w:rsid w:val="006B45E4"/>
    <w:rsid w:val="006C02C0"/>
    <w:rsid w:val="006C2D5C"/>
    <w:rsid w:val="006C3398"/>
    <w:rsid w:val="006C4DDE"/>
    <w:rsid w:val="006C6652"/>
    <w:rsid w:val="006D201F"/>
    <w:rsid w:val="006D232C"/>
    <w:rsid w:val="006D268B"/>
    <w:rsid w:val="006D77B7"/>
    <w:rsid w:val="006E13CE"/>
    <w:rsid w:val="006E1900"/>
    <w:rsid w:val="006E1CDA"/>
    <w:rsid w:val="006E3492"/>
    <w:rsid w:val="006E5D96"/>
    <w:rsid w:val="006E76EB"/>
    <w:rsid w:val="006E7759"/>
    <w:rsid w:val="006E78D6"/>
    <w:rsid w:val="006F0628"/>
    <w:rsid w:val="006F1117"/>
    <w:rsid w:val="006F201A"/>
    <w:rsid w:val="006F2869"/>
    <w:rsid w:val="006F467E"/>
    <w:rsid w:val="006F756D"/>
    <w:rsid w:val="00700F3A"/>
    <w:rsid w:val="00706B02"/>
    <w:rsid w:val="007076CC"/>
    <w:rsid w:val="00710897"/>
    <w:rsid w:val="007175CE"/>
    <w:rsid w:val="00717CA5"/>
    <w:rsid w:val="00720E20"/>
    <w:rsid w:val="00720EAA"/>
    <w:rsid w:val="00720F53"/>
    <w:rsid w:val="00725504"/>
    <w:rsid w:val="00727D18"/>
    <w:rsid w:val="00730A13"/>
    <w:rsid w:val="00730FCE"/>
    <w:rsid w:val="007356BD"/>
    <w:rsid w:val="007359E1"/>
    <w:rsid w:val="00736111"/>
    <w:rsid w:val="00736819"/>
    <w:rsid w:val="00736C84"/>
    <w:rsid w:val="00740102"/>
    <w:rsid w:val="007438DF"/>
    <w:rsid w:val="00745217"/>
    <w:rsid w:val="00752DA9"/>
    <w:rsid w:val="007539BB"/>
    <w:rsid w:val="0075736E"/>
    <w:rsid w:val="0076124A"/>
    <w:rsid w:val="00761476"/>
    <w:rsid w:val="007627B5"/>
    <w:rsid w:val="00767E55"/>
    <w:rsid w:val="007722D5"/>
    <w:rsid w:val="007741E1"/>
    <w:rsid w:val="007752C5"/>
    <w:rsid w:val="00782147"/>
    <w:rsid w:val="0078222D"/>
    <w:rsid w:val="00785BF3"/>
    <w:rsid w:val="00785DC2"/>
    <w:rsid w:val="00787000"/>
    <w:rsid w:val="0078787A"/>
    <w:rsid w:val="00787A96"/>
    <w:rsid w:val="007932C6"/>
    <w:rsid w:val="0079350E"/>
    <w:rsid w:val="00794F0B"/>
    <w:rsid w:val="007A0041"/>
    <w:rsid w:val="007A0C60"/>
    <w:rsid w:val="007A1F2A"/>
    <w:rsid w:val="007A1FA4"/>
    <w:rsid w:val="007A26FA"/>
    <w:rsid w:val="007A396B"/>
    <w:rsid w:val="007A41F1"/>
    <w:rsid w:val="007A4622"/>
    <w:rsid w:val="007A5DAA"/>
    <w:rsid w:val="007A7B77"/>
    <w:rsid w:val="007B102A"/>
    <w:rsid w:val="007B11DE"/>
    <w:rsid w:val="007B31D1"/>
    <w:rsid w:val="007C1B9C"/>
    <w:rsid w:val="007C28C8"/>
    <w:rsid w:val="007C47DE"/>
    <w:rsid w:val="007C5BEF"/>
    <w:rsid w:val="007C6A51"/>
    <w:rsid w:val="007D0C0E"/>
    <w:rsid w:val="007D0CBD"/>
    <w:rsid w:val="007D1F78"/>
    <w:rsid w:val="007D2310"/>
    <w:rsid w:val="007D28EA"/>
    <w:rsid w:val="007D3F66"/>
    <w:rsid w:val="007D7E9D"/>
    <w:rsid w:val="007E04A9"/>
    <w:rsid w:val="007E36CE"/>
    <w:rsid w:val="007E4A4D"/>
    <w:rsid w:val="007E602D"/>
    <w:rsid w:val="007E6FA2"/>
    <w:rsid w:val="007F0178"/>
    <w:rsid w:val="007F0200"/>
    <w:rsid w:val="007F1779"/>
    <w:rsid w:val="007F1D5A"/>
    <w:rsid w:val="007F4799"/>
    <w:rsid w:val="007F607C"/>
    <w:rsid w:val="008022D2"/>
    <w:rsid w:val="0080297A"/>
    <w:rsid w:val="00802F6E"/>
    <w:rsid w:val="00802FA9"/>
    <w:rsid w:val="008049DB"/>
    <w:rsid w:val="00811A42"/>
    <w:rsid w:val="00812115"/>
    <w:rsid w:val="00812E9D"/>
    <w:rsid w:val="00816D62"/>
    <w:rsid w:val="00817D1F"/>
    <w:rsid w:val="00822DA3"/>
    <w:rsid w:val="0082472D"/>
    <w:rsid w:val="00826211"/>
    <w:rsid w:val="00830147"/>
    <w:rsid w:val="0083043B"/>
    <w:rsid w:val="00830C5D"/>
    <w:rsid w:val="0083156F"/>
    <w:rsid w:val="008339E4"/>
    <w:rsid w:val="00835EB0"/>
    <w:rsid w:val="00836066"/>
    <w:rsid w:val="0083606B"/>
    <w:rsid w:val="00841140"/>
    <w:rsid w:val="00841F36"/>
    <w:rsid w:val="0084207A"/>
    <w:rsid w:val="00843B05"/>
    <w:rsid w:val="00844A29"/>
    <w:rsid w:val="00844CCA"/>
    <w:rsid w:val="008471D8"/>
    <w:rsid w:val="00847F5F"/>
    <w:rsid w:val="00855669"/>
    <w:rsid w:val="00855727"/>
    <w:rsid w:val="008564AA"/>
    <w:rsid w:val="00862B42"/>
    <w:rsid w:val="008724E8"/>
    <w:rsid w:val="00874766"/>
    <w:rsid w:val="008747A6"/>
    <w:rsid w:val="00875949"/>
    <w:rsid w:val="0087692E"/>
    <w:rsid w:val="0087725C"/>
    <w:rsid w:val="00883E73"/>
    <w:rsid w:val="00884F1D"/>
    <w:rsid w:val="008858E7"/>
    <w:rsid w:val="00886653"/>
    <w:rsid w:val="008874D9"/>
    <w:rsid w:val="00887649"/>
    <w:rsid w:val="008878BF"/>
    <w:rsid w:val="00887C07"/>
    <w:rsid w:val="00890BE0"/>
    <w:rsid w:val="00890DB5"/>
    <w:rsid w:val="00892290"/>
    <w:rsid w:val="00893E69"/>
    <w:rsid w:val="008A476D"/>
    <w:rsid w:val="008A48AA"/>
    <w:rsid w:val="008A6D87"/>
    <w:rsid w:val="008A7711"/>
    <w:rsid w:val="008B0340"/>
    <w:rsid w:val="008B3289"/>
    <w:rsid w:val="008B3A67"/>
    <w:rsid w:val="008B3E11"/>
    <w:rsid w:val="008B6E45"/>
    <w:rsid w:val="008B7825"/>
    <w:rsid w:val="008B7D64"/>
    <w:rsid w:val="008C3D64"/>
    <w:rsid w:val="008C43F6"/>
    <w:rsid w:val="008C4EE8"/>
    <w:rsid w:val="008C4FB2"/>
    <w:rsid w:val="008C5F50"/>
    <w:rsid w:val="008C62CE"/>
    <w:rsid w:val="008C6B8B"/>
    <w:rsid w:val="008D391E"/>
    <w:rsid w:val="008D5E2A"/>
    <w:rsid w:val="008D7718"/>
    <w:rsid w:val="008D7C0D"/>
    <w:rsid w:val="008E40B9"/>
    <w:rsid w:val="008E48D3"/>
    <w:rsid w:val="008E60AB"/>
    <w:rsid w:val="008E746F"/>
    <w:rsid w:val="008F0160"/>
    <w:rsid w:val="008F26E3"/>
    <w:rsid w:val="009003C6"/>
    <w:rsid w:val="00900B4C"/>
    <w:rsid w:val="00900C5B"/>
    <w:rsid w:val="00900D84"/>
    <w:rsid w:val="00902373"/>
    <w:rsid w:val="00904C76"/>
    <w:rsid w:val="00904E79"/>
    <w:rsid w:val="009052C4"/>
    <w:rsid w:val="00915C0C"/>
    <w:rsid w:val="0091671D"/>
    <w:rsid w:val="00917062"/>
    <w:rsid w:val="0091724E"/>
    <w:rsid w:val="009174EF"/>
    <w:rsid w:val="00920131"/>
    <w:rsid w:val="00923280"/>
    <w:rsid w:val="00932EC2"/>
    <w:rsid w:val="00934420"/>
    <w:rsid w:val="00934620"/>
    <w:rsid w:val="0093469B"/>
    <w:rsid w:val="00935589"/>
    <w:rsid w:val="009378FE"/>
    <w:rsid w:val="00937E7D"/>
    <w:rsid w:val="0094085D"/>
    <w:rsid w:val="009443ED"/>
    <w:rsid w:val="00944458"/>
    <w:rsid w:val="00944624"/>
    <w:rsid w:val="00944E7E"/>
    <w:rsid w:val="00946DCE"/>
    <w:rsid w:val="00950AFC"/>
    <w:rsid w:val="00952E0F"/>
    <w:rsid w:val="00952EEF"/>
    <w:rsid w:val="009536E1"/>
    <w:rsid w:val="00954AA5"/>
    <w:rsid w:val="0096040C"/>
    <w:rsid w:val="009623B8"/>
    <w:rsid w:val="009634EA"/>
    <w:rsid w:val="00967C84"/>
    <w:rsid w:val="00970B86"/>
    <w:rsid w:val="0097533C"/>
    <w:rsid w:val="00980681"/>
    <w:rsid w:val="0098244A"/>
    <w:rsid w:val="0098305B"/>
    <w:rsid w:val="0098671D"/>
    <w:rsid w:val="0099077F"/>
    <w:rsid w:val="00991090"/>
    <w:rsid w:val="009911DF"/>
    <w:rsid w:val="00993C42"/>
    <w:rsid w:val="0099610E"/>
    <w:rsid w:val="009A064E"/>
    <w:rsid w:val="009A163D"/>
    <w:rsid w:val="009A1F8C"/>
    <w:rsid w:val="009A2741"/>
    <w:rsid w:val="009A3D8F"/>
    <w:rsid w:val="009A41BE"/>
    <w:rsid w:val="009A6B71"/>
    <w:rsid w:val="009B0E08"/>
    <w:rsid w:val="009B5FB8"/>
    <w:rsid w:val="009B72FB"/>
    <w:rsid w:val="009C0B13"/>
    <w:rsid w:val="009C212A"/>
    <w:rsid w:val="009C33CD"/>
    <w:rsid w:val="009C77CB"/>
    <w:rsid w:val="009D1898"/>
    <w:rsid w:val="009D77BD"/>
    <w:rsid w:val="009E026B"/>
    <w:rsid w:val="009E0322"/>
    <w:rsid w:val="009E0B4D"/>
    <w:rsid w:val="009E108B"/>
    <w:rsid w:val="009E3CE4"/>
    <w:rsid w:val="009E63D5"/>
    <w:rsid w:val="009E6889"/>
    <w:rsid w:val="009F60A2"/>
    <w:rsid w:val="009F7170"/>
    <w:rsid w:val="00A00865"/>
    <w:rsid w:val="00A02A8F"/>
    <w:rsid w:val="00A04E4C"/>
    <w:rsid w:val="00A07340"/>
    <w:rsid w:val="00A1042B"/>
    <w:rsid w:val="00A17404"/>
    <w:rsid w:val="00A2022B"/>
    <w:rsid w:val="00A2056B"/>
    <w:rsid w:val="00A244A2"/>
    <w:rsid w:val="00A257C6"/>
    <w:rsid w:val="00A276B8"/>
    <w:rsid w:val="00A27910"/>
    <w:rsid w:val="00A30FB1"/>
    <w:rsid w:val="00A31366"/>
    <w:rsid w:val="00A3276B"/>
    <w:rsid w:val="00A3282E"/>
    <w:rsid w:val="00A43394"/>
    <w:rsid w:val="00A4351B"/>
    <w:rsid w:val="00A43760"/>
    <w:rsid w:val="00A460C0"/>
    <w:rsid w:val="00A53FA4"/>
    <w:rsid w:val="00A5648E"/>
    <w:rsid w:val="00A5790F"/>
    <w:rsid w:val="00A61818"/>
    <w:rsid w:val="00A626A4"/>
    <w:rsid w:val="00A64F27"/>
    <w:rsid w:val="00A67950"/>
    <w:rsid w:val="00A70713"/>
    <w:rsid w:val="00A718A3"/>
    <w:rsid w:val="00A74F3F"/>
    <w:rsid w:val="00A773D9"/>
    <w:rsid w:val="00A77DE7"/>
    <w:rsid w:val="00A841F4"/>
    <w:rsid w:val="00A87033"/>
    <w:rsid w:val="00A87466"/>
    <w:rsid w:val="00A918E1"/>
    <w:rsid w:val="00A929FE"/>
    <w:rsid w:val="00A96CB3"/>
    <w:rsid w:val="00AA0E16"/>
    <w:rsid w:val="00AA1E5E"/>
    <w:rsid w:val="00AA6FAD"/>
    <w:rsid w:val="00AB1464"/>
    <w:rsid w:val="00AB250C"/>
    <w:rsid w:val="00AB2DD2"/>
    <w:rsid w:val="00AB344E"/>
    <w:rsid w:val="00AC02F9"/>
    <w:rsid w:val="00AC2132"/>
    <w:rsid w:val="00AC3524"/>
    <w:rsid w:val="00AC35BB"/>
    <w:rsid w:val="00AC52F0"/>
    <w:rsid w:val="00AC7268"/>
    <w:rsid w:val="00AD02AE"/>
    <w:rsid w:val="00AD2172"/>
    <w:rsid w:val="00AD252D"/>
    <w:rsid w:val="00AD2A74"/>
    <w:rsid w:val="00AD6046"/>
    <w:rsid w:val="00AD6417"/>
    <w:rsid w:val="00AE2BEF"/>
    <w:rsid w:val="00AE5437"/>
    <w:rsid w:val="00AE5544"/>
    <w:rsid w:val="00AE5A04"/>
    <w:rsid w:val="00AF0FDD"/>
    <w:rsid w:val="00AF2487"/>
    <w:rsid w:val="00AF3E65"/>
    <w:rsid w:val="00AF4A28"/>
    <w:rsid w:val="00AF66AD"/>
    <w:rsid w:val="00AF6A6A"/>
    <w:rsid w:val="00B042C7"/>
    <w:rsid w:val="00B04C5A"/>
    <w:rsid w:val="00B0593D"/>
    <w:rsid w:val="00B06FF7"/>
    <w:rsid w:val="00B116B0"/>
    <w:rsid w:val="00B12542"/>
    <w:rsid w:val="00B1342D"/>
    <w:rsid w:val="00B14308"/>
    <w:rsid w:val="00B147E8"/>
    <w:rsid w:val="00B17292"/>
    <w:rsid w:val="00B17F7C"/>
    <w:rsid w:val="00B20952"/>
    <w:rsid w:val="00B22EF5"/>
    <w:rsid w:val="00B23C2B"/>
    <w:rsid w:val="00B256BC"/>
    <w:rsid w:val="00B31F2A"/>
    <w:rsid w:val="00B329B8"/>
    <w:rsid w:val="00B33E61"/>
    <w:rsid w:val="00B36D01"/>
    <w:rsid w:val="00B37DB8"/>
    <w:rsid w:val="00B37FB3"/>
    <w:rsid w:val="00B420A9"/>
    <w:rsid w:val="00B4270A"/>
    <w:rsid w:val="00B47FE8"/>
    <w:rsid w:val="00B52CFD"/>
    <w:rsid w:val="00B54354"/>
    <w:rsid w:val="00B5628E"/>
    <w:rsid w:val="00B61648"/>
    <w:rsid w:val="00B6206F"/>
    <w:rsid w:val="00B62077"/>
    <w:rsid w:val="00B66CA9"/>
    <w:rsid w:val="00B713EE"/>
    <w:rsid w:val="00B72C6F"/>
    <w:rsid w:val="00B754C0"/>
    <w:rsid w:val="00B76AFC"/>
    <w:rsid w:val="00B77438"/>
    <w:rsid w:val="00B84B6B"/>
    <w:rsid w:val="00B91184"/>
    <w:rsid w:val="00B935B6"/>
    <w:rsid w:val="00B94812"/>
    <w:rsid w:val="00B97BA2"/>
    <w:rsid w:val="00BA2374"/>
    <w:rsid w:val="00BA24DE"/>
    <w:rsid w:val="00BA31D8"/>
    <w:rsid w:val="00BA5816"/>
    <w:rsid w:val="00BA65CB"/>
    <w:rsid w:val="00BA6AEE"/>
    <w:rsid w:val="00BA7CB6"/>
    <w:rsid w:val="00BB0136"/>
    <w:rsid w:val="00BB4464"/>
    <w:rsid w:val="00BB5192"/>
    <w:rsid w:val="00BB57B7"/>
    <w:rsid w:val="00BB7B40"/>
    <w:rsid w:val="00BB7C03"/>
    <w:rsid w:val="00BB7D2A"/>
    <w:rsid w:val="00BC02B7"/>
    <w:rsid w:val="00BC06E0"/>
    <w:rsid w:val="00BC4932"/>
    <w:rsid w:val="00BC4CD8"/>
    <w:rsid w:val="00BD1E73"/>
    <w:rsid w:val="00BD3F80"/>
    <w:rsid w:val="00BD52F5"/>
    <w:rsid w:val="00BD5955"/>
    <w:rsid w:val="00BE0629"/>
    <w:rsid w:val="00BE0658"/>
    <w:rsid w:val="00BE1740"/>
    <w:rsid w:val="00BE352E"/>
    <w:rsid w:val="00BE4BE3"/>
    <w:rsid w:val="00BE4D3D"/>
    <w:rsid w:val="00BE55B9"/>
    <w:rsid w:val="00BE7CD8"/>
    <w:rsid w:val="00BF1819"/>
    <w:rsid w:val="00BF1EA3"/>
    <w:rsid w:val="00BF4CB9"/>
    <w:rsid w:val="00C00730"/>
    <w:rsid w:val="00C00DDA"/>
    <w:rsid w:val="00C020AC"/>
    <w:rsid w:val="00C05E2F"/>
    <w:rsid w:val="00C07600"/>
    <w:rsid w:val="00C114A5"/>
    <w:rsid w:val="00C1308B"/>
    <w:rsid w:val="00C16A49"/>
    <w:rsid w:val="00C2031C"/>
    <w:rsid w:val="00C2042D"/>
    <w:rsid w:val="00C21835"/>
    <w:rsid w:val="00C22083"/>
    <w:rsid w:val="00C316DB"/>
    <w:rsid w:val="00C35666"/>
    <w:rsid w:val="00C36869"/>
    <w:rsid w:val="00C4020F"/>
    <w:rsid w:val="00C40B6E"/>
    <w:rsid w:val="00C420CE"/>
    <w:rsid w:val="00C454BA"/>
    <w:rsid w:val="00C466BE"/>
    <w:rsid w:val="00C4777E"/>
    <w:rsid w:val="00C500AC"/>
    <w:rsid w:val="00C51264"/>
    <w:rsid w:val="00C51C54"/>
    <w:rsid w:val="00C5200C"/>
    <w:rsid w:val="00C52888"/>
    <w:rsid w:val="00C600C8"/>
    <w:rsid w:val="00C6177E"/>
    <w:rsid w:val="00C64221"/>
    <w:rsid w:val="00C642D0"/>
    <w:rsid w:val="00C65226"/>
    <w:rsid w:val="00C65BF2"/>
    <w:rsid w:val="00C6643B"/>
    <w:rsid w:val="00C70C49"/>
    <w:rsid w:val="00C71682"/>
    <w:rsid w:val="00C731AE"/>
    <w:rsid w:val="00C75543"/>
    <w:rsid w:val="00C76CB7"/>
    <w:rsid w:val="00C76EBD"/>
    <w:rsid w:val="00C7745E"/>
    <w:rsid w:val="00C8045A"/>
    <w:rsid w:val="00C8068B"/>
    <w:rsid w:val="00C8246F"/>
    <w:rsid w:val="00C829C3"/>
    <w:rsid w:val="00C84FF5"/>
    <w:rsid w:val="00C85339"/>
    <w:rsid w:val="00C85AB2"/>
    <w:rsid w:val="00C911CC"/>
    <w:rsid w:val="00C91D45"/>
    <w:rsid w:val="00C96D41"/>
    <w:rsid w:val="00CA22FB"/>
    <w:rsid w:val="00CA36BD"/>
    <w:rsid w:val="00CA4317"/>
    <w:rsid w:val="00CA5A37"/>
    <w:rsid w:val="00CA5EA3"/>
    <w:rsid w:val="00CA7A43"/>
    <w:rsid w:val="00CA7A60"/>
    <w:rsid w:val="00CB215A"/>
    <w:rsid w:val="00CB380E"/>
    <w:rsid w:val="00CB3CE9"/>
    <w:rsid w:val="00CB42D2"/>
    <w:rsid w:val="00CB6C86"/>
    <w:rsid w:val="00CB7683"/>
    <w:rsid w:val="00CB7F71"/>
    <w:rsid w:val="00CC0120"/>
    <w:rsid w:val="00CC257B"/>
    <w:rsid w:val="00CC34D6"/>
    <w:rsid w:val="00CC3E3A"/>
    <w:rsid w:val="00CC5AA3"/>
    <w:rsid w:val="00CC797A"/>
    <w:rsid w:val="00CD10A5"/>
    <w:rsid w:val="00CD66C2"/>
    <w:rsid w:val="00CE05FD"/>
    <w:rsid w:val="00CE4473"/>
    <w:rsid w:val="00CE4E47"/>
    <w:rsid w:val="00CE598C"/>
    <w:rsid w:val="00CE64DA"/>
    <w:rsid w:val="00CE7E56"/>
    <w:rsid w:val="00CF0B75"/>
    <w:rsid w:val="00CF1C92"/>
    <w:rsid w:val="00CF2783"/>
    <w:rsid w:val="00CF2A4D"/>
    <w:rsid w:val="00D01256"/>
    <w:rsid w:val="00D016E0"/>
    <w:rsid w:val="00D044E0"/>
    <w:rsid w:val="00D05A6C"/>
    <w:rsid w:val="00D07BEB"/>
    <w:rsid w:val="00D07EB1"/>
    <w:rsid w:val="00D10E57"/>
    <w:rsid w:val="00D14905"/>
    <w:rsid w:val="00D1569F"/>
    <w:rsid w:val="00D15F65"/>
    <w:rsid w:val="00D16E3F"/>
    <w:rsid w:val="00D20E53"/>
    <w:rsid w:val="00D2510D"/>
    <w:rsid w:val="00D25C67"/>
    <w:rsid w:val="00D265F0"/>
    <w:rsid w:val="00D26EFB"/>
    <w:rsid w:val="00D30FF5"/>
    <w:rsid w:val="00D32C7A"/>
    <w:rsid w:val="00D33D0D"/>
    <w:rsid w:val="00D3509C"/>
    <w:rsid w:val="00D404D2"/>
    <w:rsid w:val="00D429EB"/>
    <w:rsid w:val="00D432D8"/>
    <w:rsid w:val="00D434BA"/>
    <w:rsid w:val="00D44002"/>
    <w:rsid w:val="00D508B3"/>
    <w:rsid w:val="00D51368"/>
    <w:rsid w:val="00D53423"/>
    <w:rsid w:val="00D5753F"/>
    <w:rsid w:val="00D61221"/>
    <w:rsid w:val="00D64B67"/>
    <w:rsid w:val="00D64E25"/>
    <w:rsid w:val="00D70239"/>
    <w:rsid w:val="00D71A9E"/>
    <w:rsid w:val="00D726AB"/>
    <w:rsid w:val="00D72ACE"/>
    <w:rsid w:val="00D72D04"/>
    <w:rsid w:val="00D779C5"/>
    <w:rsid w:val="00D77B06"/>
    <w:rsid w:val="00D82C9F"/>
    <w:rsid w:val="00D8560C"/>
    <w:rsid w:val="00D86579"/>
    <w:rsid w:val="00D87BE9"/>
    <w:rsid w:val="00D90DC2"/>
    <w:rsid w:val="00D9194C"/>
    <w:rsid w:val="00D91D73"/>
    <w:rsid w:val="00D931A8"/>
    <w:rsid w:val="00DA596A"/>
    <w:rsid w:val="00DA67AD"/>
    <w:rsid w:val="00DB5861"/>
    <w:rsid w:val="00DB6A12"/>
    <w:rsid w:val="00DC0B57"/>
    <w:rsid w:val="00DC1153"/>
    <w:rsid w:val="00DC1A8E"/>
    <w:rsid w:val="00DC20CA"/>
    <w:rsid w:val="00DC228D"/>
    <w:rsid w:val="00DC2C8A"/>
    <w:rsid w:val="00DC3068"/>
    <w:rsid w:val="00DC7782"/>
    <w:rsid w:val="00DD125F"/>
    <w:rsid w:val="00DE14A8"/>
    <w:rsid w:val="00DE58AB"/>
    <w:rsid w:val="00DE60A9"/>
    <w:rsid w:val="00DE6EF4"/>
    <w:rsid w:val="00DE6FA7"/>
    <w:rsid w:val="00DF0B32"/>
    <w:rsid w:val="00DF1F1F"/>
    <w:rsid w:val="00DF6C41"/>
    <w:rsid w:val="00E00F46"/>
    <w:rsid w:val="00E04A62"/>
    <w:rsid w:val="00E1086E"/>
    <w:rsid w:val="00E14163"/>
    <w:rsid w:val="00E156EB"/>
    <w:rsid w:val="00E16599"/>
    <w:rsid w:val="00E17FEE"/>
    <w:rsid w:val="00E2500F"/>
    <w:rsid w:val="00E265DC"/>
    <w:rsid w:val="00E27C69"/>
    <w:rsid w:val="00E30689"/>
    <w:rsid w:val="00E348DA"/>
    <w:rsid w:val="00E438EA"/>
    <w:rsid w:val="00E445DC"/>
    <w:rsid w:val="00E44820"/>
    <w:rsid w:val="00E44E55"/>
    <w:rsid w:val="00E46504"/>
    <w:rsid w:val="00E4697C"/>
    <w:rsid w:val="00E475F4"/>
    <w:rsid w:val="00E4780D"/>
    <w:rsid w:val="00E47D4E"/>
    <w:rsid w:val="00E51FEB"/>
    <w:rsid w:val="00E52580"/>
    <w:rsid w:val="00E56316"/>
    <w:rsid w:val="00E57914"/>
    <w:rsid w:val="00E61F81"/>
    <w:rsid w:val="00E622AC"/>
    <w:rsid w:val="00E65E0D"/>
    <w:rsid w:val="00E71A4F"/>
    <w:rsid w:val="00E71E0A"/>
    <w:rsid w:val="00E72942"/>
    <w:rsid w:val="00E759D5"/>
    <w:rsid w:val="00E75A0A"/>
    <w:rsid w:val="00E76CCD"/>
    <w:rsid w:val="00E76DC4"/>
    <w:rsid w:val="00E810D5"/>
    <w:rsid w:val="00E822C6"/>
    <w:rsid w:val="00E849C4"/>
    <w:rsid w:val="00E84AAF"/>
    <w:rsid w:val="00E86F94"/>
    <w:rsid w:val="00E9054F"/>
    <w:rsid w:val="00EA04D6"/>
    <w:rsid w:val="00EA10A3"/>
    <w:rsid w:val="00EA1A8B"/>
    <w:rsid w:val="00EA2450"/>
    <w:rsid w:val="00EB0D35"/>
    <w:rsid w:val="00EB1E40"/>
    <w:rsid w:val="00EB3490"/>
    <w:rsid w:val="00EB34DF"/>
    <w:rsid w:val="00EB668A"/>
    <w:rsid w:val="00EB6FAF"/>
    <w:rsid w:val="00EC31F4"/>
    <w:rsid w:val="00EC4929"/>
    <w:rsid w:val="00EC5216"/>
    <w:rsid w:val="00EC5C4A"/>
    <w:rsid w:val="00EC6869"/>
    <w:rsid w:val="00EC7711"/>
    <w:rsid w:val="00ED165B"/>
    <w:rsid w:val="00ED2ADA"/>
    <w:rsid w:val="00ED4699"/>
    <w:rsid w:val="00ED4CF9"/>
    <w:rsid w:val="00ED6D7D"/>
    <w:rsid w:val="00ED6DFB"/>
    <w:rsid w:val="00EE01B8"/>
    <w:rsid w:val="00EE0E8C"/>
    <w:rsid w:val="00EE2215"/>
    <w:rsid w:val="00EE2A42"/>
    <w:rsid w:val="00EE4B2E"/>
    <w:rsid w:val="00EE76A1"/>
    <w:rsid w:val="00EF081A"/>
    <w:rsid w:val="00EF36DB"/>
    <w:rsid w:val="00EF3CBB"/>
    <w:rsid w:val="00EF46C3"/>
    <w:rsid w:val="00EF6637"/>
    <w:rsid w:val="00F00434"/>
    <w:rsid w:val="00F0080B"/>
    <w:rsid w:val="00F00B7B"/>
    <w:rsid w:val="00F033E5"/>
    <w:rsid w:val="00F03542"/>
    <w:rsid w:val="00F06AFD"/>
    <w:rsid w:val="00F122F0"/>
    <w:rsid w:val="00F13B20"/>
    <w:rsid w:val="00F13D06"/>
    <w:rsid w:val="00F1415D"/>
    <w:rsid w:val="00F14DA0"/>
    <w:rsid w:val="00F1657F"/>
    <w:rsid w:val="00F16C8D"/>
    <w:rsid w:val="00F220C2"/>
    <w:rsid w:val="00F2313E"/>
    <w:rsid w:val="00F24620"/>
    <w:rsid w:val="00F2787D"/>
    <w:rsid w:val="00F33601"/>
    <w:rsid w:val="00F366BE"/>
    <w:rsid w:val="00F46C88"/>
    <w:rsid w:val="00F537B9"/>
    <w:rsid w:val="00F60794"/>
    <w:rsid w:val="00F60B05"/>
    <w:rsid w:val="00F63667"/>
    <w:rsid w:val="00F63E29"/>
    <w:rsid w:val="00F64F94"/>
    <w:rsid w:val="00F7079A"/>
    <w:rsid w:val="00F71979"/>
    <w:rsid w:val="00F719E8"/>
    <w:rsid w:val="00F732F9"/>
    <w:rsid w:val="00F73493"/>
    <w:rsid w:val="00F7436E"/>
    <w:rsid w:val="00F74C0C"/>
    <w:rsid w:val="00F7716D"/>
    <w:rsid w:val="00F913CC"/>
    <w:rsid w:val="00F92360"/>
    <w:rsid w:val="00F94293"/>
    <w:rsid w:val="00F96AA4"/>
    <w:rsid w:val="00FA2388"/>
    <w:rsid w:val="00FA4B58"/>
    <w:rsid w:val="00FB0989"/>
    <w:rsid w:val="00FB0ACB"/>
    <w:rsid w:val="00FB165B"/>
    <w:rsid w:val="00FB37CC"/>
    <w:rsid w:val="00FB6246"/>
    <w:rsid w:val="00FB6F4F"/>
    <w:rsid w:val="00FB781F"/>
    <w:rsid w:val="00FC2109"/>
    <w:rsid w:val="00FC7B5B"/>
    <w:rsid w:val="00FD0CDA"/>
    <w:rsid w:val="00FD141C"/>
    <w:rsid w:val="00FD2161"/>
    <w:rsid w:val="00FD31EC"/>
    <w:rsid w:val="00FD3C88"/>
    <w:rsid w:val="00FE046C"/>
    <w:rsid w:val="00FE2DCB"/>
    <w:rsid w:val="00FE3A12"/>
    <w:rsid w:val="00FE58EF"/>
    <w:rsid w:val="00FF3048"/>
    <w:rsid w:val="00FF3E6C"/>
    <w:rsid w:val="00FF3FC8"/>
    <w:rsid w:val="00FF5463"/>
  </w:rsids>
  <m:mathPr>
    <m:mathFont m:val="Cambria Math"/>
    <m:brkBin m:val="before"/>
    <m:brkBinSub m:val="--"/>
    <m:smallFrac/>
    <m:dispDef/>
    <m:lMargin m:val="0"/>
    <m:rMargin m:val="0"/>
    <m:defJc m:val="centerGroup"/>
    <m:wrapIndent m:val="1440"/>
    <m:intLim m:val="subSup"/>
    <m:naryLim m:val="undOvr"/>
  </m:mathPr>
  <w:themeFontLang w:val="es-EC"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31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1C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31C9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31C9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31C9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31C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31C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31C9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31C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1C9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1C9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31C9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31C9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31C9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31C9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31C9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31C9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31C94"/>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231C94"/>
    <w:pPr>
      <w:spacing w:line="240" w:lineRule="auto"/>
    </w:pPr>
    <w:rPr>
      <w:b/>
      <w:bCs/>
      <w:color w:val="4F81BD" w:themeColor="accent1"/>
      <w:sz w:val="18"/>
      <w:szCs w:val="18"/>
    </w:rPr>
  </w:style>
  <w:style w:type="paragraph" w:styleId="Ttulo">
    <w:name w:val="Title"/>
    <w:basedOn w:val="Normal"/>
    <w:next w:val="Normal"/>
    <w:link w:val="TtuloCar"/>
    <w:uiPriority w:val="10"/>
    <w:qFormat/>
    <w:rsid w:val="00231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31C9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31C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31C94"/>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231C94"/>
    <w:rPr>
      <w:b/>
      <w:bCs/>
    </w:rPr>
  </w:style>
  <w:style w:type="character" w:styleId="nfasis">
    <w:name w:val="Emphasis"/>
    <w:basedOn w:val="Fuentedeprrafopredeter"/>
    <w:uiPriority w:val="20"/>
    <w:qFormat/>
    <w:rsid w:val="00231C94"/>
    <w:rPr>
      <w:i/>
      <w:iCs/>
    </w:rPr>
  </w:style>
  <w:style w:type="paragraph" w:styleId="Sinespaciado">
    <w:name w:val="No Spacing"/>
    <w:uiPriority w:val="1"/>
    <w:qFormat/>
    <w:rsid w:val="00231C94"/>
    <w:pPr>
      <w:spacing w:after="0" w:line="240" w:lineRule="auto"/>
    </w:pPr>
  </w:style>
  <w:style w:type="paragraph" w:styleId="Prrafodelista">
    <w:name w:val="List Paragraph"/>
    <w:basedOn w:val="Normal"/>
    <w:uiPriority w:val="34"/>
    <w:qFormat/>
    <w:rsid w:val="00231C94"/>
    <w:pPr>
      <w:ind w:left="720"/>
      <w:contextualSpacing/>
    </w:pPr>
  </w:style>
  <w:style w:type="paragraph" w:styleId="Cita">
    <w:name w:val="Quote"/>
    <w:basedOn w:val="Normal"/>
    <w:next w:val="Normal"/>
    <w:link w:val="CitaCar"/>
    <w:uiPriority w:val="29"/>
    <w:qFormat/>
    <w:rsid w:val="00231C94"/>
    <w:rPr>
      <w:i/>
      <w:iCs/>
      <w:color w:val="000000" w:themeColor="text1"/>
    </w:rPr>
  </w:style>
  <w:style w:type="character" w:customStyle="1" w:styleId="CitaCar">
    <w:name w:val="Cita Car"/>
    <w:basedOn w:val="Fuentedeprrafopredeter"/>
    <w:link w:val="Cita"/>
    <w:uiPriority w:val="29"/>
    <w:rsid w:val="00231C94"/>
    <w:rPr>
      <w:i/>
      <w:iCs/>
      <w:color w:val="000000" w:themeColor="text1"/>
    </w:rPr>
  </w:style>
  <w:style w:type="paragraph" w:styleId="Citadestacada">
    <w:name w:val="Intense Quote"/>
    <w:basedOn w:val="Normal"/>
    <w:next w:val="Normal"/>
    <w:link w:val="CitadestacadaCar"/>
    <w:uiPriority w:val="30"/>
    <w:qFormat/>
    <w:rsid w:val="00231C9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31C94"/>
    <w:rPr>
      <w:b/>
      <w:bCs/>
      <w:i/>
      <w:iCs/>
      <w:color w:val="4F81BD" w:themeColor="accent1"/>
    </w:rPr>
  </w:style>
  <w:style w:type="character" w:styleId="nfasissutil">
    <w:name w:val="Subtle Emphasis"/>
    <w:basedOn w:val="Fuentedeprrafopredeter"/>
    <w:uiPriority w:val="19"/>
    <w:qFormat/>
    <w:rsid w:val="00231C94"/>
    <w:rPr>
      <w:i/>
      <w:iCs/>
      <w:color w:val="808080" w:themeColor="text1" w:themeTint="7F"/>
    </w:rPr>
  </w:style>
  <w:style w:type="character" w:styleId="nfasisintenso">
    <w:name w:val="Intense Emphasis"/>
    <w:basedOn w:val="Fuentedeprrafopredeter"/>
    <w:uiPriority w:val="21"/>
    <w:qFormat/>
    <w:rsid w:val="00231C94"/>
    <w:rPr>
      <w:b/>
      <w:bCs/>
      <w:i/>
      <w:iCs/>
      <w:color w:val="4F81BD" w:themeColor="accent1"/>
    </w:rPr>
  </w:style>
  <w:style w:type="character" w:styleId="Referenciasutil">
    <w:name w:val="Subtle Reference"/>
    <w:basedOn w:val="Fuentedeprrafopredeter"/>
    <w:uiPriority w:val="31"/>
    <w:qFormat/>
    <w:rsid w:val="00231C94"/>
    <w:rPr>
      <w:smallCaps/>
      <w:color w:val="C0504D" w:themeColor="accent2"/>
      <w:u w:val="single"/>
    </w:rPr>
  </w:style>
  <w:style w:type="character" w:styleId="Referenciaintensa">
    <w:name w:val="Intense Reference"/>
    <w:basedOn w:val="Fuentedeprrafopredeter"/>
    <w:uiPriority w:val="32"/>
    <w:qFormat/>
    <w:rsid w:val="00231C94"/>
    <w:rPr>
      <w:b/>
      <w:bCs/>
      <w:smallCaps/>
      <w:color w:val="C0504D" w:themeColor="accent2"/>
      <w:spacing w:val="5"/>
      <w:u w:val="single"/>
    </w:rPr>
  </w:style>
  <w:style w:type="character" w:styleId="Ttulodellibro">
    <w:name w:val="Book Title"/>
    <w:basedOn w:val="Fuentedeprrafopredeter"/>
    <w:uiPriority w:val="33"/>
    <w:qFormat/>
    <w:rsid w:val="00231C94"/>
    <w:rPr>
      <w:b/>
      <w:bCs/>
      <w:smallCaps/>
      <w:spacing w:val="5"/>
    </w:rPr>
  </w:style>
  <w:style w:type="paragraph" w:styleId="TtulodeTDC">
    <w:name w:val="TOC Heading"/>
    <w:basedOn w:val="Ttulo1"/>
    <w:next w:val="Normal"/>
    <w:uiPriority w:val="39"/>
    <w:semiHidden/>
    <w:unhideWhenUsed/>
    <w:qFormat/>
    <w:rsid w:val="00231C94"/>
    <w:pPr>
      <w:outlineLvl w:val="9"/>
    </w:pPr>
  </w:style>
  <w:style w:type="paragraph" w:styleId="Textodeglobo">
    <w:name w:val="Balloon Text"/>
    <w:basedOn w:val="Normal"/>
    <w:link w:val="TextodegloboCar"/>
    <w:uiPriority w:val="99"/>
    <w:semiHidden/>
    <w:unhideWhenUsed/>
    <w:rsid w:val="005D57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75C"/>
    <w:rPr>
      <w:rFonts w:ascii="Tahoma" w:hAnsi="Tahoma" w:cs="Tahoma"/>
      <w:sz w:val="16"/>
      <w:szCs w:val="16"/>
    </w:rPr>
  </w:style>
  <w:style w:type="character" w:styleId="Textodelmarcadordeposicin">
    <w:name w:val="Placeholder Text"/>
    <w:basedOn w:val="Fuentedeprrafopredeter"/>
    <w:uiPriority w:val="99"/>
    <w:semiHidden/>
    <w:rsid w:val="005D575C"/>
    <w:rPr>
      <w:color w:val="808080"/>
    </w:rPr>
  </w:style>
  <w:style w:type="paragraph" w:styleId="Textosinformato">
    <w:name w:val="Plain Text"/>
    <w:basedOn w:val="Normal"/>
    <w:link w:val="TextosinformatoCar"/>
    <w:rsid w:val="0084114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4114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41140"/>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0117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179E"/>
  </w:style>
  <w:style w:type="paragraph" w:styleId="Piedepgina">
    <w:name w:val="footer"/>
    <w:basedOn w:val="Normal"/>
    <w:link w:val="PiedepginaCar"/>
    <w:uiPriority w:val="99"/>
    <w:unhideWhenUsed/>
    <w:rsid w:val="000117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179E"/>
  </w:style>
  <w:style w:type="character" w:customStyle="1" w:styleId="Cuadrculaclara-nfasis3Car">
    <w:name w:val="Cuadrícula clara - Énfasis 3 Car"/>
    <w:link w:val="Cuadrculaclara-nfasis31"/>
    <w:uiPriority w:val="34"/>
    <w:locked/>
    <w:rsid w:val="00A4351B"/>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A4351B"/>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31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1C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31C9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31C9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31C9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31C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31C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31C9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31C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1C9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1C9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31C9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31C9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31C9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31C9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31C9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31C9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31C94"/>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231C94"/>
    <w:pPr>
      <w:spacing w:line="240" w:lineRule="auto"/>
    </w:pPr>
    <w:rPr>
      <w:b/>
      <w:bCs/>
      <w:color w:val="4F81BD" w:themeColor="accent1"/>
      <w:sz w:val="18"/>
      <w:szCs w:val="18"/>
    </w:rPr>
  </w:style>
  <w:style w:type="paragraph" w:styleId="Ttulo">
    <w:name w:val="Title"/>
    <w:basedOn w:val="Normal"/>
    <w:next w:val="Normal"/>
    <w:link w:val="TtuloCar"/>
    <w:uiPriority w:val="10"/>
    <w:qFormat/>
    <w:rsid w:val="00231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31C9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31C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31C94"/>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231C94"/>
    <w:rPr>
      <w:b/>
      <w:bCs/>
    </w:rPr>
  </w:style>
  <w:style w:type="character" w:styleId="nfasis">
    <w:name w:val="Emphasis"/>
    <w:basedOn w:val="Fuentedeprrafopredeter"/>
    <w:uiPriority w:val="20"/>
    <w:qFormat/>
    <w:rsid w:val="00231C94"/>
    <w:rPr>
      <w:i/>
      <w:iCs/>
    </w:rPr>
  </w:style>
  <w:style w:type="paragraph" w:styleId="Sinespaciado">
    <w:name w:val="No Spacing"/>
    <w:uiPriority w:val="1"/>
    <w:qFormat/>
    <w:rsid w:val="00231C94"/>
    <w:pPr>
      <w:spacing w:after="0" w:line="240" w:lineRule="auto"/>
    </w:pPr>
  </w:style>
  <w:style w:type="paragraph" w:styleId="Prrafodelista">
    <w:name w:val="List Paragraph"/>
    <w:basedOn w:val="Normal"/>
    <w:uiPriority w:val="34"/>
    <w:qFormat/>
    <w:rsid w:val="00231C94"/>
    <w:pPr>
      <w:ind w:left="720"/>
      <w:contextualSpacing/>
    </w:pPr>
  </w:style>
  <w:style w:type="paragraph" w:styleId="Cita">
    <w:name w:val="Quote"/>
    <w:basedOn w:val="Normal"/>
    <w:next w:val="Normal"/>
    <w:link w:val="CitaCar"/>
    <w:uiPriority w:val="29"/>
    <w:qFormat/>
    <w:rsid w:val="00231C94"/>
    <w:rPr>
      <w:i/>
      <w:iCs/>
      <w:color w:val="000000" w:themeColor="text1"/>
    </w:rPr>
  </w:style>
  <w:style w:type="character" w:customStyle="1" w:styleId="CitaCar">
    <w:name w:val="Cita Car"/>
    <w:basedOn w:val="Fuentedeprrafopredeter"/>
    <w:link w:val="Cita"/>
    <w:uiPriority w:val="29"/>
    <w:rsid w:val="00231C94"/>
    <w:rPr>
      <w:i/>
      <w:iCs/>
      <w:color w:val="000000" w:themeColor="text1"/>
    </w:rPr>
  </w:style>
  <w:style w:type="paragraph" w:styleId="Citadestacada">
    <w:name w:val="Intense Quote"/>
    <w:basedOn w:val="Normal"/>
    <w:next w:val="Normal"/>
    <w:link w:val="CitadestacadaCar"/>
    <w:uiPriority w:val="30"/>
    <w:qFormat/>
    <w:rsid w:val="00231C9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31C94"/>
    <w:rPr>
      <w:b/>
      <w:bCs/>
      <w:i/>
      <w:iCs/>
      <w:color w:val="4F81BD" w:themeColor="accent1"/>
    </w:rPr>
  </w:style>
  <w:style w:type="character" w:styleId="nfasissutil">
    <w:name w:val="Subtle Emphasis"/>
    <w:basedOn w:val="Fuentedeprrafopredeter"/>
    <w:uiPriority w:val="19"/>
    <w:qFormat/>
    <w:rsid w:val="00231C94"/>
    <w:rPr>
      <w:i/>
      <w:iCs/>
      <w:color w:val="808080" w:themeColor="text1" w:themeTint="7F"/>
    </w:rPr>
  </w:style>
  <w:style w:type="character" w:styleId="nfasisintenso">
    <w:name w:val="Intense Emphasis"/>
    <w:basedOn w:val="Fuentedeprrafopredeter"/>
    <w:uiPriority w:val="21"/>
    <w:qFormat/>
    <w:rsid w:val="00231C94"/>
    <w:rPr>
      <w:b/>
      <w:bCs/>
      <w:i/>
      <w:iCs/>
      <w:color w:val="4F81BD" w:themeColor="accent1"/>
    </w:rPr>
  </w:style>
  <w:style w:type="character" w:styleId="Referenciasutil">
    <w:name w:val="Subtle Reference"/>
    <w:basedOn w:val="Fuentedeprrafopredeter"/>
    <w:uiPriority w:val="31"/>
    <w:qFormat/>
    <w:rsid w:val="00231C94"/>
    <w:rPr>
      <w:smallCaps/>
      <w:color w:val="C0504D" w:themeColor="accent2"/>
      <w:u w:val="single"/>
    </w:rPr>
  </w:style>
  <w:style w:type="character" w:styleId="Referenciaintensa">
    <w:name w:val="Intense Reference"/>
    <w:basedOn w:val="Fuentedeprrafopredeter"/>
    <w:uiPriority w:val="32"/>
    <w:qFormat/>
    <w:rsid w:val="00231C94"/>
    <w:rPr>
      <w:b/>
      <w:bCs/>
      <w:smallCaps/>
      <w:color w:val="C0504D" w:themeColor="accent2"/>
      <w:spacing w:val="5"/>
      <w:u w:val="single"/>
    </w:rPr>
  </w:style>
  <w:style w:type="character" w:styleId="Ttulodellibro">
    <w:name w:val="Book Title"/>
    <w:basedOn w:val="Fuentedeprrafopredeter"/>
    <w:uiPriority w:val="33"/>
    <w:qFormat/>
    <w:rsid w:val="00231C94"/>
    <w:rPr>
      <w:b/>
      <w:bCs/>
      <w:smallCaps/>
      <w:spacing w:val="5"/>
    </w:rPr>
  </w:style>
  <w:style w:type="paragraph" w:styleId="TtulodeTDC">
    <w:name w:val="TOC Heading"/>
    <w:basedOn w:val="Ttulo1"/>
    <w:next w:val="Normal"/>
    <w:uiPriority w:val="39"/>
    <w:semiHidden/>
    <w:unhideWhenUsed/>
    <w:qFormat/>
    <w:rsid w:val="00231C94"/>
    <w:pPr>
      <w:outlineLvl w:val="9"/>
    </w:pPr>
  </w:style>
  <w:style w:type="paragraph" w:styleId="Textodeglobo">
    <w:name w:val="Balloon Text"/>
    <w:basedOn w:val="Normal"/>
    <w:link w:val="TextodegloboCar"/>
    <w:uiPriority w:val="99"/>
    <w:semiHidden/>
    <w:unhideWhenUsed/>
    <w:rsid w:val="005D57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75C"/>
    <w:rPr>
      <w:rFonts w:ascii="Tahoma" w:hAnsi="Tahoma" w:cs="Tahoma"/>
      <w:sz w:val="16"/>
      <w:szCs w:val="16"/>
    </w:rPr>
  </w:style>
  <w:style w:type="character" w:styleId="Textodelmarcadordeposicin">
    <w:name w:val="Placeholder Text"/>
    <w:basedOn w:val="Fuentedeprrafopredeter"/>
    <w:uiPriority w:val="99"/>
    <w:semiHidden/>
    <w:rsid w:val="005D575C"/>
    <w:rPr>
      <w:color w:val="808080"/>
    </w:rPr>
  </w:style>
  <w:style w:type="paragraph" w:styleId="Textosinformato">
    <w:name w:val="Plain Text"/>
    <w:basedOn w:val="Normal"/>
    <w:link w:val="TextosinformatoCar"/>
    <w:rsid w:val="0084114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41140"/>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841140"/>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0117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179E"/>
  </w:style>
  <w:style w:type="paragraph" w:styleId="Piedepgina">
    <w:name w:val="footer"/>
    <w:basedOn w:val="Normal"/>
    <w:link w:val="PiedepginaCar"/>
    <w:uiPriority w:val="99"/>
    <w:unhideWhenUsed/>
    <w:rsid w:val="000117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179E"/>
  </w:style>
  <w:style w:type="character" w:customStyle="1" w:styleId="Cuadrculaclara-nfasis3Car">
    <w:name w:val="Cuadrícula clara - Énfasis 3 Car"/>
    <w:link w:val="Cuadrculaclara-nfasis31"/>
    <w:uiPriority w:val="34"/>
    <w:locked/>
    <w:rsid w:val="00A4351B"/>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A4351B"/>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912">
      <w:bodyDiv w:val="1"/>
      <w:marLeft w:val="0"/>
      <w:marRight w:val="0"/>
      <w:marTop w:val="0"/>
      <w:marBottom w:val="0"/>
      <w:divBdr>
        <w:top w:val="none" w:sz="0" w:space="0" w:color="auto"/>
        <w:left w:val="none" w:sz="0" w:space="0" w:color="auto"/>
        <w:bottom w:val="none" w:sz="0" w:space="0" w:color="auto"/>
        <w:right w:val="none" w:sz="0" w:space="0" w:color="auto"/>
      </w:divBdr>
    </w:div>
    <w:div w:id="183136734">
      <w:bodyDiv w:val="1"/>
      <w:marLeft w:val="0"/>
      <w:marRight w:val="0"/>
      <w:marTop w:val="0"/>
      <w:marBottom w:val="0"/>
      <w:divBdr>
        <w:top w:val="none" w:sz="0" w:space="0" w:color="auto"/>
        <w:left w:val="none" w:sz="0" w:space="0" w:color="auto"/>
        <w:bottom w:val="none" w:sz="0" w:space="0" w:color="auto"/>
        <w:right w:val="none" w:sz="0" w:space="0" w:color="auto"/>
      </w:divBdr>
    </w:div>
    <w:div w:id="429738899">
      <w:bodyDiv w:val="1"/>
      <w:marLeft w:val="0"/>
      <w:marRight w:val="0"/>
      <w:marTop w:val="0"/>
      <w:marBottom w:val="0"/>
      <w:divBdr>
        <w:top w:val="none" w:sz="0" w:space="0" w:color="auto"/>
        <w:left w:val="none" w:sz="0" w:space="0" w:color="auto"/>
        <w:bottom w:val="none" w:sz="0" w:space="0" w:color="auto"/>
        <w:right w:val="none" w:sz="0" w:space="0" w:color="auto"/>
      </w:divBdr>
      <w:divsChild>
        <w:div w:id="1600016600">
          <w:marLeft w:val="1166"/>
          <w:marRight w:val="0"/>
          <w:marTop w:val="0"/>
          <w:marBottom w:val="0"/>
          <w:divBdr>
            <w:top w:val="none" w:sz="0" w:space="0" w:color="auto"/>
            <w:left w:val="none" w:sz="0" w:space="0" w:color="auto"/>
            <w:bottom w:val="none" w:sz="0" w:space="0" w:color="auto"/>
            <w:right w:val="none" w:sz="0" w:space="0" w:color="auto"/>
          </w:divBdr>
        </w:div>
        <w:div w:id="2142724698">
          <w:marLeft w:val="1166"/>
          <w:marRight w:val="0"/>
          <w:marTop w:val="0"/>
          <w:marBottom w:val="0"/>
          <w:divBdr>
            <w:top w:val="none" w:sz="0" w:space="0" w:color="auto"/>
            <w:left w:val="none" w:sz="0" w:space="0" w:color="auto"/>
            <w:bottom w:val="none" w:sz="0" w:space="0" w:color="auto"/>
            <w:right w:val="none" w:sz="0" w:space="0" w:color="auto"/>
          </w:divBdr>
        </w:div>
        <w:div w:id="1220478984">
          <w:marLeft w:val="1166"/>
          <w:marRight w:val="0"/>
          <w:marTop w:val="0"/>
          <w:marBottom w:val="0"/>
          <w:divBdr>
            <w:top w:val="none" w:sz="0" w:space="0" w:color="auto"/>
            <w:left w:val="none" w:sz="0" w:space="0" w:color="auto"/>
            <w:bottom w:val="none" w:sz="0" w:space="0" w:color="auto"/>
            <w:right w:val="none" w:sz="0" w:space="0" w:color="auto"/>
          </w:divBdr>
        </w:div>
      </w:divsChild>
    </w:div>
    <w:div w:id="798105236">
      <w:bodyDiv w:val="1"/>
      <w:marLeft w:val="0"/>
      <w:marRight w:val="0"/>
      <w:marTop w:val="0"/>
      <w:marBottom w:val="0"/>
      <w:divBdr>
        <w:top w:val="none" w:sz="0" w:space="0" w:color="auto"/>
        <w:left w:val="none" w:sz="0" w:space="0" w:color="auto"/>
        <w:bottom w:val="none" w:sz="0" w:space="0" w:color="auto"/>
        <w:right w:val="none" w:sz="0" w:space="0" w:color="auto"/>
      </w:divBdr>
    </w:div>
    <w:div w:id="858006517">
      <w:bodyDiv w:val="1"/>
      <w:marLeft w:val="0"/>
      <w:marRight w:val="0"/>
      <w:marTop w:val="0"/>
      <w:marBottom w:val="0"/>
      <w:divBdr>
        <w:top w:val="none" w:sz="0" w:space="0" w:color="auto"/>
        <w:left w:val="none" w:sz="0" w:space="0" w:color="auto"/>
        <w:bottom w:val="none" w:sz="0" w:space="0" w:color="auto"/>
        <w:right w:val="none" w:sz="0" w:space="0" w:color="auto"/>
      </w:divBdr>
    </w:div>
    <w:div w:id="1127315698">
      <w:bodyDiv w:val="1"/>
      <w:marLeft w:val="0"/>
      <w:marRight w:val="0"/>
      <w:marTop w:val="0"/>
      <w:marBottom w:val="0"/>
      <w:divBdr>
        <w:top w:val="none" w:sz="0" w:space="0" w:color="auto"/>
        <w:left w:val="none" w:sz="0" w:space="0" w:color="auto"/>
        <w:bottom w:val="none" w:sz="0" w:space="0" w:color="auto"/>
        <w:right w:val="none" w:sz="0" w:space="0" w:color="auto"/>
      </w:divBdr>
    </w:div>
    <w:div w:id="182678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89A4C-AD78-443D-8380-593C9E31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5332</Words>
  <Characters>29332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namunoz</dc:creator>
  <cp:lastModifiedBy>Diego Sebastian Cevallos Salgado</cp:lastModifiedBy>
  <cp:revision>5</cp:revision>
  <cp:lastPrinted>2016-07-19T21:20:00Z</cp:lastPrinted>
  <dcterms:created xsi:type="dcterms:W3CDTF">2016-07-18T18:48:00Z</dcterms:created>
  <dcterms:modified xsi:type="dcterms:W3CDTF">2016-07-19T21:34:00Z</dcterms:modified>
</cp:coreProperties>
</file>