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EC" w:rsidRPr="006336FA" w:rsidRDefault="003078EC" w:rsidP="00077615">
      <w:pPr>
        <w:pStyle w:val="Ttulo"/>
        <w:spacing w:after="240" w:line="276" w:lineRule="auto"/>
        <w:rPr>
          <w:rFonts w:ascii="Palatino Linotype" w:hAnsi="Palatino Linotype" w:cs="Arial"/>
          <w:sz w:val="22"/>
          <w:szCs w:val="22"/>
        </w:rPr>
      </w:pPr>
      <w:r w:rsidRPr="006336FA">
        <w:rPr>
          <w:rFonts w:ascii="Palatino Linotype" w:hAnsi="Palatino Linotype" w:cs="Arial"/>
          <w:sz w:val="22"/>
          <w:szCs w:val="22"/>
        </w:rPr>
        <w:t>EXPOSICIÓN DE MOTIVOS</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La Constitución de la República del Ecuador, en su artículo 30, garantiza a las personas el “</w:t>
      </w:r>
      <w:r w:rsidRPr="006336FA">
        <w:rPr>
          <w:rFonts w:ascii="Palatino Linotype" w:hAnsi="Palatino Linotype" w:cs="Arial"/>
          <w:b w:val="0"/>
          <w:i/>
          <w:sz w:val="22"/>
          <w:szCs w:val="22"/>
        </w:rPr>
        <w:t>derecho a un hábitat seguro y saludable, y a una vivienda adecuada y digna, con independencia de su situación social y económica</w:t>
      </w:r>
      <w:r w:rsidRPr="006336FA">
        <w:rPr>
          <w:rFonts w:ascii="Palatino Linotype" w:hAnsi="Palatino Linotype" w:cs="Arial"/>
          <w:b w:val="0"/>
          <w:sz w:val="22"/>
          <w:szCs w:val="22"/>
        </w:rPr>
        <w:t xml:space="preserve">”; y, a su vez, establece que los gobiernos autónomos descentralizados municipales tienen la competencia exclusiva para planificar el desarrollo cantonal, así como para ejercer el control sobre el uso y ocupación del suelo en el cantón (artículo 264, numerales 1 y 2). </w:t>
      </w:r>
    </w:p>
    <w:p w:rsidR="003078EC" w:rsidRPr="006336FA" w:rsidRDefault="003078EC" w:rsidP="00077615">
      <w:pPr>
        <w:pStyle w:val="Ttulo"/>
        <w:spacing w:after="240" w:line="276" w:lineRule="auto"/>
        <w:ind w:firstLine="708"/>
        <w:jc w:val="both"/>
        <w:rPr>
          <w:rFonts w:ascii="Palatino Linotype" w:hAnsi="Palatino Linotype" w:cs="Arial"/>
          <w:b w:val="0"/>
          <w:sz w:val="22"/>
          <w:szCs w:val="22"/>
        </w:rPr>
      </w:pPr>
      <w:r w:rsidRPr="006336FA">
        <w:rPr>
          <w:rFonts w:ascii="Palatino Linotype" w:hAnsi="Palatino Linotype" w:cs="Arial"/>
          <w:b w:val="0"/>
          <w:sz w:val="22"/>
          <w:szCs w:val="22"/>
        </w:rPr>
        <w:t xml:space="preserve">La Administración Municipal, a través de la Unidad Especial Regula Tu Barrio, promueve procesos tendientes a regularizar aquellos asentamientos humanos de hecho y consolidados que se encuentran en el Distrito Metropolitano de Quito, siguiendo para el efecto un proceso socio organizativo, legal y técnico, que permita determinar los legítimos posesionarios de los lotes, en cada asentamiento; y, por tanto, los beneficiarios del proceso de regularización. </w:t>
      </w:r>
    </w:p>
    <w:p w:rsid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El Asentamiento Humano de Hecho y Consolidado denominado Comité </w:t>
      </w:r>
      <w:proofErr w:type="spellStart"/>
      <w:r>
        <w:rPr>
          <w:rFonts w:ascii="Palatino Linotype" w:hAnsi="Palatino Linotype" w:cs="Arial"/>
          <w:b w:val="0"/>
          <w:sz w:val="22"/>
          <w:szCs w:val="22"/>
        </w:rPr>
        <w:t>Promejoras</w:t>
      </w:r>
      <w:proofErr w:type="spellEnd"/>
      <w:r>
        <w:rPr>
          <w:rFonts w:ascii="Palatino Linotype" w:hAnsi="Palatino Linotype" w:cs="Arial"/>
          <w:b w:val="0"/>
          <w:sz w:val="22"/>
          <w:szCs w:val="22"/>
        </w:rPr>
        <w:t xml:space="preserve"> del Barrio “San José Obrero de </w:t>
      </w:r>
      <w:proofErr w:type="spellStart"/>
      <w:r>
        <w:rPr>
          <w:rFonts w:ascii="Palatino Linotype" w:hAnsi="Palatino Linotype" w:cs="Arial"/>
          <w:b w:val="0"/>
          <w:sz w:val="22"/>
          <w:szCs w:val="22"/>
        </w:rPr>
        <w:t>Cotocollao</w:t>
      </w:r>
      <w:proofErr w:type="spellEnd"/>
      <w:r>
        <w:rPr>
          <w:rFonts w:ascii="Palatino Linotype" w:hAnsi="Palatino Linotype" w:cs="Arial"/>
          <w:b w:val="0"/>
          <w:sz w:val="22"/>
          <w:szCs w:val="22"/>
        </w:rPr>
        <w:t>”, Segunda Etapa</w:t>
      </w:r>
      <w:r w:rsidRPr="000E7241">
        <w:rPr>
          <w:rFonts w:ascii="Palatino Linotype" w:hAnsi="Palatino Linotype" w:cs="Arial"/>
          <w:b w:val="0"/>
          <w:sz w:val="22"/>
          <w:szCs w:val="22"/>
        </w:rPr>
        <w:t xml:space="preserve">, </w:t>
      </w:r>
      <w:r w:rsidRPr="00BA196D">
        <w:rPr>
          <w:rFonts w:ascii="Palatino Linotype" w:hAnsi="Palatino Linotype" w:cs="Arial"/>
          <w:b w:val="0"/>
          <w:sz w:val="22"/>
          <w:szCs w:val="22"/>
        </w:rPr>
        <w:t xml:space="preserve">cuenta con </w:t>
      </w:r>
      <w:r>
        <w:rPr>
          <w:rFonts w:ascii="Palatino Linotype" w:hAnsi="Palatino Linotype" w:cs="Arial"/>
          <w:b w:val="0"/>
          <w:sz w:val="22"/>
          <w:szCs w:val="22"/>
        </w:rPr>
        <w:t>15</w:t>
      </w:r>
      <w:r w:rsidRPr="00BA196D">
        <w:rPr>
          <w:rFonts w:ascii="Palatino Linotype" w:hAnsi="Palatino Linotype" w:cs="Arial"/>
          <w:b w:val="0"/>
          <w:sz w:val="22"/>
          <w:szCs w:val="22"/>
        </w:rPr>
        <w:t xml:space="preserve"> años de asentamiento</w:t>
      </w:r>
      <w:r>
        <w:rPr>
          <w:rFonts w:ascii="Palatino Linotype" w:hAnsi="Palatino Linotype" w:cs="Arial"/>
          <w:b w:val="0"/>
          <w:sz w:val="22"/>
          <w:szCs w:val="22"/>
        </w:rPr>
        <w:t xml:space="preserve"> y 260 habitantes</w:t>
      </w:r>
      <w:r w:rsidRPr="00BA196D">
        <w:rPr>
          <w:rFonts w:ascii="Palatino Linotype" w:hAnsi="Palatino Linotype" w:cs="Arial"/>
          <w:b w:val="0"/>
          <w:sz w:val="22"/>
          <w:szCs w:val="22"/>
        </w:rPr>
        <w:t>.</w:t>
      </w:r>
      <w:r>
        <w:rPr>
          <w:rFonts w:ascii="Palatino Linotype" w:hAnsi="Palatino Linotype" w:cs="Arial"/>
          <w:b w:val="0"/>
          <w:sz w:val="22"/>
          <w:szCs w:val="22"/>
        </w:rPr>
        <w:t xml:space="preserve"> Dicho barrio fue reconocido mediante </w:t>
      </w:r>
      <w:r w:rsidRPr="000E7241">
        <w:rPr>
          <w:rFonts w:ascii="Palatino Linotype" w:hAnsi="Palatino Linotype" w:cs="Arial"/>
          <w:b w:val="0"/>
          <w:sz w:val="22"/>
          <w:szCs w:val="22"/>
        </w:rPr>
        <w:t xml:space="preserve">Ordenanza No. </w:t>
      </w:r>
      <w:r>
        <w:rPr>
          <w:rFonts w:ascii="Palatino Linotype" w:hAnsi="Palatino Linotype" w:cs="Arial"/>
          <w:b w:val="0"/>
          <w:sz w:val="22"/>
          <w:szCs w:val="22"/>
        </w:rPr>
        <w:t>313</w:t>
      </w:r>
      <w:r w:rsidRPr="000E7241">
        <w:rPr>
          <w:rFonts w:ascii="Palatino Linotype" w:hAnsi="Palatino Linotype" w:cs="Arial"/>
          <w:b w:val="0"/>
          <w:sz w:val="22"/>
          <w:szCs w:val="22"/>
        </w:rPr>
        <w:t xml:space="preserve">, </w:t>
      </w:r>
      <w:r>
        <w:rPr>
          <w:rFonts w:ascii="Palatino Linotype" w:hAnsi="Palatino Linotype" w:cs="Arial"/>
          <w:b w:val="0"/>
          <w:sz w:val="22"/>
          <w:szCs w:val="22"/>
        </w:rPr>
        <w:t>de 7 de noviembre de 2012; sin embargo, debido a las especificaciones aprobadas en dicho acto no ha sido posible otorgar las escrituras individuales a sus posesionarios, por lo cual la Unidad Especial Regula Tu Barrio realizó el proceso tendiente a reformar dicha Ordenanza, a fin de dotar a la población beneficiaria de servicios básicos; y, a su vez, permitir que los legítimos posesionarios cuenten con escrituras que garanticen el ejercicio del derecho a la vivienda, adecuada y digna, conforme lo prevé la Constitución del Ecuador.</w:t>
      </w:r>
    </w:p>
    <w:p w:rsidR="003078EC" w:rsidRPr="00580643" w:rsidRDefault="00580643" w:rsidP="00580643">
      <w:pPr>
        <w:pStyle w:val="Ttulo"/>
        <w:spacing w:after="240" w:line="276" w:lineRule="auto"/>
        <w:ind w:firstLine="708"/>
        <w:jc w:val="both"/>
        <w:rPr>
          <w:rFonts w:ascii="Palatino Linotype" w:hAnsi="Palatino Linotype" w:cs="Arial"/>
          <w:b w:val="0"/>
          <w:sz w:val="22"/>
          <w:szCs w:val="22"/>
        </w:rPr>
      </w:pPr>
      <w:r>
        <w:rPr>
          <w:rFonts w:ascii="Palatino Linotype" w:hAnsi="Palatino Linotype" w:cs="Arial"/>
          <w:b w:val="0"/>
          <w:sz w:val="22"/>
          <w:szCs w:val="22"/>
        </w:rPr>
        <w:t xml:space="preserve">En este sentido, la presente Ordenanza Reformatoria contiene la normativa tendiente a la regularización del Asentamiento Humano de Hecho y Consolidado denominado Comité </w:t>
      </w:r>
      <w:proofErr w:type="spellStart"/>
      <w:r>
        <w:rPr>
          <w:rFonts w:ascii="Palatino Linotype" w:hAnsi="Palatino Linotype" w:cs="Arial"/>
          <w:b w:val="0"/>
          <w:sz w:val="22"/>
          <w:szCs w:val="22"/>
        </w:rPr>
        <w:t>Promejoras</w:t>
      </w:r>
      <w:proofErr w:type="spellEnd"/>
      <w:r>
        <w:rPr>
          <w:rFonts w:ascii="Palatino Linotype" w:hAnsi="Palatino Linotype" w:cs="Arial"/>
          <w:b w:val="0"/>
          <w:sz w:val="22"/>
          <w:szCs w:val="22"/>
        </w:rPr>
        <w:t xml:space="preserve"> del Barrio “San José Obrero de </w:t>
      </w:r>
      <w:proofErr w:type="spellStart"/>
      <w:r>
        <w:rPr>
          <w:rFonts w:ascii="Palatino Linotype" w:hAnsi="Palatino Linotype" w:cs="Arial"/>
          <w:b w:val="0"/>
          <w:sz w:val="22"/>
          <w:szCs w:val="22"/>
        </w:rPr>
        <w:t>Cotocollao</w:t>
      </w:r>
      <w:proofErr w:type="spellEnd"/>
      <w:r>
        <w:rPr>
          <w:rFonts w:ascii="Palatino Linotype" w:hAnsi="Palatino Linotype" w:cs="Arial"/>
          <w:b w:val="0"/>
          <w:sz w:val="22"/>
          <w:szCs w:val="22"/>
        </w:rPr>
        <w:t>”, Segunda Etapa, a fin de garantizar a los beneficiarios el ejercicio de su derecho a la vivienda y el acceso a servicios básicos de calidad</w:t>
      </w:r>
      <w:r w:rsidR="003D52BD">
        <w:rPr>
          <w:rFonts w:ascii="Palatino Linotype" w:hAnsi="Palatino Linotype" w:cs="Arial"/>
          <w:b w:val="0"/>
          <w:sz w:val="22"/>
          <w:szCs w:val="22"/>
        </w:rPr>
        <w:t>.</w:t>
      </w:r>
    </w:p>
    <w:p w:rsidR="003078EC" w:rsidRPr="006336FA" w:rsidRDefault="003078EC" w:rsidP="00077615">
      <w:pPr>
        <w:pStyle w:val="Ttulo"/>
        <w:spacing w:after="240" w:line="276" w:lineRule="auto"/>
        <w:rPr>
          <w:rFonts w:ascii="Palatino Linotype" w:hAnsi="Palatino Linotype" w:cs="Arial"/>
          <w:sz w:val="22"/>
          <w:szCs w:val="22"/>
        </w:rPr>
      </w:pPr>
    </w:p>
    <w:p w:rsidR="003078EC" w:rsidRPr="006336FA" w:rsidRDefault="003078EC" w:rsidP="00077615">
      <w:pPr>
        <w:pStyle w:val="Ttulo"/>
        <w:spacing w:after="240" w:line="276" w:lineRule="auto"/>
        <w:rPr>
          <w:rFonts w:ascii="Palatino Linotype" w:hAnsi="Palatino Linotype" w:cs="Arial"/>
          <w:sz w:val="22"/>
          <w:szCs w:val="22"/>
        </w:rPr>
        <w:sectPr w:rsidR="003078EC" w:rsidRPr="006336FA" w:rsidSect="00D82CFE">
          <w:headerReference w:type="even" r:id="rId9"/>
          <w:headerReference w:type="default" r:id="rId10"/>
          <w:footerReference w:type="default" r:id="rId11"/>
          <w:headerReference w:type="first" r:id="rId12"/>
          <w:pgSz w:w="11906" w:h="16838"/>
          <w:pgMar w:top="3402" w:right="1416" w:bottom="567" w:left="1701" w:header="709" w:footer="70" w:gutter="0"/>
          <w:cols w:space="708"/>
          <w:docGrid w:linePitch="360"/>
        </w:sectPr>
      </w:pPr>
    </w:p>
    <w:p w:rsidR="00C52450" w:rsidRPr="006336FA" w:rsidRDefault="00C52450" w:rsidP="00077615">
      <w:pPr>
        <w:pStyle w:val="Ttulo"/>
        <w:spacing w:before="240" w:after="240" w:line="276" w:lineRule="auto"/>
        <w:rPr>
          <w:rFonts w:ascii="Palatino Linotype" w:hAnsi="Palatino Linotype" w:cs="Arial"/>
          <w:sz w:val="22"/>
          <w:szCs w:val="22"/>
        </w:rPr>
      </w:pPr>
      <w:r w:rsidRPr="006336FA">
        <w:rPr>
          <w:rFonts w:ascii="Palatino Linotype" w:hAnsi="Palatino Linotype" w:cs="Arial"/>
          <w:sz w:val="22"/>
          <w:szCs w:val="22"/>
        </w:rPr>
        <w:lastRenderedPageBreak/>
        <w:t>EL CONCEJO METROPOLITANO DE QUITO</w:t>
      </w:r>
    </w:p>
    <w:p w:rsidR="00870361" w:rsidRPr="006336FA" w:rsidRDefault="00870361" w:rsidP="00077615">
      <w:pPr>
        <w:spacing w:before="240" w:after="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Visto </w:t>
      </w:r>
      <w:r w:rsidR="00057D41" w:rsidRPr="006336FA">
        <w:rPr>
          <w:rFonts w:ascii="Palatino Linotype" w:hAnsi="Palatino Linotype" w:cs="Arial"/>
          <w:sz w:val="22"/>
          <w:szCs w:val="22"/>
        </w:rPr>
        <w:t>e</w:t>
      </w:r>
      <w:r w:rsidRPr="006336FA">
        <w:rPr>
          <w:rFonts w:ascii="Palatino Linotype" w:hAnsi="Palatino Linotype" w:cs="Arial"/>
          <w:sz w:val="22"/>
          <w:szCs w:val="22"/>
        </w:rPr>
        <w:t>l Informe No. IC-O-201</w:t>
      </w:r>
      <w:r w:rsidR="00541431">
        <w:rPr>
          <w:rFonts w:ascii="Palatino Linotype" w:hAnsi="Palatino Linotype" w:cs="Arial"/>
          <w:sz w:val="22"/>
          <w:szCs w:val="22"/>
        </w:rPr>
        <w:t>6</w:t>
      </w:r>
      <w:r w:rsidRPr="006336FA">
        <w:rPr>
          <w:rFonts w:ascii="Palatino Linotype" w:hAnsi="Palatino Linotype" w:cs="Arial"/>
          <w:sz w:val="22"/>
          <w:szCs w:val="22"/>
        </w:rPr>
        <w:t>-</w:t>
      </w:r>
      <w:r w:rsidR="00580643">
        <w:rPr>
          <w:rFonts w:ascii="Palatino Linotype" w:hAnsi="Palatino Linotype" w:cs="Arial"/>
          <w:sz w:val="22"/>
          <w:szCs w:val="22"/>
        </w:rPr>
        <w:t>015</w:t>
      </w:r>
      <w:r w:rsidR="007F3A59" w:rsidRPr="006336FA">
        <w:rPr>
          <w:rFonts w:ascii="Palatino Linotype" w:hAnsi="Palatino Linotype" w:cs="Arial"/>
          <w:sz w:val="22"/>
          <w:szCs w:val="22"/>
        </w:rPr>
        <w:t xml:space="preserve">, de </w:t>
      </w:r>
      <w:r w:rsidR="00580643">
        <w:rPr>
          <w:rFonts w:ascii="Palatino Linotype" w:hAnsi="Palatino Linotype" w:cs="Arial"/>
          <w:sz w:val="22"/>
          <w:szCs w:val="22"/>
        </w:rPr>
        <w:t>13</w:t>
      </w:r>
      <w:r w:rsidR="00057D41" w:rsidRPr="006336FA">
        <w:rPr>
          <w:rFonts w:ascii="Palatino Linotype" w:hAnsi="Palatino Linotype" w:cs="Arial"/>
          <w:sz w:val="22"/>
          <w:szCs w:val="22"/>
        </w:rPr>
        <w:t xml:space="preserve"> </w:t>
      </w:r>
      <w:r w:rsidR="007F3A59" w:rsidRPr="006336FA">
        <w:rPr>
          <w:rFonts w:ascii="Palatino Linotype" w:hAnsi="Palatino Linotype" w:cs="Arial"/>
          <w:sz w:val="22"/>
          <w:szCs w:val="22"/>
        </w:rPr>
        <w:t xml:space="preserve">de </w:t>
      </w:r>
      <w:r w:rsidR="00C94C65">
        <w:rPr>
          <w:rFonts w:ascii="Palatino Linotype" w:hAnsi="Palatino Linotype" w:cs="Arial"/>
          <w:sz w:val="22"/>
          <w:szCs w:val="22"/>
        </w:rPr>
        <w:t>enero de 2016</w:t>
      </w:r>
      <w:r w:rsidR="007F3A59" w:rsidRPr="006336FA">
        <w:rPr>
          <w:rFonts w:ascii="Palatino Linotype" w:hAnsi="Palatino Linotype" w:cs="Arial"/>
          <w:sz w:val="22"/>
          <w:szCs w:val="22"/>
        </w:rPr>
        <w:t xml:space="preserve">, expedido por la Comisión de </w:t>
      </w:r>
      <w:r w:rsidRPr="006336FA">
        <w:rPr>
          <w:rFonts w:ascii="Palatino Linotype" w:hAnsi="Palatino Linotype" w:cs="Arial"/>
          <w:sz w:val="22"/>
          <w:szCs w:val="22"/>
        </w:rPr>
        <w:t>Ordenamiento Territorial.</w:t>
      </w:r>
    </w:p>
    <w:p w:rsidR="001123C1" w:rsidRPr="006336FA" w:rsidRDefault="001123C1" w:rsidP="00077615">
      <w:pPr>
        <w:spacing w:before="240" w:after="240" w:line="276" w:lineRule="auto"/>
        <w:jc w:val="center"/>
        <w:rPr>
          <w:rFonts w:ascii="Palatino Linotype" w:hAnsi="Palatino Linotype" w:cs="Arial"/>
          <w:b/>
          <w:sz w:val="22"/>
          <w:szCs w:val="22"/>
        </w:rPr>
      </w:pPr>
      <w:r w:rsidRPr="006336FA">
        <w:rPr>
          <w:rFonts w:ascii="Palatino Linotype" w:hAnsi="Palatino Linotype" w:cs="Arial"/>
          <w:b/>
          <w:sz w:val="22"/>
          <w:szCs w:val="22"/>
        </w:rPr>
        <w:t>CONSIDERANDO:</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rPr>
        <w:t xml:space="preserve">Que, </w:t>
      </w:r>
      <w:r w:rsidRPr="006336FA">
        <w:rPr>
          <w:rFonts w:ascii="Palatino Linotype" w:hAnsi="Palatino Linotype" w:cs="Arial"/>
          <w:b/>
        </w:rPr>
        <w:tab/>
      </w:r>
      <w:r w:rsidRPr="006336FA">
        <w:rPr>
          <w:rFonts w:ascii="Palatino Linotype" w:hAnsi="Palatino Linotype" w:cs="Arial"/>
        </w:rPr>
        <w:t>el artículo 30 de la Constitución de la República del Ecuador (en adelante “Constitución”) establece que: “</w:t>
      </w:r>
      <w:r w:rsidRPr="006336FA">
        <w:rPr>
          <w:rFonts w:ascii="Palatino Linotype" w:hAnsi="Palatino Linotype" w:cs="Arial"/>
          <w:i/>
        </w:rPr>
        <w:t>Las personas tienen derecho a un hábitat seguro y saludable, y a una vivienda adecuada y digna, con independencia de su situación social y económica.</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artículo 31 de la Constitución expresa que: “</w:t>
      </w:r>
      <w:r w:rsidRPr="006336FA">
        <w:rPr>
          <w:rFonts w:ascii="Palatino Linotype" w:hAnsi="Palatino Linotype" w:cs="Arial"/>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6336FA">
        <w:rPr>
          <w:rFonts w:ascii="Palatino Linotype" w:hAnsi="Palatino Linotype" w:cs="Arial"/>
          <w:b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el artículo 240 de la Constitución establece que: “</w:t>
      </w:r>
      <w:r w:rsidRPr="006336FA">
        <w:rPr>
          <w:rFonts w:ascii="Palatino Linotype" w:hAnsi="Palatino Linotype" w:cs="Arial"/>
          <w:i/>
        </w:rPr>
        <w:t>Los gobiernos autónomos descentralizados de las regiones, distritos metropolitanos, provincias y cantones tendrán facultades legislativas en el ámbito de sus competencias y jurisdicciones territoriales (…)</w:t>
      </w:r>
      <w:r w:rsidRPr="006336FA">
        <w:rPr>
          <w:rFonts w:ascii="Palatino Linotype" w:hAnsi="Palatino Linotype" w:cs="Arial"/>
        </w:rPr>
        <w:t>”;</w:t>
      </w:r>
    </w:p>
    <w:p w:rsidR="008D1E3B" w:rsidRPr="006336FA" w:rsidRDefault="008D1E3B" w:rsidP="008D1E3B">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Pr>
          <w:rFonts w:ascii="Palatino Linotype" w:hAnsi="Palatino Linotype" w:cs="Arial"/>
        </w:rPr>
        <w:tab/>
        <w:t>los</w:t>
      </w:r>
      <w:r w:rsidRPr="006336FA">
        <w:rPr>
          <w:rFonts w:ascii="Palatino Linotype" w:hAnsi="Palatino Linotype" w:cs="Arial"/>
        </w:rPr>
        <w:t xml:space="preserve"> numeral</w:t>
      </w:r>
      <w:r>
        <w:rPr>
          <w:rFonts w:ascii="Palatino Linotype" w:hAnsi="Palatino Linotype" w:cs="Arial"/>
        </w:rPr>
        <w:t>es</w:t>
      </w:r>
      <w:r w:rsidRPr="006336FA">
        <w:rPr>
          <w:rFonts w:ascii="Palatino Linotype" w:hAnsi="Palatino Linotype" w:cs="Arial"/>
        </w:rPr>
        <w:t xml:space="preserve"> 1 </w:t>
      </w:r>
      <w:r>
        <w:rPr>
          <w:rFonts w:ascii="Palatino Linotype" w:hAnsi="Palatino Linotype" w:cs="Arial"/>
        </w:rPr>
        <w:t xml:space="preserve">y 2 </w:t>
      </w:r>
      <w:r w:rsidRPr="006336FA">
        <w:rPr>
          <w:rFonts w:ascii="Palatino Linotype" w:hAnsi="Palatino Linotype" w:cs="Arial"/>
        </w:rPr>
        <w:t>del artículo 264 de la Constitución manifiesta</w:t>
      </w:r>
      <w:r>
        <w:rPr>
          <w:rFonts w:ascii="Palatino Linotype" w:hAnsi="Palatino Linotype" w:cs="Arial"/>
        </w:rPr>
        <w:t>n</w:t>
      </w:r>
      <w:r w:rsidRPr="006336FA">
        <w:rPr>
          <w:rFonts w:ascii="Palatino Linotype" w:hAnsi="Palatino Linotype" w:cs="Arial"/>
        </w:rPr>
        <w:t xml:space="preserve"> que: “</w:t>
      </w:r>
      <w:r w:rsidRPr="006336FA">
        <w:rPr>
          <w:rFonts w:ascii="Palatino Linotype" w:hAnsi="Palatino Linotype" w:cs="Arial"/>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Pr>
          <w:rFonts w:ascii="Palatino Linotype" w:hAnsi="Palatino Linotype" w:cs="Arial"/>
          <w:i/>
        </w:rPr>
        <w:t xml:space="preserve"> (…) 2. Ejercer el control sobre el uso y ocupación del suelo en el cantón. (…) </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 literal c) del artículo 54, en concordancia con el literal c) del artículo 84 del Código Orgánico de Organización Territorial, Autonomía y Descentralización (en adelante “COOTAD”),</w:t>
      </w:r>
      <w:r w:rsidRPr="006336FA">
        <w:rPr>
          <w:rFonts w:ascii="Palatino Linotype" w:hAnsi="Palatino Linotype" w:cs="Arial"/>
          <w:b/>
          <w:bCs/>
        </w:rPr>
        <w:t xml:space="preserve"> </w:t>
      </w:r>
      <w:r w:rsidRPr="006336FA">
        <w:rPr>
          <w:rFonts w:ascii="Palatino Linotype" w:hAnsi="Palatino Linotype" w:cs="Arial"/>
          <w:bCs/>
        </w:rPr>
        <w:t>señala</w:t>
      </w:r>
      <w:r w:rsidRPr="006336FA">
        <w:rPr>
          <w:rFonts w:ascii="Palatino Linotype" w:hAnsi="Palatino Linotype" w:cs="Arial"/>
          <w:b/>
          <w:bCs/>
        </w:rPr>
        <w:t xml:space="preserve"> </w:t>
      </w:r>
      <w:r w:rsidRPr="006336FA">
        <w:rPr>
          <w:rFonts w:ascii="Palatino Linotype" w:hAnsi="Palatino Linotype" w:cs="Arial"/>
          <w:bCs/>
        </w:rPr>
        <w:t>como una función del gobierno autónomo descentralizado municipal</w:t>
      </w:r>
      <w:r w:rsidRPr="006336FA">
        <w:rPr>
          <w:rFonts w:ascii="Palatino Linotype" w:hAnsi="Palatino Linotype" w:cs="Arial"/>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 xml:space="preserve">el artículo 57, en concordancia con el artículo 87 del COOTAD, establece que las funciones del Concejo Municipal, entre otras, son: </w:t>
      </w:r>
      <w:r w:rsidRPr="006336FA">
        <w:rPr>
          <w:rFonts w:ascii="Palatino Linotype" w:hAnsi="Palatino Linotype" w:cs="Arial"/>
          <w:iCs/>
        </w:rPr>
        <w:t>“</w:t>
      </w:r>
      <w:r w:rsidRPr="006336FA">
        <w:rPr>
          <w:rFonts w:ascii="Palatino Linotype" w:hAnsi="Palatino Linotype" w:cs="Arial"/>
          <w:i/>
          <w:iCs/>
        </w:rPr>
        <w:t xml:space="preserve">a) El ejercicio de la facultad normativa en las materias de competencia del gobierno autónomo descentralizado municipal, </w:t>
      </w:r>
      <w:r w:rsidRPr="006336FA">
        <w:rPr>
          <w:rFonts w:ascii="Palatino Linotype" w:hAnsi="Palatino Linotype" w:cs="Arial"/>
          <w:i/>
          <w:iCs/>
        </w:rPr>
        <w:lastRenderedPageBreak/>
        <w:t xml:space="preserve">mediante la expedición de ordenanzas cantonales, acuerdos y resoluciones; (…) </w:t>
      </w:r>
      <w:r w:rsidRPr="006336FA">
        <w:rPr>
          <w:rFonts w:ascii="Palatino Linotype" w:hAnsi="Palatino Linotype" w:cs="Arial"/>
          <w:i/>
        </w:rPr>
        <w:t xml:space="preserve"> </w:t>
      </w:r>
      <w:r w:rsidRPr="006336FA">
        <w:rPr>
          <w:rFonts w:ascii="Palatino Linotype" w:hAnsi="Palatino Linotype" w:cs="Arial"/>
          <w:i/>
          <w:iCs/>
        </w:rPr>
        <w:t>x) Regular y controlar, mediante la normativa cantonal correspondiente, el uso del suelo en el territorio del cantón, de conformidad con las leyes sobre la materia, y establecer el régimen urbanístico de la tierra;</w:t>
      </w:r>
      <w:r w:rsidRPr="006336FA">
        <w:rPr>
          <w:rFonts w:ascii="Palatino Linotype" w:hAnsi="Palatino Linotype" w:cs="Arial"/>
          <w:i/>
        </w:rPr>
        <w:t xml:space="preserve"> y, (…) </w:t>
      </w:r>
      <w:r w:rsidRPr="006336FA">
        <w:rPr>
          <w:rFonts w:ascii="Palatino Linotype" w:hAnsi="Palatino Linotype" w:cs="Arial"/>
          <w:i/>
          <w:iCs/>
        </w:rPr>
        <w:t xml:space="preserve">z) Regular mediante ordenanza la delimitación de los barrios y parroquias urbanas tomando en cuenta la configuración territorial, identidad, historia, necesidades urbanísticas y administrativas y la aplicación del principio de equidad </w:t>
      </w:r>
      <w:proofErr w:type="spellStart"/>
      <w:r w:rsidRPr="006336FA">
        <w:rPr>
          <w:rFonts w:ascii="Palatino Linotype" w:hAnsi="Palatino Linotype" w:cs="Arial"/>
          <w:i/>
          <w:iCs/>
        </w:rPr>
        <w:t>interbarrial</w:t>
      </w:r>
      <w:proofErr w:type="spellEnd"/>
      <w:r w:rsidRPr="006336FA">
        <w:rPr>
          <w:rFonts w:ascii="Palatino Linotype" w:hAnsi="Palatino Linotype" w:cs="Arial"/>
          <w:i/>
          <w:iCs/>
        </w:rPr>
        <w:t>.</w:t>
      </w:r>
      <w:r w:rsidRPr="006336FA">
        <w:rPr>
          <w:rFonts w:ascii="Palatino Linotype" w:hAnsi="Palatino Linotype" w:cs="Arial"/>
          <w:iCs/>
        </w:rPr>
        <w:t xml:space="preserve">”; </w:t>
      </w:r>
    </w:p>
    <w:p w:rsidR="003843CA" w:rsidRPr="006336FA" w:rsidRDefault="003843CA" w:rsidP="00077615">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 xml:space="preserve">Que,  </w:t>
      </w:r>
      <w:r w:rsidRPr="006336FA">
        <w:rPr>
          <w:rFonts w:ascii="Palatino Linotype" w:hAnsi="Palatino Linotype" w:cs="Arial"/>
        </w:rPr>
        <w:t>el artículo 322 del COOTAD establece el procedimiento para la aprobación de las ordenanzas municipales;</w:t>
      </w:r>
    </w:p>
    <w:p w:rsidR="00580643" w:rsidRDefault="00580643" w:rsidP="00580643">
      <w:pPr>
        <w:pStyle w:val="Sinespaciado"/>
        <w:spacing w:after="240" w:line="276" w:lineRule="auto"/>
        <w:ind w:left="709" w:hanging="709"/>
        <w:jc w:val="both"/>
        <w:rPr>
          <w:rFonts w:ascii="Palatino Linotype" w:hAnsi="Palatino Linotype" w:cs="Arial"/>
          <w:b/>
          <w:bCs/>
        </w:rPr>
      </w:pPr>
      <w:r w:rsidRPr="001842A8">
        <w:rPr>
          <w:rFonts w:ascii="Palatino Linotype" w:hAnsi="Palatino Linotype" w:cs="Arial"/>
          <w:b/>
          <w:bCs/>
        </w:rPr>
        <w:t>Que,</w:t>
      </w:r>
      <w:r w:rsidRPr="001842A8">
        <w:rPr>
          <w:rFonts w:ascii="Palatino Linotype" w:hAnsi="Palatino Linotype" w:cs="Arial"/>
          <w:b/>
          <w:bCs/>
        </w:rPr>
        <w:tab/>
      </w:r>
      <w:r w:rsidRPr="001842A8">
        <w:rPr>
          <w:rFonts w:ascii="Palatino Linotype" w:hAnsi="Palatino Linotype" w:cs="Arial"/>
          <w:bCs/>
        </w:rPr>
        <w:t>el artículo 486 del COOTAD establece que: “</w:t>
      </w:r>
      <w:r w:rsidRPr="001842A8">
        <w:rPr>
          <w:rFonts w:ascii="Palatino Linotype" w:hAnsi="Palatino Linotype" w:cs="Arial"/>
          <w:bCs/>
          <w:i/>
          <w:lang w:val="es-ES_tradnl"/>
        </w:rPr>
        <w:t xml:space="preserve">Cuando por resolución del órgano </w:t>
      </w:r>
      <w:r>
        <w:rPr>
          <w:rFonts w:ascii="Palatino Linotype" w:hAnsi="Palatino Linotype" w:cs="Arial"/>
          <w:bCs/>
          <w:i/>
          <w:lang w:val="es-ES_tradnl"/>
        </w:rPr>
        <w:t xml:space="preserve">de </w:t>
      </w:r>
      <w:r w:rsidRPr="001842A8">
        <w:rPr>
          <w:rFonts w:ascii="Palatino Linotype" w:hAnsi="Palatino Linotype" w:cs="Arial"/>
          <w:bCs/>
          <w:i/>
          <w:lang w:val="es-ES_tradnl"/>
        </w:rPr>
        <w:t>legisla</w:t>
      </w:r>
      <w:r>
        <w:rPr>
          <w:rFonts w:ascii="Palatino Linotype" w:hAnsi="Palatino Linotype" w:cs="Arial"/>
          <w:bCs/>
          <w:i/>
          <w:lang w:val="es-ES_tradnl"/>
        </w:rPr>
        <w:t>ción y fiscalización</w:t>
      </w:r>
      <w:r w:rsidRPr="001842A8">
        <w:rPr>
          <w:rFonts w:ascii="Palatino Linotype" w:hAnsi="Palatino Linotype" w:cs="Arial"/>
          <w:bCs/>
          <w:i/>
          <w:lang w:val="es-ES_tradnl"/>
        </w:rPr>
        <w:t xml:space="preserve"> del </w:t>
      </w:r>
      <w:r>
        <w:rPr>
          <w:rFonts w:ascii="Palatino Linotype" w:hAnsi="Palatino Linotype" w:cs="Arial"/>
          <w:bCs/>
          <w:i/>
          <w:lang w:val="es-ES_tradnl"/>
        </w:rPr>
        <w:t>G</w:t>
      </w:r>
      <w:r w:rsidRPr="001842A8">
        <w:rPr>
          <w:rFonts w:ascii="Palatino Linotype" w:hAnsi="Palatino Linotype" w:cs="Arial"/>
          <w:bCs/>
          <w:i/>
          <w:lang w:val="es-ES_tradnl"/>
        </w:rPr>
        <w:t xml:space="preserve">obierno </w:t>
      </w:r>
      <w:r>
        <w:rPr>
          <w:rFonts w:ascii="Palatino Linotype" w:hAnsi="Palatino Linotype" w:cs="Arial"/>
          <w:bCs/>
          <w:i/>
          <w:lang w:val="es-ES_tradnl"/>
        </w:rPr>
        <w:t>Autónomo D</w:t>
      </w:r>
      <w:r w:rsidRPr="001842A8">
        <w:rPr>
          <w:rFonts w:ascii="Palatino Linotype" w:hAnsi="Palatino Linotype" w:cs="Arial"/>
          <w:bCs/>
          <w:i/>
          <w:lang w:val="es-ES_tradnl"/>
        </w:rPr>
        <w:t xml:space="preserve">escentralizado municipal o metropolitano, se requiera regularizar </w:t>
      </w:r>
      <w:r>
        <w:rPr>
          <w:rFonts w:ascii="Palatino Linotype" w:hAnsi="Palatino Linotype" w:cs="Arial"/>
          <w:bCs/>
          <w:i/>
          <w:lang w:val="es-ES_tradnl"/>
        </w:rPr>
        <w:t xml:space="preserve">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1842A8">
        <w:rPr>
          <w:rFonts w:ascii="Palatino Linotype" w:hAnsi="Palatino Linotype" w:cs="Arial"/>
          <w:bCs/>
          <w:i/>
          <w:lang w:val="es-ES_tradnl"/>
        </w:rPr>
        <w:t>(…)</w:t>
      </w:r>
      <w:r w:rsidRPr="001842A8">
        <w:rPr>
          <w:rFonts w:ascii="Palatino Linotype" w:hAnsi="Palatino Linotype" w:cs="Arial"/>
          <w:bCs/>
          <w:lang w:val="es-ES_tradnl"/>
        </w:rPr>
        <w:t>”</w:t>
      </w:r>
      <w:r w:rsidRPr="001842A8">
        <w:rPr>
          <w:rFonts w:ascii="Palatino Linotype" w:hAnsi="Palatino Linotype" w:cs="Arial"/>
          <w:b/>
          <w:bCs/>
        </w:rPr>
        <w:t>;</w:t>
      </w:r>
    </w:p>
    <w:p w:rsidR="00C15531" w:rsidRPr="006336FA" w:rsidRDefault="00C15531" w:rsidP="00077615">
      <w:pPr>
        <w:pStyle w:val="Sinespaciado"/>
        <w:spacing w:before="240" w:after="240" w:line="276" w:lineRule="auto"/>
        <w:ind w:left="709" w:hanging="709"/>
        <w:jc w:val="both"/>
        <w:rPr>
          <w:rFonts w:ascii="Palatino Linotype" w:hAnsi="Palatino Linotype" w:cs="Arial"/>
          <w:bCs/>
          <w:i/>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la Disposición Transitoria Décima Cuarta del COOTAD, señala: “</w:t>
      </w:r>
      <w:r w:rsidRPr="006336FA">
        <w:rPr>
          <w:rFonts w:ascii="Palatino Linotype" w:hAnsi="Palatino Linotype" w:cs="Arial"/>
          <w:bCs/>
          <w:i/>
        </w:rPr>
        <w:t xml:space="preserve">(…) </w:t>
      </w:r>
      <w:r w:rsidRPr="006336FA">
        <w:rPr>
          <w:rFonts w:ascii="Palatino Linotype" w:hAnsi="Palatino Linotype" w:cs="Arial"/>
          <w:i/>
        </w:rPr>
        <w:t>Excepcionalmente en los casos de asentamientos de hecho y consolidados declarados de interés social, en que no se ha previsto el porcentaje de áreas verdes y comunales establecidas en la ley, serán exoneradas de este porcentaje</w:t>
      </w:r>
      <w:r w:rsidRPr="006336FA">
        <w:rPr>
          <w:rFonts w:ascii="Palatino Linotype" w:hAnsi="Palatino Linotype" w:cs="Arial"/>
        </w:rPr>
        <w:t>.”;</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 xml:space="preserve">el numeral 1 del artículo 2 de la Ley Orgánica de Régimen para el Distrito Metropolitano de Quito (en adelante “LORDMQ”) establece que el Municipio del Distrito Metropolitano de Quito, tiene la competencia exclusiva y privativa de regular el uso y la adecuada ocupación del suelo, ejerciendo el control sobre el mismo; </w:t>
      </w:r>
    </w:p>
    <w:p w:rsidR="003843CA" w:rsidRPr="006336FA" w:rsidRDefault="003843CA" w:rsidP="00077615">
      <w:pPr>
        <w:pStyle w:val="Sinespaciado"/>
        <w:spacing w:before="240" w:after="240" w:line="276" w:lineRule="auto"/>
        <w:ind w:left="709" w:hanging="709"/>
        <w:jc w:val="both"/>
        <w:rPr>
          <w:rFonts w:ascii="Palatino Linotype" w:hAnsi="Palatino Linotype" w:cs="Arial"/>
          <w:bCs/>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bCs/>
        </w:rPr>
        <w:t>el</w:t>
      </w:r>
      <w:r w:rsidRPr="006336FA">
        <w:rPr>
          <w:rFonts w:ascii="Palatino Linotype" w:hAnsi="Palatino Linotype" w:cs="Arial"/>
          <w:b/>
          <w:bCs/>
        </w:rPr>
        <w:t xml:space="preserve"> </w:t>
      </w:r>
      <w:r w:rsidRPr="006336FA">
        <w:rPr>
          <w:rFonts w:ascii="Palatino Linotype" w:hAnsi="Palatino Linotype" w:cs="Arial"/>
          <w:bCs/>
        </w:rPr>
        <w:t>numeral 1 del artículo 8 de la LORDMQ, establece que le corresponde al Concejo Metropolitano decidir mediante ordenanza, sobre los asuntos de interés general, relativos al desarrollo integral y a la ordenación urbanística del Distrito;</w:t>
      </w:r>
    </w:p>
    <w:p w:rsidR="00580643" w:rsidRDefault="003843CA" w:rsidP="00580643">
      <w:pPr>
        <w:pStyle w:val="Sinespaciado"/>
        <w:spacing w:before="240" w:after="240" w:line="276" w:lineRule="auto"/>
        <w:ind w:left="709" w:hanging="709"/>
        <w:jc w:val="both"/>
        <w:rPr>
          <w:rFonts w:ascii="Palatino Linotype" w:hAnsi="Palatino Linotype" w:cs="Arial"/>
        </w:rPr>
      </w:pPr>
      <w:r w:rsidRPr="006336FA">
        <w:rPr>
          <w:rFonts w:ascii="Palatino Linotype" w:hAnsi="Palatino Linotype" w:cs="Arial"/>
          <w:b/>
          <w:bCs/>
        </w:rPr>
        <w:t>Que,</w:t>
      </w:r>
      <w:r w:rsidRPr="006336FA">
        <w:rPr>
          <w:rFonts w:ascii="Palatino Linotype" w:hAnsi="Palatino Linotype" w:cs="Arial"/>
          <w:b/>
          <w:bCs/>
        </w:rPr>
        <w:tab/>
      </w:r>
      <w:r w:rsidRPr="006336FA">
        <w:rPr>
          <w:rFonts w:ascii="Palatino Linotype" w:hAnsi="Palatino Linotype" w:cs="Arial"/>
        </w:rPr>
        <w:t>la Unidad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Administrativa No. A0010 de 19 de marzo de 2010; y,</w:t>
      </w:r>
    </w:p>
    <w:p w:rsidR="00580643" w:rsidRPr="00580643" w:rsidRDefault="00580643" w:rsidP="00580643">
      <w:pPr>
        <w:pStyle w:val="Sinespaciado"/>
        <w:spacing w:before="240" w:after="240" w:line="276" w:lineRule="auto"/>
        <w:ind w:left="709" w:hanging="709"/>
        <w:jc w:val="both"/>
        <w:rPr>
          <w:rFonts w:ascii="Palatino Linotype" w:hAnsi="Palatino Linotype" w:cs="Arial"/>
        </w:rPr>
      </w:pPr>
      <w:r w:rsidRPr="00580643">
        <w:rPr>
          <w:rFonts w:ascii="Palatino Linotype" w:hAnsi="Palatino Linotype" w:cstheme="minorHAnsi"/>
          <w:b/>
        </w:rPr>
        <w:lastRenderedPageBreak/>
        <w:t>Que</w:t>
      </w:r>
      <w:r w:rsidRPr="00580643">
        <w:rPr>
          <w:rFonts w:ascii="Palatino Linotype" w:hAnsi="Palatino Linotype" w:cstheme="minorHAnsi"/>
        </w:rPr>
        <w:t xml:space="preserve">, </w:t>
      </w:r>
      <w:r w:rsidR="00247D8B">
        <w:rPr>
          <w:rFonts w:ascii="Palatino Linotype" w:hAnsi="Palatino Linotype" w:cstheme="minorHAnsi"/>
        </w:rPr>
        <w:tab/>
      </w:r>
      <w:r w:rsidRPr="00580643">
        <w:rPr>
          <w:rFonts w:ascii="Palatino Linotype" w:hAnsi="Palatino Linotype" w:cstheme="minorHAnsi"/>
        </w:rPr>
        <w:t xml:space="preserve">la Mesa Institucional de Trabajo, reunida el 18 de diciembre de 2015 en la Administración Zonal La Delicia, integrada por el Administrador Zonal La Delicia, la directora jurídica de la Administración Municipal Zona la Delicia, la Directora de gestión del territorio Administración Municipal Zona la Delicia, el delegado de la Secretaria de Territorio Hábitat y Vivienda, el delegado de la Dirección Metropolitana de Catastros, la  delegada de la Dirección Metropolitana de Gestión y Riesgos, la Coordinadora de la Unidad  Especial Regula Tu Barrio La Delicia, los Responsables: Socio Organizativo, Legal y Técnico de la Unidad Especial Regula Tu Barrio de la Administración Zonal de La Delicia;  aprobaron el Informe Socio organizativo legal y técnico Nº 015-UERB-AZLD-SOLT-2015, de fecha 7 de diciembre del año 2015, para aprobación de la reforma del Asentamiento humano de hecho y consolidado denominado </w:t>
      </w:r>
      <w:r w:rsidRPr="00580643">
        <w:rPr>
          <w:rFonts w:ascii="Palatino Linotype" w:hAnsi="Palatino Linotype" w:cstheme="minorHAnsi"/>
          <w:bCs/>
          <w:color w:val="000000" w:themeColor="text1"/>
        </w:rPr>
        <w:t xml:space="preserve">Comité </w:t>
      </w:r>
      <w:proofErr w:type="spellStart"/>
      <w:r w:rsidRPr="00580643">
        <w:rPr>
          <w:rFonts w:ascii="Palatino Linotype" w:hAnsi="Palatino Linotype" w:cstheme="minorHAnsi"/>
          <w:bCs/>
          <w:color w:val="000000" w:themeColor="text1"/>
        </w:rPr>
        <w:t>Promejoras</w:t>
      </w:r>
      <w:proofErr w:type="spellEnd"/>
      <w:r w:rsidRPr="00580643">
        <w:rPr>
          <w:rFonts w:ascii="Palatino Linotype" w:hAnsi="Palatino Linotype" w:cstheme="minorHAnsi"/>
          <w:bCs/>
          <w:color w:val="000000" w:themeColor="text1"/>
        </w:rPr>
        <w:t xml:space="preserve">  Del Barrio “San José Obrero </w:t>
      </w:r>
      <w:r>
        <w:rPr>
          <w:rFonts w:ascii="Palatino Linotype" w:hAnsi="Palatino Linotype" w:cstheme="minorHAnsi"/>
          <w:bCs/>
          <w:color w:val="000000" w:themeColor="text1"/>
        </w:rPr>
        <w:t>d</w:t>
      </w:r>
      <w:r w:rsidRPr="00580643">
        <w:rPr>
          <w:rFonts w:ascii="Palatino Linotype" w:hAnsi="Palatino Linotype" w:cstheme="minorHAnsi"/>
          <w:bCs/>
          <w:color w:val="000000" w:themeColor="text1"/>
        </w:rPr>
        <w:t xml:space="preserve">e </w:t>
      </w:r>
      <w:proofErr w:type="spellStart"/>
      <w:r w:rsidRPr="00580643">
        <w:rPr>
          <w:rFonts w:ascii="Palatino Linotype" w:hAnsi="Palatino Linotype" w:cstheme="minorHAnsi"/>
          <w:bCs/>
          <w:color w:val="000000" w:themeColor="text1"/>
        </w:rPr>
        <w:t>Cotocollao</w:t>
      </w:r>
      <w:proofErr w:type="spellEnd"/>
      <w:r>
        <w:rPr>
          <w:rFonts w:ascii="Palatino Linotype" w:hAnsi="Palatino Linotype" w:cstheme="minorHAnsi"/>
          <w:bCs/>
          <w:color w:val="000000" w:themeColor="text1"/>
        </w:rPr>
        <w:t>,</w:t>
      </w:r>
      <w:r w:rsidRPr="00580643">
        <w:rPr>
          <w:rFonts w:ascii="Palatino Linotype" w:hAnsi="Palatino Linotype" w:cstheme="minorHAnsi"/>
          <w:bCs/>
          <w:color w:val="000000" w:themeColor="text1"/>
        </w:rPr>
        <w:t xml:space="preserve"> Segunda Etapa</w:t>
      </w:r>
      <w:r>
        <w:rPr>
          <w:rFonts w:ascii="Palatino Linotype" w:hAnsi="Palatino Linotype" w:cstheme="minorHAnsi"/>
          <w:bCs/>
          <w:color w:val="000000" w:themeColor="text1"/>
        </w:rPr>
        <w:t>”,</w:t>
      </w:r>
      <w:r w:rsidRPr="00580643">
        <w:rPr>
          <w:rFonts w:ascii="Palatino Linotype" w:hAnsi="Palatino Linotype" w:cstheme="minorHAnsi"/>
          <w:b/>
          <w:bCs/>
          <w:color w:val="000000" w:themeColor="text1"/>
        </w:rPr>
        <w:t xml:space="preserve"> </w:t>
      </w:r>
      <w:r w:rsidRPr="00580643">
        <w:rPr>
          <w:rFonts w:ascii="Palatino Linotype" w:hAnsi="Palatino Linotype" w:cstheme="minorHAnsi"/>
          <w:bCs/>
          <w:color w:val="000000" w:themeColor="text1"/>
        </w:rPr>
        <w:t>a favor de sus copropietarios.</w:t>
      </w:r>
    </w:p>
    <w:p w:rsidR="008079C6" w:rsidRPr="00580643" w:rsidRDefault="008079C6" w:rsidP="00580643">
      <w:pPr>
        <w:pStyle w:val="Sinespaciado"/>
        <w:spacing w:after="240" w:line="276" w:lineRule="auto"/>
        <w:jc w:val="both"/>
        <w:outlineLvl w:val="0"/>
        <w:rPr>
          <w:rFonts w:ascii="Palatino Linotype" w:hAnsi="Palatino Linotype" w:cs="Arial"/>
          <w:b/>
        </w:rPr>
      </w:pPr>
      <w:r w:rsidRPr="006336FA">
        <w:rPr>
          <w:rFonts w:ascii="Palatino Linotype" w:hAnsi="Palatino Linotype" w:cs="Arial"/>
          <w:b/>
          <w:bCs/>
        </w:rPr>
        <w:t xml:space="preserve">En </w:t>
      </w:r>
      <w:r w:rsidRPr="006336FA">
        <w:rPr>
          <w:rFonts w:ascii="Palatino Linotype" w:hAnsi="Palatino Linotype" w:cs="Arial"/>
          <w:b/>
        </w:rPr>
        <w:t xml:space="preserve">ejercicio  de  sus  atribuciones  legales  constantes en los artículos 30, 31, 240 y 264 </w:t>
      </w:r>
      <w:r w:rsidRPr="00580643">
        <w:rPr>
          <w:rFonts w:ascii="Palatino Linotype" w:hAnsi="Palatino Linotype" w:cs="Arial"/>
          <w:b/>
        </w:rPr>
        <w:t>numeral 1 de la Constitución  de la República del Ecuador; 84, literal c), 87, literales a), v) y x), y 322 del Código Orgánico de Organización Territorial Autonomía y Descentralización; 2, numeral 1, 8, numeral 1 de la Ley Orgánica de Régimen para el  Distrito Metropolitano de Quito; y, 2 de la  Resolución No. A0010, de 19 de marzo de 2010,</w:t>
      </w:r>
    </w:p>
    <w:p w:rsidR="003667C0" w:rsidRPr="00580643" w:rsidRDefault="00C52450" w:rsidP="00580643">
      <w:pPr>
        <w:spacing w:after="240" w:line="276" w:lineRule="auto"/>
        <w:jc w:val="center"/>
        <w:rPr>
          <w:rFonts w:ascii="Palatino Linotype" w:hAnsi="Palatino Linotype"/>
          <w:b/>
          <w:sz w:val="22"/>
          <w:szCs w:val="22"/>
        </w:rPr>
      </w:pPr>
      <w:r w:rsidRPr="00580643">
        <w:rPr>
          <w:rFonts w:ascii="Palatino Linotype" w:hAnsi="Palatino Linotype"/>
          <w:b/>
          <w:sz w:val="22"/>
          <w:szCs w:val="22"/>
        </w:rPr>
        <w:t>EXPIDE</w:t>
      </w:r>
      <w:r w:rsidR="00B452F1" w:rsidRPr="00580643">
        <w:rPr>
          <w:rFonts w:ascii="Palatino Linotype" w:hAnsi="Palatino Linotype"/>
          <w:b/>
          <w:sz w:val="22"/>
          <w:szCs w:val="22"/>
        </w:rPr>
        <w:t xml:space="preserve"> LA SIGUIENTE</w:t>
      </w:r>
      <w:r w:rsidR="007863C1" w:rsidRPr="00580643">
        <w:rPr>
          <w:rFonts w:ascii="Palatino Linotype" w:hAnsi="Palatino Linotype"/>
          <w:b/>
          <w:sz w:val="22"/>
          <w:szCs w:val="22"/>
        </w:rPr>
        <w:t>:</w:t>
      </w:r>
    </w:p>
    <w:p w:rsidR="00580643" w:rsidRPr="00580643" w:rsidRDefault="00580643" w:rsidP="00580643">
      <w:pPr>
        <w:spacing w:after="240" w:line="276" w:lineRule="auto"/>
        <w:jc w:val="center"/>
        <w:rPr>
          <w:rFonts w:ascii="Palatino Linotype" w:hAnsi="Palatino Linotype"/>
          <w:b/>
          <w:sz w:val="22"/>
          <w:szCs w:val="22"/>
        </w:rPr>
      </w:pPr>
      <w:r w:rsidRPr="00580643">
        <w:rPr>
          <w:rFonts w:ascii="Palatino Linotype" w:hAnsi="Palatino Linotype" w:cstheme="minorHAnsi"/>
          <w:b/>
          <w:bCs/>
          <w:sz w:val="22"/>
          <w:szCs w:val="22"/>
        </w:rPr>
        <w:t xml:space="preserve">ORDENANZA  </w:t>
      </w:r>
      <w:r>
        <w:rPr>
          <w:rFonts w:ascii="Palatino Linotype" w:hAnsi="Palatino Linotype" w:cstheme="minorHAnsi"/>
          <w:b/>
          <w:bCs/>
          <w:sz w:val="22"/>
          <w:szCs w:val="22"/>
        </w:rPr>
        <w:t xml:space="preserve">REFORMATORIA DE LA ORDENANZA No. </w:t>
      </w:r>
      <w:r w:rsidRPr="00580643">
        <w:rPr>
          <w:rFonts w:ascii="Palatino Linotype" w:hAnsi="Palatino Linotype" w:cstheme="minorHAnsi"/>
          <w:b/>
          <w:bCs/>
          <w:sz w:val="22"/>
          <w:szCs w:val="22"/>
        </w:rPr>
        <w:t xml:space="preserve">0313 </w:t>
      </w:r>
      <w:r>
        <w:rPr>
          <w:rFonts w:ascii="Palatino Linotype" w:hAnsi="Palatino Linotype" w:cstheme="minorHAnsi"/>
          <w:b/>
          <w:bCs/>
          <w:sz w:val="22"/>
          <w:szCs w:val="22"/>
        </w:rPr>
        <w:t>,</w:t>
      </w:r>
      <w:r w:rsidRPr="00580643">
        <w:rPr>
          <w:rFonts w:ascii="Palatino Linotype" w:hAnsi="Palatino Linotype" w:cstheme="minorHAnsi"/>
          <w:b/>
          <w:bCs/>
          <w:sz w:val="22"/>
          <w:szCs w:val="22"/>
        </w:rPr>
        <w:t xml:space="preserve"> DE 7 DE NOVIEMBRE DE 2012</w:t>
      </w:r>
      <w:r>
        <w:rPr>
          <w:rFonts w:ascii="Palatino Linotype" w:hAnsi="Palatino Linotype" w:cstheme="minorHAnsi"/>
          <w:b/>
          <w:bCs/>
          <w:sz w:val="22"/>
          <w:szCs w:val="22"/>
        </w:rPr>
        <w:t>,</w:t>
      </w:r>
      <w:r w:rsidRPr="00580643">
        <w:rPr>
          <w:rFonts w:ascii="Palatino Linotype" w:hAnsi="Palatino Linotype" w:cstheme="minorHAnsi"/>
          <w:b/>
          <w:bCs/>
          <w:sz w:val="22"/>
          <w:szCs w:val="22"/>
        </w:rPr>
        <w:t xml:space="preserve"> QUE RECONOCE Y APRUEBA EL ASENTAMIENTO HUMANO DE HECHO Y CONSOLIDADO DENOMINADO</w:t>
      </w:r>
      <w:r w:rsidRPr="00580643">
        <w:rPr>
          <w:rFonts w:ascii="Palatino Linotype" w:hAnsi="Palatino Linotype" w:cstheme="minorHAnsi"/>
          <w:b/>
          <w:bCs/>
          <w:sz w:val="22"/>
          <w:szCs w:val="22"/>
          <w:lang w:val="es-EC"/>
        </w:rPr>
        <w:t xml:space="preserve"> COMITÉ PROMEJORAS DEL BARRIO “SAN JOSÉ OBRERO DE COTOCOLLAO”</w:t>
      </w:r>
      <w:r>
        <w:rPr>
          <w:rFonts w:ascii="Palatino Linotype" w:hAnsi="Palatino Linotype" w:cstheme="minorHAnsi"/>
          <w:b/>
          <w:bCs/>
          <w:sz w:val="22"/>
          <w:szCs w:val="22"/>
          <w:lang w:val="es-EC"/>
        </w:rPr>
        <w:t>,</w:t>
      </w:r>
      <w:r w:rsidRPr="00580643">
        <w:rPr>
          <w:rFonts w:ascii="Palatino Linotype" w:hAnsi="Palatino Linotype" w:cstheme="minorHAnsi"/>
          <w:b/>
          <w:bCs/>
          <w:sz w:val="22"/>
          <w:szCs w:val="22"/>
          <w:lang w:val="es-EC"/>
        </w:rPr>
        <w:t xml:space="preserve"> SEGUNDA ETAPA</w:t>
      </w:r>
      <w:r>
        <w:rPr>
          <w:rFonts w:ascii="Palatino Linotype" w:hAnsi="Palatino Linotype" w:cstheme="minorHAnsi"/>
          <w:b/>
          <w:bCs/>
          <w:sz w:val="22"/>
          <w:szCs w:val="22"/>
          <w:lang w:val="es-EC"/>
        </w:rPr>
        <w:t>,</w:t>
      </w:r>
      <w:r w:rsidRPr="00580643">
        <w:rPr>
          <w:rFonts w:ascii="Palatino Linotype" w:hAnsi="Palatino Linotype" w:cstheme="minorHAnsi"/>
          <w:b/>
          <w:bCs/>
          <w:sz w:val="22"/>
          <w:szCs w:val="22"/>
          <w:lang w:val="es-EC"/>
        </w:rPr>
        <w:t xml:space="preserve"> A FAVOR DE SUS COPROPIETARIOS</w:t>
      </w:r>
    </w:p>
    <w:p w:rsidR="00580643" w:rsidRPr="00580643" w:rsidRDefault="00580643" w:rsidP="00580643">
      <w:pPr>
        <w:pStyle w:val="Ttulo7"/>
        <w:spacing w:before="0" w:after="240" w:line="276" w:lineRule="auto"/>
        <w:rPr>
          <w:rFonts w:ascii="Palatino Linotype" w:hAnsi="Palatino Linotype" w:cstheme="minorHAnsi"/>
          <w:bCs/>
          <w:sz w:val="22"/>
          <w:szCs w:val="22"/>
        </w:rPr>
      </w:pPr>
      <w:r>
        <w:rPr>
          <w:rFonts w:ascii="Palatino Linotype" w:hAnsi="Palatino Linotype" w:cstheme="minorHAnsi"/>
          <w:b/>
          <w:bCs/>
          <w:sz w:val="22"/>
          <w:szCs w:val="22"/>
        </w:rPr>
        <w:t xml:space="preserve">Artículo 1.- </w:t>
      </w:r>
      <w:r w:rsidRPr="00580643">
        <w:rPr>
          <w:rFonts w:ascii="Palatino Linotype" w:hAnsi="Palatino Linotype" w:cstheme="minorHAnsi"/>
          <w:bCs/>
          <w:sz w:val="22"/>
          <w:szCs w:val="22"/>
        </w:rPr>
        <w:t xml:space="preserve">Sustitúyase el </w:t>
      </w:r>
      <w:r>
        <w:rPr>
          <w:rFonts w:ascii="Palatino Linotype" w:hAnsi="Palatino Linotype" w:cstheme="minorHAnsi"/>
          <w:bCs/>
          <w:sz w:val="22"/>
          <w:szCs w:val="22"/>
        </w:rPr>
        <w:t>a</w:t>
      </w:r>
      <w:r w:rsidRPr="00580643">
        <w:rPr>
          <w:rFonts w:ascii="Palatino Linotype" w:hAnsi="Palatino Linotype" w:cstheme="minorHAnsi"/>
          <w:bCs/>
          <w:sz w:val="22"/>
          <w:szCs w:val="22"/>
        </w:rPr>
        <w:t>rtículo 2 de la Ordenanza N</w:t>
      </w:r>
      <w:r>
        <w:rPr>
          <w:rFonts w:ascii="Palatino Linotype" w:hAnsi="Palatino Linotype" w:cstheme="minorHAnsi"/>
          <w:bCs/>
          <w:sz w:val="22"/>
          <w:szCs w:val="22"/>
        </w:rPr>
        <w:t>o.</w:t>
      </w:r>
      <w:r w:rsidRPr="00580643">
        <w:rPr>
          <w:rFonts w:ascii="Palatino Linotype" w:hAnsi="Palatino Linotype" w:cstheme="minorHAnsi"/>
          <w:bCs/>
          <w:sz w:val="22"/>
          <w:szCs w:val="22"/>
        </w:rPr>
        <w:t xml:space="preserve"> 0313</w:t>
      </w:r>
      <w:r>
        <w:rPr>
          <w:rFonts w:ascii="Palatino Linotype" w:hAnsi="Palatino Linotype" w:cstheme="minorHAnsi"/>
          <w:bCs/>
          <w:sz w:val="22"/>
          <w:szCs w:val="22"/>
        </w:rPr>
        <w:t>,</w:t>
      </w:r>
      <w:r w:rsidRPr="00580643">
        <w:rPr>
          <w:rFonts w:ascii="Palatino Linotype" w:hAnsi="Palatino Linotype" w:cstheme="minorHAnsi"/>
          <w:bCs/>
          <w:sz w:val="22"/>
          <w:szCs w:val="22"/>
        </w:rPr>
        <w:t xml:space="preserve"> por el siguiente texto:</w:t>
      </w:r>
    </w:p>
    <w:p w:rsidR="00580643" w:rsidRPr="000F388A" w:rsidRDefault="00580643" w:rsidP="000F388A">
      <w:pPr>
        <w:pStyle w:val="Ttulo7"/>
        <w:spacing w:before="0" w:after="240" w:line="276" w:lineRule="auto"/>
        <w:ind w:left="708"/>
        <w:rPr>
          <w:rFonts w:ascii="Palatino Linotype" w:hAnsi="Palatino Linotype" w:cstheme="minorHAnsi"/>
          <w:b/>
          <w:bCs/>
          <w:i/>
          <w:sz w:val="22"/>
          <w:szCs w:val="22"/>
        </w:rPr>
      </w:pPr>
      <w:r w:rsidRPr="000F388A">
        <w:rPr>
          <w:rFonts w:ascii="Palatino Linotype" w:hAnsi="Palatino Linotype" w:cstheme="minorHAnsi"/>
          <w:b/>
          <w:bCs/>
          <w:i/>
          <w:sz w:val="22"/>
          <w:szCs w:val="22"/>
        </w:rPr>
        <w:t>Artícul</w:t>
      </w:r>
      <w:r w:rsidR="000F388A">
        <w:rPr>
          <w:rFonts w:ascii="Palatino Linotype" w:hAnsi="Palatino Linotype" w:cstheme="minorHAnsi"/>
          <w:b/>
          <w:bCs/>
          <w:i/>
          <w:sz w:val="22"/>
          <w:szCs w:val="22"/>
        </w:rPr>
        <w:t>o 2.</w:t>
      </w:r>
      <w:r w:rsidR="00247D8B">
        <w:rPr>
          <w:rFonts w:ascii="Palatino Linotype" w:hAnsi="Palatino Linotype" w:cstheme="minorHAnsi"/>
          <w:b/>
          <w:bCs/>
          <w:i/>
          <w:sz w:val="22"/>
          <w:szCs w:val="22"/>
        </w:rPr>
        <w:t>-</w:t>
      </w:r>
      <w:r w:rsidR="000F388A">
        <w:rPr>
          <w:rFonts w:ascii="Palatino Linotype" w:hAnsi="Palatino Linotype" w:cstheme="minorHAnsi"/>
          <w:b/>
          <w:bCs/>
          <w:i/>
          <w:sz w:val="22"/>
          <w:szCs w:val="22"/>
        </w:rPr>
        <w:t xml:space="preserve"> Especificaciones técnicas.-</w:t>
      </w:r>
    </w:p>
    <w:tbl>
      <w:tblPr>
        <w:tblStyle w:val="Tablaconcuadrcula"/>
        <w:tblW w:w="872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7"/>
        <w:gridCol w:w="4623"/>
      </w:tblGrid>
      <w:tr w:rsidR="00580643" w:rsidRPr="000F388A" w:rsidTr="000F388A">
        <w:trPr>
          <w:trHeight w:val="403"/>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Zonificación </w:t>
            </w:r>
            <w:r w:rsidR="000F388A">
              <w:rPr>
                <w:rFonts w:ascii="Palatino Linotype" w:hAnsi="Palatino Linotype" w:cstheme="minorHAnsi"/>
                <w:b/>
                <w:i/>
                <w:sz w:val="22"/>
                <w:szCs w:val="22"/>
              </w:rPr>
              <w:t>a</w:t>
            </w:r>
            <w:r w:rsidRPr="000F388A">
              <w:rPr>
                <w:rFonts w:ascii="Palatino Linotype" w:hAnsi="Palatino Linotype" w:cstheme="minorHAnsi"/>
                <w:b/>
                <w:i/>
                <w:sz w:val="22"/>
                <w:szCs w:val="22"/>
              </w:rPr>
              <w:t>ctual:</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D3 (D203-80)/ A7(A50002-1)</w:t>
            </w:r>
          </w:p>
        </w:tc>
      </w:tr>
      <w:tr w:rsidR="00580643" w:rsidRPr="000F388A" w:rsidTr="000F388A">
        <w:trPr>
          <w:trHeight w:val="423"/>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Lote </w:t>
            </w:r>
            <w:r w:rsidR="000F388A">
              <w:rPr>
                <w:rFonts w:ascii="Palatino Linotype" w:hAnsi="Palatino Linotype" w:cstheme="minorHAnsi"/>
                <w:b/>
                <w:i/>
                <w:sz w:val="22"/>
                <w:szCs w:val="22"/>
              </w:rPr>
              <w:t>m</w:t>
            </w:r>
            <w:r w:rsidRPr="000F388A">
              <w:rPr>
                <w:rFonts w:ascii="Palatino Linotype" w:hAnsi="Palatino Linotype" w:cstheme="minorHAnsi"/>
                <w:b/>
                <w:i/>
                <w:sz w:val="22"/>
                <w:szCs w:val="22"/>
              </w:rPr>
              <w:t>ínimo:</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200</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m²</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50</w:t>
            </w:r>
            <w:r w:rsidR="000F388A">
              <w:rPr>
                <w:rFonts w:ascii="Palatino Linotype" w:hAnsi="Palatino Linotype" w:cstheme="minorHAnsi"/>
                <w:i/>
                <w:sz w:val="22"/>
                <w:szCs w:val="22"/>
              </w:rPr>
              <w:t>.</w:t>
            </w:r>
            <w:r w:rsidRPr="000F388A">
              <w:rPr>
                <w:rFonts w:ascii="Palatino Linotype" w:hAnsi="Palatino Linotype" w:cstheme="minorHAnsi"/>
                <w:i/>
                <w:sz w:val="22"/>
                <w:szCs w:val="22"/>
              </w:rPr>
              <w:t>000</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m²</w:t>
            </w:r>
          </w:p>
        </w:tc>
      </w:tr>
      <w:tr w:rsidR="00580643" w:rsidRPr="000F388A" w:rsidTr="000F388A">
        <w:trPr>
          <w:trHeight w:val="415"/>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Forma </w:t>
            </w:r>
            <w:r w:rsidR="000F388A">
              <w:rPr>
                <w:rFonts w:ascii="Palatino Linotype" w:hAnsi="Palatino Linotype" w:cstheme="minorHAnsi"/>
                <w:b/>
                <w:i/>
                <w:sz w:val="22"/>
                <w:szCs w:val="22"/>
              </w:rPr>
              <w:t>o</w:t>
            </w:r>
            <w:r w:rsidRPr="000F388A">
              <w:rPr>
                <w:rFonts w:ascii="Palatino Linotype" w:hAnsi="Palatino Linotype" w:cstheme="minorHAnsi"/>
                <w:b/>
                <w:i/>
                <w:sz w:val="22"/>
                <w:szCs w:val="22"/>
              </w:rPr>
              <w:t xml:space="preserve">cupación del </w:t>
            </w:r>
            <w:r w:rsidR="000F388A">
              <w:rPr>
                <w:rFonts w:ascii="Palatino Linotype" w:hAnsi="Palatino Linotype" w:cstheme="minorHAnsi"/>
                <w:b/>
                <w:i/>
                <w:sz w:val="22"/>
                <w:szCs w:val="22"/>
              </w:rPr>
              <w:t>s</w:t>
            </w:r>
            <w:r w:rsidRPr="000F388A">
              <w:rPr>
                <w:rFonts w:ascii="Palatino Linotype" w:hAnsi="Palatino Linotype" w:cstheme="minorHAnsi"/>
                <w:b/>
                <w:i/>
                <w:sz w:val="22"/>
                <w:szCs w:val="22"/>
              </w:rPr>
              <w:t>uelo:</w:t>
            </w:r>
          </w:p>
        </w:tc>
        <w:tc>
          <w:tcPr>
            <w:tcW w:w="4623" w:type="dxa"/>
          </w:tcPr>
          <w:p w:rsidR="00580643" w:rsidRPr="000F388A" w:rsidRDefault="00580643" w:rsidP="000F388A">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 xml:space="preserve">(D) sobre línea de </w:t>
            </w:r>
            <w:r w:rsidR="000F388A">
              <w:rPr>
                <w:rFonts w:ascii="Palatino Linotype" w:hAnsi="Palatino Linotype" w:cstheme="minorHAnsi"/>
                <w:i/>
                <w:sz w:val="22"/>
                <w:szCs w:val="22"/>
              </w:rPr>
              <w:t>fá</w:t>
            </w:r>
            <w:r w:rsidRPr="000F388A">
              <w:rPr>
                <w:rFonts w:ascii="Palatino Linotype" w:hAnsi="Palatino Linotype" w:cstheme="minorHAnsi"/>
                <w:i/>
                <w:sz w:val="22"/>
                <w:szCs w:val="22"/>
              </w:rPr>
              <w:t>brica / (A)Aislada</w:t>
            </w:r>
          </w:p>
        </w:tc>
      </w:tr>
      <w:tr w:rsidR="00580643" w:rsidRPr="000F388A" w:rsidTr="000F388A">
        <w:trPr>
          <w:trHeight w:val="415"/>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Clasificación de suelo:</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(SU) Suelo Urbano</w:t>
            </w:r>
          </w:p>
        </w:tc>
      </w:tr>
      <w:tr w:rsidR="00580643" w:rsidRPr="000F388A" w:rsidTr="000F388A">
        <w:trPr>
          <w:trHeight w:val="704"/>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lastRenderedPageBreak/>
              <w:t>Uso principal:</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 xml:space="preserve">(R2) Residencia de mediana  densidad / (PE) Protección Ecológica/Áreas Naturales.  </w:t>
            </w:r>
          </w:p>
        </w:tc>
      </w:tr>
      <w:tr w:rsidR="00580643" w:rsidRPr="000F388A" w:rsidTr="000F388A">
        <w:trPr>
          <w:trHeight w:val="417"/>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Número de lotes:</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65</w:t>
            </w:r>
          </w:p>
        </w:tc>
      </w:tr>
      <w:tr w:rsidR="00580643" w:rsidRPr="000F388A" w:rsidTr="000F388A">
        <w:trPr>
          <w:trHeight w:val="409"/>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Área </w:t>
            </w:r>
            <w:r w:rsidR="000F388A">
              <w:rPr>
                <w:rFonts w:ascii="Palatino Linotype" w:hAnsi="Palatino Linotype" w:cstheme="minorHAnsi"/>
                <w:b/>
                <w:i/>
                <w:sz w:val="22"/>
                <w:szCs w:val="22"/>
              </w:rPr>
              <w:t>ú</w:t>
            </w:r>
            <w:r w:rsidRPr="000F388A">
              <w:rPr>
                <w:rFonts w:ascii="Palatino Linotype" w:hAnsi="Palatino Linotype" w:cstheme="minorHAnsi"/>
                <w:b/>
                <w:i/>
                <w:sz w:val="22"/>
                <w:szCs w:val="22"/>
              </w:rPr>
              <w:t>til de lotes:</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41.892,04</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m</w:t>
            </w:r>
            <w:r w:rsidRPr="000F388A">
              <w:rPr>
                <w:rFonts w:ascii="Palatino Linotype" w:hAnsi="Palatino Linotype" w:cstheme="minorHAnsi"/>
                <w:i/>
                <w:sz w:val="22"/>
                <w:szCs w:val="22"/>
                <w:vertAlign w:val="superscript"/>
              </w:rPr>
              <w:t>2</w:t>
            </w:r>
          </w:p>
        </w:tc>
      </w:tr>
      <w:tr w:rsidR="00580643" w:rsidRPr="000F388A" w:rsidTr="000F388A">
        <w:trPr>
          <w:trHeight w:val="414"/>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Área de </w:t>
            </w:r>
            <w:r w:rsidR="000F388A">
              <w:rPr>
                <w:rFonts w:ascii="Palatino Linotype" w:hAnsi="Palatino Linotype" w:cstheme="minorHAnsi"/>
                <w:b/>
                <w:i/>
                <w:sz w:val="22"/>
                <w:szCs w:val="22"/>
              </w:rPr>
              <w:t>p</w:t>
            </w:r>
            <w:r w:rsidRPr="000F388A">
              <w:rPr>
                <w:rFonts w:ascii="Palatino Linotype" w:hAnsi="Palatino Linotype" w:cstheme="minorHAnsi"/>
                <w:b/>
                <w:i/>
                <w:sz w:val="22"/>
                <w:szCs w:val="22"/>
              </w:rPr>
              <w:t>rotección de quebrada (</w:t>
            </w:r>
            <w:r w:rsidR="000F388A">
              <w:rPr>
                <w:rFonts w:ascii="Palatino Linotype" w:hAnsi="Palatino Linotype" w:cstheme="minorHAnsi"/>
                <w:b/>
                <w:i/>
                <w:sz w:val="22"/>
                <w:szCs w:val="22"/>
              </w:rPr>
              <w:t>l</w:t>
            </w:r>
            <w:r w:rsidRPr="000F388A">
              <w:rPr>
                <w:rFonts w:ascii="Palatino Linotype" w:hAnsi="Palatino Linotype" w:cstheme="minorHAnsi"/>
                <w:b/>
                <w:i/>
                <w:sz w:val="22"/>
                <w:szCs w:val="22"/>
              </w:rPr>
              <w:t>otes)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552,44</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21"/>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Área de afectación por alta tensión (lotes)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3.299,93</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13"/>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Área de protección ecológica (lotes)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12.423,17</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18"/>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Área de afectación vial (lotes)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533,12</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25"/>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Área de expropiación (lotes)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1.439,65</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03"/>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Área de </w:t>
            </w:r>
            <w:r w:rsidR="000F388A">
              <w:rPr>
                <w:rFonts w:ascii="Palatino Linotype" w:hAnsi="Palatino Linotype" w:cstheme="minorHAnsi"/>
                <w:b/>
                <w:i/>
                <w:sz w:val="22"/>
                <w:szCs w:val="22"/>
              </w:rPr>
              <w:t>v</w:t>
            </w:r>
            <w:r w:rsidRPr="000F388A">
              <w:rPr>
                <w:rFonts w:ascii="Palatino Linotype" w:hAnsi="Palatino Linotype" w:cstheme="minorHAnsi"/>
                <w:b/>
                <w:i/>
                <w:sz w:val="22"/>
                <w:szCs w:val="22"/>
              </w:rPr>
              <w:t xml:space="preserve">ías y </w:t>
            </w:r>
            <w:r w:rsidR="000F388A">
              <w:rPr>
                <w:rFonts w:ascii="Palatino Linotype" w:hAnsi="Palatino Linotype" w:cstheme="minorHAnsi"/>
                <w:b/>
                <w:i/>
                <w:sz w:val="22"/>
                <w:szCs w:val="22"/>
              </w:rPr>
              <w:t>p</w:t>
            </w:r>
            <w:r w:rsidRPr="000F388A">
              <w:rPr>
                <w:rFonts w:ascii="Palatino Linotype" w:hAnsi="Palatino Linotype" w:cstheme="minorHAnsi"/>
                <w:b/>
                <w:i/>
                <w:sz w:val="22"/>
                <w:szCs w:val="22"/>
              </w:rPr>
              <w:t>asajes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5.500,20</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09"/>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Área d</w:t>
            </w:r>
            <w:r w:rsidR="000F388A">
              <w:rPr>
                <w:rFonts w:ascii="Palatino Linotype" w:hAnsi="Palatino Linotype" w:cstheme="minorHAnsi"/>
                <w:b/>
                <w:i/>
                <w:sz w:val="22"/>
                <w:szCs w:val="22"/>
              </w:rPr>
              <w:t>e afectación por alta tensión (ví</w:t>
            </w:r>
            <w:r w:rsidRPr="000F388A">
              <w:rPr>
                <w:rFonts w:ascii="Palatino Linotype" w:hAnsi="Palatino Linotype" w:cstheme="minorHAnsi"/>
                <w:b/>
                <w:i/>
                <w:sz w:val="22"/>
                <w:szCs w:val="22"/>
              </w:rPr>
              <w:t>as)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477,41</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15"/>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Área  </w:t>
            </w:r>
            <w:r w:rsidR="000F388A">
              <w:rPr>
                <w:rFonts w:ascii="Palatino Linotype" w:hAnsi="Palatino Linotype" w:cstheme="minorHAnsi"/>
                <w:b/>
                <w:i/>
                <w:sz w:val="22"/>
                <w:szCs w:val="22"/>
              </w:rPr>
              <w:t>v</w:t>
            </w:r>
            <w:r w:rsidRPr="000F388A">
              <w:rPr>
                <w:rFonts w:ascii="Palatino Linotype" w:hAnsi="Palatino Linotype" w:cstheme="minorHAnsi"/>
                <w:b/>
                <w:i/>
                <w:sz w:val="22"/>
                <w:szCs w:val="22"/>
              </w:rPr>
              <w:t xml:space="preserve">erde y </w:t>
            </w:r>
            <w:r w:rsidR="000F388A">
              <w:rPr>
                <w:rFonts w:ascii="Palatino Linotype" w:hAnsi="Palatino Linotype" w:cstheme="minorHAnsi"/>
                <w:b/>
                <w:i/>
                <w:sz w:val="22"/>
                <w:szCs w:val="22"/>
              </w:rPr>
              <w:t>e</w:t>
            </w:r>
            <w:r w:rsidRPr="000F388A">
              <w:rPr>
                <w:rFonts w:ascii="Palatino Linotype" w:hAnsi="Palatino Linotype" w:cstheme="minorHAnsi"/>
                <w:b/>
                <w:i/>
                <w:sz w:val="22"/>
                <w:szCs w:val="22"/>
              </w:rPr>
              <w:t xml:space="preserve">quipamiento </w:t>
            </w:r>
            <w:r w:rsidR="000F388A">
              <w:rPr>
                <w:rFonts w:ascii="Palatino Linotype" w:hAnsi="Palatino Linotype" w:cstheme="minorHAnsi"/>
                <w:b/>
                <w:i/>
                <w:sz w:val="22"/>
                <w:szCs w:val="22"/>
              </w:rPr>
              <w:t>c</w:t>
            </w:r>
            <w:r w:rsidRPr="000F388A">
              <w:rPr>
                <w:rFonts w:ascii="Palatino Linotype" w:hAnsi="Palatino Linotype" w:cstheme="minorHAnsi"/>
                <w:b/>
                <w:i/>
                <w:sz w:val="22"/>
                <w:szCs w:val="22"/>
              </w:rPr>
              <w:t>omunal</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4.935,09</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21"/>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Área verde adicional 1</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1.723,78</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13"/>
        </w:trPr>
        <w:tc>
          <w:tcPr>
            <w:tcW w:w="4097" w:type="dxa"/>
          </w:tcPr>
          <w:p w:rsidR="00580643" w:rsidRPr="000F388A" w:rsidRDefault="00580643" w:rsidP="000F388A">
            <w:pPr>
              <w:pStyle w:val="Ttulo7"/>
              <w:spacing w:before="0"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Área verde en relación al </w:t>
            </w:r>
            <w:r w:rsidR="000F388A">
              <w:rPr>
                <w:rFonts w:ascii="Palatino Linotype" w:hAnsi="Palatino Linotype" w:cstheme="minorHAnsi"/>
                <w:b/>
                <w:i/>
                <w:sz w:val="22"/>
                <w:szCs w:val="22"/>
              </w:rPr>
              <w:t>á</w:t>
            </w:r>
            <w:r w:rsidRPr="000F388A">
              <w:rPr>
                <w:rFonts w:ascii="Palatino Linotype" w:hAnsi="Palatino Linotype" w:cstheme="minorHAnsi"/>
                <w:b/>
                <w:i/>
                <w:sz w:val="22"/>
                <w:szCs w:val="22"/>
              </w:rPr>
              <w:t xml:space="preserve">rea </w:t>
            </w:r>
            <w:r w:rsidR="000F388A">
              <w:rPr>
                <w:rFonts w:ascii="Palatino Linotype" w:hAnsi="Palatino Linotype" w:cstheme="minorHAnsi"/>
                <w:b/>
                <w:i/>
                <w:sz w:val="22"/>
                <w:szCs w:val="22"/>
              </w:rPr>
              <w:t>ú</w:t>
            </w:r>
            <w:r w:rsidRPr="000F388A">
              <w:rPr>
                <w:rFonts w:ascii="Palatino Linotype" w:hAnsi="Palatino Linotype" w:cstheme="minorHAnsi"/>
                <w:b/>
                <w:i/>
                <w:sz w:val="22"/>
                <w:szCs w:val="22"/>
              </w:rPr>
              <w:t xml:space="preserve">til de </w:t>
            </w:r>
            <w:r w:rsidR="000F388A">
              <w:rPr>
                <w:rFonts w:ascii="Palatino Linotype" w:hAnsi="Palatino Linotype" w:cstheme="minorHAnsi"/>
                <w:b/>
                <w:i/>
                <w:sz w:val="22"/>
                <w:szCs w:val="22"/>
              </w:rPr>
              <w:t>l</w:t>
            </w:r>
            <w:r w:rsidRPr="000F388A">
              <w:rPr>
                <w:rFonts w:ascii="Palatino Linotype" w:hAnsi="Palatino Linotype" w:cstheme="minorHAnsi"/>
                <w:b/>
                <w:i/>
                <w:sz w:val="22"/>
                <w:szCs w:val="22"/>
              </w:rPr>
              <w:t>otes</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4.935,09</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19"/>
        </w:trPr>
        <w:tc>
          <w:tcPr>
            <w:tcW w:w="4097" w:type="dxa"/>
          </w:tcPr>
          <w:p w:rsidR="00580643" w:rsidRPr="000F388A" w:rsidRDefault="00580643" w:rsidP="000F388A">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 xml:space="preserve">Área </w:t>
            </w:r>
            <w:r w:rsidR="000F388A">
              <w:rPr>
                <w:rFonts w:ascii="Palatino Linotype" w:hAnsi="Palatino Linotype" w:cstheme="minorHAnsi"/>
                <w:b/>
                <w:i/>
                <w:sz w:val="22"/>
                <w:szCs w:val="22"/>
              </w:rPr>
              <w:t>t</w:t>
            </w:r>
            <w:r w:rsidRPr="000F388A">
              <w:rPr>
                <w:rFonts w:ascii="Palatino Linotype" w:hAnsi="Palatino Linotype" w:cstheme="minorHAnsi"/>
                <w:b/>
                <w:i/>
                <w:sz w:val="22"/>
                <w:szCs w:val="22"/>
              </w:rPr>
              <w:t>otal de predio (Lev. Top)</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72.776,83</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r w:rsidR="00580643" w:rsidRPr="000F388A" w:rsidTr="000F388A">
        <w:trPr>
          <w:trHeight w:val="424"/>
        </w:trPr>
        <w:tc>
          <w:tcPr>
            <w:tcW w:w="4097" w:type="dxa"/>
          </w:tcPr>
          <w:p w:rsidR="00580643" w:rsidRPr="000F388A" w:rsidRDefault="00580643" w:rsidP="00580643">
            <w:pPr>
              <w:spacing w:after="240" w:line="276" w:lineRule="auto"/>
              <w:rPr>
                <w:rFonts w:ascii="Palatino Linotype" w:hAnsi="Palatino Linotype" w:cstheme="minorHAnsi"/>
                <w:b/>
                <w:i/>
                <w:sz w:val="22"/>
                <w:szCs w:val="22"/>
              </w:rPr>
            </w:pPr>
            <w:r w:rsidRPr="000F388A">
              <w:rPr>
                <w:rFonts w:ascii="Palatino Linotype" w:hAnsi="Palatino Linotype" w:cstheme="minorHAnsi"/>
                <w:b/>
                <w:i/>
                <w:sz w:val="22"/>
                <w:szCs w:val="22"/>
              </w:rPr>
              <w:t>Área total del predio (escritura)</w:t>
            </w:r>
            <w:r w:rsidR="000F388A">
              <w:rPr>
                <w:rFonts w:ascii="Palatino Linotype" w:hAnsi="Palatino Linotype" w:cstheme="minorHAnsi"/>
                <w:b/>
                <w:i/>
                <w:sz w:val="22"/>
                <w:szCs w:val="22"/>
              </w:rPr>
              <w:t>:</w:t>
            </w:r>
          </w:p>
        </w:tc>
        <w:tc>
          <w:tcPr>
            <w:tcW w:w="4623" w:type="dxa"/>
          </w:tcPr>
          <w:p w:rsidR="00580643" w:rsidRPr="000F388A" w:rsidRDefault="00580643" w:rsidP="00580643">
            <w:pPr>
              <w:spacing w:after="240" w:line="276" w:lineRule="auto"/>
              <w:rPr>
                <w:rFonts w:ascii="Palatino Linotype" w:hAnsi="Palatino Linotype" w:cstheme="minorHAnsi"/>
                <w:i/>
                <w:sz w:val="22"/>
                <w:szCs w:val="22"/>
              </w:rPr>
            </w:pPr>
            <w:r w:rsidRPr="000F388A">
              <w:rPr>
                <w:rFonts w:ascii="Palatino Linotype" w:hAnsi="Palatino Linotype" w:cstheme="minorHAnsi"/>
                <w:i/>
                <w:sz w:val="22"/>
                <w:szCs w:val="22"/>
              </w:rPr>
              <w:t>70.000</w:t>
            </w:r>
            <w:r w:rsidR="000F388A">
              <w:rPr>
                <w:rFonts w:ascii="Palatino Linotype" w:hAnsi="Palatino Linotype" w:cstheme="minorHAnsi"/>
                <w:i/>
                <w:sz w:val="22"/>
                <w:szCs w:val="22"/>
              </w:rPr>
              <w:t xml:space="preserve"> </w:t>
            </w:r>
            <w:r w:rsidR="000F388A" w:rsidRPr="000F388A">
              <w:rPr>
                <w:rFonts w:ascii="Palatino Linotype" w:hAnsi="Palatino Linotype" w:cstheme="minorHAnsi"/>
                <w:i/>
                <w:sz w:val="22"/>
                <w:szCs w:val="22"/>
              </w:rPr>
              <w:t>m</w:t>
            </w:r>
            <w:r w:rsidR="000F388A" w:rsidRPr="000F388A">
              <w:rPr>
                <w:rFonts w:ascii="Palatino Linotype" w:hAnsi="Palatino Linotype" w:cstheme="minorHAnsi"/>
                <w:i/>
                <w:sz w:val="22"/>
                <w:szCs w:val="22"/>
                <w:vertAlign w:val="superscript"/>
              </w:rPr>
              <w:t>2</w:t>
            </w:r>
          </w:p>
        </w:tc>
      </w:tr>
    </w:tbl>
    <w:p w:rsidR="000F388A" w:rsidRDefault="00580643" w:rsidP="000F388A">
      <w:pPr>
        <w:pStyle w:val="Prrafodelista"/>
        <w:spacing w:after="240" w:line="276" w:lineRule="auto"/>
        <w:jc w:val="both"/>
        <w:rPr>
          <w:rFonts w:ascii="Palatino Linotype" w:hAnsi="Palatino Linotype" w:cstheme="minorHAnsi"/>
          <w:i/>
          <w:sz w:val="22"/>
          <w:szCs w:val="22"/>
        </w:rPr>
      </w:pPr>
      <w:r w:rsidRPr="000F388A">
        <w:rPr>
          <w:rFonts w:ascii="Palatino Linotype" w:hAnsi="Palatino Linotype" w:cstheme="minorHAnsi"/>
          <w:i/>
          <w:sz w:val="22"/>
          <w:szCs w:val="22"/>
        </w:rPr>
        <w:t>El número total de lotes es de 65, signados del uno (1)  al sesenta y cinco (65) cuyo detalle es el que consta en el plano aprobatorio que forma parte integrante de la presente reforma de ordenanza</w:t>
      </w:r>
      <w:r w:rsidR="000F388A">
        <w:rPr>
          <w:rFonts w:ascii="Palatino Linotype" w:hAnsi="Palatino Linotype" w:cstheme="minorHAnsi"/>
          <w:i/>
          <w:sz w:val="22"/>
          <w:szCs w:val="22"/>
        </w:rPr>
        <w:t>.</w:t>
      </w:r>
    </w:p>
    <w:p w:rsidR="000F388A" w:rsidRDefault="00580643" w:rsidP="000F388A">
      <w:pPr>
        <w:pStyle w:val="Prrafodelista"/>
        <w:spacing w:after="240" w:line="276" w:lineRule="auto"/>
        <w:jc w:val="both"/>
        <w:rPr>
          <w:rFonts w:ascii="Palatino Linotype" w:hAnsi="Palatino Linotype" w:cstheme="minorHAnsi"/>
          <w:i/>
          <w:sz w:val="22"/>
          <w:szCs w:val="22"/>
        </w:rPr>
      </w:pPr>
      <w:r w:rsidRPr="000F388A">
        <w:rPr>
          <w:rFonts w:ascii="Palatino Linotype" w:hAnsi="Palatino Linotype" w:cstheme="minorHAnsi"/>
          <w:i/>
          <w:sz w:val="22"/>
          <w:szCs w:val="22"/>
        </w:rPr>
        <w:t>Los lotes N</w:t>
      </w:r>
      <w:r w:rsidR="000F388A">
        <w:rPr>
          <w:rFonts w:ascii="Palatino Linotype" w:hAnsi="Palatino Linotype" w:cstheme="minorHAnsi"/>
          <w:i/>
          <w:sz w:val="22"/>
          <w:szCs w:val="22"/>
        </w:rPr>
        <w:t xml:space="preserve">os. </w:t>
      </w:r>
      <w:r w:rsidRPr="000F388A">
        <w:rPr>
          <w:rFonts w:ascii="Palatino Linotype" w:hAnsi="Palatino Linotype" w:cstheme="minorHAnsi"/>
          <w:i/>
          <w:sz w:val="22"/>
          <w:szCs w:val="22"/>
        </w:rPr>
        <w:t>22,</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23,</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24,</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25,</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26,</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27,</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28,</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29,</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34,</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35,</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36,</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37,</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38,</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39,</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46,</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47,</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49,</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51,</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53,</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54,</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55,</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57,</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60,</w:t>
      </w:r>
      <w:r w:rsidR="000F388A">
        <w:rPr>
          <w:rFonts w:ascii="Palatino Linotype" w:hAnsi="Palatino Linotype" w:cstheme="minorHAnsi"/>
          <w:i/>
          <w:sz w:val="22"/>
          <w:szCs w:val="22"/>
        </w:rPr>
        <w:t xml:space="preserve"> </w:t>
      </w:r>
      <w:r w:rsidRPr="000F388A">
        <w:rPr>
          <w:rFonts w:ascii="Palatino Linotype" w:hAnsi="Palatino Linotype" w:cstheme="minorHAnsi"/>
          <w:i/>
          <w:sz w:val="22"/>
          <w:szCs w:val="22"/>
        </w:rPr>
        <w:t>62</w:t>
      </w:r>
      <w:r w:rsidR="000F388A">
        <w:rPr>
          <w:rFonts w:ascii="Palatino Linotype" w:hAnsi="Palatino Linotype" w:cstheme="minorHAnsi"/>
          <w:i/>
          <w:sz w:val="22"/>
          <w:szCs w:val="22"/>
        </w:rPr>
        <w:t xml:space="preserve"> y </w:t>
      </w:r>
      <w:r w:rsidRPr="000F388A">
        <w:rPr>
          <w:rFonts w:ascii="Palatino Linotype" w:hAnsi="Palatino Linotype" w:cstheme="minorHAnsi"/>
          <w:i/>
          <w:sz w:val="22"/>
          <w:szCs w:val="22"/>
        </w:rPr>
        <w:t>63</w:t>
      </w:r>
      <w:r w:rsidR="000F388A">
        <w:rPr>
          <w:rFonts w:ascii="Palatino Linotype" w:hAnsi="Palatino Linotype" w:cstheme="minorHAnsi"/>
          <w:i/>
          <w:sz w:val="22"/>
          <w:szCs w:val="22"/>
        </w:rPr>
        <w:t>,</w:t>
      </w:r>
      <w:r w:rsidRPr="000F388A">
        <w:rPr>
          <w:rFonts w:ascii="Palatino Linotype" w:hAnsi="Palatino Linotype" w:cstheme="minorHAnsi"/>
          <w:i/>
          <w:sz w:val="22"/>
          <w:szCs w:val="22"/>
        </w:rPr>
        <w:t xml:space="preserve"> tienen afectación vial variable, </w:t>
      </w:r>
      <w:r w:rsidR="000F388A">
        <w:rPr>
          <w:rFonts w:ascii="Palatino Linotype" w:hAnsi="Palatino Linotype" w:cstheme="minorHAnsi"/>
          <w:i/>
          <w:sz w:val="22"/>
          <w:szCs w:val="22"/>
        </w:rPr>
        <w:t xml:space="preserve">por lo que </w:t>
      </w:r>
      <w:r w:rsidRPr="000F388A">
        <w:rPr>
          <w:rFonts w:ascii="Palatino Linotype" w:hAnsi="Palatino Linotype" w:cstheme="minorHAnsi"/>
          <w:i/>
          <w:sz w:val="22"/>
          <w:szCs w:val="22"/>
        </w:rPr>
        <w:t>debe</w:t>
      </w:r>
      <w:r w:rsidR="000F388A">
        <w:rPr>
          <w:rFonts w:ascii="Palatino Linotype" w:hAnsi="Palatino Linotype" w:cstheme="minorHAnsi"/>
          <w:i/>
          <w:sz w:val="22"/>
          <w:szCs w:val="22"/>
        </w:rPr>
        <w:t>rán</w:t>
      </w:r>
      <w:r w:rsidRPr="000F388A">
        <w:rPr>
          <w:rFonts w:ascii="Palatino Linotype" w:hAnsi="Palatino Linotype" w:cstheme="minorHAnsi"/>
          <w:i/>
          <w:sz w:val="22"/>
          <w:szCs w:val="22"/>
        </w:rPr>
        <w:t xml:space="preserve"> regirse al replanteo de los lotes realizado</w:t>
      </w:r>
      <w:r w:rsidR="000F388A">
        <w:rPr>
          <w:rFonts w:ascii="Palatino Linotype" w:hAnsi="Palatino Linotype" w:cstheme="minorHAnsi"/>
          <w:i/>
          <w:sz w:val="22"/>
          <w:szCs w:val="22"/>
        </w:rPr>
        <w:t>.</w:t>
      </w:r>
    </w:p>
    <w:p w:rsidR="000F388A" w:rsidRDefault="00580643" w:rsidP="000F388A">
      <w:pPr>
        <w:pStyle w:val="Prrafodelista"/>
        <w:spacing w:after="240" w:line="276" w:lineRule="auto"/>
        <w:jc w:val="both"/>
        <w:rPr>
          <w:rFonts w:ascii="Palatino Linotype" w:hAnsi="Palatino Linotype" w:cstheme="minorHAnsi"/>
          <w:i/>
          <w:color w:val="000000"/>
          <w:sz w:val="22"/>
          <w:szCs w:val="22"/>
        </w:rPr>
      </w:pPr>
      <w:r w:rsidRPr="000F388A">
        <w:rPr>
          <w:rFonts w:ascii="Palatino Linotype" w:hAnsi="Palatino Linotype" w:cstheme="minorHAnsi"/>
          <w:i/>
          <w:color w:val="000000"/>
          <w:sz w:val="22"/>
          <w:szCs w:val="22"/>
        </w:rPr>
        <w:lastRenderedPageBreak/>
        <w:t>Los lotes N</w:t>
      </w:r>
      <w:r w:rsidR="000F388A">
        <w:rPr>
          <w:rFonts w:ascii="Palatino Linotype" w:hAnsi="Palatino Linotype" w:cstheme="minorHAnsi"/>
          <w:i/>
          <w:color w:val="000000"/>
          <w:sz w:val="22"/>
          <w:szCs w:val="22"/>
        </w:rPr>
        <w:t>os.</w:t>
      </w:r>
      <w:r w:rsidRPr="000F388A">
        <w:rPr>
          <w:rFonts w:ascii="Palatino Linotype" w:hAnsi="Palatino Linotype" w:cstheme="minorHAnsi"/>
          <w:i/>
          <w:color w:val="000000"/>
          <w:sz w:val="22"/>
          <w:szCs w:val="22"/>
        </w:rPr>
        <w:t xml:space="preserve"> 11 y 21 se encuentran total mente ubicados en una zona de </w:t>
      </w:r>
      <w:r w:rsidR="000F388A">
        <w:rPr>
          <w:rFonts w:ascii="Palatino Linotype" w:hAnsi="Palatino Linotype" w:cstheme="minorHAnsi"/>
          <w:i/>
          <w:color w:val="000000"/>
          <w:sz w:val="22"/>
          <w:szCs w:val="22"/>
        </w:rPr>
        <w:t>p</w:t>
      </w:r>
      <w:r w:rsidRPr="000F388A">
        <w:rPr>
          <w:rFonts w:ascii="Palatino Linotype" w:hAnsi="Palatino Linotype" w:cstheme="minorHAnsi"/>
          <w:i/>
          <w:color w:val="000000"/>
          <w:sz w:val="22"/>
          <w:szCs w:val="22"/>
        </w:rPr>
        <w:t xml:space="preserve">rotección </w:t>
      </w:r>
      <w:r w:rsidR="000F388A">
        <w:rPr>
          <w:rFonts w:ascii="Palatino Linotype" w:hAnsi="Palatino Linotype" w:cstheme="minorHAnsi"/>
          <w:i/>
          <w:color w:val="000000"/>
          <w:sz w:val="22"/>
          <w:szCs w:val="22"/>
        </w:rPr>
        <w:t>e</w:t>
      </w:r>
      <w:r w:rsidRPr="000F388A">
        <w:rPr>
          <w:rFonts w:ascii="Palatino Linotype" w:hAnsi="Palatino Linotype" w:cstheme="minorHAnsi"/>
          <w:i/>
          <w:color w:val="000000"/>
          <w:sz w:val="22"/>
          <w:szCs w:val="22"/>
        </w:rPr>
        <w:t>cológica, por lo que mantendrán su zonificación actual.</w:t>
      </w:r>
    </w:p>
    <w:p w:rsidR="000F388A" w:rsidRDefault="00580643" w:rsidP="000F388A">
      <w:pPr>
        <w:pStyle w:val="Prrafodelista"/>
        <w:spacing w:after="240" w:line="276" w:lineRule="auto"/>
        <w:jc w:val="both"/>
        <w:rPr>
          <w:rFonts w:ascii="Palatino Linotype" w:hAnsi="Palatino Linotype" w:cstheme="minorHAnsi"/>
          <w:i/>
          <w:color w:val="000000"/>
          <w:sz w:val="22"/>
          <w:szCs w:val="22"/>
        </w:rPr>
      </w:pPr>
      <w:r w:rsidRPr="000F388A">
        <w:rPr>
          <w:rFonts w:ascii="Palatino Linotype" w:hAnsi="Palatino Linotype" w:cstheme="minorHAnsi"/>
          <w:i/>
          <w:color w:val="000000"/>
          <w:sz w:val="22"/>
          <w:szCs w:val="22"/>
        </w:rPr>
        <w:t>El lote N</w:t>
      </w:r>
      <w:r w:rsidR="000F388A">
        <w:rPr>
          <w:rFonts w:ascii="Palatino Linotype" w:hAnsi="Palatino Linotype" w:cstheme="minorHAnsi"/>
          <w:i/>
          <w:color w:val="000000"/>
          <w:sz w:val="22"/>
          <w:szCs w:val="22"/>
        </w:rPr>
        <w:t>o.</w:t>
      </w:r>
      <w:r w:rsidRPr="000F388A">
        <w:rPr>
          <w:rFonts w:ascii="Palatino Linotype" w:hAnsi="Palatino Linotype" w:cstheme="minorHAnsi"/>
          <w:i/>
          <w:color w:val="000000"/>
          <w:sz w:val="22"/>
          <w:szCs w:val="22"/>
        </w:rPr>
        <w:t xml:space="preserve"> 19 cuenta con zonificación </w:t>
      </w:r>
      <w:r w:rsidRPr="000F388A">
        <w:rPr>
          <w:rFonts w:ascii="Palatino Linotype" w:hAnsi="Palatino Linotype" w:cstheme="minorHAnsi"/>
          <w:i/>
          <w:sz w:val="22"/>
          <w:szCs w:val="22"/>
        </w:rPr>
        <w:t xml:space="preserve">D3 (D203-80) y </w:t>
      </w:r>
      <w:r w:rsidRPr="000F388A">
        <w:rPr>
          <w:rFonts w:ascii="Palatino Linotype" w:hAnsi="Palatino Linotype" w:cstheme="minorHAnsi"/>
          <w:i/>
          <w:color w:val="000000"/>
          <w:sz w:val="22"/>
          <w:szCs w:val="22"/>
        </w:rPr>
        <w:t>A7 (A50002-1), por lo que se mantendrá con la zonificaci</w:t>
      </w:r>
      <w:r w:rsidR="000F388A">
        <w:rPr>
          <w:rFonts w:ascii="Palatino Linotype" w:hAnsi="Palatino Linotype" w:cstheme="minorHAnsi"/>
          <w:i/>
          <w:color w:val="000000"/>
          <w:sz w:val="22"/>
          <w:szCs w:val="22"/>
        </w:rPr>
        <w:t>ón</w:t>
      </w:r>
      <w:r w:rsidRPr="000F388A">
        <w:rPr>
          <w:rFonts w:ascii="Palatino Linotype" w:hAnsi="Palatino Linotype" w:cstheme="minorHAnsi"/>
          <w:i/>
          <w:color w:val="000000"/>
          <w:sz w:val="22"/>
          <w:szCs w:val="22"/>
        </w:rPr>
        <w:t xml:space="preserve"> actual.</w:t>
      </w:r>
    </w:p>
    <w:p w:rsidR="000F388A" w:rsidRDefault="00580643" w:rsidP="000F388A">
      <w:pPr>
        <w:pStyle w:val="Prrafodelista"/>
        <w:spacing w:after="240" w:line="276" w:lineRule="auto"/>
        <w:jc w:val="both"/>
        <w:rPr>
          <w:rFonts w:ascii="Palatino Linotype" w:hAnsi="Palatino Linotype" w:cstheme="minorHAnsi"/>
          <w:i/>
          <w:color w:val="000000"/>
          <w:sz w:val="22"/>
          <w:szCs w:val="22"/>
        </w:rPr>
      </w:pPr>
      <w:r w:rsidRPr="000F388A">
        <w:rPr>
          <w:rFonts w:ascii="Palatino Linotype" w:hAnsi="Palatino Linotype" w:cstheme="minorHAnsi"/>
          <w:i/>
          <w:color w:val="000000"/>
          <w:sz w:val="22"/>
          <w:szCs w:val="22"/>
        </w:rPr>
        <w:t xml:space="preserve">El lote </w:t>
      </w:r>
      <w:r w:rsidR="000F388A">
        <w:rPr>
          <w:rFonts w:ascii="Palatino Linotype" w:hAnsi="Palatino Linotype" w:cstheme="minorHAnsi"/>
          <w:i/>
          <w:color w:val="000000"/>
          <w:sz w:val="22"/>
          <w:szCs w:val="22"/>
        </w:rPr>
        <w:t xml:space="preserve">No. </w:t>
      </w:r>
      <w:r w:rsidRPr="000F388A">
        <w:rPr>
          <w:rFonts w:ascii="Palatino Linotype" w:hAnsi="Palatino Linotype" w:cstheme="minorHAnsi"/>
          <w:i/>
          <w:color w:val="000000"/>
          <w:sz w:val="22"/>
          <w:szCs w:val="22"/>
        </w:rPr>
        <w:t>11 se encuentran una franja de expropiación vial, según la resolución N</w:t>
      </w:r>
      <w:r w:rsidR="00B21732">
        <w:rPr>
          <w:rFonts w:ascii="Palatino Linotype" w:hAnsi="Palatino Linotype" w:cstheme="minorHAnsi"/>
          <w:i/>
          <w:color w:val="000000"/>
          <w:sz w:val="22"/>
          <w:szCs w:val="22"/>
        </w:rPr>
        <w:t xml:space="preserve">o. </w:t>
      </w:r>
      <w:r w:rsidRPr="000F388A">
        <w:rPr>
          <w:rFonts w:ascii="Palatino Linotype" w:hAnsi="Palatino Linotype" w:cstheme="minorHAnsi"/>
          <w:i/>
          <w:color w:val="000000"/>
          <w:sz w:val="22"/>
          <w:szCs w:val="22"/>
        </w:rPr>
        <w:t>149/ 2012</w:t>
      </w:r>
      <w:r w:rsidR="00B21732">
        <w:rPr>
          <w:rFonts w:ascii="Palatino Linotype" w:hAnsi="Palatino Linotype" w:cstheme="minorHAnsi"/>
          <w:i/>
          <w:color w:val="000000"/>
          <w:sz w:val="22"/>
          <w:szCs w:val="22"/>
        </w:rPr>
        <w:t>,</w:t>
      </w:r>
      <w:r w:rsidRPr="000F388A">
        <w:rPr>
          <w:rFonts w:ascii="Palatino Linotype" w:hAnsi="Palatino Linotype" w:cstheme="minorHAnsi"/>
          <w:i/>
          <w:color w:val="000000"/>
          <w:sz w:val="22"/>
          <w:szCs w:val="22"/>
        </w:rPr>
        <w:t xml:space="preserve"> en un área de 1439,65</w:t>
      </w:r>
      <w:r w:rsidR="00B21732">
        <w:rPr>
          <w:rFonts w:ascii="Palatino Linotype" w:hAnsi="Palatino Linotype" w:cstheme="minorHAnsi"/>
          <w:i/>
          <w:color w:val="000000"/>
          <w:sz w:val="22"/>
          <w:szCs w:val="22"/>
        </w:rPr>
        <w:t xml:space="preserve"> </w:t>
      </w:r>
      <w:r w:rsidRPr="000F388A">
        <w:rPr>
          <w:rFonts w:ascii="Palatino Linotype" w:hAnsi="Palatino Linotype" w:cstheme="minorHAnsi"/>
          <w:i/>
          <w:color w:val="000000"/>
          <w:sz w:val="22"/>
          <w:szCs w:val="22"/>
        </w:rPr>
        <w:t>m</w:t>
      </w:r>
      <w:r w:rsidRPr="00B21732">
        <w:rPr>
          <w:rFonts w:ascii="Palatino Linotype" w:hAnsi="Palatino Linotype" w:cstheme="minorHAnsi"/>
          <w:i/>
          <w:color w:val="000000"/>
          <w:sz w:val="22"/>
          <w:szCs w:val="22"/>
          <w:vertAlign w:val="superscript"/>
        </w:rPr>
        <w:t>2</w:t>
      </w:r>
      <w:r w:rsidRPr="000F388A">
        <w:rPr>
          <w:rFonts w:ascii="Palatino Linotype" w:hAnsi="Palatino Linotype" w:cstheme="minorHAnsi"/>
          <w:i/>
          <w:color w:val="000000"/>
          <w:sz w:val="22"/>
          <w:szCs w:val="22"/>
        </w:rPr>
        <w:t>.</w:t>
      </w:r>
    </w:p>
    <w:p w:rsidR="00580643" w:rsidRPr="000F388A" w:rsidRDefault="00B21732" w:rsidP="000F388A">
      <w:pPr>
        <w:pStyle w:val="Prrafodelista"/>
        <w:spacing w:after="240" w:line="276" w:lineRule="auto"/>
        <w:jc w:val="both"/>
        <w:rPr>
          <w:rFonts w:ascii="Palatino Linotype" w:hAnsi="Palatino Linotype" w:cstheme="minorHAnsi"/>
          <w:i/>
          <w:sz w:val="22"/>
          <w:szCs w:val="22"/>
        </w:rPr>
      </w:pPr>
      <w:r>
        <w:rPr>
          <w:rFonts w:ascii="Palatino Linotype" w:hAnsi="Palatino Linotype" w:cstheme="minorHAnsi"/>
          <w:i/>
          <w:color w:val="000000"/>
          <w:sz w:val="22"/>
          <w:szCs w:val="22"/>
        </w:rPr>
        <w:t>Los</w:t>
      </w:r>
      <w:r w:rsidR="00580643" w:rsidRPr="000F388A">
        <w:rPr>
          <w:rFonts w:ascii="Palatino Linotype" w:hAnsi="Palatino Linotype" w:cstheme="minorHAnsi"/>
          <w:i/>
          <w:color w:val="000000"/>
          <w:sz w:val="22"/>
          <w:szCs w:val="22"/>
        </w:rPr>
        <w:t xml:space="preserve"> lote</w:t>
      </w:r>
      <w:r>
        <w:rPr>
          <w:rFonts w:ascii="Palatino Linotype" w:hAnsi="Palatino Linotype" w:cstheme="minorHAnsi"/>
          <w:i/>
          <w:color w:val="000000"/>
          <w:sz w:val="22"/>
          <w:szCs w:val="22"/>
        </w:rPr>
        <w:t>s</w:t>
      </w:r>
      <w:r w:rsidR="00580643" w:rsidRPr="000F388A">
        <w:rPr>
          <w:rFonts w:ascii="Palatino Linotype" w:hAnsi="Palatino Linotype" w:cstheme="minorHAnsi"/>
          <w:i/>
          <w:color w:val="000000"/>
          <w:sz w:val="22"/>
          <w:szCs w:val="22"/>
        </w:rPr>
        <w:t xml:space="preserve"> N</w:t>
      </w:r>
      <w:r>
        <w:rPr>
          <w:rFonts w:ascii="Palatino Linotype" w:hAnsi="Palatino Linotype" w:cstheme="minorHAnsi"/>
          <w:i/>
          <w:color w:val="000000"/>
          <w:sz w:val="22"/>
          <w:szCs w:val="22"/>
        </w:rPr>
        <w:t>os.</w:t>
      </w:r>
      <w:r w:rsidR="00580643" w:rsidRPr="000F388A">
        <w:rPr>
          <w:rFonts w:ascii="Palatino Linotype" w:hAnsi="Palatino Linotype" w:cstheme="minorHAnsi"/>
          <w:i/>
          <w:color w:val="000000"/>
          <w:sz w:val="22"/>
          <w:szCs w:val="22"/>
        </w:rPr>
        <w:t xml:space="preserve"> 11, 15, 16, 20</w:t>
      </w:r>
      <w:r>
        <w:rPr>
          <w:rFonts w:ascii="Palatino Linotype" w:hAnsi="Palatino Linotype" w:cstheme="minorHAnsi"/>
          <w:i/>
          <w:color w:val="000000"/>
          <w:sz w:val="22"/>
          <w:szCs w:val="22"/>
        </w:rPr>
        <w:t xml:space="preserve"> y</w:t>
      </w:r>
      <w:r w:rsidR="00580643" w:rsidRPr="000F388A">
        <w:rPr>
          <w:rFonts w:ascii="Palatino Linotype" w:hAnsi="Palatino Linotype" w:cstheme="minorHAnsi"/>
          <w:i/>
          <w:color w:val="000000"/>
          <w:sz w:val="22"/>
          <w:szCs w:val="22"/>
        </w:rPr>
        <w:t xml:space="preserve"> 21, se encuentran parcialmente afectados por la faja de protección por </w:t>
      </w:r>
      <w:r>
        <w:rPr>
          <w:rFonts w:ascii="Palatino Linotype" w:hAnsi="Palatino Linotype" w:cstheme="minorHAnsi"/>
          <w:i/>
          <w:color w:val="000000"/>
          <w:sz w:val="22"/>
          <w:szCs w:val="22"/>
        </w:rPr>
        <w:t>r</w:t>
      </w:r>
      <w:r w:rsidR="00580643" w:rsidRPr="000F388A">
        <w:rPr>
          <w:rFonts w:ascii="Palatino Linotype" w:hAnsi="Palatino Linotype" w:cstheme="minorHAnsi"/>
          <w:i/>
          <w:color w:val="000000"/>
          <w:sz w:val="22"/>
          <w:szCs w:val="22"/>
        </w:rPr>
        <w:t xml:space="preserve">ed de </w:t>
      </w:r>
      <w:r>
        <w:rPr>
          <w:rFonts w:ascii="Palatino Linotype" w:hAnsi="Palatino Linotype" w:cstheme="minorHAnsi"/>
          <w:i/>
          <w:color w:val="000000"/>
          <w:sz w:val="22"/>
          <w:szCs w:val="22"/>
        </w:rPr>
        <w:t>a</w:t>
      </w:r>
      <w:r w:rsidR="00580643" w:rsidRPr="000F388A">
        <w:rPr>
          <w:rFonts w:ascii="Palatino Linotype" w:hAnsi="Palatino Linotype" w:cstheme="minorHAnsi"/>
          <w:i/>
          <w:color w:val="000000"/>
          <w:sz w:val="22"/>
          <w:szCs w:val="22"/>
        </w:rPr>
        <w:t xml:space="preserve">lta </w:t>
      </w:r>
      <w:r>
        <w:rPr>
          <w:rFonts w:ascii="Palatino Linotype" w:hAnsi="Palatino Linotype" w:cstheme="minorHAnsi"/>
          <w:i/>
          <w:color w:val="000000"/>
          <w:sz w:val="22"/>
          <w:szCs w:val="22"/>
        </w:rPr>
        <w:t>t</w:t>
      </w:r>
      <w:r w:rsidR="00580643" w:rsidRPr="000F388A">
        <w:rPr>
          <w:rFonts w:ascii="Palatino Linotype" w:hAnsi="Palatino Linotype" w:cstheme="minorHAnsi"/>
          <w:i/>
          <w:color w:val="000000"/>
          <w:sz w:val="22"/>
          <w:szCs w:val="22"/>
        </w:rPr>
        <w:t>ensión.</w:t>
      </w:r>
      <w:r w:rsidR="000F388A">
        <w:rPr>
          <w:rFonts w:ascii="Palatino Linotype" w:hAnsi="Palatino Linotype" w:cstheme="minorHAnsi"/>
          <w:i/>
          <w:color w:val="000000"/>
          <w:sz w:val="22"/>
          <w:szCs w:val="22"/>
        </w:rPr>
        <w:t>”</w:t>
      </w:r>
    </w:p>
    <w:p w:rsidR="00B21732" w:rsidRPr="00580643" w:rsidRDefault="00B21732" w:rsidP="00B21732">
      <w:pPr>
        <w:pStyle w:val="Ttulo7"/>
        <w:spacing w:before="0" w:after="240" w:line="276" w:lineRule="auto"/>
        <w:rPr>
          <w:rFonts w:ascii="Palatino Linotype" w:hAnsi="Palatino Linotype" w:cstheme="minorHAnsi"/>
          <w:bCs/>
          <w:sz w:val="22"/>
          <w:szCs w:val="22"/>
        </w:rPr>
      </w:pPr>
      <w:r>
        <w:rPr>
          <w:rFonts w:ascii="Palatino Linotype" w:hAnsi="Palatino Linotype" w:cstheme="minorHAnsi"/>
          <w:b/>
          <w:bCs/>
          <w:sz w:val="22"/>
          <w:szCs w:val="22"/>
        </w:rPr>
        <w:t xml:space="preserve">Artículo 2.- </w:t>
      </w:r>
      <w:r w:rsidRPr="00580643">
        <w:rPr>
          <w:rFonts w:ascii="Palatino Linotype" w:hAnsi="Palatino Linotype" w:cstheme="minorHAnsi"/>
          <w:bCs/>
          <w:sz w:val="22"/>
          <w:szCs w:val="22"/>
        </w:rPr>
        <w:t xml:space="preserve">Sustitúyase el </w:t>
      </w:r>
      <w:r>
        <w:rPr>
          <w:rFonts w:ascii="Palatino Linotype" w:hAnsi="Palatino Linotype" w:cstheme="minorHAnsi"/>
          <w:bCs/>
          <w:sz w:val="22"/>
          <w:szCs w:val="22"/>
        </w:rPr>
        <w:t>a</w:t>
      </w:r>
      <w:r w:rsidRPr="00580643">
        <w:rPr>
          <w:rFonts w:ascii="Palatino Linotype" w:hAnsi="Palatino Linotype" w:cstheme="minorHAnsi"/>
          <w:bCs/>
          <w:sz w:val="22"/>
          <w:szCs w:val="22"/>
        </w:rPr>
        <w:t xml:space="preserve">rtículo </w:t>
      </w:r>
      <w:r>
        <w:rPr>
          <w:rFonts w:ascii="Palatino Linotype" w:hAnsi="Palatino Linotype" w:cstheme="minorHAnsi"/>
          <w:bCs/>
          <w:sz w:val="22"/>
          <w:szCs w:val="22"/>
        </w:rPr>
        <w:t>4</w:t>
      </w:r>
      <w:r w:rsidRPr="00580643">
        <w:rPr>
          <w:rFonts w:ascii="Palatino Linotype" w:hAnsi="Palatino Linotype" w:cstheme="minorHAnsi"/>
          <w:bCs/>
          <w:sz w:val="22"/>
          <w:szCs w:val="22"/>
        </w:rPr>
        <w:t xml:space="preserve"> de la Ordenanza N</w:t>
      </w:r>
      <w:r>
        <w:rPr>
          <w:rFonts w:ascii="Palatino Linotype" w:hAnsi="Palatino Linotype" w:cstheme="minorHAnsi"/>
          <w:bCs/>
          <w:sz w:val="22"/>
          <w:szCs w:val="22"/>
        </w:rPr>
        <w:t>o.</w:t>
      </w:r>
      <w:r w:rsidRPr="00580643">
        <w:rPr>
          <w:rFonts w:ascii="Palatino Linotype" w:hAnsi="Palatino Linotype" w:cstheme="minorHAnsi"/>
          <w:bCs/>
          <w:sz w:val="22"/>
          <w:szCs w:val="22"/>
        </w:rPr>
        <w:t xml:space="preserve"> 0313</w:t>
      </w:r>
      <w:r>
        <w:rPr>
          <w:rFonts w:ascii="Palatino Linotype" w:hAnsi="Palatino Linotype" w:cstheme="minorHAnsi"/>
          <w:bCs/>
          <w:sz w:val="22"/>
          <w:szCs w:val="22"/>
        </w:rPr>
        <w:t>,</w:t>
      </w:r>
      <w:r w:rsidRPr="00580643">
        <w:rPr>
          <w:rFonts w:ascii="Palatino Linotype" w:hAnsi="Palatino Linotype" w:cstheme="minorHAnsi"/>
          <w:bCs/>
          <w:sz w:val="22"/>
          <w:szCs w:val="22"/>
        </w:rPr>
        <w:t xml:space="preserve"> por el siguiente texto:</w:t>
      </w:r>
    </w:p>
    <w:p w:rsidR="00580643" w:rsidRPr="00B21732" w:rsidRDefault="00B21732" w:rsidP="00B21732">
      <w:pPr>
        <w:spacing w:after="240" w:line="276" w:lineRule="auto"/>
        <w:ind w:left="708"/>
        <w:jc w:val="both"/>
        <w:rPr>
          <w:rFonts w:ascii="Palatino Linotype" w:hAnsi="Palatino Linotype" w:cstheme="minorHAnsi"/>
          <w:bCs/>
          <w:i/>
          <w:sz w:val="22"/>
          <w:szCs w:val="22"/>
        </w:rPr>
      </w:pPr>
      <w:r w:rsidRPr="00B21732">
        <w:rPr>
          <w:rFonts w:ascii="Palatino Linotype" w:hAnsi="Palatino Linotype" w:cstheme="minorHAnsi"/>
          <w:b/>
          <w:bCs/>
          <w:i/>
          <w:sz w:val="22"/>
          <w:szCs w:val="22"/>
        </w:rPr>
        <w:t xml:space="preserve">“Artículo 4.- </w:t>
      </w:r>
      <w:r w:rsidR="00580643" w:rsidRPr="00B21732">
        <w:rPr>
          <w:rFonts w:ascii="Palatino Linotype" w:hAnsi="Palatino Linotype" w:cstheme="minorHAnsi"/>
          <w:b/>
          <w:bCs/>
          <w:i/>
          <w:sz w:val="22"/>
          <w:szCs w:val="22"/>
        </w:rPr>
        <w:t xml:space="preserve">Del área verde y área de equipamiento comunal.- </w:t>
      </w:r>
      <w:r w:rsidR="00580643" w:rsidRPr="00B21732">
        <w:rPr>
          <w:rFonts w:ascii="Palatino Linotype" w:hAnsi="Palatino Linotype" w:cstheme="minorHAnsi"/>
          <w:bCs/>
          <w:i/>
          <w:sz w:val="22"/>
          <w:szCs w:val="22"/>
        </w:rPr>
        <w:t xml:space="preserve">Los copropietarios de los inmuebles sobre los cuales se asienta el </w:t>
      </w:r>
      <w:r w:rsidRPr="00B21732">
        <w:rPr>
          <w:rFonts w:ascii="Palatino Linotype" w:hAnsi="Palatino Linotype" w:cstheme="minorHAnsi"/>
          <w:bCs/>
          <w:i/>
          <w:sz w:val="22"/>
          <w:szCs w:val="22"/>
        </w:rPr>
        <w:t xml:space="preserve">Comité Pro-Mejoras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el Barrio San José Obrero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 </w:t>
      </w:r>
      <w:proofErr w:type="spellStart"/>
      <w:r w:rsidRPr="00B21732">
        <w:rPr>
          <w:rFonts w:ascii="Palatino Linotype" w:hAnsi="Palatino Linotype" w:cstheme="minorHAnsi"/>
          <w:bCs/>
          <w:i/>
          <w:sz w:val="22"/>
          <w:szCs w:val="22"/>
        </w:rPr>
        <w:t>Cotocollao</w:t>
      </w:r>
      <w:proofErr w:type="spellEnd"/>
      <w:r>
        <w:rPr>
          <w:rFonts w:ascii="Palatino Linotype" w:hAnsi="Palatino Linotype" w:cstheme="minorHAnsi"/>
          <w:bCs/>
          <w:i/>
          <w:sz w:val="22"/>
          <w:szCs w:val="22"/>
        </w:rPr>
        <w:t>,</w:t>
      </w:r>
      <w:r w:rsidRPr="00B21732">
        <w:rPr>
          <w:rFonts w:ascii="Palatino Linotype" w:hAnsi="Palatino Linotype" w:cstheme="minorHAnsi"/>
          <w:bCs/>
          <w:i/>
          <w:sz w:val="22"/>
          <w:szCs w:val="22"/>
        </w:rPr>
        <w:t xml:space="preserve"> Segunda Etapa</w:t>
      </w:r>
      <w:r>
        <w:rPr>
          <w:rFonts w:ascii="Palatino Linotype" w:hAnsi="Palatino Linotype" w:cstheme="minorHAnsi"/>
          <w:bCs/>
          <w:i/>
          <w:sz w:val="22"/>
          <w:szCs w:val="22"/>
        </w:rPr>
        <w:t>”</w:t>
      </w:r>
      <w:r w:rsidR="00580643" w:rsidRPr="00B21732">
        <w:rPr>
          <w:rFonts w:ascii="Palatino Linotype" w:hAnsi="Palatino Linotype" w:cstheme="minorHAnsi"/>
          <w:bCs/>
          <w:i/>
          <w:sz w:val="22"/>
          <w:szCs w:val="22"/>
        </w:rPr>
        <w:t>, transfieren al Municipio del Distrito Metropolitano de Quito, como contribución de áreas verdes y de equipamiento comunal, un área total de 6.658,87 m</w:t>
      </w:r>
      <w:r w:rsidR="00580643" w:rsidRPr="00B21732">
        <w:rPr>
          <w:rFonts w:ascii="Palatino Linotype" w:hAnsi="Palatino Linotype" w:cstheme="minorHAnsi"/>
          <w:bCs/>
          <w:i/>
          <w:sz w:val="22"/>
          <w:szCs w:val="22"/>
          <w:vertAlign w:val="superscript"/>
        </w:rPr>
        <w:t>2</w:t>
      </w:r>
      <w:r w:rsidR="00580643" w:rsidRPr="00B21732">
        <w:rPr>
          <w:rFonts w:ascii="Palatino Linotype" w:hAnsi="Palatino Linotype" w:cstheme="minorHAnsi"/>
          <w:bCs/>
          <w:i/>
          <w:sz w:val="22"/>
          <w:szCs w:val="22"/>
        </w:rPr>
        <w:t xml:space="preserve">, del área útil de los lotes, </w:t>
      </w:r>
      <w:r>
        <w:rPr>
          <w:rFonts w:ascii="Palatino Linotype" w:hAnsi="Palatino Linotype" w:cstheme="minorHAnsi"/>
          <w:bCs/>
          <w:i/>
          <w:sz w:val="22"/>
          <w:szCs w:val="22"/>
        </w:rPr>
        <w:t>de conformidad al siguiente detalle</w:t>
      </w:r>
      <w:r w:rsidR="00580643" w:rsidRPr="00B21732">
        <w:rPr>
          <w:rFonts w:ascii="Palatino Linotype" w:hAnsi="Palatino Linotype" w:cstheme="minorHAnsi"/>
          <w:bCs/>
          <w:i/>
          <w:sz w:val="22"/>
          <w:szCs w:val="22"/>
        </w:rPr>
        <w:t>:</w:t>
      </w:r>
    </w:p>
    <w:tbl>
      <w:tblPr>
        <w:tblW w:w="4963"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22"/>
        <w:gridCol w:w="1116"/>
        <w:gridCol w:w="1533"/>
        <w:gridCol w:w="1255"/>
        <w:gridCol w:w="1116"/>
        <w:gridCol w:w="2302"/>
      </w:tblGrid>
      <w:tr w:rsidR="00580643" w:rsidRPr="00B21732" w:rsidTr="00B21732">
        <w:trPr>
          <w:trHeight w:val="454"/>
        </w:trPr>
        <w:tc>
          <w:tcPr>
            <w:tcW w:w="5000" w:type="pct"/>
            <w:gridSpan w:val="6"/>
            <w:shd w:val="clear" w:color="auto" w:fill="auto"/>
            <w:vAlign w:val="center"/>
            <w:hideMark/>
          </w:tcPr>
          <w:p w:rsidR="00580643" w:rsidRPr="00B21732" w:rsidRDefault="00580643" w:rsidP="00B21732">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Á</w:t>
            </w:r>
            <w:r w:rsidR="00B21732">
              <w:rPr>
                <w:rFonts w:ascii="Palatino Linotype" w:hAnsi="Palatino Linotype" w:cstheme="minorHAnsi"/>
                <w:b/>
                <w:bCs/>
                <w:i/>
                <w:sz w:val="22"/>
                <w:szCs w:val="22"/>
                <w:lang w:eastAsia="es-EC"/>
              </w:rPr>
              <w:t>rea verde</w:t>
            </w:r>
            <w:r w:rsidRPr="00B21732">
              <w:rPr>
                <w:rFonts w:ascii="Palatino Linotype" w:hAnsi="Palatino Linotype" w:cstheme="minorHAnsi"/>
                <w:b/>
                <w:bCs/>
                <w:i/>
                <w:sz w:val="22"/>
                <w:szCs w:val="22"/>
                <w:lang w:eastAsia="es-EC"/>
              </w:rPr>
              <w:t xml:space="preserve">  1</w:t>
            </w:r>
          </w:p>
        </w:tc>
      </w:tr>
      <w:tr w:rsidR="00B21732" w:rsidRPr="00B21732" w:rsidTr="00B21732">
        <w:trPr>
          <w:trHeight w:val="300"/>
        </w:trPr>
        <w:tc>
          <w:tcPr>
            <w:tcW w:w="997" w:type="pct"/>
            <w:vMerge w:val="restart"/>
            <w:shd w:val="clear" w:color="auto" w:fill="auto"/>
            <w:vAlign w:val="center"/>
            <w:hideMark/>
          </w:tcPr>
          <w:p w:rsidR="00B21732" w:rsidRPr="00B21732" w:rsidRDefault="00B21732" w:rsidP="00B21732">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 xml:space="preserve">Área </w:t>
            </w:r>
            <w:r>
              <w:rPr>
                <w:rFonts w:ascii="Palatino Linotype" w:hAnsi="Palatino Linotype" w:cstheme="minorHAnsi"/>
                <w:b/>
                <w:bCs/>
                <w:i/>
                <w:sz w:val="22"/>
                <w:szCs w:val="22"/>
                <w:lang w:eastAsia="es-EC"/>
              </w:rPr>
              <w:t>v</w:t>
            </w:r>
            <w:r w:rsidRPr="00B21732">
              <w:rPr>
                <w:rFonts w:ascii="Palatino Linotype" w:hAnsi="Palatino Linotype" w:cstheme="minorHAnsi"/>
                <w:b/>
                <w:bCs/>
                <w:i/>
                <w:sz w:val="22"/>
                <w:szCs w:val="22"/>
                <w:lang w:eastAsia="es-EC"/>
              </w:rPr>
              <w:t>erde 1</w:t>
            </w:r>
          </w:p>
        </w:tc>
        <w:tc>
          <w:tcPr>
            <w:tcW w:w="610" w:type="pct"/>
            <w:shd w:val="clear" w:color="auto" w:fill="auto"/>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 </w:t>
            </w:r>
          </w:p>
        </w:tc>
        <w:tc>
          <w:tcPr>
            <w:tcW w:w="838" w:type="pct"/>
            <w:shd w:val="clear" w:color="auto" w:fill="auto"/>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Lindero</w:t>
            </w:r>
          </w:p>
        </w:tc>
        <w:tc>
          <w:tcPr>
            <w:tcW w:w="686"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En Parte</w:t>
            </w:r>
          </w:p>
        </w:tc>
        <w:tc>
          <w:tcPr>
            <w:tcW w:w="610"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Total</w:t>
            </w:r>
          </w:p>
        </w:tc>
        <w:tc>
          <w:tcPr>
            <w:tcW w:w="1258"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Superficie</w:t>
            </w:r>
          </w:p>
        </w:tc>
      </w:tr>
      <w:tr w:rsidR="00B21732" w:rsidRPr="00B21732" w:rsidTr="00B21732">
        <w:trPr>
          <w:trHeight w:val="300"/>
        </w:trPr>
        <w:tc>
          <w:tcPr>
            <w:tcW w:w="997" w:type="pct"/>
            <w:vMerge/>
            <w:shd w:val="clear" w:color="auto" w:fill="auto"/>
            <w:vAlign w:val="center"/>
            <w:hideMark/>
          </w:tcPr>
          <w:p w:rsidR="00B21732" w:rsidRPr="00B21732" w:rsidRDefault="00B21732" w:rsidP="00B21732">
            <w:pPr>
              <w:spacing w:after="240" w:line="276" w:lineRule="auto"/>
              <w:jc w:val="center"/>
              <w:rPr>
                <w:rFonts w:ascii="Palatino Linotype" w:hAnsi="Palatino Linotype" w:cstheme="minorHAnsi"/>
                <w:b/>
                <w:bCs/>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Norte:</w:t>
            </w:r>
          </w:p>
        </w:tc>
        <w:tc>
          <w:tcPr>
            <w:tcW w:w="838" w:type="pct"/>
            <w:shd w:val="clear" w:color="auto" w:fill="auto"/>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Lote</w:t>
            </w:r>
            <w:r>
              <w:rPr>
                <w:rFonts w:ascii="Palatino Linotype" w:hAnsi="Palatino Linotype" w:cstheme="minorHAnsi"/>
                <w:i/>
                <w:sz w:val="22"/>
                <w:szCs w:val="22"/>
                <w:lang w:eastAsia="es-EC"/>
              </w:rPr>
              <w:t xml:space="preserve"> No.</w:t>
            </w:r>
            <w:r w:rsidRPr="00B21732">
              <w:rPr>
                <w:rFonts w:ascii="Palatino Linotype" w:hAnsi="Palatino Linotype" w:cstheme="minorHAnsi"/>
                <w:i/>
                <w:sz w:val="22"/>
                <w:szCs w:val="22"/>
                <w:lang w:eastAsia="es-EC"/>
              </w:rPr>
              <w:t xml:space="preserve"> 65</w:t>
            </w:r>
          </w:p>
        </w:tc>
        <w:tc>
          <w:tcPr>
            <w:tcW w:w="686" w:type="pct"/>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59,39 m.</w:t>
            </w:r>
          </w:p>
        </w:tc>
        <w:tc>
          <w:tcPr>
            <w:tcW w:w="1258" w:type="pct"/>
            <w:vMerge w:val="restar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Cs/>
                <w:i/>
                <w:sz w:val="22"/>
                <w:szCs w:val="22"/>
                <w:lang w:eastAsia="es-EC"/>
              </w:rPr>
            </w:pPr>
            <w:r w:rsidRPr="00B21732">
              <w:rPr>
                <w:rFonts w:ascii="Palatino Linotype" w:hAnsi="Palatino Linotype" w:cstheme="minorHAnsi"/>
                <w:bCs/>
                <w:i/>
                <w:sz w:val="22"/>
                <w:szCs w:val="22"/>
                <w:lang w:eastAsia="es-EC"/>
              </w:rPr>
              <w:t>4.285,75 m</w:t>
            </w:r>
            <w:r w:rsidRPr="00B21732">
              <w:rPr>
                <w:rFonts w:ascii="Palatino Linotype" w:hAnsi="Palatino Linotype" w:cstheme="minorHAnsi"/>
                <w:bCs/>
                <w:i/>
                <w:sz w:val="22"/>
                <w:szCs w:val="22"/>
                <w:vertAlign w:val="superscript"/>
                <w:lang w:eastAsia="es-EC"/>
              </w:rPr>
              <w:t>2</w:t>
            </w:r>
          </w:p>
        </w:tc>
      </w:tr>
      <w:tr w:rsidR="00B21732" w:rsidRPr="00B21732" w:rsidTr="00B21732">
        <w:trPr>
          <w:trHeight w:val="480"/>
        </w:trPr>
        <w:tc>
          <w:tcPr>
            <w:tcW w:w="997" w:type="pct"/>
            <w:vMerge/>
            <w:shd w:val="clear" w:color="auto" w:fill="auto"/>
            <w:vAlign w:val="center"/>
            <w:hideMark/>
          </w:tcPr>
          <w:p w:rsidR="00B21732" w:rsidRPr="00B21732" w:rsidRDefault="00B21732" w:rsidP="00B21732">
            <w:pPr>
              <w:spacing w:after="240" w:line="276" w:lineRule="auto"/>
              <w:jc w:val="center"/>
              <w:rPr>
                <w:rFonts w:ascii="Palatino Linotype" w:hAnsi="Palatino Linotype" w:cstheme="minorHAnsi"/>
                <w:b/>
                <w:bCs/>
                <w:i/>
                <w:sz w:val="22"/>
                <w:szCs w:val="22"/>
                <w:lang w:eastAsia="es-EC"/>
              </w:rPr>
            </w:pPr>
          </w:p>
        </w:tc>
        <w:tc>
          <w:tcPr>
            <w:tcW w:w="610" w:type="pct"/>
            <w:shd w:val="clear" w:color="auto" w:fill="auto"/>
            <w:vAlign w:val="bottom"/>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Sur:</w:t>
            </w:r>
          </w:p>
        </w:tc>
        <w:tc>
          <w:tcPr>
            <w:tcW w:w="838"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 xml:space="preserve">Lote </w:t>
            </w:r>
            <w:r>
              <w:rPr>
                <w:rFonts w:ascii="Palatino Linotype" w:hAnsi="Palatino Linotype" w:cstheme="minorHAnsi"/>
                <w:i/>
                <w:sz w:val="22"/>
                <w:szCs w:val="22"/>
                <w:lang w:eastAsia="es-EC"/>
              </w:rPr>
              <w:t>No.</w:t>
            </w:r>
            <w:r w:rsidRPr="00B21732">
              <w:rPr>
                <w:rFonts w:ascii="Palatino Linotype" w:hAnsi="Palatino Linotype" w:cstheme="minorHAnsi"/>
                <w:i/>
                <w:sz w:val="22"/>
                <w:szCs w:val="22"/>
                <w:lang w:eastAsia="es-EC"/>
              </w:rPr>
              <w:t>64</w:t>
            </w:r>
          </w:p>
        </w:tc>
        <w:tc>
          <w:tcPr>
            <w:tcW w:w="686"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55,43 m.</w:t>
            </w:r>
          </w:p>
        </w:tc>
        <w:tc>
          <w:tcPr>
            <w:tcW w:w="1258"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r>
      <w:tr w:rsidR="00B21732" w:rsidRPr="00B21732" w:rsidTr="00B21732">
        <w:trPr>
          <w:trHeight w:val="84"/>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p>
        </w:tc>
        <w:tc>
          <w:tcPr>
            <w:tcW w:w="838" w:type="pct"/>
            <w:vMerge w:val="restar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Calle La Unión</w:t>
            </w:r>
          </w:p>
        </w:tc>
        <w:tc>
          <w:tcPr>
            <w:tcW w:w="686" w:type="pct"/>
            <w:vMerge w:val="restar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vMerge w:val="restar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73,84</w:t>
            </w: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B21732" w:rsidRPr="00B21732" w:rsidTr="00B21732">
        <w:trPr>
          <w:trHeight w:val="97"/>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vAlign w:val="bottom"/>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Este:</w:t>
            </w:r>
          </w:p>
        </w:tc>
        <w:tc>
          <w:tcPr>
            <w:tcW w:w="838" w:type="pct"/>
            <w:vMerge/>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86" w:type="pct"/>
            <w:vMerge/>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vMerge/>
            <w:shd w:val="clear" w:color="auto" w:fill="auto"/>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B21732" w:rsidRPr="00B21732" w:rsidTr="00B21732">
        <w:trPr>
          <w:trHeight w:val="495"/>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vAlign w:val="bottom"/>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Oeste:</w:t>
            </w:r>
          </w:p>
        </w:tc>
        <w:tc>
          <w:tcPr>
            <w:tcW w:w="838"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Propiedad Particular</w:t>
            </w:r>
          </w:p>
        </w:tc>
        <w:tc>
          <w:tcPr>
            <w:tcW w:w="686"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shd w:val="clear" w:color="auto" w:fill="auto"/>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74,17 m.</w:t>
            </w: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580643" w:rsidRPr="00B21732" w:rsidTr="00B21732">
        <w:trPr>
          <w:trHeight w:val="458"/>
        </w:trPr>
        <w:tc>
          <w:tcPr>
            <w:tcW w:w="5000" w:type="pct"/>
            <w:gridSpan w:val="6"/>
            <w:shd w:val="clear" w:color="auto" w:fill="auto"/>
            <w:vAlign w:val="center"/>
            <w:hideMark/>
          </w:tcPr>
          <w:p w:rsidR="00580643" w:rsidRPr="00B21732" w:rsidRDefault="00580643"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Á</w:t>
            </w:r>
            <w:r w:rsidR="00B21732" w:rsidRPr="00B21732">
              <w:rPr>
                <w:rFonts w:ascii="Palatino Linotype" w:hAnsi="Palatino Linotype" w:cstheme="minorHAnsi"/>
                <w:b/>
                <w:bCs/>
                <w:i/>
                <w:sz w:val="22"/>
                <w:szCs w:val="22"/>
                <w:lang w:eastAsia="es-EC"/>
              </w:rPr>
              <w:t>rea verde adicional</w:t>
            </w:r>
            <w:r w:rsidRPr="00B21732">
              <w:rPr>
                <w:rFonts w:ascii="Palatino Linotype" w:hAnsi="Palatino Linotype" w:cstheme="minorHAnsi"/>
                <w:b/>
                <w:bCs/>
                <w:i/>
                <w:sz w:val="22"/>
                <w:szCs w:val="22"/>
                <w:lang w:eastAsia="es-EC"/>
              </w:rPr>
              <w:t xml:space="preserve"> 1</w:t>
            </w:r>
          </w:p>
        </w:tc>
      </w:tr>
      <w:tr w:rsidR="00B21732" w:rsidRPr="00B21732" w:rsidTr="00B21732">
        <w:trPr>
          <w:trHeight w:val="300"/>
        </w:trPr>
        <w:tc>
          <w:tcPr>
            <w:tcW w:w="997" w:type="pct"/>
            <w:vMerge w:val="restart"/>
            <w:shd w:val="clear" w:color="auto" w:fill="auto"/>
            <w:vAlign w:val="center"/>
            <w:hideMark/>
          </w:tcPr>
          <w:p w:rsidR="00B21732" w:rsidRDefault="00B21732" w:rsidP="00580643">
            <w:pPr>
              <w:spacing w:after="240" w:line="276" w:lineRule="auto"/>
              <w:jc w:val="center"/>
              <w:rPr>
                <w:rFonts w:ascii="Palatino Linotype" w:hAnsi="Palatino Linotype" w:cstheme="minorHAnsi"/>
                <w:b/>
                <w:bCs/>
                <w:i/>
                <w:sz w:val="22"/>
                <w:szCs w:val="22"/>
                <w:lang w:eastAsia="es-EC"/>
              </w:rPr>
            </w:pPr>
          </w:p>
          <w:p w:rsidR="00B21732" w:rsidRDefault="00B21732" w:rsidP="00580643">
            <w:pPr>
              <w:spacing w:after="240" w:line="276" w:lineRule="auto"/>
              <w:jc w:val="center"/>
              <w:rPr>
                <w:rFonts w:ascii="Palatino Linotype" w:hAnsi="Palatino Linotype" w:cstheme="minorHAnsi"/>
                <w:b/>
                <w:bCs/>
                <w:i/>
                <w:sz w:val="22"/>
                <w:szCs w:val="22"/>
                <w:lang w:eastAsia="es-EC"/>
              </w:rPr>
            </w:pPr>
          </w:p>
          <w:p w:rsidR="00B21732" w:rsidRDefault="00B21732" w:rsidP="00580643">
            <w:pPr>
              <w:spacing w:after="240" w:line="276" w:lineRule="auto"/>
              <w:jc w:val="center"/>
              <w:rPr>
                <w:rFonts w:ascii="Palatino Linotype" w:hAnsi="Palatino Linotype" w:cstheme="minorHAnsi"/>
                <w:b/>
                <w:bCs/>
                <w:i/>
                <w:sz w:val="22"/>
                <w:szCs w:val="22"/>
                <w:lang w:eastAsia="es-EC"/>
              </w:rPr>
            </w:pPr>
          </w:p>
          <w:p w:rsidR="00B21732" w:rsidRDefault="00B21732" w:rsidP="00580643">
            <w:pPr>
              <w:spacing w:after="240" w:line="276" w:lineRule="auto"/>
              <w:jc w:val="center"/>
              <w:rPr>
                <w:rFonts w:ascii="Palatino Linotype" w:hAnsi="Palatino Linotype" w:cstheme="minorHAnsi"/>
                <w:b/>
                <w:bCs/>
                <w:i/>
                <w:sz w:val="22"/>
                <w:szCs w:val="22"/>
                <w:lang w:eastAsia="es-EC"/>
              </w:rPr>
            </w:pPr>
          </w:p>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Área verde adicional 1</w:t>
            </w:r>
          </w:p>
        </w:tc>
        <w:tc>
          <w:tcPr>
            <w:tcW w:w="610" w:type="pct"/>
            <w:shd w:val="clear" w:color="auto" w:fill="auto"/>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lastRenderedPageBreak/>
              <w:t> </w:t>
            </w:r>
          </w:p>
        </w:tc>
        <w:tc>
          <w:tcPr>
            <w:tcW w:w="838" w:type="pct"/>
            <w:shd w:val="clear" w:color="auto" w:fill="auto"/>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Lindero</w:t>
            </w:r>
          </w:p>
        </w:tc>
        <w:tc>
          <w:tcPr>
            <w:tcW w:w="686"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En Parte</w:t>
            </w:r>
          </w:p>
        </w:tc>
        <w:tc>
          <w:tcPr>
            <w:tcW w:w="610"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Total</w:t>
            </w:r>
          </w:p>
        </w:tc>
        <w:tc>
          <w:tcPr>
            <w:tcW w:w="1258"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Superficie</w:t>
            </w:r>
          </w:p>
        </w:tc>
      </w:tr>
      <w:tr w:rsidR="00B21732" w:rsidRPr="00B21732" w:rsidTr="00B21732">
        <w:trPr>
          <w:trHeight w:val="300"/>
        </w:trPr>
        <w:tc>
          <w:tcPr>
            <w:tcW w:w="997"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Norte:</w:t>
            </w:r>
          </w:p>
        </w:tc>
        <w:tc>
          <w:tcPr>
            <w:tcW w:w="838"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Quebrada San Juan</w:t>
            </w:r>
          </w:p>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 xml:space="preserve">Propiedad </w:t>
            </w:r>
            <w:r w:rsidRPr="00B21732">
              <w:rPr>
                <w:rFonts w:ascii="Palatino Linotype" w:hAnsi="Palatino Linotype" w:cstheme="minorHAnsi"/>
                <w:i/>
                <w:sz w:val="22"/>
                <w:szCs w:val="22"/>
                <w:lang w:eastAsia="es-EC"/>
              </w:rPr>
              <w:lastRenderedPageBreak/>
              <w:t>Particular</w:t>
            </w:r>
          </w:p>
        </w:tc>
        <w:tc>
          <w:tcPr>
            <w:tcW w:w="686" w:type="pct"/>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lastRenderedPageBreak/>
              <w:t>10,92 m.</w:t>
            </w:r>
          </w:p>
          <w:p w:rsidR="00B21732" w:rsidRPr="00B21732" w:rsidRDefault="00B21732" w:rsidP="00580643">
            <w:pPr>
              <w:spacing w:after="240" w:line="276" w:lineRule="auto"/>
              <w:jc w:val="center"/>
              <w:rPr>
                <w:rFonts w:ascii="Palatino Linotype" w:hAnsi="Palatino Linotype" w:cstheme="minorHAnsi"/>
                <w:i/>
                <w:sz w:val="22"/>
                <w:szCs w:val="22"/>
                <w:lang w:eastAsia="es-EC"/>
              </w:rPr>
            </w:pPr>
          </w:p>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lastRenderedPageBreak/>
              <w:t>60.64 m.</w:t>
            </w:r>
          </w:p>
        </w:tc>
        <w:tc>
          <w:tcPr>
            <w:tcW w:w="610" w:type="pct"/>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lastRenderedPageBreak/>
              <w:t>71.56 m.</w:t>
            </w:r>
          </w:p>
        </w:tc>
        <w:tc>
          <w:tcPr>
            <w:tcW w:w="1258" w:type="pct"/>
            <w:vMerge w:val="restar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Cs/>
                <w:i/>
                <w:sz w:val="22"/>
                <w:szCs w:val="22"/>
                <w:lang w:eastAsia="es-EC"/>
              </w:rPr>
            </w:pPr>
          </w:p>
          <w:p w:rsidR="00B21732" w:rsidRPr="00B21732" w:rsidRDefault="00B21732" w:rsidP="00580643">
            <w:pPr>
              <w:spacing w:after="240" w:line="276" w:lineRule="auto"/>
              <w:jc w:val="center"/>
              <w:rPr>
                <w:rFonts w:ascii="Palatino Linotype" w:hAnsi="Palatino Linotype" w:cstheme="minorHAnsi"/>
                <w:bCs/>
                <w:i/>
                <w:sz w:val="22"/>
                <w:szCs w:val="22"/>
                <w:lang w:eastAsia="es-EC"/>
              </w:rPr>
            </w:pPr>
          </w:p>
          <w:p w:rsidR="00B21732" w:rsidRPr="00B21732" w:rsidRDefault="00B21732" w:rsidP="00580643">
            <w:pPr>
              <w:spacing w:after="240" w:line="276" w:lineRule="auto"/>
              <w:jc w:val="center"/>
              <w:rPr>
                <w:rFonts w:ascii="Palatino Linotype" w:hAnsi="Palatino Linotype" w:cstheme="minorHAnsi"/>
                <w:bCs/>
                <w:i/>
                <w:sz w:val="22"/>
                <w:szCs w:val="22"/>
                <w:lang w:eastAsia="es-EC"/>
              </w:rPr>
            </w:pPr>
          </w:p>
          <w:p w:rsidR="00B21732" w:rsidRPr="00B21732" w:rsidRDefault="00B21732" w:rsidP="00580643">
            <w:pPr>
              <w:spacing w:after="240" w:line="276" w:lineRule="auto"/>
              <w:jc w:val="center"/>
              <w:rPr>
                <w:rFonts w:ascii="Palatino Linotype" w:hAnsi="Palatino Linotype" w:cstheme="minorHAnsi"/>
                <w:bCs/>
                <w:i/>
                <w:sz w:val="22"/>
                <w:szCs w:val="22"/>
                <w:lang w:eastAsia="es-EC"/>
              </w:rPr>
            </w:pPr>
            <w:r w:rsidRPr="00B21732">
              <w:rPr>
                <w:rFonts w:ascii="Palatino Linotype" w:hAnsi="Palatino Linotype" w:cstheme="minorHAnsi"/>
                <w:bCs/>
                <w:i/>
                <w:sz w:val="22"/>
                <w:szCs w:val="22"/>
                <w:lang w:eastAsia="es-EC"/>
              </w:rPr>
              <w:t>1.723,78 m</w:t>
            </w:r>
            <w:r w:rsidRPr="00B21732">
              <w:rPr>
                <w:rFonts w:ascii="Palatino Linotype" w:hAnsi="Palatino Linotype" w:cstheme="minorHAnsi"/>
                <w:bCs/>
                <w:i/>
                <w:sz w:val="22"/>
                <w:szCs w:val="22"/>
                <w:vertAlign w:val="superscript"/>
                <w:lang w:eastAsia="es-EC"/>
              </w:rPr>
              <w:t>2</w:t>
            </w:r>
          </w:p>
        </w:tc>
      </w:tr>
      <w:tr w:rsidR="00B21732" w:rsidRPr="00B21732" w:rsidTr="00B21732">
        <w:trPr>
          <w:trHeight w:val="480"/>
        </w:trPr>
        <w:tc>
          <w:tcPr>
            <w:tcW w:w="997"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Sur:</w:t>
            </w:r>
          </w:p>
        </w:tc>
        <w:tc>
          <w:tcPr>
            <w:tcW w:w="838"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 xml:space="preserve">Calle Machala - </w:t>
            </w:r>
            <w:proofErr w:type="spellStart"/>
            <w:r w:rsidRPr="00B21732">
              <w:rPr>
                <w:rFonts w:ascii="Palatino Linotype" w:hAnsi="Palatino Linotype" w:cstheme="minorHAnsi"/>
                <w:i/>
                <w:sz w:val="22"/>
                <w:szCs w:val="22"/>
                <w:lang w:eastAsia="es-EC"/>
              </w:rPr>
              <w:t>Pisulí</w:t>
            </w:r>
            <w:proofErr w:type="spellEnd"/>
          </w:p>
        </w:tc>
        <w:tc>
          <w:tcPr>
            <w:tcW w:w="686" w:type="pct"/>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43.54 m.</w:t>
            </w:r>
          </w:p>
        </w:tc>
        <w:tc>
          <w:tcPr>
            <w:tcW w:w="1258"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r>
      <w:tr w:rsidR="00B21732" w:rsidRPr="00B21732" w:rsidTr="00B21732">
        <w:trPr>
          <w:trHeight w:val="84"/>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c>
          <w:tcPr>
            <w:tcW w:w="838" w:type="pct"/>
            <w:vMerge w:val="restar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Propiedad Particular</w:t>
            </w:r>
          </w:p>
        </w:tc>
        <w:tc>
          <w:tcPr>
            <w:tcW w:w="686" w:type="pct"/>
            <w:vMerge w:val="restart"/>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vMerge w:val="restart"/>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39.65 m</w:t>
            </w: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B21732" w:rsidRPr="00B21732" w:rsidTr="00B21732">
        <w:trPr>
          <w:trHeight w:val="97"/>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Este:</w:t>
            </w:r>
          </w:p>
        </w:tc>
        <w:tc>
          <w:tcPr>
            <w:tcW w:w="838"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86" w:type="pct"/>
            <w:vMerge/>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vMerge/>
            <w:shd w:val="clear" w:color="auto" w:fill="auto"/>
            <w:vAlign w:val="center"/>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B21732" w:rsidRPr="00B21732" w:rsidTr="00B21732">
        <w:trPr>
          <w:trHeight w:val="495"/>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Oeste:</w:t>
            </w:r>
          </w:p>
        </w:tc>
        <w:tc>
          <w:tcPr>
            <w:tcW w:w="838"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Propiedad Particular</w:t>
            </w:r>
          </w:p>
        </w:tc>
        <w:tc>
          <w:tcPr>
            <w:tcW w:w="686" w:type="pct"/>
            <w:shd w:val="clear" w:color="auto" w:fill="auto"/>
            <w:noWrap/>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11.49m.</w:t>
            </w: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580643" w:rsidRPr="00B21732" w:rsidTr="00B21732">
        <w:trPr>
          <w:trHeight w:val="463"/>
        </w:trPr>
        <w:tc>
          <w:tcPr>
            <w:tcW w:w="5000" w:type="pct"/>
            <w:gridSpan w:val="6"/>
            <w:shd w:val="clear" w:color="auto" w:fill="auto"/>
            <w:vAlign w:val="center"/>
            <w:hideMark/>
          </w:tcPr>
          <w:p w:rsidR="00580643" w:rsidRPr="00B21732" w:rsidRDefault="00580643" w:rsidP="00B21732">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Á</w:t>
            </w:r>
            <w:r w:rsidR="00B21732">
              <w:rPr>
                <w:rFonts w:ascii="Palatino Linotype" w:hAnsi="Palatino Linotype" w:cstheme="minorHAnsi"/>
                <w:b/>
                <w:bCs/>
                <w:i/>
                <w:sz w:val="22"/>
                <w:szCs w:val="22"/>
                <w:lang w:eastAsia="es-EC"/>
              </w:rPr>
              <w:t>rea comunal</w:t>
            </w:r>
          </w:p>
        </w:tc>
      </w:tr>
      <w:tr w:rsidR="00B21732" w:rsidRPr="00B21732" w:rsidTr="00B21732">
        <w:trPr>
          <w:trHeight w:val="300"/>
        </w:trPr>
        <w:tc>
          <w:tcPr>
            <w:tcW w:w="997" w:type="pct"/>
            <w:vMerge w:val="restart"/>
            <w:shd w:val="clear" w:color="auto" w:fill="auto"/>
            <w:vAlign w:val="center"/>
            <w:hideMark/>
          </w:tcPr>
          <w:p w:rsidR="00B21732" w:rsidRPr="00B21732" w:rsidRDefault="00B21732" w:rsidP="00B21732">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 xml:space="preserve">Área </w:t>
            </w:r>
            <w:r>
              <w:rPr>
                <w:rFonts w:ascii="Palatino Linotype" w:hAnsi="Palatino Linotype" w:cstheme="minorHAnsi"/>
                <w:b/>
                <w:bCs/>
                <w:i/>
                <w:sz w:val="22"/>
                <w:szCs w:val="22"/>
                <w:lang w:eastAsia="es-EC"/>
              </w:rPr>
              <w:t>c</w:t>
            </w:r>
            <w:r w:rsidRPr="00B21732">
              <w:rPr>
                <w:rFonts w:ascii="Palatino Linotype" w:hAnsi="Palatino Linotype" w:cstheme="minorHAnsi"/>
                <w:b/>
                <w:bCs/>
                <w:i/>
                <w:sz w:val="22"/>
                <w:szCs w:val="22"/>
                <w:lang w:eastAsia="es-EC"/>
              </w:rPr>
              <w:t xml:space="preserve">omunal </w:t>
            </w:r>
          </w:p>
        </w:tc>
        <w:tc>
          <w:tcPr>
            <w:tcW w:w="610" w:type="pct"/>
            <w:shd w:val="clear" w:color="auto" w:fill="auto"/>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 </w:t>
            </w:r>
          </w:p>
        </w:tc>
        <w:tc>
          <w:tcPr>
            <w:tcW w:w="838" w:type="pct"/>
            <w:shd w:val="clear" w:color="auto" w:fill="auto"/>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Lindero</w:t>
            </w:r>
          </w:p>
        </w:tc>
        <w:tc>
          <w:tcPr>
            <w:tcW w:w="686"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En Parte</w:t>
            </w:r>
          </w:p>
        </w:tc>
        <w:tc>
          <w:tcPr>
            <w:tcW w:w="610"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Total</w:t>
            </w:r>
          </w:p>
        </w:tc>
        <w:tc>
          <w:tcPr>
            <w:tcW w:w="1258"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Superficie</w:t>
            </w:r>
          </w:p>
        </w:tc>
      </w:tr>
      <w:tr w:rsidR="00B21732" w:rsidRPr="00B21732" w:rsidTr="00B21732">
        <w:trPr>
          <w:trHeight w:val="300"/>
        </w:trPr>
        <w:tc>
          <w:tcPr>
            <w:tcW w:w="997"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c>
          <w:tcPr>
            <w:tcW w:w="610" w:type="pct"/>
            <w:shd w:val="clear" w:color="auto" w:fill="auto"/>
            <w:vAlign w:val="center"/>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Norte:</w:t>
            </w:r>
          </w:p>
        </w:tc>
        <w:tc>
          <w:tcPr>
            <w:tcW w:w="838" w:type="pct"/>
            <w:shd w:val="clear" w:color="auto" w:fill="auto"/>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 xml:space="preserve">Lote </w:t>
            </w:r>
            <w:r>
              <w:rPr>
                <w:rFonts w:ascii="Palatino Linotype" w:hAnsi="Palatino Linotype" w:cstheme="minorHAnsi"/>
                <w:i/>
                <w:sz w:val="22"/>
                <w:szCs w:val="22"/>
                <w:lang w:eastAsia="es-EC"/>
              </w:rPr>
              <w:t>No.</w:t>
            </w:r>
            <w:r w:rsidRPr="00B21732">
              <w:rPr>
                <w:rFonts w:ascii="Palatino Linotype" w:hAnsi="Palatino Linotype" w:cstheme="minorHAnsi"/>
                <w:i/>
                <w:sz w:val="22"/>
                <w:szCs w:val="22"/>
                <w:lang w:eastAsia="es-EC"/>
              </w:rPr>
              <w:t>30</w:t>
            </w:r>
          </w:p>
        </w:tc>
        <w:tc>
          <w:tcPr>
            <w:tcW w:w="686" w:type="pct"/>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30,53 m.</w:t>
            </w:r>
          </w:p>
        </w:tc>
        <w:tc>
          <w:tcPr>
            <w:tcW w:w="1258" w:type="pct"/>
            <w:vMerge w:val="restart"/>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Cs/>
                <w:i/>
                <w:sz w:val="22"/>
                <w:szCs w:val="22"/>
                <w:lang w:eastAsia="es-EC"/>
              </w:rPr>
            </w:pPr>
            <w:r w:rsidRPr="00B21732">
              <w:rPr>
                <w:rFonts w:ascii="Palatino Linotype" w:hAnsi="Palatino Linotype" w:cstheme="minorHAnsi"/>
                <w:bCs/>
                <w:i/>
                <w:sz w:val="22"/>
                <w:szCs w:val="22"/>
                <w:lang w:eastAsia="es-EC"/>
              </w:rPr>
              <w:t>649,34 m</w:t>
            </w:r>
            <w:r w:rsidRPr="00B21732">
              <w:rPr>
                <w:rFonts w:ascii="Palatino Linotype" w:hAnsi="Palatino Linotype" w:cstheme="minorHAnsi"/>
                <w:bCs/>
                <w:i/>
                <w:sz w:val="22"/>
                <w:szCs w:val="22"/>
                <w:vertAlign w:val="superscript"/>
                <w:lang w:eastAsia="es-EC"/>
              </w:rPr>
              <w:t>2</w:t>
            </w:r>
          </w:p>
        </w:tc>
      </w:tr>
      <w:tr w:rsidR="00B21732" w:rsidRPr="00B21732" w:rsidTr="00B21732">
        <w:trPr>
          <w:trHeight w:val="480"/>
        </w:trPr>
        <w:tc>
          <w:tcPr>
            <w:tcW w:w="997"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c>
          <w:tcPr>
            <w:tcW w:w="610" w:type="pct"/>
            <w:shd w:val="clear" w:color="auto" w:fill="auto"/>
            <w:vAlign w:val="bottom"/>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Sur:</w:t>
            </w:r>
          </w:p>
        </w:tc>
        <w:tc>
          <w:tcPr>
            <w:tcW w:w="838"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 xml:space="preserve">Lote </w:t>
            </w:r>
            <w:r>
              <w:rPr>
                <w:rFonts w:ascii="Palatino Linotype" w:hAnsi="Palatino Linotype" w:cstheme="minorHAnsi"/>
                <w:i/>
                <w:sz w:val="22"/>
                <w:szCs w:val="22"/>
                <w:lang w:eastAsia="es-EC"/>
              </w:rPr>
              <w:t>No.</w:t>
            </w:r>
            <w:r w:rsidRPr="00B21732">
              <w:rPr>
                <w:rFonts w:ascii="Palatino Linotype" w:hAnsi="Palatino Linotype" w:cstheme="minorHAnsi"/>
                <w:i/>
                <w:sz w:val="22"/>
                <w:szCs w:val="22"/>
                <w:lang w:eastAsia="es-EC"/>
              </w:rPr>
              <w:t>65</w:t>
            </w:r>
          </w:p>
        </w:tc>
        <w:tc>
          <w:tcPr>
            <w:tcW w:w="686"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36,45 m.</w:t>
            </w:r>
          </w:p>
        </w:tc>
        <w:tc>
          <w:tcPr>
            <w:tcW w:w="1258" w:type="pct"/>
            <w:vMerge/>
            <w:shd w:val="clear" w:color="auto" w:fill="auto"/>
            <w:vAlign w:val="center"/>
            <w:hideMark/>
          </w:tcPr>
          <w:p w:rsidR="00B21732" w:rsidRPr="00B21732" w:rsidRDefault="00B21732" w:rsidP="00580643">
            <w:pPr>
              <w:spacing w:after="240" w:line="276" w:lineRule="auto"/>
              <w:jc w:val="center"/>
              <w:rPr>
                <w:rFonts w:ascii="Palatino Linotype" w:hAnsi="Palatino Linotype" w:cstheme="minorHAnsi"/>
                <w:b/>
                <w:bCs/>
                <w:i/>
                <w:sz w:val="22"/>
                <w:szCs w:val="22"/>
                <w:lang w:eastAsia="es-EC"/>
              </w:rPr>
            </w:pPr>
          </w:p>
        </w:tc>
      </w:tr>
      <w:tr w:rsidR="00B21732" w:rsidRPr="00B21732" w:rsidTr="00B21732">
        <w:trPr>
          <w:trHeight w:val="84"/>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p>
        </w:tc>
        <w:tc>
          <w:tcPr>
            <w:tcW w:w="838" w:type="pct"/>
            <w:vMerge w:val="restar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Calle La Unión</w:t>
            </w:r>
          </w:p>
        </w:tc>
        <w:tc>
          <w:tcPr>
            <w:tcW w:w="686" w:type="pct"/>
            <w:vMerge w:val="restar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vMerge w:val="restar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19,71 m.</w:t>
            </w: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B21732" w:rsidRPr="00B21732" w:rsidTr="00B21732">
        <w:trPr>
          <w:trHeight w:val="97"/>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vAlign w:val="bottom"/>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Este:</w:t>
            </w:r>
          </w:p>
        </w:tc>
        <w:tc>
          <w:tcPr>
            <w:tcW w:w="838" w:type="pct"/>
            <w:vMerge/>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86" w:type="pct"/>
            <w:vMerge/>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vMerge/>
            <w:shd w:val="clear" w:color="auto" w:fill="auto"/>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r w:rsidR="00B21732" w:rsidRPr="00B21732" w:rsidTr="00B21732">
        <w:trPr>
          <w:trHeight w:val="495"/>
        </w:trPr>
        <w:tc>
          <w:tcPr>
            <w:tcW w:w="997"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c>
          <w:tcPr>
            <w:tcW w:w="610" w:type="pct"/>
            <w:shd w:val="clear" w:color="auto" w:fill="auto"/>
            <w:vAlign w:val="bottom"/>
            <w:hideMark/>
          </w:tcPr>
          <w:p w:rsidR="00B21732" w:rsidRPr="00B21732" w:rsidRDefault="00B21732" w:rsidP="00580643">
            <w:pPr>
              <w:spacing w:after="240" w:line="276" w:lineRule="auto"/>
              <w:rPr>
                <w:rFonts w:ascii="Palatino Linotype" w:hAnsi="Palatino Linotype" w:cstheme="minorHAnsi"/>
                <w:b/>
                <w:bCs/>
                <w:i/>
                <w:sz w:val="22"/>
                <w:szCs w:val="22"/>
                <w:lang w:eastAsia="es-EC"/>
              </w:rPr>
            </w:pPr>
            <w:r w:rsidRPr="00B21732">
              <w:rPr>
                <w:rFonts w:ascii="Palatino Linotype" w:hAnsi="Palatino Linotype" w:cstheme="minorHAnsi"/>
                <w:b/>
                <w:bCs/>
                <w:i/>
                <w:sz w:val="22"/>
                <w:szCs w:val="22"/>
                <w:lang w:eastAsia="es-EC"/>
              </w:rPr>
              <w:t>Oeste:</w:t>
            </w:r>
          </w:p>
        </w:tc>
        <w:tc>
          <w:tcPr>
            <w:tcW w:w="838" w:type="pct"/>
            <w:shd w:val="clear" w:color="auto" w:fill="auto"/>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 xml:space="preserve">Lote </w:t>
            </w:r>
            <w:r>
              <w:rPr>
                <w:rFonts w:ascii="Palatino Linotype" w:hAnsi="Palatino Linotype" w:cstheme="minorHAnsi"/>
                <w:i/>
                <w:sz w:val="22"/>
                <w:szCs w:val="22"/>
                <w:lang w:eastAsia="es-EC"/>
              </w:rPr>
              <w:t>No.</w:t>
            </w:r>
            <w:r w:rsidRPr="00B21732">
              <w:rPr>
                <w:rFonts w:ascii="Palatino Linotype" w:hAnsi="Palatino Linotype" w:cstheme="minorHAnsi"/>
                <w:i/>
                <w:sz w:val="22"/>
                <w:szCs w:val="22"/>
                <w:lang w:eastAsia="es-EC"/>
              </w:rPr>
              <w:t>22</w:t>
            </w:r>
          </w:p>
        </w:tc>
        <w:tc>
          <w:tcPr>
            <w:tcW w:w="686" w:type="pct"/>
            <w:shd w:val="clear" w:color="auto" w:fill="auto"/>
            <w:noWrap/>
            <w:vAlign w:val="bottom"/>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p>
        </w:tc>
        <w:tc>
          <w:tcPr>
            <w:tcW w:w="610" w:type="pct"/>
            <w:shd w:val="clear" w:color="auto" w:fill="auto"/>
            <w:hideMark/>
          </w:tcPr>
          <w:p w:rsidR="00B21732" w:rsidRPr="00B21732" w:rsidRDefault="00B21732" w:rsidP="00580643">
            <w:pPr>
              <w:spacing w:after="240" w:line="276" w:lineRule="auto"/>
              <w:jc w:val="center"/>
              <w:rPr>
                <w:rFonts w:ascii="Palatino Linotype" w:hAnsi="Palatino Linotype" w:cstheme="minorHAnsi"/>
                <w:i/>
                <w:sz w:val="22"/>
                <w:szCs w:val="22"/>
                <w:lang w:eastAsia="es-EC"/>
              </w:rPr>
            </w:pPr>
            <w:r w:rsidRPr="00B21732">
              <w:rPr>
                <w:rFonts w:ascii="Palatino Linotype" w:hAnsi="Palatino Linotype" w:cstheme="minorHAnsi"/>
                <w:i/>
                <w:sz w:val="22"/>
                <w:szCs w:val="22"/>
                <w:lang w:eastAsia="es-EC"/>
              </w:rPr>
              <w:t>19,52 m.</w:t>
            </w:r>
          </w:p>
        </w:tc>
        <w:tc>
          <w:tcPr>
            <w:tcW w:w="1258" w:type="pct"/>
            <w:vMerge/>
            <w:shd w:val="clear" w:color="auto" w:fill="auto"/>
            <w:noWrap/>
            <w:vAlign w:val="bottom"/>
            <w:hideMark/>
          </w:tcPr>
          <w:p w:rsidR="00B21732" w:rsidRPr="00B21732" w:rsidRDefault="00B21732" w:rsidP="00580643">
            <w:pPr>
              <w:spacing w:after="240" w:line="276" w:lineRule="auto"/>
              <w:rPr>
                <w:rFonts w:ascii="Palatino Linotype" w:hAnsi="Palatino Linotype" w:cstheme="minorHAnsi"/>
                <w:i/>
                <w:sz w:val="22"/>
                <w:szCs w:val="22"/>
                <w:lang w:eastAsia="es-EC"/>
              </w:rPr>
            </w:pPr>
          </w:p>
        </w:tc>
      </w:tr>
    </w:tbl>
    <w:p w:rsidR="00580643" w:rsidRPr="00B21732" w:rsidRDefault="00580643" w:rsidP="00580643">
      <w:pPr>
        <w:tabs>
          <w:tab w:val="left" w:pos="6440"/>
        </w:tabs>
        <w:spacing w:after="240" w:line="276" w:lineRule="auto"/>
        <w:contextualSpacing/>
        <w:rPr>
          <w:rFonts w:ascii="Palatino Linotype" w:hAnsi="Palatino Linotype" w:cstheme="minorHAnsi"/>
          <w:i/>
          <w:sz w:val="22"/>
          <w:szCs w:val="22"/>
          <w:u w:val="single"/>
        </w:rPr>
      </w:pPr>
    </w:p>
    <w:p w:rsidR="00B21732" w:rsidRPr="00580643" w:rsidRDefault="00B21732" w:rsidP="00B21732">
      <w:pPr>
        <w:pStyle w:val="Ttulo7"/>
        <w:spacing w:before="0" w:after="240" w:line="276" w:lineRule="auto"/>
        <w:rPr>
          <w:rFonts w:ascii="Palatino Linotype" w:hAnsi="Palatino Linotype" w:cstheme="minorHAnsi"/>
          <w:bCs/>
          <w:sz w:val="22"/>
          <w:szCs w:val="22"/>
        </w:rPr>
      </w:pPr>
      <w:r>
        <w:rPr>
          <w:rFonts w:ascii="Palatino Linotype" w:hAnsi="Palatino Linotype" w:cstheme="minorHAnsi"/>
          <w:b/>
          <w:bCs/>
          <w:sz w:val="22"/>
          <w:szCs w:val="22"/>
        </w:rPr>
        <w:t xml:space="preserve">Artículo 3.- </w:t>
      </w:r>
      <w:r w:rsidRPr="00580643">
        <w:rPr>
          <w:rFonts w:ascii="Palatino Linotype" w:hAnsi="Palatino Linotype" w:cstheme="minorHAnsi"/>
          <w:bCs/>
          <w:sz w:val="22"/>
          <w:szCs w:val="22"/>
        </w:rPr>
        <w:t xml:space="preserve">Sustitúyase el </w:t>
      </w:r>
      <w:r>
        <w:rPr>
          <w:rFonts w:ascii="Palatino Linotype" w:hAnsi="Palatino Linotype" w:cstheme="minorHAnsi"/>
          <w:bCs/>
          <w:sz w:val="22"/>
          <w:szCs w:val="22"/>
        </w:rPr>
        <w:t>a</w:t>
      </w:r>
      <w:r w:rsidRPr="00580643">
        <w:rPr>
          <w:rFonts w:ascii="Palatino Linotype" w:hAnsi="Palatino Linotype" w:cstheme="minorHAnsi"/>
          <w:bCs/>
          <w:sz w:val="22"/>
          <w:szCs w:val="22"/>
        </w:rPr>
        <w:t xml:space="preserve">rtículo </w:t>
      </w:r>
      <w:r>
        <w:rPr>
          <w:rFonts w:ascii="Palatino Linotype" w:hAnsi="Palatino Linotype" w:cstheme="minorHAnsi"/>
          <w:bCs/>
          <w:sz w:val="22"/>
          <w:szCs w:val="22"/>
        </w:rPr>
        <w:t>7</w:t>
      </w:r>
      <w:r w:rsidRPr="00580643">
        <w:rPr>
          <w:rFonts w:ascii="Palatino Linotype" w:hAnsi="Palatino Linotype" w:cstheme="minorHAnsi"/>
          <w:bCs/>
          <w:sz w:val="22"/>
          <w:szCs w:val="22"/>
        </w:rPr>
        <w:t xml:space="preserve"> de la Ordenanza N</w:t>
      </w:r>
      <w:r>
        <w:rPr>
          <w:rFonts w:ascii="Palatino Linotype" w:hAnsi="Palatino Linotype" w:cstheme="minorHAnsi"/>
          <w:bCs/>
          <w:sz w:val="22"/>
          <w:szCs w:val="22"/>
        </w:rPr>
        <w:t>o.</w:t>
      </w:r>
      <w:r w:rsidRPr="00580643">
        <w:rPr>
          <w:rFonts w:ascii="Palatino Linotype" w:hAnsi="Palatino Linotype" w:cstheme="minorHAnsi"/>
          <w:bCs/>
          <w:sz w:val="22"/>
          <w:szCs w:val="22"/>
        </w:rPr>
        <w:t xml:space="preserve"> 0313</w:t>
      </w:r>
      <w:r>
        <w:rPr>
          <w:rFonts w:ascii="Palatino Linotype" w:hAnsi="Palatino Linotype" w:cstheme="minorHAnsi"/>
          <w:bCs/>
          <w:sz w:val="22"/>
          <w:szCs w:val="22"/>
        </w:rPr>
        <w:t>,</w:t>
      </w:r>
      <w:r w:rsidRPr="00580643">
        <w:rPr>
          <w:rFonts w:ascii="Palatino Linotype" w:hAnsi="Palatino Linotype" w:cstheme="minorHAnsi"/>
          <w:bCs/>
          <w:sz w:val="22"/>
          <w:szCs w:val="22"/>
        </w:rPr>
        <w:t xml:space="preserve"> por el siguiente texto:</w:t>
      </w:r>
    </w:p>
    <w:p w:rsidR="00B21732" w:rsidRDefault="00B21732" w:rsidP="00B21732">
      <w:pPr>
        <w:pStyle w:val="Ttulo7"/>
        <w:spacing w:before="0" w:after="240" w:line="276" w:lineRule="auto"/>
        <w:ind w:left="708"/>
        <w:jc w:val="both"/>
        <w:rPr>
          <w:rFonts w:ascii="Palatino Linotype" w:hAnsi="Palatino Linotype" w:cstheme="minorHAnsi"/>
          <w:i/>
          <w:sz w:val="22"/>
          <w:szCs w:val="22"/>
        </w:rPr>
      </w:pPr>
      <w:r w:rsidRPr="00B21732">
        <w:rPr>
          <w:rFonts w:ascii="Palatino Linotype" w:hAnsi="Palatino Linotype" w:cstheme="minorHAnsi"/>
          <w:b/>
          <w:bCs/>
          <w:i/>
          <w:sz w:val="22"/>
          <w:szCs w:val="22"/>
        </w:rPr>
        <w:t xml:space="preserve">“Artículo 7.- </w:t>
      </w:r>
      <w:r w:rsidR="00580643" w:rsidRPr="00B21732">
        <w:rPr>
          <w:rFonts w:ascii="Palatino Linotype" w:hAnsi="Palatino Linotype" w:cstheme="minorHAnsi"/>
          <w:b/>
          <w:bCs/>
          <w:i/>
          <w:sz w:val="22"/>
          <w:szCs w:val="22"/>
        </w:rPr>
        <w:t xml:space="preserve">De las Obras a ejecutarse.- </w:t>
      </w:r>
      <w:r w:rsidR="00580643" w:rsidRPr="00B21732">
        <w:rPr>
          <w:rFonts w:ascii="Palatino Linotype" w:hAnsi="Palatino Linotype" w:cstheme="minorHAnsi"/>
          <w:i/>
          <w:sz w:val="22"/>
          <w:szCs w:val="22"/>
        </w:rPr>
        <w:t xml:space="preserve">Las obras a ejecutarse en el Asentamiento Humano de Hecho y Consolidado denominado </w:t>
      </w:r>
      <w:r w:rsidRPr="00B21732">
        <w:rPr>
          <w:rFonts w:ascii="Palatino Linotype" w:hAnsi="Palatino Linotype" w:cstheme="minorHAnsi"/>
          <w:bCs/>
          <w:i/>
          <w:sz w:val="22"/>
          <w:szCs w:val="22"/>
        </w:rPr>
        <w:t xml:space="preserve">Comité Pro-Mejoras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el Barrio San José Obrero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 </w:t>
      </w:r>
      <w:proofErr w:type="spellStart"/>
      <w:r w:rsidRPr="00B21732">
        <w:rPr>
          <w:rFonts w:ascii="Palatino Linotype" w:hAnsi="Palatino Linotype" w:cstheme="minorHAnsi"/>
          <w:bCs/>
          <w:i/>
          <w:sz w:val="22"/>
          <w:szCs w:val="22"/>
        </w:rPr>
        <w:t>Cotocollao</w:t>
      </w:r>
      <w:proofErr w:type="spellEnd"/>
      <w:r>
        <w:rPr>
          <w:rFonts w:ascii="Palatino Linotype" w:hAnsi="Palatino Linotype" w:cstheme="minorHAnsi"/>
          <w:bCs/>
          <w:i/>
          <w:sz w:val="22"/>
          <w:szCs w:val="22"/>
        </w:rPr>
        <w:t>,</w:t>
      </w:r>
      <w:r w:rsidRPr="00B21732">
        <w:rPr>
          <w:rFonts w:ascii="Palatino Linotype" w:hAnsi="Palatino Linotype" w:cstheme="minorHAnsi"/>
          <w:bCs/>
          <w:i/>
          <w:sz w:val="22"/>
          <w:szCs w:val="22"/>
        </w:rPr>
        <w:t xml:space="preserve"> Segunda Etapa</w:t>
      </w:r>
      <w:r>
        <w:rPr>
          <w:rFonts w:ascii="Palatino Linotype" w:hAnsi="Palatino Linotype" w:cstheme="minorHAnsi"/>
          <w:bCs/>
          <w:i/>
          <w:sz w:val="22"/>
          <w:szCs w:val="22"/>
        </w:rPr>
        <w:t>”</w:t>
      </w:r>
      <w:r w:rsidR="00580643" w:rsidRPr="00B21732">
        <w:rPr>
          <w:rFonts w:ascii="Palatino Linotype" w:hAnsi="Palatino Linotype" w:cstheme="minorHAnsi"/>
          <w:i/>
          <w:sz w:val="22"/>
          <w:szCs w:val="22"/>
        </w:rPr>
        <w:t xml:space="preserve">, son  las siguientes: </w:t>
      </w:r>
    </w:p>
    <w:p w:rsidR="00B21732" w:rsidRDefault="00B21732" w:rsidP="00B21732">
      <w:pPr>
        <w:pStyle w:val="Ttulo7"/>
        <w:spacing w:before="0" w:after="240" w:line="276" w:lineRule="auto"/>
        <w:ind w:left="708"/>
        <w:jc w:val="both"/>
        <w:rPr>
          <w:rFonts w:ascii="Palatino Linotype" w:eastAsia="Calibri" w:hAnsi="Palatino Linotype" w:cstheme="minorHAnsi"/>
          <w:i/>
          <w:sz w:val="22"/>
          <w:szCs w:val="22"/>
        </w:rPr>
      </w:pPr>
      <w:r>
        <w:rPr>
          <w:rFonts w:ascii="Palatino Linotype" w:eastAsia="Calibri" w:hAnsi="Palatino Linotype" w:cstheme="minorHAnsi"/>
          <w:i/>
          <w:sz w:val="22"/>
          <w:szCs w:val="22"/>
        </w:rPr>
        <w:t>C</w:t>
      </w:r>
      <w:r w:rsidR="00580643" w:rsidRPr="00B21732">
        <w:rPr>
          <w:rFonts w:ascii="Palatino Linotype" w:eastAsia="Calibri" w:hAnsi="Palatino Linotype" w:cstheme="minorHAnsi"/>
          <w:i/>
          <w:sz w:val="22"/>
          <w:szCs w:val="22"/>
        </w:rPr>
        <w:t>alzada</w:t>
      </w:r>
      <w:r>
        <w:rPr>
          <w:rFonts w:ascii="Palatino Linotype" w:eastAsia="Calibri" w:hAnsi="Palatino Linotype" w:cstheme="minorHAnsi"/>
          <w:i/>
          <w:sz w:val="22"/>
          <w:szCs w:val="22"/>
        </w:rPr>
        <w:t>:</w:t>
      </w:r>
      <w:r w:rsidR="00580643" w:rsidRPr="00B21732">
        <w:rPr>
          <w:rFonts w:ascii="Palatino Linotype" w:eastAsia="Calibri" w:hAnsi="Palatino Linotype" w:cstheme="minorHAnsi"/>
          <w:i/>
          <w:sz w:val="22"/>
          <w:szCs w:val="22"/>
        </w:rPr>
        <w:t xml:space="preserve"> </w:t>
      </w:r>
      <w:r>
        <w:rPr>
          <w:rFonts w:ascii="Palatino Linotype" w:eastAsia="Calibri" w:hAnsi="Palatino Linotype" w:cstheme="minorHAnsi"/>
          <w:i/>
          <w:sz w:val="22"/>
          <w:szCs w:val="22"/>
        </w:rPr>
        <w:tab/>
      </w:r>
      <w:r w:rsidR="00580643" w:rsidRPr="00B21732">
        <w:rPr>
          <w:rFonts w:ascii="Palatino Linotype" w:eastAsia="Calibri" w:hAnsi="Palatino Linotype" w:cstheme="minorHAnsi"/>
          <w:i/>
          <w:sz w:val="22"/>
          <w:szCs w:val="22"/>
        </w:rPr>
        <w:t>100%</w:t>
      </w:r>
      <w:r>
        <w:rPr>
          <w:rFonts w:ascii="Palatino Linotype" w:eastAsia="Calibri" w:hAnsi="Palatino Linotype" w:cstheme="minorHAnsi"/>
          <w:i/>
          <w:sz w:val="22"/>
          <w:szCs w:val="22"/>
        </w:rPr>
        <w:tab/>
      </w:r>
      <w:r>
        <w:rPr>
          <w:rFonts w:ascii="Palatino Linotype" w:eastAsia="Calibri" w:hAnsi="Palatino Linotype" w:cstheme="minorHAnsi"/>
          <w:i/>
          <w:sz w:val="22"/>
          <w:szCs w:val="22"/>
        </w:rPr>
        <w:tab/>
      </w:r>
      <w:r>
        <w:rPr>
          <w:rFonts w:ascii="Palatino Linotype" w:eastAsia="Calibri" w:hAnsi="Palatino Linotype" w:cstheme="minorHAnsi"/>
          <w:i/>
          <w:sz w:val="22"/>
          <w:szCs w:val="22"/>
        </w:rPr>
        <w:tab/>
      </w:r>
      <w:r>
        <w:rPr>
          <w:rFonts w:ascii="Palatino Linotype" w:eastAsia="Calibri" w:hAnsi="Palatino Linotype" w:cstheme="minorHAnsi"/>
          <w:i/>
          <w:sz w:val="22"/>
          <w:szCs w:val="22"/>
        </w:rPr>
        <w:tab/>
        <w:t>A</w:t>
      </w:r>
      <w:r w:rsidR="00580643" w:rsidRPr="00B21732">
        <w:rPr>
          <w:rFonts w:ascii="Palatino Linotype" w:eastAsia="Calibri" w:hAnsi="Palatino Linotype" w:cstheme="minorHAnsi"/>
          <w:i/>
          <w:sz w:val="22"/>
          <w:szCs w:val="22"/>
        </w:rPr>
        <w:t>ceras</w:t>
      </w:r>
      <w:r>
        <w:rPr>
          <w:rFonts w:ascii="Palatino Linotype" w:eastAsia="Calibri" w:hAnsi="Palatino Linotype" w:cstheme="minorHAnsi"/>
          <w:i/>
          <w:sz w:val="22"/>
          <w:szCs w:val="22"/>
        </w:rPr>
        <w:t>:</w:t>
      </w:r>
      <w:r w:rsidR="00580643" w:rsidRPr="00B21732">
        <w:rPr>
          <w:rFonts w:ascii="Palatino Linotype" w:eastAsia="Calibri" w:hAnsi="Palatino Linotype" w:cstheme="minorHAnsi"/>
          <w:i/>
          <w:sz w:val="22"/>
          <w:szCs w:val="22"/>
        </w:rPr>
        <w:t xml:space="preserve"> </w:t>
      </w:r>
      <w:r>
        <w:rPr>
          <w:rFonts w:ascii="Palatino Linotype" w:eastAsia="Calibri" w:hAnsi="Palatino Linotype" w:cstheme="minorHAnsi"/>
          <w:i/>
          <w:sz w:val="22"/>
          <w:szCs w:val="22"/>
        </w:rPr>
        <w:tab/>
      </w:r>
      <w:r>
        <w:rPr>
          <w:rFonts w:ascii="Palatino Linotype" w:eastAsia="Calibri" w:hAnsi="Palatino Linotype" w:cstheme="minorHAnsi"/>
          <w:i/>
          <w:sz w:val="22"/>
          <w:szCs w:val="22"/>
        </w:rPr>
        <w:tab/>
      </w:r>
      <w:r w:rsidR="00580643" w:rsidRPr="00B21732">
        <w:rPr>
          <w:rFonts w:ascii="Palatino Linotype" w:eastAsia="Calibri" w:hAnsi="Palatino Linotype" w:cstheme="minorHAnsi"/>
          <w:i/>
          <w:sz w:val="22"/>
          <w:szCs w:val="22"/>
        </w:rPr>
        <w:t>100%</w:t>
      </w:r>
    </w:p>
    <w:p w:rsidR="00580643" w:rsidRPr="00B21732" w:rsidRDefault="00B21732" w:rsidP="00B21732">
      <w:pPr>
        <w:pStyle w:val="Ttulo7"/>
        <w:spacing w:before="0" w:after="240" w:line="276" w:lineRule="auto"/>
        <w:ind w:left="708"/>
        <w:jc w:val="both"/>
        <w:rPr>
          <w:rFonts w:ascii="Palatino Linotype" w:hAnsi="Palatino Linotype" w:cstheme="minorHAnsi"/>
          <w:i/>
          <w:sz w:val="22"/>
          <w:szCs w:val="22"/>
        </w:rPr>
      </w:pPr>
      <w:r>
        <w:rPr>
          <w:rFonts w:ascii="Palatino Linotype" w:eastAsia="Calibri" w:hAnsi="Palatino Linotype" w:cstheme="minorHAnsi"/>
          <w:i/>
          <w:sz w:val="22"/>
          <w:szCs w:val="22"/>
        </w:rPr>
        <w:t>B</w:t>
      </w:r>
      <w:r w:rsidR="00580643" w:rsidRPr="00B21732">
        <w:rPr>
          <w:rFonts w:ascii="Palatino Linotype" w:eastAsia="Calibri" w:hAnsi="Palatino Linotype" w:cstheme="minorHAnsi"/>
          <w:i/>
          <w:sz w:val="22"/>
          <w:szCs w:val="22"/>
        </w:rPr>
        <w:t>ordillos</w:t>
      </w:r>
      <w:r>
        <w:rPr>
          <w:rFonts w:ascii="Palatino Linotype" w:eastAsia="Calibri" w:hAnsi="Palatino Linotype" w:cstheme="minorHAnsi"/>
          <w:i/>
          <w:sz w:val="22"/>
          <w:szCs w:val="22"/>
        </w:rPr>
        <w:t>:</w:t>
      </w:r>
      <w:r>
        <w:rPr>
          <w:rFonts w:ascii="Palatino Linotype" w:eastAsia="Calibri" w:hAnsi="Palatino Linotype" w:cstheme="minorHAnsi"/>
          <w:i/>
          <w:sz w:val="22"/>
          <w:szCs w:val="22"/>
        </w:rPr>
        <w:tab/>
      </w:r>
      <w:r w:rsidR="00580643" w:rsidRPr="00B21732">
        <w:rPr>
          <w:rFonts w:ascii="Palatino Linotype" w:eastAsia="Calibri" w:hAnsi="Palatino Linotype" w:cstheme="minorHAnsi"/>
          <w:i/>
          <w:sz w:val="22"/>
          <w:szCs w:val="22"/>
        </w:rPr>
        <w:t>60%</w:t>
      </w:r>
      <w:r>
        <w:rPr>
          <w:rFonts w:ascii="Palatino Linotype" w:eastAsia="Calibri" w:hAnsi="Palatino Linotype" w:cstheme="minorHAnsi"/>
          <w:i/>
          <w:sz w:val="22"/>
          <w:szCs w:val="22"/>
        </w:rPr>
        <w:tab/>
      </w:r>
      <w:r>
        <w:rPr>
          <w:rFonts w:ascii="Palatino Linotype" w:eastAsia="Calibri" w:hAnsi="Palatino Linotype" w:cstheme="minorHAnsi"/>
          <w:i/>
          <w:sz w:val="22"/>
          <w:szCs w:val="22"/>
        </w:rPr>
        <w:tab/>
      </w:r>
      <w:r>
        <w:rPr>
          <w:rFonts w:ascii="Palatino Linotype" w:eastAsia="Calibri" w:hAnsi="Palatino Linotype" w:cstheme="minorHAnsi"/>
          <w:i/>
          <w:sz w:val="22"/>
          <w:szCs w:val="22"/>
        </w:rPr>
        <w:tab/>
      </w:r>
      <w:r>
        <w:rPr>
          <w:rFonts w:ascii="Palatino Linotype" w:eastAsia="Calibri" w:hAnsi="Palatino Linotype" w:cstheme="minorHAnsi"/>
          <w:i/>
          <w:sz w:val="22"/>
          <w:szCs w:val="22"/>
        </w:rPr>
        <w:tab/>
        <w:t>E</w:t>
      </w:r>
      <w:r w:rsidR="00580643" w:rsidRPr="00B21732">
        <w:rPr>
          <w:rFonts w:ascii="Palatino Linotype" w:eastAsia="Calibri" w:hAnsi="Palatino Linotype" w:cstheme="minorHAnsi"/>
          <w:i/>
          <w:sz w:val="22"/>
          <w:szCs w:val="22"/>
        </w:rPr>
        <w:t>studio de suelos</w:t>
      </w:r>
      <w:r>
        <w:rPr>
          <w:rFonts w:ascii="Palatino Linotype" w:eastAsia="Calibri" w:hAnsi="Palatino Linotype" w:cstheme="minorHAnsi"/>
          <w:i/>
          <w:sz w:val="22"/>
          <w:szCs w:val="22"/>
        </w:rPr>
        <w:t>:</w:t>
      </w:r>
      <w:r w:rsidR="00580643" w:rsidRPr="00B21732">
        <w:rPr>
          <w:rFonts w:ascii="Palatino Linotype" w:eastAsia="Calibri" w:hAnsi="Palatino Linotype" w:cstheme="minorHAnsi"/>
          <w:i/>
          <w:sz w:val="22"/>
          <w:szCs w:val="22"/>
        </w:rPr>
        <w:t xml:space="preserve"> </w:t>
      </w:r>
      <w:r>
        <w:rPr>
          <w:rFonts w:ascii="Palatino Linotype" w:eastAsia="Calibri" w:hAnsi="Palatino Linotype" w:cstheme="minorHAnsi"/>
          <w:i/>
          <w:sz w:val="22"/>
          <w:szCs w:val="22"/>
        </w:rPr>
        <w:tab/>
      </w:r>
      <w:r w:rsidR="00580643" w:rsidRPr="00B21732">
        <w:rPr>
          <w:rFonts w:ascii="Palatino Linotype" w:eastAsia="Calibri" w:hAnsi="Palatino Linotype" w:cstheme="minorHAnsi"/>
          <w:i/>
          <w:sz w:val="22"/>
          <w:szCs w:val="22"/>
        </w:rPr>
        <w:t>100%.</w:t>
      </w:r>
      <w:r w:rsidRPr="00B21732">
        <w:rPr>
          <w:rFonts w:ascii="Palatino Linotype" w:eastAsia="Calibri" w:hAnsi="Palatino Linotype" w:cstheme="minorHAnsi"/>
          <w:i/>
          <w:sz w:val="22"/>
          <w:szCs w:val="22"/>
        </w:rPr>
        <w:t>”</w:t>
      </w:r>
    </w:p>
    <w:p w:rsidR="005A7785" w:rsidRPr="00580643" w:rsidRDefault="005A7785" w:rsidP="005A7785">
      <w:pPr>
        <w:pStyle w:val="Ttulo7"/>
        <w:spacing w:before="0" w:after="240" w:line="276" w:lineRule="auto"/>
        <w:rPr>
          <w:rFonts w:ascii="Palatino Linotype" w:hAnsi="Palatino Linotype" w:cstheme="minorHAnsi"/>
          <w:bCs/>
          <w:sz w:val="22"/>
          <w:szCs w:val="22"/>
        </w:rPr>
      </w:pPr>
      <w:r>
        <w:rPr>
          <w:rFonts w:ascii="Palatino Linotype" w:hAnsi="Palatino Linotype" w:cstheme="minorHAnsi"/>
          <w:b/>
          <w:bCs/>
          <w:sz w:val="22"/>
          <w:szCs w:val="22"/>
        </w:rPr>
        <w:t xml:space="preserve">Artículo 4.- </w:t>
      </w:r>
      <w:r w:rsidRPr="00580643">
        <w:rPr>
          <w:rFonts w:ascii="Palatino Linotype" w:hAnsi="Palatino Linotype" w:cstheme="minorHAnsi"/>
          <w:bCs/>
          <w:sz w:val="22"/>
          <w:szCs w:val="22"/>
        </w:rPr>
        <w:t xml:space="preserve">Sustitúyase el </w:t>
      </w:r>
      <w:r>
        <w:rPr>
          <w:rFonts w:ascii="Palatino Linotype" w:hAnsi="Palatino Linotype" w:cstheme="minorHAnsi"/>
          <w:bCs/>
          <w:sz w:val="22"/>
          <w:szCs w:val="22"/>
        </w:rPr>
        <w:t>a</w:t>
      </w:r>
      <w:r w:rsidRPr="00580643">
        <w:rPr>
          <w:rFonts w:ascii="Palatino Linotype" w:hAnsi="Palatino Linotype" w:cstheme="minorHAnsi"/>
          <w:bCs/>
          <w:sz w:val="22"/>
          <w:szCs w:val="22"/>
        </w:rPr>
        <w:t xml:space="preserve">rtículo </w:t>
      </w:r>
      <w:r>
        <w:rPr>
          <w:rFonts w:ascii="Palatino Linotype" w:hAnsi="Palatino Linotype" w:cstheme="minorHAnsi"/>
          <w:bCs/>
          <w:sz w:val="22"/>
          <w:szCs w:val="22"/>
        </w:rPr>
        <w:t>8</w:t>
      </w:r>
      <w:r w:rsidRPr="00580643">
        <w:rPr>
          <w:rFonts w:ascii="Palatino Linotype" w:hAnsi="Palatino Linotype" w:cstheme="minorHAnsi"/>
          <w:bCs/>
          <w:sz w:val="22"/>
          <w:szCs w:val="22"/>
        </w:rPr>
        <w:t xml:space="preserve"> de la Ordenanza N</w:t>
      </w:r>
      <w:r>
        <w:rPr>
          <w:rFonts w:ascii="Palatino Linotype" w:hAnsi="Palatino Linotype" w:cstheme="minorHAnsi"/>
          <w:bCs/>
          <w:sz w:val="22"/>
          <w:szCs w:val="22"/>
        </w:rPr>
        <w:t>o.</w:t>
      </w:r>
      <w:r w:rsidRPr="00580643">
        <w:rPr>
          <w:rFonts w:ascii="Palatino Linotype" w:hAnsi="Palatino Linotype" w:cstheme="minorHAnsi"/>
          <w:bCs/>
          <w:sz w:val="22"/>
          <w:szCs w:val="22"/>
        </w:rPr>
        <w:t xml:space="preserve"> 0313</w:t>
      </w:r>
      <w:r>
        <w:rPr>
          <w:rFonts w:ascii="Palatino Linotype" w:hAnsi="Palatino Linotype" w:cstheme="minorHAnsi"/>
          <w:bCs/>
          <w:sz w:val="22"/>
          <w:szCs w:val="22"/>
        </w:rPr>
        <w:t>,</w:t>
      </w:r>
      <w:r w:rsidRPr="00580643">
        <w:rPr>
          <w:rFonts w:ascii="Palatino Linotype" w:hAnsi="Palatino Linotype" w:cstheme="minorHAnsi"/>
          <w:bCs/>
          <w:sz w:val="22"/>
          <w:szCs w:val="22"/>
        </w:rPr>
        <w:t xml:space="preserve"> por el siguiente texto:</w:t>
      </w:r>
    </w:p>
    <w:p w:rsidR="00580643" w:rsidRPr="005A7785" w:rsidRDefault="005A7785" w:rsidP="005A7785">
      <w:pPr>
        <w:shd w:val="clear" w:color="auto" w:fill="FFFFFF"/>
        <w:spacing w:after="240" w:line="276" w:lineRule="auto"/>
        <w:ind w:left="708"/>
        <w:jc w:val="both"/>
        <w:rPr>
          <w:rFonts w:ascii="Palatino Linotype" w:hAnsi="Palatino Linotype" w:cstheme="minorHAnsi"/>
          <w:i/>
          <w:sz w:val="22"/>
          <w:szCs w:val="22"/>
        </w:rPr>
      </w:pPr>
      <w:r>
        <w:rPr>
          <w:rFonts w:ascii="Palatino Linotype" w:hAnsi="Palatino Linotype" w:cstheme="minorHAnsi"/>
          <w:b/>
          <w:i/>
          <w:sz w:val="22"/>
          <w:szCs w:val="22"/>
        </w:rPr>
        <w:t>“</w:t>
      </w:r>
      <w:r w:rsidRPr="005A7785">
        <w:rPr>
          <w:rFonts w:ascii="Palatino Linotype" w:hAnsi="Palatino Linotype" w:cstheme="minorHAnsi"/>
          <w:b/>
          <w:i/>
          <w:sz w:val="22"/>
          <w:szCs w:val="22"/>
        </w:rPr>
        <w:t>Artículo 8.-</w:t>
      </w:r>
      <w:r w:rsidR="00580643" w:rsidRPr="005A7785">
        <w:rPr>
          <w:rFonts w:ascii="Palatino Linotype" w:hAnsi="Palatino Linotype" w:cstheme="minorHAnsi"/>
          <w:i/>
          <w:sz w:val="22"/>
          <w:szCs w:val="22"/>
        </w:rPr>
        <w:t xml:space="preserve"> </w:t>
      </w:r>
      <w:r w:rsidR="00580643" w:rsidRPr="005A7785">
        <w:rPr>
          <w:rFonts w:ascii="Palatino Linotype" w:hAnsi="Palatino Linotype" w:cstheme="minorHAnsi"/>
          <w:b/>
          <w:i/>
          <w:sz w:val="22"/>
          <w:szCs w:val="22"/>
        </w:rPr>
        <w:t>Del plazo de ejecución de las obras:</w:t>
      </w:r>
      <w:r w:rsidR="00580643" w:rsidRPr="005A7785">
        <w:rPr>
          <w:rFonts w:ascii="Palatino Linotype" w:hAnsi="Palatino Linotype" w:cstheme="minorHAnsi"/>
          <w:i/>
          <w:sz w:val="22"/>
          <w:szCs w:val="22"/>
        </w:rPr>
        <w:t xml:space="preserve"> El plazo de ejecución de la totalidad de las obras de urbanización, es de 7 (siete) años, de conformidad al cronograma de obras presentado por los copropietarios del predio donde se asienta el </w:t>
      </w:r>
      <w:r w:rsidRPr="00B21732">
        <w:rPr>
          <w:rFonts w:ascii="Palatino Linotype" w:hAnsi="Palatino Linotype" w:cstheme="minorHAnsi"/>
          <w:bCs/>
          <w:i/>
          <w:sz w:val="22"/>
          <w:szCs w:val="22"/>
        </w:rPr>
        <w:t xml:space="preserve">Comité Pro-Mejoras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el Barrio San José Obrero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 </w:t>
      </w:r>
      <w:proofErr w:type="spellStart"/>
      <w:r w:rsidRPr="00B21732">
        <w:rPr>
          <w:rFonts w:ascii="Palatino Linotype" w:hAnsi="Palatino Linotype" w:cstheme="minorHAnsi"/>
          <w:bCs/>
          <w:i/>
          <w:sz w:val="22"/>
          <w:szCs w:val="22"/>
        </w:rPr>
        <w:t>Cotocollao</w:t>
      </w:r>
      <w:proofErr w:type="spellEnd"/>
      <w:r>
        <w:rPr>
          <w:rFonts w:ascii="Palatino Linotype" w:hAnsi="Palatino Linotype" w:cstheme="minorHAnsi"/>
          <w:bCs/>
          <w:i/>
          <w:sz w:val="22"/>
          <w:szCs w:val="22"/>
        </w:rPr>
        <w:t>,</w:t>
      </w:r>
      <w:r w:rsidRPr="00B21732">
        <w:rPr>
          <w:rFonts w:ascii="Palatino Linotype" w:hAnsi="Palatino Linotype" w:cstheme="minorHAnsi"/>
          <w:bCs/>
          <w:i/>
          <w:sz w:val="22"/>
          <w:szCs w:val="22"/>
        </w:rPr>
        <w:t xml:space="preserve"> Segunda Etapa</w:t>
      </w:r>
      <w:r>
        <w:rPr>
          <w:rFonts w:ascii="Palatino Linotype" w:hAnsi="Palatino Linotype" w:cstheme="minorHAnsi"/>
          <w:bCs/>
          <w:i/>
          <w:sz w:val="22"/>
          <w:szCs w:val="22"/>
        </w:rPr>
        <w:t>”,</w:t>
      </w:r>
      <w:r w:rsidR="00580643" w:rsidRPr="005A7785">
        <w:rPr>
          <w:rFonts w:ascii="Palatino Linotype" w:hAnsi="Palatino Linotype" w:cstheme="minorHAnsi"/>
          <w:b/>
          <w:i/>
          <w:sz w:val="22"/>
          <w:szCs w:val="22"/>
        </w:rPr>
        <w:t xml:space="preserve"> </w:t>
      </w:r>
      <w:r w:rsidR="00580643" w:rsidRPr="005A7785">
        <w:rPr>
          <w:rFonts w:ascii="Palatino Linotype" w:hAnsi="Palatino Linotype" w:cstheme="minorHAnsi"/>
          <w:i/>
          <w:sz w:val="22"/>
          <w:szCs w:val="22"/>
        </w:rPr>
        <w:t xml:space="preserve">plazo que se contará a partir de la </w:t>
      </w:r>
      <w:r w:rsidR="00580643" w:rsidRPr="002F0466">
        <w:rPr>
          <w:rFonts w:ascii="Palatino Linotype" w:hAnsi="Palatino Linotype" w:cstheme="minorHAnsi"/>
          <w:i/>
          <w:sz w:val="22"/>
          <w:szCs w:val="22"/>
        </w:rPr>
        <w:t xml:space="preserve">fecha </w:t>
      </w:r>
      <w:r w:rsidR="00247D8B">
        <w:rPr>
          <w:rFonts w:ascii="Palatino Linotype" w:hAnsi="Palatino Linotype" w:cstheme="minorHAnsi"/>
          <w:i/>
          <w:sz w:val="22"/>
          <w:szCs w:val="22"/>
        </w:rPr>
        <w:t xml:space="preserve">de </w:t>
      </w:r>
      <w:r w:rsidR="002F0466" w:rsidRPr="002F0466">
        <w:rPr>
          <w:rFonts w:ascii="Palatino Linotype" w:hAnsi="Palatino Linotype"/>
          <w:i/>
          <w:iCs/>
          <w:sz w:val="22"/>
          <w:szCs w:val="22"/>
          <w:lang w:val="es-EC"/>
        </w:rPr>
        <w:lastRenderedPageBreak/>
        <w:t xml:space="preserve">inscripción de la presente ordenanza en el Registro de la Propiedad del Distrito Metropolitano de Quito. </w:t>
      </w:r>
      <w:r w:rsidR="002F0466" w:rsidRPr="002F0466">
        <w:rPr>
          <w:rFonts w:ascii="Palatino Linotype" w:hAnsi="Palatino Linotype" w:cs="Arial"/>
          <w:i/>
          <w:iCs/>
          <w:sz w:val="22"/>
          <w:szCs w:val="22"/>
        </w:rPr>
        <w:t>Cuando las obras se ejecuten por autogestión de los copropietarios del inmueble donde se ubica el asentamiento, no se cancelará el valor por contribución especial de mejoras.</w:t>
      </w:r>
    </w:p>
    <w:p w:rsidR="00580643" w:rsidRPr="005A7785" w:rsidRDefault="002F0466" w:rsidP="005A7785">
      <w:pPr>
        <w:shd w:val="clear" w:color="auto" w:fill="FFFFFF"/>
        <w:spacing w:after="240" w:line="276" w:lineRule="auto"/>
        <w:ind w:left="708"/>
        <w:jc w:val="both"/>
        <w:rPr>
          <w:rFonts w:ascii="Palatino Linotype" w:hAnsi="Palatino Linotype" w:cstheme="minorHAnsi"/>
          <w:i/>
          <w:sz w:val="22"/>
          <w:szCs w:val="22"/>
        </w:rPr>
      </w:pPr>
      <w:r>
        <w:rPr>
          <w:rFonts w:ascii="Palatino Linotype" w:hAnsi="Palatino Linotype" w:cstheme="minorHAnsi"/>
          <w:i/>
          <w:sz w:val="22"/>
          <w:szCs w:val="22"/>
        </w:rPr>
        <w:t xml:space="preserve">El </w:t>
      </w:r>
      <w:r w:rsidR="00580643" w:rsidRPr="005A7785">
        <w:rPr>
          <w:rFonts w:ascii="Palatino Linotype" w:hAnsi="Palatino Linotype" w:cstheme="minorHAnsi"/>
          <w:i/>
          <w:sz w:val="22"/>
          <w:szCs w:val="22"/>
        </w:rPr>
        <w:t xml:space="preserve">plazo </w:t>
      </w:r>
      <w:r>
        <w:rPr>
          <w:rFonts w:ascii="Palatino Linotype" w:hAnsi="Palatino Linotype" w:cstheme="minorHAnsi"/>
          <w:i/>
          <w:sz w:val="22"/>
          <w:szCs w:val="22"/>
        </w:rPr>
        <w:t xml:space="preserve">en referencia podrá </w:t>
      </w:r>
      <w:r w:rsidR="00580643" w:rsidRPr="005A7785">
        <w:rPr>
          <w:rFonts w:ascii="Palatino Linotype" w:hAnsi="Palatino Linotype" w:cstheme="minorHAnsi"/>
          <w:i/>
          <w:sz w:val="22"/>
          <w:szCs w:val="22"/>
        </w:rPr>
        <w:t>prorrogarse por un período más, siempre y cuando se haya justificado un avance de la obra de por lo menos un 50% de las obras que debían ejecutarse.</w:t>
      </w:r>
    </w:p>
    <w:p w:rsidR="005A7785" w:rsidRDefault="00580643" w:rsidP="005A7785">
      <w:pPr>
        <w:shd w:val="clear" w:color="auto" w:fill="FFFFFF"/>
        <w:spacing w:after="240" w:line="276" w:lineRule="auto"/>
        <w:ind w:left="708"/>
        <w:jc w:val="both"/>
        <w:rPr>
          <w:rFonts w:ascii="Palatino Linotype" w:hAnsi="Palatino Linotype" w:cstheme="minorHAnsi"/>
          <w:i/>
          <w:sz w:val="22"/>
          <w:szCs w:val="22"/>
        </w:rPr>
      </w:pPr>
      <w:r w:rsidRPr="005A7785">
        <w:rPr>
          <w:rFonts w:ascii="Palatino Linotype" w:hAnsi="Palatino Linotype" w:cstheme="minorHAnsi"/>
          <w:i/>
          <w:sz w:val="22"/>
          <w:szCs w:val="22"/>
        </w:rPr>
        <w:t>La solicitud de ampliación de plazo para la ejecución de las obras será resuelta por la Administración Zonal a la que pertenece el asentamiento.</w:t>
      </w:r>
      <w:r w:rsidR="005A7785">
        <w:rPr>
          <w:rFonts w:ascii="Palatino Linotype" w:hAnsi="Palatino Linotype" w:cstheme="minorHAnsi"/>
          <w:i/>
          <w:sz w:val="22"/>
          <w:szCs w:val="22"/>
        </w:rPr>
        <w:t>”</w:t>
      </w:r>
    </w:p>
    <w:p w:rsidR="005A7785" w:rsidRPr="00580643" w:rsidRDefault="005A7785" w:rsidP="005A7785">
      <w:pPr>
        <w:pStyle w:val="Ttulo7"/>
        <w:spacing w:before="0" w:after="240" w:line="276" w:lineRule="auto"/>
        <w:jc w:val="both"/>
        <w:rPr>
          <w:rFonts w:ascii="Palatino Linotype" w:hAnsi="Palatino Linotype" w:cstheme="minorHAnsi"/>
          <w:bCs/>
          <w:sz w:val="22"/>
          <w:szCs w:val="22"/>
        </w:rPr>
      </w:pPr>
      <w:r>
        <w:rPr>
          <w:rFonts w:ascii="Palatino Linotype" w:hAnsi="Palatino Linotype" w:cstheme="minorHAnsi"/>
          <w:b/>
          <w:bCs/>
          <w:sz w:val="22"/>
          <w:szCs w:val="22"/>
        </w:rPr>
        <w:t xml:space="preserve">Artículo 5.- </w:t>
      </w:r>
      <w:r w:rsidRPr="00580643">
        <w:rPr>
          <w:rFonts w:ascii="Palatino Linotype" w:hAnsi="Palatino Linotype" w:cstheme="minorHAnsi"/>
          <w:bCs/>
          <w:sz w:val="22"/>
          <w:szCs w:val="22"/>
        </w:rPr>
        <w:t xml:space="preserve">Sustitúyase el </w:t>
      </w:r>
      <w:r>
        <w:rPr>
          <w:rFonts w:ascii="Palatino Linotype" w:hAnsi="Palatino Linotype" w:cstheme="minorHAnsi"/>
          <w:bCs/>
          <w:sz w:val="22"/>
          <w:szCs w:val="22"/>
        </w:rPr>
        <w:t>a</w:t>
      </w:r>
      <w:r w:rsidRPr="00580643">
        <w:rPr>
          <w:rFonts w:ascii="Palatino Linotype" w:hAnsi="Palatino Linotype" w:cstheme="minorHAnsi"/>
          <w:bCs/>
          <w:sz w:val="22"/>
          <w:szCs w:val="22"/>
        </w:rPr>
        <w:t xml:space="preserve">rtículo </w:t>
      </w:r>
      <w:r>
        <w:rPr>
          <w:rFonts w:ascii="Palatino Linotype" w:hAnsi="Palatino Linotype" w:cstheme="minorHAnsi"/>
          <w:bCs/>
          <w:sz w:val="22"/>
          <w:szCs w:val="22"/>
        </w:rPr>
        <w:t>11</w:t>
      </w:r>
      <w:r w:rsidRPr="00580643">
        <w:rPr>
          <w:rFonts w:ascii="Palatino Linotype" w:hAnsi="Palatino Linotype" w:cstheme="minorHAnsi"/>
          <w:bCs/>
          <w:sz w:val="22"/>
          <w:szCs w:val="22"/>
        </w:rPr>
        <w:t xml:space="preserve"> de la Ordenanza N</w:t>
      </w:r>
      <w:r>
        <w:rPr>
          <w:rFonts w:ascii="Palatino Linotype" w:hAnsi="Palatino Linotype" w:cstheme="minorHAnsi"/>
          <w:bCs/>
          <w:sz w:val="22"/>
          <w:szCs w:val="22"/>
        </w:rPr>
        <w:t>o.</w:t>
      </w:r>
      <w:r w:rsidRPr="00580643">
        <w:rPr>
          <w:rFonts w:ascii="Palatino Linotype" w:hAnsi="Palatino Linotype" w:cstheme="minorHAnsi"/>
          <w:bCs/>
          <w:sz w:val="22"/>
          <w:szCs w:val="22"/>
        </w:rPr>
        <w:t xml:space="preserve"> 0313</w:t>
      </w:r>
      <w:r>
        <w:rPr>
          <w:rFonts w:ascii="Palatino Linotype" w:hAnsi="Palatino Linotype" w:cstheme="minorHAnsi"/>
          <w:bCs/>
          <w:sz w:val="22"/>
          <w:szCs w:val="22"/>
        </w:rPr>
        <w:t>,</w:t>
      </w:r>
      <w:r w:rsidRPr="00580643">
        <w:rPr>
          <w:rFonts w:ascii="Palatino Linotype" w:hAnsi="Palatino Linotype" w:cstheme="minorHAnsi"/>
          <w:bCs/>
          <w:sz w:val="22"/>
          <w:szCs w:val="22"/>
        </w:rPr>
        <w:t xml:space="preserve"> por el siguiente texto:</w:t>
      </w:r>
    </w:p>
    <w:p w:rsidR="00580643" w:rsidRPr="005A7785" w:rsidRDefault="005A7785" w:rsidP="005A7785">
      <w:pPr>
        <w:shd w:val="clear" w:color="auto" w:fill="FFFFFF"/>
        <w:spacing w:after="240" w:line="276" w:lineRule="auto"/>
        <w:ind w:left="708"/>
        <w:jc w:val="both"/>
        <w:rPr>
          <w:rFonts w:ascii="Palatino Linotype" w:hAnsi="Palatino Linotype" w:cstheme="minorHAnsi"/>
          <w:b/>
          <w:bCs/>
          <w:i/>
          <w:sz w:val="22"/>
          <w:szCs w:val="22"/>
        </w:rPr>
      </w:pPr>
      <w:r>
        <w:rPr>
          <w:rFonts w:ascii="Palatino Linotype" w:hAnsi="Palatino Linotype" w:cstheme="minorHAnsi"/>
          <w:i/>
          <w:sz w:val="22"/>
          <w:szCs w:val="22"/>
        </w:rPr>
        <w:t>“</w:t>
      </w:r>
      <w:r w:rsidRPr="005A7785">
        <w:rPr>
          <w:rFonts w:ascii="Palatino Linotype" w:hAnsi="Palatino Linotype" w:cstheme="minorHAnsi"/>
          <w:b/>
          <w:i/>
          <w:sz w:val="22"/>
          <w:szCs w:val="22"/>
        </w:rPr>
        <w:t xml:space="preserve">Artículo 11.- </w:t>
      </w:r>
      <w:r w:rsidR="00580643" w:rsidRPr="005A7785">
        <w:rPr>
          <w:rFonts w:ascii="Palatino Linotype" w:hAnsi="Palatino Linotype" w:cstheme="minorHAnsi"/>
          <w:b/>
          <w:bCs/>
          <w:i/>
          <w:caps/>
          <w:sz w:val="22"/>
          <w:szCs w:val="22"/>
        </w:rPr>
        <w:t>D</w:t>
      </w:r>
      <w:r w:rsidR="00580643" w:rsidRPr="005A7785">
        <w:rPr>
          <w:rFonts w:ascii="Palatino Linotype" w:hAnsi="Palatino Linotype" w:cstheme="minorHAnsi"/>
          <w:b/>
          <w:bCs/>
          <w:i/>
          <w:sz w:val="22"/>
          <w:szCs w:val="22"/>
        </w:rPr>
        <w:t>e la garantía de ejecución de las obras</w:t>
      </w:r>
      <w:r w:rsidR="00580643" w:rsidRPr="005A7785">
        <w:rPr>
          <w:rFonts w:ascii="Palatino Linotype" w:hAnsi="Palatino Linotype" w:cstheme="minorHAnsi"/>
          <w:b/>
          <w:bCs/>
          <w:i/>
          <w:caps/>
          <w:sz w:val="22"/>
          <w:szCs w:val="22"/>
        </w:rPr>
        <w:t>.-</w:t>
      </w:r>
      <w:r w:rsidR="00580643" w:rsidRPr="005A7785">
        <w:rPr>
          <w:rFonts w:ascii="Palatino Linotype" w:hAnsi="Palatino Linotype" w:cstheme="minorHAnsi"/>
          <w:b/>
          <w:bCs/>
          <w:i/>
          <w:sz w:val="22"/>
          <w:szCs w:val="22"/>
        </w:rPr>
        <w:t xml:space="preserve"> </w:t>
      </w:r>
      <w:r w:rsidR="00580643" w:rsidRPr="005A7785">
        <w:rPr>
          <w:rFonts w:ascii="Palatino Linotype" w:hAnsi="Palatino Linotype" w:cstheme="minorHAnsi"/>
          <w:i/>
          <w:sz w:val="22"/>
          <w:szCs w:val="22"/>
        </w:rPr>
        <w:t>Los lotes  de los copropietarios, quedan gravados con primera, especial y preferente hipoteca a favor del Municipio del Distrito Metropolitano de Quito, que subsistirá hasta la terminación de la ejecución de las obras de urbanización.</w:t>
      </w:r>
      <w:r>
        <w:rPr>
          <w:rFonts w:ascii="Palatino Linotype" w:hAnsi="Palatino Linotype" w:cstheme="minorHAnsi"/>
          <w:i/>
          <w:sz w:val="22"/>
          <w:szCs w:val="22"/>
        </w:rPr>
        <w:t>”</w:t>
      </w:r>
    </w:p>
    <w:p w:rsidR="005A7785" w:rsidRPr="00580643" w:rsidRDefault="005A7785" w:rsidP="005A7785">
      <w:pPr>
        <w:pStyle w:val="Ttulo7"/>
        <w:spacing w:before="0" w:after="240" w:line="276" w:lineRule="auto"/>
        <w:jc w:val="both"/>
        <w:rPr>
          <w:rFonts w:ascii="Palatino Linotype" w:hAnsi="Palatino Linotype" w:cstheme="minorHAnsi"/>
          <w:bCs/>
          <w:sz w:val="22"/>
          <w:szCs w:val="22"/>
        </w:rPr>
      </w:pPr>
      <w:r>
        <w:rPr>
          <w:rFonts w:ascii="Palatino Linotype" w:hAnsi="Palatino Linotype" w:cstheme="minorHAnsi"/>
          <w:b/>
          <w:bCs/>
          <w:sz w:val="22"/>
          <w:szCs w:val="22"/>
        </w:rPr>
        <w:t xml:space="preserve">Artículo 6.- </w:t>
      </w:r>
      <w:r w:rsidRPr="00580643">
        <w:rPr>
          <w:rFonts w:ascii="Palatino Linotype" w:hAnsi="Palatino Linotype" w:cstheme="minorHAnsi"/>
          <w:bCs/>
          <w:sz w:val="22"/>
          <w:szCs w:val="22"/>
        </w:rPr>
        <w:t xml:space="preserve">Sustitúyase el </w:t>
      </w:r>
      <w:r>
        <w:rPr>
          <w:rFonts w:ascii="Palatino Linotype" w:hAnsi="Palatino Linotype" w:cstheme="minorHAnsi"/>
          <w:bCs/>
          <w:sz w:val="22"/>
          <w:szCs w:val="22"/>
        </w:rPr>
        <w:t>a</w:t>
      </w:r>
      <w:r w:rsidRPr="00580643">
        <w:rPr>
          <w:rFonts w:ascii="Palatino Linotype" w:hAnsi="Palatino Linotype" w:cstheme="minorHAnsi"/>
          <w:bCs/>
          <w:sz w:val="22"/>
          <w:szCs w:val="22"/>
        </w:rPr>
        <w:t xml:space="preserve">rtículo </w:t>
      </w:r>
      <w:r>
        <w:rPr>
          <w:rFonts w:ascii="Palatino Linotype" w:hAnsi="Palatino Linotype" w:cstheme="minorHAnsi"/>
          <w:bCs/>
          <w:sz w:val="22"/>
          <w:szCs w:val="22"/>
        </w:rPr>
        <w:t>13</w:t>
      </w:r>
      <w:r w:rsidRPr="00580643">
        <w:rPr>
          <w:rFonts w:ascii="Palatino Linotype" w:hAnsi="Palatino Linotype" w:cstheme="minorHAnsi"/>
          <w:bCs/>
          <w:sz w:val="22"/>
          <w:szCs w:val="22"/>
        </w:rPr>
        <w:t xml:space="preserve"> de la Ordenanza N</w:t>
      </w:r>
      <w:r>
        <w:rPr>
          <w:rFonts w:ascii="Palatino Linotype" w:hAnsi="Palatino Linotype" w:cstheme="minorHAnsi"/>
          <w:bCs/>
          <w:sz w:val="22"/>
          <w:szCs w:val="22"/>
        </w:rPr>
        <w:t>o.</w:t>
      </w:r>
      <w:r w:rsidRPr="00580643">
        <w:rPr>
          <w:rFonts w:ascii="Palatino Linotype" w:hAnsi="Palatino Linotype" w:cstheme="minorHAnsi"/>
          <w:bCs/>
          <w:sz w:val="22"/>
          <w:szCs w:val="22"/>
        </w:rPr>
        <w:t xml:space="preserve"> 0313</w:t>
      </w:r>
      <w:r>
        <w:rPr>
          <w:rFonts w:ascii="Palatino Linotype" w:hAnsi="Palatino Linotype" w:cstheme="minorHAnsi"/>
          <w:bCs/>
          <w:sz w:val="22"/>
          <w:szCs w:val="22"/>
        </w:rPr>
        <w:t>,</w:t>
      </w:r>
      <w:r w:rsidRPr="00580643">
        <w:rPr>
          <w:rFonts w:ascii="Palatino Linotype" w:hAnsi="Palatino Linotype" w:cstheme="minorHAnsi"/>
          <w:bCs/>
          <w:sz w:val="22"/>
          <w:szCs w:val="22"/>
        </w:rPr>
        <w:t xml:space="preserve"> por el siguiente texto:</w:t>
      </w:r>
    </w:p>
    <w:p w:rsidR="00580643" w:rsidRPr="005A7785" w:rsidRDefault="005A7785" w:rsidP="005A7785">
      <w:pPr>
        <w:spacing w:after="240" w:line="276" w:lineRule="auto"/>
        <w:ind w:left="708"/>
        <w:jc w:val="both"/>
        <w:rPr>
          <w:rFonts w:ascii="Palatino Linotype" w:hAnsi="Palatino Linotype" w:cstheme="minorHAnsi"/>
          <w:i/>
          <w:sz w:val="22"/>
          <w:szCs w:val="22"/>
        </w:rPr>
      </w:pPr>
      <w:r w:rsidRPr="005A7785">
        <w:rPr>
          <w:rFonts w:ascii="Palatino Linotype" w:hAnsi="Palatino Linotype" w:cstheme="minorHAnsi"/>
          <w:b/>
          <w:i/>
          <w:sz w:val="22"/>
          <w:szCs w:val="22"/>
        </w:rPr>
        <w:t xml:space="preserve">“Artículo 13.- </w:t>
      </w:r>
      <w:r w:rsidR="00580643" w:rsidRPr="005A7785">
        <w:rPr>
          <w:rFonts w:ascii="Palatino Linotype" w:hAnsi="Palatino Linotype" w:cstheme="minorHAnsi"/>
          <w:b/>
          <w:i/>
          <w:sz w:val="22"/>
          <w:szCs w:val="22"/>
        </w:rPr>
        <w:t xml:space="preserve">De la partición y adjudicación.- </w:t>
      </w:r>
      <w:r w:rsidR="00580643" w:rsidRPr="005A7785">
        <w:rPr>
          <w:rFonts w:ascii="Palatino Linotype" w:hAnsi="Palatino Linotype" w:cstheme="minorHAnsi"/>
          <w:i/>
          <w:sz w:val="22"/>
          <w:szCs w:val="22"/>
        </w:rPr>
        <w:t>Se faculta al señor Alcalde para que proceda con la partición administrativa correspondiente. Dicha resolución de partición y adjudicación se protocolizará ante un Notario Público y se inscribirá en el Registro de la Propiedad del Distrito Metropolitano de Quito, la misma que sin otra solemnidad constituirá título de dominio del beneficiario.</w:t>
      </w:r>
    </w:p>
    <w:p w:rsidR="00580643" w:rsidRDefault="00580643" w:rsidP="005A7785">
      <w:pPr>
        <w:spacing w:after="240" w:line="276" w:lineRule="auto"/>
        <w:ind w:left="708"/>
        <w:jc w:val="both"/>
        <w:rPr>
          <w:rFonts w:ascii="Palatino Linotype" w:hAnsi="Palatino Linotype" w:cstheme="minorHAnsi"/>
          <w:i/>
          <w:sz w:val="22"/>
          <w:szCs w:val="22"/>
        </w:rPr>
      </w:pPr>
      <w:r w:rsidRPr="005A7785">
        <w:rPr>
          <w:rFonts w:ascii="Palatino Linotype" w:hAnsi="Palatino Linotype" w:cstheme="minorHAnsi"/>
          <w:i/>
          <w:sz w:val="22"/>
          <w:szCs w:val="22"/>
        </w:rPr>
        <w:t xml:space="preserve">Con el fin de efectuar la partición administrativa, la señora María Martha Gómez </w:t>
      </w:r>
      <w:proofErr w:type="spellStart"/>
      <w:r w:rsidRPr="005A7785">
        <w:rPr>
          <w:rFonts w:ascii="Palatino Linotype" w:hAnsi="Palatino Linotype" w:cstheme="minorHAnsi"/>
          <w:i/>
          <w:sz w:val="22"/>
          <w:szCs w:val="22"/>
        </w:rPr>
        <w:t>Carasayo</w:t>
      </w:r>
      <w:proofErr w:type="spellEnd"/>
      <w:r w:rsidRPr="005A7785">
        <w:rPr>
          <w:rFonts w:ascii="Palatino Linotype" w:hAnsi="Palatino Linotype" w:cstheme="minorHAnsi"/>
          <w:i/>
          <w:sz w:val="22"/>
          <w:szCs w:val="22"/>
        </w:rPr>
        <w:t xml:space="preserve"> deberá subsanar la prohibición de enajenar que pesa sobre sus bienes</w:t>
      </w:r>
      <w:r w:rsidR="005A7785">
        <w:rPr>
          <w:rFonts w:ascii="Palatino Linotype" w:hAnsi="Palatino Linotype" w:cstheme="minorHAnsi"/>
          <w:i/>
          <w:sz w:val="22"/>
          <w:szCs w:val="22"/>
        </w:rPr>
        <w:t>,</w:t>
      </w:r>
      <w:r w:rsidRPr="005A7785">
        <w:rPr>
          <w:rFonts w:ascii="Palatino Linotype" w:hAnsi="Palatino Linotype" w:cstheme="minorHAnsi"/>
          <w:i/>
          <w:sz w:val="22"/>
          <w:szCs w:val="22"/>
        </w:rPr>
        <w:t xml:space="preserve"> </w:t>
      </w:r>
      <w:r w:rsidR="005A7785">
        <w:rPr>
          <w:rFonts w:ascii="Palatino Linotype" w:hAnsi="Palatino Linotype" w:cstheme="minorHAnsi"/>
          <w:i/>
          <w:sz w:val="22"/>
          <w:szCs w:val="22"/>
        </w:rPr>
        <w:t xml:space="preserve">conforme </w:t>
      </w:r>
      <w:r w:rsidRPr="005A7785">
        <w:rPr>
          <w:rFonts w:ascii="Palatino Linotype" w:hAnsi="Palatino Linotype" w:cstheme="minorHAnsi"/>
          <w:i/>
          <w:sz w:val="22"/>
          <w:szCs w:val="22"/>
        </w:rPr>
        <w:t>se detalla en el certificado de gravámenes emitido por el Registro de la Propiedad del Distrito Metropolitano de Quito.</w:t>
      </w:r>
      <w:r w:rsidR="005A7785" w:rsidRPr="005A7785">
        <w:rPr>
          <w:rFonts w:ascii="Palatino Linotype" w:hAnsi="Palatino Linotype" w:cstheme="minorHAnsi"/>
          <w:i/>
          <w:sz w:val="22"/>
          <w:szCs w:val="22"/>
        </w:rPr>
        <w:t>”</w:t>
      </w:r>
    </w:p>
    <w:p w:rsidR="005A7785" w:rsidRPr="00580643" w:rsidRDefault="005A7785" w:rsidP="005A7785">
      <w:pPr>
        <w:pStyle w:val="Ttulo7"/>
        <w:spacing w:before="0" w:after="240" w:line="276" w:lineRule="auto"/>
        <w:jc w:val="both"/>
        <w:rPr>
          <w:rFonts w:ascii="Palatino Linotype" w:hAnsi="Palatino Linotype" w:cstheme="minorHAnsi"/>
          <w:bCs/>
          <w:sz w:val="22"/>
          <w:szCs w:val="22"/>
        </w:rPr>
      </w:pPr>
      <w:r>
        <w:rPr>
          <w:rFonts w:ascii="Palatino Linotype" w:hAnsi="Palatino Linotype" w:cstheme="minorHAnsi"/>
          <w:b/>
          <w:bCs/>
          <w:sz w:val="22"/>
          <w:szCs w:val="22"/>
        </w:rPr>
        <w:t xml:space="preserve">Artículo </w:t>
      </w:r>
      <w:r w:rsidR="002F0466">
        <w:rPr>
          <w:rFonts w:ascii="Palatino Linotype" w:hAnsi="Palatino Linotype" w:cstheme="minorHAnsi"/>
          <w:b/>
          <w:bCs/>
          <w:sz w:val="22"/>
          <w:szCs w:val="22"/>
        </w:rPr>
        <w:t>7</w:t>
      </w:r>
      <w:r>
        <w:rPr>
          <w:rFonts w:ascii="Palatino Linotype" w:hAnsi="Palatino Linotype" w:cstheme="minorHAnsi"/>
          <w:b/>
          <w:bCs/>
          <w:sz w:val="22"/>
          <w:szCs w:val="22"/>
        </w:rPr>
        <w:t xml:space="preserve">.- </w:t>
      </w:r>
      <w:r w:rsidRPr="005A7785">
        <w:rPr>
          <w:rFonts w:ascii="Palatino Linotype" w:hAnsi="Palatino Linotype" w:cstheme="minorHAnsi"/>
          <w:bCs/>
          <w:sz w:val="22"/>
          <w:szCs w:val="22"/>
        </w:rPr>
        <w:t>A continuación del artículo</w:t>
      </w:r>
      <w:r>
        <w:rPr>
          <w:rFonts w:ascii="Palatino Linotype" w:hAnsi="Palatino Linotype" w:cstheme="minorHAnsi"/>
          <w:b/>
          <w:bCs/>
          <w:sz w:val="22"/>
          <w:szCs w:val="22"/>
        </w:rPr>
        <w:t xml:space="preserve"> </w:t>
      </w:r>
      <w:r>
        <w:rPr>
          <w:rFonts w:ascii="Palatino Linotype" w:hAnsi="Palatino Linotype" w:cstheme="minorHAnsi"/>
          <w:bCs/>
          <w:sz w:val="22"/>
          <w:szCs w:val="22"/>
        </w:rPr>
        <w:t>15</w:t>
      </w:r>
      <w:r w:rsidRPr="00580643">
        <w:rPr>
          <w:rFonts w:ascii="Palatino Linotype" w:hAnsi="Palatino Linotype" w:cstheme="minorHAnsi"/>
          <w:bCs/>
          <w:sz w:val="22"/>
          <w:szCs w:val="22"/>
        </w:rPr>
        <w:t xml:space="preserve"> de la Ordenanza N</w:t>
      </w:r>
      <w:r>
        <w:rPr>
          <w:rFonts w:ascii="Palatino Linotype" w:hAnsi="Palatino Linotype" w:cstheme="minorHAnsi"/>
          <w:bCs/>
          <w:sz w:val="22"/>
          <w:szCs w:val="22"/>
        </w:rPr>
        <w:t>o.</w:t>
      </w:r>
      <w:r w:rsidRPr="00580643">
        <w:rPr>
          <w:rFonts w:ascii="Palatino Linotype" w:hAnsi="Palatino Linotype" w:cstheme="minorHAnsi"/>
          <w:bCs/>
          <w:sz w:val="22"/>
          <w:szCs w:val="22"/>
        </w:rPr>
        <w:t xml:space="preserve"> 0313</w:t>
      </w:r>
      <w:r>
        <w:rPr>
          <w:rFonts w:ascii="Palatino Linotype" w:hAnsi="Palatino Linotype" w:cstheme="minorHAnsi"/>
          <w:bCs/>
          <w:sz w:val="22"/>
          <w:szCs w:val="22"/>
        </w:rPr>
        <w:t>,</w:t>
      </w:r>
      <w:r w:rsidRPr="00580643">
        <w:rPr>
          <w:rFonts w:ascii="Palatino Linotype" w:hAnsi="Palatino Linotype" w:cstheme="minorHAnsi"/>
          <w:bCs/>
          <w:sz w:val="22"/>
          <w:szCs w:val="22"/>
        </w:rPr>
        <w:t xml:space="preserve"> </w:t>
      </w:r>
      <w:r>
        <w:rPr>
          <w:rFonts w:ascii="Palatino Linotype" w:hAnsi="Palatino Linotype" w:cstheme="minorHAnsi"/>
          <w:bCs/>
          <w:sz w:val="22"/>
          <w:szCs w:val="22"/>
        </w:rPr>
        <w:t>incorpórese un artículo al tenor d</w:t>
      </w:r>
      <w:r w:rsidRPr="00580643">
        <w:rPr>
          <w:rFonts w:ascii="Palatino Linotype" w:hAnsi="Palatino Linotype" w:cstheme="minorHAnsi"/>
          <w:bCs/>
          <w:sz w:val="22"/>
          <w:szCs w:val="22"/>
        </w:rPr>
        <w:t>el siguiente texto:</w:t>
      </w:r>
    </w:p>
    <w:p w:rsidR="00580643" w:rsidRPr="005A7785" w:rsidRDefault="005A7785" w:rsidP="005A7785">
      <w:pPr>
        <w:pStyle w:val="Ttulo7"/>
        <w:spacing w:before="0" w:after="240" w:line="276" w:lineRule="auto"/>
        <w:ind w:left="283"/>
        <w:jc w:val="both"/>
        <w:rPr>
          <w:rFonts w:ascii="Palatino Linotype" w:hAnsi="Palatino Linotype" w:cstheme="minorHAnsi"/>
          <w:i/>
          <w:sz w:val="22"/>
          <w:szCs w:val="22"/>
          <w:lang w:val="es-ES_tradnl"/>
        </w:rPr>
      </w:pPr>
      <w:r w:rsidRPr="005A7785">
        <w:rPr>
          <w:rFonts w:ascii="Palatino Linotype" w:eastAsia="Calibri" w:hAnsi="Palatino Linotype" w:cstheme="minorHAnsi"/>
          <w:b/>
          <w:bCs/>
          <w:i/>
          <w:sz w:val="22"/>
          <w:szCs w:val="22"/>
          <w:lang w:val="es-ES_tradnl"/>
        </w:rPr>
        <w:t xml:space="preserve">Artículo 16.- </w:t>
      </w:r>
      <w:r w:rsidR="00580643" w:rsidRPr="005A7785">
        <w:rPr>
          <w:rFonts w:ascii="Palatino Linotype" w:hAnsi="Palatino Linotype" w:cstheme="minorHAnsi"/>
          <w:b/>
          <w:bCs/>
          <w:i/>
          <w:color w:val="000000"/>
          <w:sz w:val="22"/>
          <w:szCs w:val="22"/>
        </w:rPr>
        <w:t>Informe Técnico de  </w:t>
      </w:r>
      <w:r>
        <w:rPr>
          <w:rFonts w:ascii="Palatino Linotype" w:hAnsi="Palatino Linotype" w:cstheme="minorHAnsi"/>
          <w:b/>
          <w:bCs/>
          <w:i/>
          <w:color w:val="000000"/>
          <w:sz w:val="22"/>
          <w:szCs w:val="22"/>
        </w:rPr>
        <w:t>e</w:t>
      </w:r>
      <w:r w:rsidR="00580643" w:rsidRPr="005A7785">
        <w:rPr>
          <w:rFonts w:ascii="Palatino Linotype" w:hAnsi="Palatino Linotype" w:cstheme="minorHAnsi"/>
          <w:b/>
          <w:bCs/>
          <w:i/>
          <w:color w:val="000000"/>
          <w:sz w:val="22"/>
          <w:szCs w:val="22"/>
        </w:rPr>
        <w:t xml:space="preserve">valuación de </w:t>
      </w:r>
      <w:r>
        <w:rPr>
          <w:rFonts w:ascii="Palatino Linotype" w:hAnsi="Palatino Linotype" w:cstheme="minorHAnsi"/>
          <w:b/>
          <w:bCs/>
          <w:i/>
          <w:color w:val="000000"/>
          <w:sz w:val="22"/>
          <w:szCs w:val="22"/>
        </w:rPr>
        <w:t>r</w:t>
      </w:r>
      <w:r w:rsidR="00580643" w:rsidRPr="005A7785">
        <w:rPr>
          <w:rFonts w:ascii="Palatino Linotype" w:hAnsi="Palatino Linotype" w:cstheme="minorHAnsi"/>
          <w:b/>
          <w:bCs/>
          <w:i/>
          <w:color w:val="000000"/>
          <w:sz w:val="22"/>
          <w:szCs w:val="22"/>
        </w:rPr>
        <w:t>iesgos de la Secretaría General de Seguridad y Gobernabilidad.</w:t>
      </w:r>
      <w:r w:rsidR="00580643" w:rsidRPr="005A7785">
        <w:rPr>
          <w:rFonts w:ascii="Palatino Linotype" w:hAnsi="Palatino Linotype" w:cstheme="minorHAnsi"/>
          <w:i/>
          <w:color w:val="000000"/>
          <w:sz w:val="22"/>
          <w:szCs w:val="22"/>
        </w:rPr>
        <w:t xml:space="preserve">- Los Copropietarios del Asentamiento Humano de Hecho y Consolidado </w:t>
      </w:r>
      <w:r w:rsidRPr="00B21732">
        <w:rPr>
          <w:rFonts w:ascii="Palatino Linotype" w:hAnsi="Palatino Linotype" w:cstheme="minorHAnsi"/>
          <w:bCs/>
          <w:i/>
          <w:sz w:val="22"/>
          <w:szCs w:val="22"/>
        </w:rPr>
        <w:t xml:space="preserve">Comité Pro-Mejoras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el Barrio San José Obrero </w:t>
      </w:r>
      <w:r>
        <w:rPr>
          <w:rFonts w:ascii="Palatino Linotype" w:hAnsi="Palatino Linotype" w:cstheme="minorHAnsi"/>
          <w:bCs/>
          <w:i/>
          <w:sz w:val="22"/>
          <w:szCs w:val="22"/>
        </w:rPr>
        <w:t>d</w:t>
      </w:r>
      <w:r w:rsidRPr="00B21732">
        <w:rPr>
          <w:rFonts w:ascii="Palatino Linotype" w:hAnsi="Palatino Linotype" w:cstheme="minorHAnsi"/>
          <w:bCs/>
          <w:i/>
          <w:sz w:val="22"/>
          <w:szCs w:val="22"/>
        </w:rPr>
        <w:t xml:space="preserve">e </w:t>
      </w:r>
      <w:proofErr w:type="spellStart"/>
      <w:r w:rsidRPr="00B21732">
        <w:rPr>
          <w:rFonts w:ascii="Palatino Linotype" w:hAnsi="Palatino Linotype" w:cstheme="minorHAnsi"/>
          <w:bCs/>
          <w:i/>
          <w:sz w:val="22"/>
          <w:szCs w:val="22"/>
        </w:rPr>
        <w:t>Cotocollao</w:t>
      </w:r>
      <w:proofErr w:type="spellEnd"/>
      <w:r>
        <w:rPr>
          <w:rFonts w:ascii="Palatino Linotype" w:hAnsi="Palatino Linotype" w:cstheme="minorHAnsi"/>
          <w:bCs/>
          <w:i/>
          <w:sz w:val="22"/>
          <w:szCs w:val="22"/>
        </w:rPr>
        <w:t>,</w:t>
      </w:r>
      <w:r w:rsidRPr="00B21732">
        <w:rPr>
          <w:rFonts w:ascii="Palatino Linotype" w:hAnsi="Palatino Linotype" w:cstheme="minorHAnsi"/>
          <w:bCs/>
          <w:i/>
          <w:sz w:val="22"/>
          <w:szCs w:val="22"/>
        </w:rPr>
        <w:t xml:space="preserve"> Segunda Etapa</w:t>
      </w:r>
      <w:r>
        <w:rPr>
          <w:rFonts w:ascii="Palatino Linotype" w:hAnsi="Palatino Linotype" w:cstheme="minorHAnsi"/>
          <w:bCs/>
          <w:i/>
          <w:sz w:val="22"/>
          <w:szCs w:val="22"/>
        </w:rPr>
        <w:t>”,</w:t>
      </w:r>
      <w:r w:rsidR="00580643" w:rsidRPr="005A7785">
        <w:rPr>
          <w:rFonts w:ascii="Palatino Linotype" w:hAnsi="Palatino Linotype" w:cstheme="minorHAnsi"/>
          <w:i/>
          <w:color w:val="000000"/>
          <w:sz w:val="22"/>
          <w:szCs w:val="22"/>
        </w:rPr>
        <w:t xml:space="preserve"> se comprometen a realizar las recomendaciones que se encuentran determinadas en el informe de la Dirección Metropolitana de Gestión de Riesgos No. </w:t>
      </w:r>
      <w:r w:rsidR="00580643" w:rsidRPr="005A7785">
        <w:rPr>
          <w:rFonts w:ascii="Palatino Linotype" w:hAnsi="Palatino Linotype" w:cstheme="minorHAnsi"/>
          <w:i/>
          <w:sz w:val="22"/>
          <w:szCs w:val="22"/>
        </w:rPr>
        <w:t>N.112-AT-DMGR-2015</w:t>
      </w:r>
      <w:r w:rsidR="00580643" w:rsidRPr="005A7785">
        <w:rPr>
          <w:rFonts w:ascii="Palatino Linotype" w:hAnsi="Palatino Linotype" w:cstheme="minorHAnsi"/>
          <w:i/>
          <w:color w:val="000000"/>
          <w:sz w:val="22"/>
          <w:szCs w:val="22"/>
        </w:rPr>
        <w:t>, de 25 de septiembre de 2015</w:t>
      </w:r>
      <w:r>
        <w:rPr>
          <w:rFonts w:ascii="Palatino Linotype" w:hAnsi="Palatino Linotype" w:cstheme="minorHAnsi"/>
          <w:i/>
          <w:color w:val="000000"/>
          <w:sz w:val="22"/>
          <w:szCs w:val="22"/>
        </w:rPr>
        <w:t>,</w:t>
      </w:r>
      <w:r w:rsidR="00580643" w:rsidRPr="005A7785">
        <w:rPr>
          <w:rFonts w:ascii="Palatino Linotype" w:hAnsi="Palatino Linotype" w:cstheme="minorHAnsi"/>
          <w:i/>
          <w:color w:val="000000"/>
          <w:sz w:val="22"/>
          <w:szCs w:val="22"/>
        </w:rPr>
        <w:t xml:space="preserve"> y que a continuación se detalla: </w:t>
      </w:r>
    </w:p>
    <w:p w:rsidR="00580643" w:rsidRPr="00CA02A9" w:rsidRDefault="00580643" w:rsidP="005A7785">
      <w:pPr>
        <w:pStyle w:val="Prrafodelista"/>
        <w:numPr>
          <w:ilvl w:val="0"/>
          <w:numId w:val="36"/>
        </w:numPr>
        <w:spacing w:after="240" w:line="276" w:lineRule="auto"/>
        <w:ind w:left="926"/>
        <w:contextualSpacing/>
        <w:jc w:val="both"/>
        <w:rPr>
          <w:rFonts w:ascii="Palatino Linotype" w:hAnsi="Palatino Linotype" w:cstheme="minorHAnsi"/>
          <w:i/>
          <w:sz w:val="22"/>
          <w:szCs w:val="22"/>
        </w:rPr>
      </w:pPr>
      <w:r w:rsidRPr="005A7785">
        <w:rPr>
          <w:rFonts w:ascii="Palatino Linotype" w:hAnsi="Palatino Linotype" w:cstheme="minorHAnsi"/>
          <w:i/>
          <w:sz w:val="22"/>
          <w:szCs w:val="22"/>
        </w:rPr>
        <w:lastRenderedPageBreak/>
        <w:t xml:space="preserve">Tomar en cuenta el Artículo 13.- de la Ley Orgánica Reformada al COOTAD en su Artículo 140.- sobre el Ejercicio de la competencia de gestión de riesgos establece que: “ la </w:t>
      </w:r>
      <w:r w:rsidRPr="00CA02A9">
        <w:rPr>
          <w:rFonts w:ascii="Palatino Linotype" w:hAnsi="Palatino Linotype" w:cstheme="minorHAnsi"/>
          <w:i/>
          <w:sz w:val="22"/>
          <w:szCs w:val="22"/>
        </w:rPr>
        <w:t xml:space="preserve">gestión de riesgos que incluye las acciones de prevención reacción, mitigación , reconstrucción y transferencia, para enfrentar todas las amenazas de origen natural o antrópico que afecten el territorio se gestionará de manera concurrente y de forma articulada  por todos los niveles de gobierno de acuerdo con las políticas y los planes emitidos por el organismo nacional responsable , de acuerdo con la Constitución y la ley .Los gobiernos autónomos descentralizados municipales adoptarán obligatoriamente normas técnicas para la prevención y gestión de riesgos en sus territorios con el propósito de proteger las personas, colectividades y la naturaleza, en sus procesos de ordenamiento territorial”. </w:t>
      </w:r>
    </w:p>
    <w:p w:rsidR="00580643" w:rsidRPr="00CA02A9" w:rsidRDefault="00580643" w:rsidP="005A7785">
      <w:pPr>
        <w:pStyle w:val="Prrafodelista"/>
        <w:numPr>
          <w:ilvl w:val="0"/>
          <w:numId w:val="36"/>
        </w:numPr>
        <w:spacing w:after="240" w:line="276" w:lineRule="auto"/>
        <w:ind w:left="926"/>
        <w:contextualSpacing/>
        <w:jc w:val="both"/>
        <w:rPr>
          <w:rFonts w:ascii="Palatino Linotype" w:hAnsi="Palatino Linotype" w:cstheme="minorHAnsi"/>
          <w:i/>
          <w:sz w:val="22"/>
          <w:szCs w:val="22"/>
        </w:rPr>
      </w:pPr>
      <w:r w:rsidRPr="00CA02A9">
        <w:rPr>
          <w:rFonts w:ascii="Palatino Linotype" w:hAnsi="Palatino Linotype" w:cstheme="minorHAnsi"/>
          <w:i/>
          <w:sz w:val="22"/>
          <w:szCs w:val="22"/>
        </w:rPr>
        <w:t>Incluir en el Informe de Regulación Metropolitana (IRM), las observaciones de calificación de riesgo y recomendaciones para emisión de permisos y control de usos futuros y ocupación del suelo, en cumplimiento estricto con el cuerpo normativo que garantice el adecuado cuidado ambiental y protección de taludes y quebradas, en prevención de riesgos naturales y antrópicos que se podrían presentar.”</w:t>
      </w:r>
    </w:p>
    <w:p w:rsidR="00580643" w:rsidRPr="00CA02A9" w:rsidRDefault="00580643" w:rsidP="005A7785">
      <w:pPr>
        <w:pStyle w:val="Prrafodelista"/>
        <w:numPr>
          <w:ilvl w:val="0"/>
          <w:numId w:val="36"/>
        </w:numPr>
        <w:spacing w:after="240" w:line="276" w:lineRule="auto"/>
        <w:ind w:left="926"/>
        <w:contextualSpacing/>
        <w:jc w:val="both"/>
        <w:rPr>
          <w:rFonts w:ascii="Palatino Linotype" w:hAnsi="Palatino Linotype" w:cstheme="minorHAnsi"/>
          <w:i/>
          <w:sz w:val="22"/>
          <w:szCs w:val="22"/>
        </w:rPr>
      </w:pPr>
      <w:r w:rsidRPr="00CA02A9">
        <w:rPr>
          <w:rFonts w:ascii="Palatino Linotype" w:hAnsi="Palatino Linotype" w:cstheme="minorHAnsi"/>
          <w:i/>
          <w:sz w:val="22"/>
          <w:szCs w:val="22"/>
        </w:rPr>
        <w:t xml:space="preserve">“La Dirección Metropolitana de Gestión de Riesgos (DMGR) recomienda para reducir el riesgo sísmico se tiene que tomar en cuenta la calidad constructiva de las viviendas y el tipo de suelo. Todas las edificaciones  deberán ser construidas siguiendo la guía técnica de la Norma Ecuatoriana  de la construcción (NEC-11), sobre todo, lo que se refiere a diseños estructurales sismo-resistentes, para lo cual la Agencia Metropolitana de Control deberá hacer cumplir esta disposición.  Y en las edificaciones actuales, sus propietarios deberían contratar  a un especialista (Ing. Civil Estructuralista o Estructural) para que evalué su estado actual y proponga un sistema de reforzamiento estructural si el caso así lo amerita. </w:t>
      </w:r>
    </w:p>
    <w:p w:rsidR="00580643" w:rsidRPr="00CA02A9" w:rsidRDefault="00095DAA" w:rsidP="005A7785">
      <w:pPr>
        <w:pStyle w:val="Prrafodelista"/>
        <w:numPr>
          <w:ilvl w:val="0"/>
          <w:numId w:val="36"/>
        </w:numPr>
        <w:spacing w:after="240" w:line="276" w:lineRule="auto"/>
        <w:ind w:left="926"/>
        <w:contextualSpacing/>
        <w:jc w:val="both"/>
        <w:rPr>
          <w:rFonts w:ascii="Palatino Linotype" w:hAnsi="Palatino Linotype" w:cstheme="minorHAnsi"/>
          <w:i/>
          <w:sz w:val="22"/>
          <w:szCs w:val="22"/>
        </w:rPr>
      </w:pPr>
      <w:r>
        <w:rPr>
          <w:rFonts w:ascii="Palatino Linotype" w:hAnsi="Palatino Linotype" w:cstheme="minorHAnsi"/>
          <w:i/>
          <w:sz w:val="22"/>
          <w:szCs w:val="22"/>
        </w:rPr>
        <w:t>“Coordinar con la</w:t>
      </w:r>
      <w:bookmarkStart w:id="0" w:name="_GoBack"/>
      <w:bookmarkEnd w:id="0"/>
      <w:r w:rsidR="00580643" w:rsidRPr="00CA02A9">
        <w:rPr>
          <w:rFonts w:ascii="Palatino Linotype" w:hAnsi="Palatino Linotype" w:cstheme="minorHAnsi"/>
          <w:i/>
          <w:sz w:val="22"/>
          <w:szCs w:val="22"/>
        </w:rPr>
        <w:t xml:space="preserve"> EPMMOP  para mejorar el trazado de la red vial, asegurando su estabilidad de los pequeños taludes generados en los cortes efectuados para la apertura de calles; y considerar el criterio técnico de la EPMAPS para que se implemente y se culmine con el sistema de alcantarillado pluvial  que evite la erosión del suelo , por ser un espacio que está desprotegido de cobertura vegetal u otro material”</w:t>
      </w:r>
    </w:p>
    <w:p w:rsidR="00580643" w:rsidRPr="005A7785" w:rsidRDefault="00580643" w:rsidP="005A7785">
      <w:pPr>
        <w:pStyle w:val="Prrafodelista"/>
        <w:numPr>
          <w:ilvl w:val="0"/>
          <w:numId w:val="36"/>
        </w:numPr>
        <w:spacing w:after="240" w:line="276" w:lineRule="auto"/>
        <w:ind w:left="926"/>
        <w:contextualSpacing/>
        <w:jc w:val="both"/>
        <w:rPr>
          <w:rFonts w:ascii="Palatino Linotype" w:hAnsi="Palatino Linotype" w:cstheme="minorHAnsi"/>
          <w:b/>
          <w:i/>
          <w:sz w:val="22"/>
          <w:szCs w:val="22"/>
        </w:rPr>
      </w:pPr>
      <w:r w:rsidRPr="00CA02A9">
        <w:rPr>
          <w:rFonts w:ascii="Palatino Linotype" w:hAnsi="Palatino Linotype" w:cstheme="minorHAnsi"/>
          <w:i/>
          <w:sz w:val="22"/>
          <w:szCs w:val="22"/>
        </w:rPr>
        <w:t>“Respetar las franjas de protección de las quebradas y taludes</w:t>
      </w:r>
      <w:r w:rsidRPr="005A7785">
        <w:rPr>
          <w:rFonts w:ascii="Palatino Linotype" w:hAnsi="Palatino Linotype" w:cstheme="minorHAnsi"/>
          <w:i/>
          <w:sz w:val="22"/>
          <w:szCs w:val="22"/>
        </w:rPr>
        <w:t xml:space="preserve"> que está establecido en la Ordenanza Municipal No. 0172; y mantener las áreas verdes dispuestas en el levantamiento </w:t>
      </w:r>
      <w:proofErr w:type="spellStart"/>
      <w:r w:rsidRPr="005A7785">
        <w:rPr>
          <w:rFonts w:ascii="Palatino Linotype" w:hAnsi="Palatino Linotype" w:cstheme="minorHAnsi"/>
          <w:i/>
          <w:sz w:val="22"/>
          <w:szCs w:val="22"/>
        </w:rPr>
        <w:t>Planialtimétrico</w:t>
      </w:r>
      <w:proofErr w:type="spellEnd"/>
      <w:r w:rsidRPr="005A7785">
        <w:rPr>
          <w:rFonts w:ascii="Palatino Linotype" w:hAnsi="Palatino Linotype" w:cstheme="minorHAnsi"/>
          <w:i/>
          <w:sz w:val="22"/>
          <w:szCs w:val="22"/>
        </w:rPr>
        <w:t xml:space="preserve"> proporcionado por la UERB, dentro de las cuales está prohibido realizar cualquier tipo de construcción”.</w:t>
      </w:r>
    </w:p>
    <w:p w:rsidR="00580643" w:rsidRPr="005A7785" w:rsidRDefault="00580643" w:rsidP="005A7785">
      <w:pPr>
        <w:pStyle w:val="Prrafodelista"/>
        <w:numPr>
          <w:ilvl w:val="0"/>
          <w:numId w:val="36"/>
        </w:numPr>
        <w:spacing w:after="240" w:line="276" w:lineRule="auto"/>
        <w:ind w:left="926"/>
        <w:contextualSpacing/>
        <w:jc w:val="both"/>
        <w:rPr>
          <w:rFonts w:ascii="Palatino Linotype" w:hAnsi="Palatino Linotype" w:cstheme="minorHAnsi"/>
          <w:i/>
          <w:sz w:val="22"/>
          <w:szCs w:val="22"/>
        </w:rPr>
      </w:pPr>
      <w:r w:rsidRPr="005A7785">
        <w:rPr>
          <w:rFonts w:ascii="Palatino Linotype" w:hAnsi="Palatino Linotype" w:cstheme="minorHAnsi"/>
          <w:i/>
          <w:sz w:val="22"/>
          <w:szCs w:val="22"/>
        </w:rPr>
        <w:t xml:space="preserve">La Dirección Metropolitana de Gestión de Riesgos (DMGR) recomienda para el proceso de regularización del barrio “ San José Obrero etapa II”, respecto al riesgo por inestabilidad de terrenos y movimientos en masa, al igual que para el riesgo sísmico, para ejecutar las construcciones, sus propietarios deberán </w:t>
      </w:r>
      <w:r w:rsidRPr="005A7785">
        <w:rPr>
          <w:rFonts w:ascii="Palatino Linotype" w:hAnsi="Palatino Linotype" w:cstheme="minorHAnsi"/>
          <w:b/>
          <w:i/>
          <w:sz w:val="22"/>
          <w:szCs w:val="22"/>
        </w:rPr>
        <w:t>contratar un estudio geológico-geotécnico</w:t>
      </w:r>
      <w:r w:rsidRPr="005A7785">
        <w:rPr>
          <w:rFonts w:ascii="Palatino Linotype" w:hAnsi="Palatino Linotype" w:cstheme="minorHAnsi"/>
          <w:i/>
          <w:sz w:val="22"/>
          <w:szCs w:val="22"/>
        </w:rPr>
        <w:t xml:space="preserve"> que determine la capacidad portante admisible del suelo (carga máxima que puede soportar el </w:t>
      </w:r>
      <w:r w:rsidRPr="005A7785">
        <w:rPr>
          <w:rFonts w:ascii="Palatino Linotype" w:hAnsi="Palatino Linotype" w:cstheme="minorHAnsi"/>
          <w:i/>
          <w:sz w:val="22"/>
          <w:szCs w:val="22"/>
        </w:rPr>
        <w:lastRenderedPageBreak/>
        <w:t>suelo sin que su estabilidad sea amenazada), y el factor de seguridad del mismo . Adicionalmente, en los casos en los que se realizaron desbanques de terreno para construir la vivienda, cada propietario deberá contratar la construcción de un muro de contención en el talud, diseñado estructuralmente para que soporte las cargas estáticas y dinámicas. Estudio que permitirá conocer las condiciones de mecánicas del suelo  que será validada posteriormente por la DMGR, debido a la característica litológica poco favorable que se observaron en varios sitios , y la vulnerabilidad física de las construcciones es muy alto según la evaluación técnica realizada.</w:t>
      </w:r>
    </w:p>
    <w:p w:rsidR="00580643" w:rsidRPr="005A7785" w:rsidRDefault="00580643" w:rsidP="005A7785">
      <w:pPr>
        <w:numPr>
          <w:ilvl w:val="0"/>
          <w:numId w:val="36"/>
        </w:numPr>
        <w:spacing w:after="240" w:line="276" w:lineRule="auto"/>
        <w:ind w:left="926"/>
        <w:contextualSpacing/>
        <w:jc w:val="both"/>
        <w:rPr>
          <w:rFonts w:ascii="Palatino Linotype" w:hAnsi="Palatino Linotype" w:cstheme="minorHAnsi"/>
          <w:b/>
          <w:i/>
          <w:sz w:val="22"/>
          <w:szCs w:val="22"/>
        </w:rPr>
      </w:pPr>
      <w:r w:rsidRPr="005A7785">
        <w:rPr>
          <w:rFonts w:ascii="Palatino Linotype" w:hAnsi="Palatino Linotype" w:cstheme="minorHAnsi"/>
          <w:i/>
          <w:sz w:val="22"/>
          <w:szCs w:val="22"/>
        </w:rPr>
        <w:t>“Los desbanques y cortes de camino realizados deben tener una pequeña inclinación y a futuro deben ser recubiertos con cobertura vegetal o a su vez  realizar pequeños muros de protección en aquellos que sobrepasen los 3 metros de altura ejecutados con la responsabilidad de la comunidad y supervisados por un profesional competente, acciones de mitigación que servirán para evitar que continúe el proceso erosivo de los taludes, los mismos que al estar desprotegidos, el agua y el viento puede ocasionar cárcavas que con el paso del tiempo son factores detonantes para un deslizamiento”.</w:t>
      </w:r>
    </w:p>
    <w:p w:rsidR="002F0466" w:rsidRDefault="002F0466" w:rsidP="00C94C65">
      <w:pPr>
        <w:spacing w:after="240" w:line="276" w:lineRule="auto"/>
        <w:jc w:val="both"/>
        <w:rPr>
          <w:rFonts w:ascii="Palatino Linotype" w:hAnsi="Palatino Linotype" w:cs="Arial"/>
          <w:b/>
          <w:sz w:val="22"/>
          <w:szCs w:val="22"/>
          <w:lang w:val="es-ES_tradnl"/>
        </w:rPr>
      </w:pPr>
    </w:p>
    <w:p w:rsidR="00BA5D17" w:rsidRPr="00C94C65" w:rsidRDefault="00BA5D17" w:rsidP="00C94C65">
      <w:pPr>
        <w:spacing w:after="240" w:line="276" w:lineRule="auto"/>
        <w:jc w:val="both"/>
        <w:rPr>
          <w:rFonts w:ascii="Palatino Linotype" w:hAnsi="Palatino Linotype" w:cs="Arial"/>
          <w:bCs/>
          <w:sz w:val="22"/>
          <w:szCs w:val="22"/>
          <w:lang w:val="es-ES_tradnl"/>
        </w:rPr>
      </w:pPr>
      <w:r w:rsidRPr="00C94C65">
        <w:rPr>
          <w:rFonts w:ascii="Palatino Linotype" w:hAnsi="Palatino Linotype" w:cs="Arial"/>
          <w:b/>
          <w:sz w:val="22"/>
          <w:szCs w:val="22"/>
          <w:lang w:val="es-ES_tradnl"/>
        </w:rPr>
        <w:t xml:space="preserve">Disposición Final.- </w:t>
      </w:r>
      <w:r w:rsidRPr="00C94C65">
        <w:rPr>
          <w:rFonts w:ascii="Palatino Linotype" w:hAnsi="Palatino Linotype" w:cs="Arial"/>
          <w:bCs/>
          <w:sz w:val="22"/>
          <w:szCs w:val="22"/>
          <w:lang w:val="es-ES_tradnl"/>
        </w:rPr>
        <w:t xml:space="preserve"> Esta ordenanza entrará en vigencia a partir de la fecha de su sanción, sin perjuicio de su publicación en la página web institucional de la Municipalidad.</w:t>
      </w:r>
    </w:p>
    <w:p w:rsidR="00302F52" w:rsidRPr="006336FA" w:rsidRDefault="00302F52" w:rsidP="0013584F">
      <w:pPr>
        <w:spacing w:before="240" w:line="276" w:lineRule="auto"/>
        <w:jc w:val="both"/>
        <w:rPr>
          <w:rFonts w:ascii="Palatino Linotype" w:hAnsi="Palatino Linotype" w:cs="Arial"/>
          <w:sz w:val="22"/>
          <w:szCs w:val="22"/>
        </w:rPr>
      </w:pPr>
      <w:r w:rsidRPr="006336FA">
        <w:rPr>
          <w:rFonts w:ascii="Palatino Linotype" w:hAnsi="Palatino Linotype" w:cs="Arial"/>
          <w:sz w:val="22"/>
          <w:szCs w:val="22"/>
        </w:rPr>
        <w:t xml:space="preserve">Dada, en la Sala de Sesiones del Concejo Metropolitano de Quito, el </w:t>
      </w:r>
      <w:r w:rsidR="002F0466">
        <w:rPr>
          <w:rFonts w:ascii="Palatino Linotype" w:hAnsi="Palatino Linotype" w:cs="Arial"/>
          <w:sz w:val="22"/>
          <w:szCs w:val="22"/>
        </w:rPr>
        <w:t>24</w:t>
      </w:r>
      <w:r w:rsidRPr="006336FA">
        <w:rPr>
          <w:rFonts w:ascii="Palatino Linotype" w:hAnsi="Palatino Linotype" w:cs="Arial"/>
          <w:sz w:val="22"/>
          <w:szCs w:val="22"/>
        </w:rPr>
        <w:t xml:space="preserve"> de </w:t>
      </w:r>
      <w:r w:rsidR="002F0466">
        <w:rPr>
          <w:rFonts w:ascii="Palatino Linotype" w:hAnsi="Palatino Linotype" w:cs="Arial"/>
          <w:sz w:val="22"/>
          <w:szCs w:val="22"/>
        </w:rPr>
        <w:t xml:space="preserve">marzo </w:t>
      </w:r>
      <w:r w:rsidRPr="006336FA">
        <w:rPr>
          <w:rFonts w:ascii="Palatino Linotype" w:hAnsi="Palatino Linotype" w:cs="Arial"/>
          <w:sz w:val="22"/>
          <w:szCs w:val="22"/>
        </w:rPr>
        <w:t>de 201</w:t>
      </w:r>
      <w:r w:rsidR="00220E13">
        <w:rPr>
          <w:rFonts w:ascii="Palatino Linotype" w:hAnsi="Palatino Linotype" w:cs="Arial"/>
          <w:sz w:val="22"/>
          <w:szCs w:val="22"/>
        </w:rPr>
        <w:t>6</w:t>
      </w:r>
      <w:r w:rsidRPr="006336FA">
        <w:rPr>
          <w:rFonts w:ascii="Palatino Linotype" w:hAnsi="Palatino Linotype" w:cs="Arial"/>
          <w:sz w:val="22"/>
          <w:szCs w:val="22"/>
        </w:rPr>
        <w:t>.</w:t>
      </w:r>
    </w:p>
    <w:p w:rsidR="00302F52" w:rsidRPr="006336FA" w:rsidRDefault="00302F52" w:rsidP="00B072AF">
      <w:pPr>
        <w:pStyle w:val="Textopredeterminado"/>
        <w:shd w:val="clear" w:color="auto" w:fill="FFFFFF"/>
        <w:spacing w:before="240" w:line="276" w:lineRule="auto"/>
        <w:jc w:val="both"/>
        <w:rPr>
          <w:rFonts w:ascii="Palatino Linotype" w:hAnsi="Palatino Linotype" w:cs="Arial"/>
          <w:sz w:val="22"/>
          <w:szCs w:val="22"/>
          <w:lang w:val="es-ES"/>
        </w:rPr>
      </w:pPr>
    </w:p>
    <w:p w:rsidR="00A44DC3" w:rsidRPr="006336FA" w:rsidRDefault="00A44DC3" w:rsidP="00302F52">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firstRow="1" w:lastRow="0" w:firstColumn="1" w:lastColumn="0" w:noHBand="0" w:noVBand="1"/>
      </w:tblPr>
      <w:tblGrid>
        <w:gridCol w:w="5575"/>
        <w:gridCol w:w="5324"/>
      </w:tblGrid>
      <w:tr w:rsidR="00302F52" w:rsidRPr="006336FA" w:rsidTr="00A571E2">
        <w:trPr>
          <w:jc w:val="center"/>
        </w:trPr>
        <w:tc>
          <w:tcPr>
            <w:tcW w:w="5575" w:type="dxa"/>
            <w:hideMark/>
          </w:tcPr>
          <w:p w:rsidR="00302F52" w:rsidRPr="006336FA" w:rsidRDefault="00302F52" w:rsidP="00A571E2">
            <w:pPr>
              <w:pStyle w:val="Textopredeterminado"/>
              <w:jc w:val="center"/>
              <w:rPr>
                <w:rFonts w:ascii="Palatino Linotype" w:hAnsi="Palatino Linotype" w:cs="Arial"/>
                <w:sz w:val="19"/>
                <w:szCs w:val="19"/>
              </w:rPr>
            </w:pPr>
            <w:r w:rsidRPr="006336FA">
              <w:rPr>
                <w:rFonts w:ascii="Palatino Linotype" w:hAnsi="Palatino Linotype" w:cs="Arial"/>
                <w:sz w:val="19"/>
                <w:szCs w:val="19"/>
              </w:rPr>
              <w:t>Abg. Daniela Chacón Arias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Primera Vicepresidenta del Concejo Metropolitano de Quito</w:t>
            </w:r>
          </w:p>
        </w:tc>
        <w:tc>
          <w:tcPr>
            <w:tcW w:w="5324" w:type="dxa"/>
            <w:hideMark/>
          </w:tcPr>
          <w:p w:rsidR="00302F52" w:rsidRPr="006336FA" w:rsidRDefault="002F0466" w:rsidP="00A571E2">
            <w:pPr>
              <w:pStyle w:val="Textopredeterminado"/>
              <w:jc w:val="center"/>
              <w:rPr>
                <w:rFonts w:ascii="Palatino Linotype" w:hAnsi="Palatino Linotype" w:cs="Arial"/>
                <w:sz w:val="19"/>
                <w:szCs w:val="19"/>
              </w:rPr>
            </w:pPr>
            <w:r>
              <w:rPr>
                <w:rFonts w:ascii="Palatino Linotype" w:hAnsi="Palatino Linotype" w:cs="Arial"/>
                <w:sz w:val="19"/>
                <w:szCs w:val="19"/>
              </w:rPr>
              <w:t>Abg.</w:t>
            </w:r>
            <w:r w:rsidR="005A7785">
              <w:rPr>
                <w:rFonts w:ascii="Palatino Linotype" w:hAnsi="Palatino Linotype" w:cs="Arial"/>
                <w:sz w:val="19"/>
                <w:szCs w:val="19"/>
              </w:rPr>
              <w:t xml:space="preserve"> María Elisa Holmes Roldós</w:t>
            </w:r>
          </w:p>
          <w:p w:rsidR="00302F52" w:rsidRPr="006336FA" w:rsidRDefault="00302F52" w:rsidP="00A571E2">
            <w:pPr>
              <w:pStyle w:val="Textopredeterminado"/>
              <w:jc w:val="center"/>
              <w:rPr>
                <w:rFonts w:ascii="Palatino Linotype" w:hAnsi="Palatino Linotype" w:cs="Arial"/>
                <w:b/>
                <w:sz w:val="19"/>
                <w:szCs w:val="19"/>
              </w:rPr>
            </w:pPr>
            <w:r w:rsidRPr="006336FA">
              <w:rPr>
                <w:rFonts w:ascii="Palatino Linotype" w:hAnsi="Palatino Linotype" w:cs="Arial"/>
                <w:b/>
                <w:sz w:val="19"/>
                <w:szCs w:val="19"/>
              </w:rPr>
              <w:t>Secretari</w:t>
            </w:r>
            <w:r w:rsidR="005A7785">
              <w:rPr>
                <w:rFonts w:ascii="Palatino Linotype" w:hAnsi="Palatino Linotype" w:cs="Arial"/>
                <w:b/>
                <w:sz w:val="19"/>
                <w:szCs w:val="19"/>
              </w:rPr>
              <w:t>a</w:t>
            </w:r>
            <w:r w:rsidRPr="006336FA">
              <w:rPr>
                <w:rFonts w:ascii="Palatino Linotype" w:hAnsi="Palatino Linotype" w:cs="Arial"/>
                <w:b/>
                <w:sz w:val="19"/>
                <w:szCs w:val="19"/>
              </w:rPr>
              <w:t xml:space="preserve"> General del Concejo Metropolitano de Quito</w:t>
            </w:r>
          </w:p>
          <w:p w:rsidR="00A01024" w:rsidRPr="006336FA" w:rsidRDefault="00A01024" w:rsidP="006336FA">
            <w:pPr>
              <w:pStyle w:val="Textopredeterminado"/>
              <w:rPr>
                <w:rFonts w:ascii="Palatino Linotype" w:hAnsi="Palatino Linotype" w:cs="Arial"/>
                <w:b/>
                <w:sz w:val="19"/>
                <w:szCs w:val="19"/>
              </w:rPr>
            </w:pPr>
          </w:p>
        </w:tc>
      </w:tr>
    </w:tbl>
    <w:p w:rsidR="00302F52" w:rsidRPr="006336FA" w:rsidRDefault="00302F52" w:rsidP="00302F52">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02F52" w:rsidRPr="006336FA" w:rsidRDefault="00302F52" w:rsidP="00302F52">
      <w:pPr>
        <w:pStyle w:val="Textosinformato"/>
        <w:jc w:val="both"/>
        <w:rPr>
          <w:rFonts w:ascii="Palatino Linotype" w:eastAsia="MS Mincho" w:hAnsi="Palatino Linotype" w:cs="Arial"/>
          <w:sz w:val="22"/>
          <w:szCs w:val="22"/>
        </w:rPr>
      </w:pPr>
    </w:p>
    <w:p w:rsidR="00302F52" w:rsidRPr="006336FA" w:rsidRDefault="005A7785" w:rsidP="00302F52">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La</w:t>
      </w:r>
      <w:r w:rsidR="00302F52"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a</w:t>
      </w:r>
      <w:r w:rsidR="00FD1AE4">
        <w:rPr>
          <w:rFonts w:ascii="Palatino Linotype" w:eastAsia="MS Mincho" w:hAnsi="Palatino Linotype" w:cs="Arial"/>
          <w:sz w:val="22"/>
          <w:szCs w:val="22"/>
        </w:rPr>
        <w:t xml:space="preserve"> Secretaria</w:t>
      </w:r>
      <w:r w:rsidR="00302F52" w:rsidRPr="006336FA">
        <w:rPr>
          <w:rFonts w:ascii="Palatino Linotype" w:eastAsia="MS Mincho" w:hAnsi="Palatino Linotype" w:cs="Arial"/>
          <w:sz w:val="22"/>
          <w:szCs w:val="22"/>
        </w:rPr>
        <w:t xml:space="preserve"> General del Concejo Metropolitano de Quito, certifica que la presente ordenanza fue discutida y aprobada</w:t>
      </w:r>
      <w:r w:rsidR="000A0F48" w:rsidRPr="006336FA">
        <w:rPr>
          <w:rFonts w:ascii="Palatino Linotype" w:eastAsia="MS Mincho" w:hAnsi="Palatino Linotype" w:cs="Arial"/>
          <w:sz w:val="22"/>
          <w:szCs w:val="22"/>
        </w:rPr>
        <w:t xml:space="preserve"> en dos debates, en sesiones de </w:t>
      </w:r>
      <w:r w:rsidR="002F0466">
        <w:rPr>
          <w:rFonts w:ascii="Palatino Linotype" w:eastAsia="MS Mincho" w:hAnsi="Palatino Linotype" w:cs="Arial"/>
          <w:sz w:val="22"/>
          <w:szCs w:val="22"/>
        </w:rPr>
        <w:t>25 de febrero</w:t>
      </w:r>
      <w:r w:rsidR="000A0F48" w:rsidRPr="006336FA">
        <w:rPr>
          <w:rFonts w:ascii="Palatino Linotype" w:eastAsia="MS Mincho" w:hAnsi="Palatino Linotype" w:cs="Arial"/>
          <w:sz w:val="22"/>
          <w:szCs w:val="22"/>
        </w:rPr>
        <w:t xml:space="preserve"> </w:t>
      </w:r>
      <w:r w:rsidR="00302F52" w:rsidRPr="006336FA">
        <w:rPr>
          <w:rFonts w:ascii="Palatino Linotype" w:eastAsia="MS Mincho" w:hAnsi="Palatino Linotype" w:cs="Arial"/>
          <w:sz w:val="22"/>
          <w:szCs w:val="22"/>
        </w:rPr>
        <w:t xml:space="preserve">y </w:t>
      </w:r>
      <w:r w:rsidR="002F0466">
        <w:rPr>
          <w:rFonts w:ascii="Palatino Linotype" w:eastAsia="MS Mincho" w:hAnsi="Palatino Linotype" w:cs="Arial"/>
          <w:sz w:val="22"/>
          <w:szCs w:val="22"/>
        </w:rPr>
        <w:t>24</w:t>
      </w:r>
      <w:r w:rsidR="00302F52" w:rsidRPr="006336FA">
        <w:rPr>
          <w:rFonts w:ascii="Palatino Linotype" w:eastAsia="MS Mincho" w:hAnsi="Palatino Linotype" w:cs="Arial"/>
          <w:sz w:val="22"/>
          <w:szCs w:val="22"/>
        </w:rPr>
        <w:t xml:space="preserve"> de </w:t>
      </w:r>
      <w:r w:rsidR="002F0466">
        <w:rPr>
          <w:rFonts w:ascii="Palatino Linotype" w:eastAsia="MS Mincho" w:hAnsi="Palatino Linotype" w:cs="Arial"/>
          <w:sz w:val="22"/>
          <w:szCs w:val="22"/>
        </w:rPr>
        <w:t xml:space="preserve">marzo </w:t>
      </w:r>
      <w:r w:rsidR="00302F52" w:rsidRPr="006336FA">
        <w:rPr>
          <w:rFonts w:ascii="Palatino Linotype" w:eastAsia="MS Mincho" w:hAnsi="Palatino Linotype" w:cs="Arial"/>
          <w:sz w:val="22"/>
          <w:szCs w:val="22"/>
        </w:rPr>
        <w:t>de 201</w:t>
      </w:r>
      <w:r w:rsidR="00220E13">
        <w:rPr>
          <w:rFonts w:ascii="Palatino Linotype" w:eastAsia="MS Mincho" w:hAnsi="Palatino Linotype" w:cs="Arial"/>
          <w:sz w:val="22"/>
          <w:szCs w:val="22"/>
        </w:rPr>
        <w:t>6</w:t>
      </w:r>
      <w:r w:rsidR="00302F52" w:rsidRPr="006336FA">
        <w:rPr>
          <w:rFonts w:ascii="Palatino Linotype" w:eastAsia="MS Mincho" w:hAnsi="Palatino Linotype" w:cs="Arial"/>
          <w:sz w:val="22"/>
          <w:szCs w:val="22"/>
        </w:rPr>
        <w:t>.- Quito,</w:t>
      </w:r>
    </w:p>
    <w:p w:rsidR="00302F52" w:rsidRPr="006336FA" w:rsidRDefault="00302F52" w:rsidP="00302F52">
      <w:pPr>
        <w:pStyle w:val="Textosinformato"/>
        <w:jc w:val="both"/>
        <w:rPr>
          <w:rFonts w:ascii="Palatino Linotype" w:eastAsia="MS Mincho" w:hAnsi="Palatino Linotype" w:cs="Arial"/>
          <w:sz w:val="22"/>
          <w:szCs w:val="22"/>
        </w:rPr>
      </w:pPr>
    </w:p>
    <w:p w:rsidR="00A44DC3" w:rsidRDefault="00A44DC3" w:rsidP="00302F52">
      <w:pPr>
        <w:pStyle w:val="Textosinformato"/>
        <w:jc w:val="center"/>
        <w:rPr>
          <w:rFonts w:ascii="Palatino Linotype" w:eastAsia="MS Mincho" w:hAnsi="Palatino Linotype" w:cs="Arial"/>
          <w:sz w:val="22"/>
          <w:szCs w:val="22"/>
        </w:rPr>
      </w:pPr>
    </w:p>
    <w:p w:rsidR="002F0466" w:rsidRPr="006336FA" w:rsidRDefault="002F0466"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5A7785" w:rsidP="00302F52">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5A7785">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302F52"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lastRenderedPageBreak/>
        <w:t>ALCALDÍA DEL DISTRITO METROPOLITANO.-</w:t>
      </w:r>
      <w:r w:rsidRPr="006336FA">
        <w:rPr>
          <w:rFonts w:ascii="Palatino Linotype" w:eastAsia="MS Mincho" w:hAnsi="Palatino Linotype" w:cs="Arial"/>
          <w:sz w:val="22"/>
          <w:szCs w:val="22"/>
        </w:rPr>
        <w:t xml:space="preserve">  Distrito Metropolitano de Quito,</w:t>
      </w:r>
    </w:p>
    <w:p w:rsidR="00302F52" w:rsidRPr="006336FA" w:rsidRDefault="00302F52" w:rsidP="00302F52">
      <w:pPr>
        <w:pStyle w:val="Textosinformato"/>
        <w:jc w:val="center"/>
        <w:rPr>
          <w:rFonts w:ascii="Palatino Linotype" w:eastAsia="MS Mincho" w:hAnsi="Palatino Linotype" w:cs="Arial"/>
          <w:b/>
          <w:sz w:val="22"/>
          <w:szCs w:val="22"/>
        </w:rPr>
      </w:pPr>
    </w:p>
    <w:p w:rsidR="00302F52" w:rsidRPr="006336FA" w:rsidRDefault="00302F52" w:rsidP="00302F52">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02F52" w:rsidRPr="006336FA" w:rsidRDefault="00302F52" w:rsidP="00302F52">
      <w:pPr>
        <w:pStyle w:val="Textosinformato"/>
        <w:jc w:val="center"/>
        <w:rPr>
          <w:rFonts w:ascii="Palatino Linotype" w:eastAsia="MS Mincho" w:hAnsi="Palatino Linotype" w:cs="Arial"/>
          <w:sz w:val="22"/>
          <w:szCs w:val="22"/>
        </w:rPr>
      </w:pPr>
    </w:p>
    <w:p w:rsidR="002D3569" w:rsidRPr="006336FA" w:rsidRDefault="002D3569" w:rsidP="00302F52">
      <w:pPr>
        <w:pStyle w:val="Textosinformato"/>
        <w:jc w:val="center"/>
        <w:rPr>
          <w:rFonts w:ascii="Palatino Linotype" w:eastAsia="MS Mincho" w:hAnsi="Palatino Linotype" w:cs="Arial"/>
          <w:sz w:val="22"/>
          <w:szCs w:val="22"/>
        </w:rPr>
      </w:pPr>
    </w:p>
    <w:p w:rsidR="008079C6" w:rsidRPr="006336FA" w:rsidRDefault="008079C6"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02F52" w:rsidRPr="006336FA" w:rsidRDefault="00302F52" w:rsidP="00302F52">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02F52" w:rsidRPr="006336FA" w:rsidRDefault="00302F52" w:rsidP="00302F52">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02F52" w:rsidRPr="006336FA" w:rsidRDefault="00302F52"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A44DC3" w:rsidRPr="006336FA" w:rsidRDefault="00A44DC3" w:rsidP="00302F52">
      <w:pPr>
        <w:pStyle w:val="Textosinformato"/>
        <w:jc w:val="center"/>
        <w:rPr>
          <w:rFonts w:ascii="Palatino Linotype" w:eastAsia="MS Mincho" w:hAnsi="Palatino Linotype" w:cs="Arial"/>
          <w:sz w:val="22"/>
          <w:szCs w:val="22"/>
        </w:rPr>
      </w:pPr>
    </w:p>
    <w:p w:rsidR="00302F52" w:rsidRPr="006336FA" w:rsidRDefault="00302F52" w:rsidP="00302F52">
      <w:pPr>
        <w:pStyle w:val="Textosinformato"/>
        <w:jc w:val="center"/>
        <w:rPr>
          <w:rFonts w:ascii="Palatino Linotype" w:eastAsia="MS Mincho" w:hAnsi="Palatino Linotype" w:cs="Arial"/>
          <w:sz w:val="22"/>
          <w:szCs w:val="22"/>
        </w:rPr>
      </w:pPr>
    </w:p>
    <w:p w:rsidR="005A7785" w:rsidRPr="006336FA" w:rsidRDefault="005A7785" w:rsidP="005A7785">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María Elisa Holmes Roldós</w:t>
      </w:r>
    </w:p>
    <w:p w:rsidR="005A7785" w:rsidRPr="006336FA" w:rsidRDefault="005A7785" w:rsidP="005A7785">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A</w:t>
      </w:r>
      <w:r w:rsidRPr="006336FA">
        <w:rPr>
          <w:rFonts w:ascii="Palatino Linotype" w:eastAsia="MS Mincho" w:hAnsi="Palatino Linotype" w:cs="Arial"/>
          <w:b/>
          <w:bCs/>
          <w:sz w:val="22"/>
          <w:szCs w:val="22"/>
        </w:rPr>
        <w:t xml:space="preserve"> GENERAL DEL CONCEJO METROPOLITANO DE QUITO</w:t>
      </w:r>
    </w:p>
    <w:p w:rsidR="00CA554A" w:rsidRPr="002F0466" w:rsidRDefault="002F0466" w:rsidP="002F0466">
      <w:pPr>
        <w:pStyle w:val="Textosinformato"/>
        <w:rPr>
          <w:rFonts w:ascii="Palatino Linotype" w:eastAsia="MS Mincho" w:hAnsi="Palatino Linotype" w:cs="Arial"/>
          <w:b/>
          <w:bCs/>
          <w:sz w:val="12"/>
          <w:szCs w:val="12"/>
        </w:rPr>
      </w:pPr>
      <w:r>
        <w:rPr>
          <w:rFonts w:ascii="Palatino Linotype" w:eastAsia="MS Mincho" w:hAnsi="Palatino Linotype" w:cs="Arial"/>
          <w:b/>
          <w:bCs/>
          <w:sz w:val="12"/>
          <w:szCs w:val="12"/>
        </w:rPr>
        <w:t>DSCS</w:t>
      </w:r>
    </w:p>
    <w:sectPr w:rsidR="00CA554A" w:rsidRPr="002F0466" w:rsidSect="008079C6">
      <w:headerReference w:type="even" r:id="rId13"/>
      <w:headerReference w:type="default" r:id="rId14"/>
      <w:footerReference w:type="default" r:id="rId15"/>
      <w:headerReference w:type="first" r:id="rId16"/>
      <w:pgSz w:w="11906" w:h="16838"/>
      <w:pgMar w:top="3402" w:right="1133" w:bottom="567" w:left="1701" w:header="709" w:footer="7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732" w:rsidRDefault="00B21732" w:rsidP="00B14643">
      <w:r>
        <w:separator/>
      </w:r>
    </w:p>
  </w:endnote>
  <w:endnote w:type="continuationSeparator" w:id="0">
    <w:p w:rsidR="00B21732" w:rsidRDefault="00B21732" w:rsidP="00B1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Pr="00723B61" w:rsidRDefault="00B21732">
    <w:pPr>
      <w:pStyle w:val="Piedepgina"/>
      <w:jc w:val="right"/>
      <w:rPr>
        <w:rFonts w:ascii="Palatino Linotype" w:hAnsi="Palatino Linotype"/>
      </w:rPr>
    </w:pPr>
  </w:p>
  <w:p w:rsidR="00B21732" w:rsidRDefault="00B217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Pr="00723B61" w:rsidRDefault="00B21732" w:rsidP="003078EC">
    <w:pPr>
      <w:pStyle w:val="Piedepgina"/>
      <w:jc w:val="right"/>
      <w:rPr>
        <w:rFonts w:ascii="Palatino Linotype" w:hAnsi="Palatino Linotype"/>
      </w:rPr>
    </w:pPr>
    <w:r w:rsidRPr="00723B61">
      <w:rPr>
        <w:rFonts w:ascii="Palatino Linotype" w:hAnsi="Palatino Linotype"/>
      </w:rPr>
      <w:t xml:space="preserve">Página </w:t>
    </w:r>
    <w:r w:rsidRPr="00723B61">
      <w:rPr>
        <w:rFonts w:ascii="Palatino Linotype" w:hAnsi="Palatino Linotype"/>
        <w:b/>
        <w:sz w:val="24"/>
        <w:szCs w:val="24"/>
      </w:rPr>
      <w:fldChar w:fldCharType="begin"/>
    </w:r>
    <w:r w:rsidRPr="00723B61">
      <w:rPr>
        <w:rFonts w:ascii="Palatino Linotype" w:hAnsi="Palatino Linotype"/>
        <w:b/>
      </w:rPr>
      <w:instrText>PAGE</w:instrText>
    </w:r>
    <w:r w:rsidRPr="00723B61">
      <w:rPr>
        <w:rFonts w:ascii="Palatino Linotype" w:hAnsi="Palatino Linotype"/>
        <w:b/>
        <w:sz w:val="24"/>
        <w:szCs w:val="24"/>
      </w:rPr>
      <w:fldChar w:fldCharType="separate"/>
    </w:r>
    <w:r w:rsidR="00095DAA">
      <w:rPr>
        <w:rFonts w:ascii="Palatino Linotype" w:hAnsi="Palatino Linotype"/>
        <w:b/>
        <w:noProof/>
      </w:rPr>
      <w:t>8</w:t>
    </w:r>
    <w:r w:rsidRPr="00723B61">
      <w:rPr>
        <w:rFonts w:ascii="Palatino Linotype" w:hAnsi="Palatino Linotype"/>
        <w:b/>
        <w:sz w:val="24"/>
        <w:szCs w:val="24"/>
      </w:rPr>
      <w:fldChar w:fldCharType="end"/>
    </w:r>
    <w:r w:rsidRPr="00723B61">
      <w:rPr>
        <w:rFonts w:ascii="Palatino Linotype" w:hAnsi="Palatino Linotype"/>
      </w:rPr>
      <w:t xml:space="preserve"> de </w:t>
    </w:r>
    <w:r>
      <w:rPr>
        <w:rFonts w:ascii="Palatino Linotype" w:hAnsi="Palatino Linotype"/>
        <w:b/>
      </w:rPr>
      <w:t>10</w:t>
    </w:r>
  </w:p>
  <w:p w:rsidR="00B21732" w:rsidRDefault="00B217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732" w:rsidRDefault="00B21732" w:rsidP="00B14643">
      <w:r>
        <w:separator/>
      </w:r>
    </w:p>
  </w:footnote>
  <w:footnote w:type="continuationSeparator" w:id="0">
    <w:p w:rsidR="00B21732" w:rsidRDefault="00B21732" w:rsidP="00B1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Default="00B217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Default="00B21732">
    <w:pPr>
      <w:pStyle w:val="Encabezado"/>
      <w:rPr>
        <w:lang w:val="es-EC"/>
      </w:rPr>
    </w:pPr>
  </w:p>
  <w:p w:rsidR="00B21732" w:rsidRDefault="00B21732">
    <w:pPr>
      <w:pStyle w:val="Encabezado"/>
      <w:rPr>
        <w:lang w:val="es-EC"/>
      </w:rPr>
    </w:pPr>
  </w:p>
  <w:p w:rsidR="00B21732" w:rsidRDefault="00B21732">
    <w:pPr>
      <w:pStyle w:val="Encabezado"/>
      <w:rPr>
        <w:lang w:val="es-EC"/>
      </w:rPr>
    </w:pPr>
  </w:p>
  <w:p w:rsidR="00B21732" w:rsidRDefault="00B21732">
    <w:pPr>
      <w:pStyle w:val="Encabezado"/>
      <w:rPr>
        <w:lang w:val="es-EC"/>
      </w:rPr>
    </w:pPr>
  </w:p>
  <w:p w:rsidR="00B21732" w:rsidRDefault="00B21732" w:rsidP="00150606">
    <w:pPr>
      <w:pStyle w:val="Ttulo"/>
      <w:rPr>
        <w:rFonts w:ascii="Palatino Linotype" w:hAnsi="Palatino Linotype" w:cs="Arial"/>
        <w:sz w:val="22"/>
        <w:szCs w:val="22"/>
      </w:rPr>
    </w:pPr>
  </w:p>
  <w:p w:rsidR="00B21732" w:rsidRDefault="00B21732" w:rsidP="00150606">
    <w:pPr>
      <w:pStyle w:val="Ttulo"/>
      <w:rPr>
        <w:rFonts w:ascii="Palatino Linotype" w:hAnsi="Palatino Linotype" w:cs="Arial"/>
        <w:sz w:val="22"/>
        <w:szCs w:val="22"/>
      </w:rPr>
    </w:pPr>
  </w:p>
  <w:p w:rsidR="00B21732" w:rsidRDefault="00B21732" w:rsidP="00150606">
    <w:pPr>
      <w:pStyle w:val="Ttulo"/>
      <w:rPr>
        <w:rFonts w:ascii="Palatino Linotype" w:hAnsi="Palatino Linotype" w:cs="Arial"/>
        <w:sz w:val="22"/>
        <w:szCs w:val="22"/>
      </w:rPr>
    </w:pPr>
  </w:p>
  <w:p w:rsidR="00192986" w:rsidRDefault="00192986" w:rsidP="00150606">
    <w:pPr>
      <w:pStyle w:val="Ttulo"/>
      <w:rPr>
        <w:rFonts w:ascii="Palatino Linotype" w:hAnsi="Palatino Linotype" w:cs="Arial"/>
        <w:sz w:val="22"/>
        <w:szCs w:val="22"/>
      </w:rPr>
    </w:pPr>
  </w:p>
  <w:p w:rsidR="00B21732" w:rsidRPr="00476B21" w:rsidRDefault="00B21732" w:rsidP="00150606">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21732" w:rsidRPr="00150606" w:rsidRDefault="00B21732">
    <w:pPr>
      <w:pStyle w:val="Encabezado"/>
      <w:rPr>
        <w:lang w:val="es-EC"/>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Default="00B2173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Default="00B21732">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Default="00B21732" w:rsidP="002D3569">
    <w:pPr>
      <w:pStyle w:val="Ttulo"/>
      <w:rPr>
        <w:rFonts w:ascii="Palatino Linotype" w:hAnsi="Palatino Linotype" w:cs="Arial"/>
        <w:sz w:val="22"/>
        <w:szCs w:val="22"/>
      </w:rPr>
    </w:pPr>
  </w:p>
  <w:p w:rsidR="00B21732" w:rsidRDefault="00B21732" w:rsidP="002D3569">
    <w:pPr>
      <w:pStyle w:val="Ttulo"/>
      <w:rPr>
        <w:rFonts w:ascii="Palatino Linotype" w:hAnsi="Palatino Linotype" w:cs="Arial"/>
        <w:sz w:val="22"/>
        <w:szCs w:val="22"/>
      </w:rPr>
    </w:pPr>
  </w:p>
  <w:p w:rsidR="00B21732" w:rsidRDefault="00B21732" w:rsidP="002D3569">
    <w:pPr>
      <w:pStyle w:val="Ttulo"/>
      <w:rPr>
        <w:rFonts w:ascii="Palatino Linotype" w:hAnsi="Palatino Linotype" w:cs="Arial"/>
        <w:sz w:val="22"/>
        <w:szCs w:val="22"/>
      </w:rPr>
    </w:pPr>
  </w:p>
  <w:p w:rsidR="00B21732" w:rsidRDefault="00B21732" w:rsidP="002D3569">
    <w:pPr>
      <w:pStyle w:val="Ttulo"/>
      <w:rPr>
        <w:rFonts w:ascii="Palatino Linotype" w:hAnsi="Palatino Linotype" w:cs="Arial"/>
        <w:sz w:val="22"/>
        <w:szCs w:val="22"/>
      </w:rPr>
    </w:pPr>
  </w:p>
  <w:p w:rsidR="00B21732" w:rsidRDefault="00B21732" w:rsidP="002D3569">
    <w:pPr>
      <w:pStyle w:val="Ttulo"/>
      <w:rPr>
        <w:rFonts w:ascii="Palatino Linotype" w:hAnsi="Palatino Linotype" w:cs="Arial"/>
        <w:sz w:val="22"/>
        <w:szCs w:val="22"/>
      </w:rPr>
    </w:pPr>
  </w:p>
  <w:p w:rsidR="00B21732" w:rsidRDefault="00B21732" w:rsidP="002D3569">
    <w:pPr>
      <w:pStyle w:val="Ttulo"/>
      <w:rPr>
        <w:rFonts w:ascii="Palatino Linotype" w:hAnsi="Palatino Linotype" w:cs="Arial"/>
        <w:sz w:val="22"/>
        <w:szCs w:val="22"/>
      </w:rPr>
    </w:pPr>
  </w:p>
  <w:p w:rsidR="00B21732" w:rsidRDefault="00B21732" w:rsidP="002D3569">
    <w:pPr>
      <w:pStyle w:val="Ttulo"/>
      <w:rPr>
        <w:rFonts w:ascii="Palatino Linotype" w:hAnsi="Palatino Linotype" w:cs="Arial"/>
        <w:sz w:val="22"/>
        <w:szCs w:val="22"/>
      </w:rPr>
    </w:pPr>
  </w:p>
  <w:p w:rsidR="00B21732" w:rsidRPr="00476B21" w:rsidRDefault="00B21732" w:rsidP="002D3569">
    <w:pPr>
      <w:pStyle w:val="Ttulo"/>
      <w:rPr>
        <w:rFonts w:ascii="Palatino Linotype" w:hAnsi="Palatino Linotype" w:cs="Arial"/>
        <w:sz w:val="22"/>
        <w:szCs w:val="22"/>
      </w:rPr>
    </w:pPr>
    <w:r w:rsidRPr="00716956">
      <w:rPr>
        <w:rFonts w:ascii="Palatino Linotype" w:hAnsi="Palatino Linotype" w:cs="Arial"/>
        <w:sz w:val="22"/>
        <w:szCs w:val="22"/>
      </w:rPr>
      <w:t>ORDENANZA No.</w:t>
    </w:r>
  </w:p>
  <w:p w:rsidR="00B21732" w:rsidRDefault="00B21732">
    <w:pPr>
      <w:pStyle w:val="Encabezad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32" w:rsidRDefault="00B217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4DF"/>
    <w:multiLevelType w:val="hybridMultilevel"/>
    <w:tmpl w:val="4252D59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nsid w:val="046C4F80"/>
    <w:multiLevelType w:val="hybridMultilevel"/>
    <w:tmpl w:val="5D8C1806"/>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66466C1"/>
    <w:multiLevelType w:val="hybridMultilevel"/>
    <w:tmpl w:val="298A1EC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8490EA4"/>
    <w:multiLevelType w:val="hybridMultilevel"/>
    <w:tmpl w:val="3E6AEF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B806498"/>
    <w:multiLevelType w:val="hybridMultilevel"/>
    <w:tmpl w:val="DF6A7A3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5">
    <w:nsid w:val="0C63704D"/>
    <w:multiLevelType w:val="hybridMultilevel"/>
    <w:tmpl w:val="18ACD18E"/>
    <w:lvl w:ilvl="0" w:tplc="5C906812">
      <w:numFmt w:val="bullet"/>
      <w:lvlText w:val=""/>
      <w:lvlJc w:val="left"/>
      <w:pPr>
        <w:ind w:left="720" w:hanging="360"/>
      </w:pPr>
      <w:rPr>
        <w:rFonts w:ascii="Symbol" w:eastAsia="Calibr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D873472"/>
    <w:multiLevelType w:val="hybridMultilevel"/>
    <w:tmpl w:val="7A663E1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0885FFF"/>
    <w:multiLevelType w:val="hybridMultilevel"/>
    <w:tmpl w:val="B7908B4A"/>
    <w:lvl w:ilvl="0" w:tplc="FFFFFFFF">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138A3ACC"/>
    <w:multiLevelType w:val="hybridMultilevel"/>
    <w:tmpl w:val="4A005F1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nsid w:val="1481566D"/>
    <w:multiLevelType w:val="hybridMultilevel"/>
    <w:tmpl w:val="93ACA47C"/>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16777720"/>
    <w:multiLevelType w:val="hybridMultilevel"/>
    <w:tmpl w:val="CB82DB7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9545A55"/>
    <w:multiLevelType w:val="hybridMultilevel"/>
    <w:tmpl w:val="5D166C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9EE7148"/>
    <w:multiLevelType w:val="hybridMultilevel"/>
    <w:tmpl w:val="50BA407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1BEC7152"/>
    <w:multiLevelType w:val="hybridMultilevel"/>
    <w:tmpl w:val="B2CA95D6"/>
    <w:lvl w:ilvl="0" w:tplc="300A0001">
      <w:start w:val="1"/>
      <w:numFmt w:val="bullet"/>
      <w:lvlText w:val=""/>
      <w:lvlJc w:val="left"/>
      <w:pPr>
        <w:ind w:left="643"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1E8C2482"/>
    <w:multiLevelType w:val="hybridMultilevel"/>
    <w:tmpl w:val="99467C2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nsid w:val="1F4A0972"/>
    <w:multiLevelType w:val="hybridMultilevel"/>
    <w:tmpl w:val="01162A3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69A2A90"/>
    <w:multiLevelType w:val="hybridMultilevel"/>
    <w:tmpl w:val="085AC3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nsid w:val="2D997560"/>
    <w:multiLevelType w:val="hybridMultilevel"/>
    <w:tmpl w:val="8A2A05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30F97857"/>
    <w:multiLevelType w:val="hybridMultilevel"/>
    <w:tmpl w:val="DA209C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37832DB"/>
    <w:multiLevelType w:val="hybridMultilevel"/>
    <w:tmpl w:val="07AE1DE4"/>
    <w:lvl w:ilvl="0" w:tplc="A87A023C">
      <w:start w:val="2"/>
      <w:numFmt w:val="bullet"/>
      <w:lvlText w:val="-"/>
      <w:lvlJc w:val="left"/>
      <w:pPr>
        <w:ind w:left="720" w:hanging="360"/>
      </w:pPr>
      <w:rPr>
        <w:rFonts w:ascii="Palatino Linotype" w:eastAsia="Times New Roman" w:hAnsi="Palatino Linotype"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3C1821FD"/>
    <w:multiLevelType w:val="hybridMultilevel"/>
    <w:tmpl w:val="5FD86A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9D11278"/>
    <w:multiLevelType w:val="hybridMultilevel"/>
    <w:tmpl w:val="24E835B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2">
    <w:nsid w:val="4B484D9B"/>
    <w:multiLevelType w:val="hybridMultilevel"/>
    <w:tmpl w:val="ED4653EE"/>
    <w:lvl w:ilvl="0" w:tplc="300A0001">
      <w:start w:val="1"/>
      <w:numFmt w:val="bullet"/>
      <w:lvlText w:val=""/>
      <w:lvlJc w:val="left"/>
      <w:pPr>
        <w:ind w:left="1483" w:hanging="360"/>
      </w:pPr>
      <w:rPr>
        <w:rFonts w:ascii="Symbol" w:hAnsi="Symbol" w:hint="default"/>
      </w:rPr>
    </w:lvl>
    <w:lvl w:ilvl="1" w:tplc="300A0003" w:tentative="1">
      <w:start w:val="1"/>
      <w:numFmt w:val="bullet"/>
      <w:lvlText w:val="o"/>
      <w:lvlJc w:val="left"/>
      <w:pPr>
        <w:ind w:left="2203" w:hanging="360"/>
      </w:pPr>
      <w:rPr>
        <w:rFonts w:ascii="Courier New" w:hAnsi="Courier New" w:cs="Courier New" w:hint="default"/>
      </w:rPr>
    </w:lvl>
    <w:lvl w:ilvl="2" w:tplc="300A0005" w:tentative="1">
      <w:start w:val="1"/>
      <w:numFmt w:val="bullet"/>
      <w:lvlText w:val=""/>
      <w:lvlJc w:val="left"/>
      <w:pPr>
        <w:ind w:left="2923" w:hanging="360"/>
      </w:pPr>
      <w:rPr>
        <w:rFonts w:ascii="Wingdings" w:hAnsi="Wingdings" w:hint="default"/>
      </w:rPr>
    </w:lvl>
    <w:lvl w:ilvl="3" w:tplc="300A0001" w:tentative="1">
      <w:start w:val="1"/>
      <w:numFmt w:val="bullet"/>
      <w:lvlText w:val=""/>
      <w:lvlJc w:val="left"/>
      <w:pPr>
        <w:ind w:left="3643" w:hanging="360"/>
      </w:pPr>
      <w:rPr>
        <w:rFonts w:ascii="Symbol" w:hAnsi="Symbol" w:hint="default"/>
      </w:rPr>
    </w:lvl>
    <w:lvl w:ilvl="4" w:tplc="300A0003" w:tentative="1">
      <w:start w:val="1"/>
      <w:numFmt w:val="bullet"/>
      <w:lvlText w:val="o"/>
      <w:lvlJc w:val="left"/>
      <w:pPr>
        <w:ind w:left="4363" w:hanging="360"/>
      </w:pPr>
      <w:rPr>
        <w:rFonts w:ascii="Courier New" w:hAnsi="Courier New" w:cs="Courier New" w:hint="default"/>
      </w:rPr>
    </w:lvl>
    <w:lvl w:ilvl="5" w:tplc="300A0005" w:tentative="1">
      <w:start w:val="1"/>
      <w:numFmt w:val="bullet"/>
      <w:lvlText w:val=""/>
      <w:lvlJc w:val="left"/>
      <w:pPr>
        <w:ind w:left="5083" w:hanging="360"/>
      </w:pPr>
      <w:rPr>
        <w:rFonts w:ascii="Wingdings" w:hAnsi="Wingdings" w:hint="default"/>
      </w:rPr>
    </w:lvl>
    <w:lvl w:ilvl="6" w:tplc="300A0001" w:tentative="1">
      <w:start w:val="1"/>
      <w:numFmt w:val="bullet"/>
      <w:lvlText w:val=""/>
      <w:lvlJc w:val="left"/>
      <w:pPr>
        <w:ind w:left="5803" w:hanging="360"/>
      </w:pPr>
      <w:rPr>
        <w:rFonts w:ascii="Symbol" w:hAnsi="Symbol" w:hint="default"/>
      </w:rPr>
    </w:lvl>
    <w:lvl w:ilvl="7" w:tplc="300A0003" w:tentative="1">
      <w:start w:val="1"/>
      <w:numFmt w:val="bullet"/>
      <w:lvlText w:val="o"/>
      <w:lvlJc w:val="left"/>
      <w:pPr>
        <w:ind w:left="6523" w:hanging="360"/>
      </w:pPr>
      <w:rPr>
        <w:rFonts w:ascii="Courier New" w:hAnsi="Courier New" w:cs="Courier New" w:hint="default"/>
      </w:rPr>
    </w:lvl>
    <w:lvl w:ilvl="8" w:tplc="300A0005" w:tentative="1">
      <w:start w:val="1"/>
      <w:numFmt w:val="bullet"/>
      <w:lvlText w:val=""/>
      <w:lvlJc w:val="left"/>
      <w:pPr>
        <w:ind w:left="7243" w:hanging="360"/>
      </w:pPr>
      <w:rPr>
        <w:rFonts w:ascii="Wingdings" w:hAnsi="Wingdings" w:hint="default"/>
      </w:rPr>
    </w:lvl>
  </w:abstractNum>
  <w:abstractNum w:abstractNumId="23">
    <w:nsid w:val="53DA29B5"/>
    <w:multiLevelType w:val="hybridMultilevel"/>
    <w:tmpl w:val="C9D0DD06"/>
    <w:lvl w:ilvl="0" w:tplc="EE3E7940">
      <w:start w:val="1"/>
      <w:numFmt w:val="decimal"/>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nsid w:val="54603ED5"/>
    <w:multiLevelType w:val="hybridMultilevel"/>
    <w:tmpl w:val="65F28D9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5">
    <w:nsid w:val="54FD4104"/>
    <w:multiLevelType w:val="hybridMultilevel"/>
    <w:tmpl w:val="F050AD44"/>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6">
    <w:nsid w:val="55AF4F4F"/>
    <w:multiLevelType w:val="hybridMultilevel"/>
    <w:tmpl w:val="3572E02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5A617476"/>
    <w:multiLevelType w:val="hybridMultilevel"/>
    <w:tmpl w:val="263E8FE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28">
    <w:nsid w:val="5CF7292F"/>
    <w:multiLevelType w:val="hybridMultilevel"/>
    <w:tmpl w:val="36CA46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C641488"/>
    <w:multiLevelType w:val="hybridMultilevel"/>
    <w:tmpl w:val="90AEF9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0">
    <w:nsid w:val="72DD4689"/>
    <w:multiLevelType w:val="hybridMultilevel"/>
    <w:tmpl w:val="84263838"/>
    <w:lvl w:ilvl="0" w:tplc="A87A023C">
      <w:start w:val="2"/>
      <w:numFmt w:val="bullet"/>
      <w:lvlText w:val="-"/>
      <w:lvlJc w:val="left"/>
      <w:pPr>
        <w:ind w:left="720" w:hanging="360"/>
      </w:pPr>
      <w:rPr>
        <w:rFonts w:ascii="Palatino Linotype" w:eastAsia="Times New Roman" w:hAnsi="Palatino Linotype" w:cs="Arial"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nsid w:val="74D72A54"/>
    <w:multiLevelType w:val="hybridMultilevel"/>
    <w:tmpl w:val="A162D0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75081224"/>
    <w:multiLevelType w:val="hybridMultilevel"/>
    <w:tmpl w:val="600C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7BAF2A2B"/>
    <w:multiLevelType w:val="hybridMultilevel"/>
    <w:tmpl w:val="E480A170"/>
    <w:lvl w:ilvl="0" w:tplc="04125E16">
      <w:start w:val="1"/>
      <w:numFmt w:val="bullet"/>
      <w:lvlText w:val=""/>
      <w:lvlJc w:val="left"/>
      <w:pPr>
        <w:tabs>
          <w:tab w:val="num" w:pos="284"/>
        </w:tabs>
        <w:ind w:left="284" w:hanging="284"/>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BAF38E7"/>
    <w:multiLevelType w:val="hybridMultilevel"/>
    <w:tmpl w:val="8984FE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2"/>
  </w:num>
  <w:num w:numId="11">
    <w:abstractNumId w:val="31"/>
  </w:num>
  <w:num w:numId="12">
    <w:abstractNumId w:val="1"/>
  </w:num>
  <w:num w:numId="13">
    <w:abstractNumId w:val="32"/>
  </w:num>
  <w:num w:numId="14">
    <w:abstractNumId w:val="26"/>
  </w:num>
  <w:num w:numId="15">
    <w:abstractNumId w:val="11"/>
  </w:num>
  <w:num w:numId="16">
    <w:abstractNumId w:val="16"/>
  </w:num>
  <w:num w:numId="17">
    <w:abstractNumId w:val="10"/>
  </w:num>
  <w:num w:numId="18">
    <w:abstractNumId w:val="27"/>
  </w:num>
  <w:num w:numId="19">
    <w:abstractNumId w:val="7"/>
  </w:num>
  <w:num w:numId="20">
    <w:abstractNumId w:val="21"/>
  </w:num>
  <w:num w:numId="21">
    <w:abstractNumId w:val="29"/>
  </w:num>
  <w:num w:numId="22">
    <w:abstractNumId w:val="20"/>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4"/>
  </w:num>
  <w:num w:numId="27">
    <w:abstractNumId w:val="23"/>
  </w:num>
  <w:num w:numId="28">
    <w:abstractNumId w:val="19"/>
  </w:num>
  <w:num w:numId="29">
    <w:abstractNumId w:val="30"/>
  </w:num>
  <w:num w:numId="30">
    <w:abstractNumId w:val="9"/>
  </w:num>
  <w:num w:numId="31">
    <w:abstractNumId w:val="25"/>
  </w:num>
  <w:num w:numId="32">
    <w:abstractNumId w:val="12"/>
  </w:num>
  <w:num w:numId="33">
    <w:abstractNumId w:val="22"/>
  </w:num>
  <w:num w:numId="34">
    <w:abstractNumId w:val="5"/>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8E"/>
    <w:rsid w:val="00001872"/>
    <w:rsid w:val="000104CF"/>
    <w:rsid w:val="0001073E"/>
    <w:rsid w:val="00012F1B"/>
    <w:rsid w:val="000136D6"/>
    <w:rsid w:val="00013A2A"/>
    <w:rsid w:val="0001402B"/>
    <w:rsid w:val="00017279"/>
    <w:rsid w:val="00021C1B"/>
    <w:rsid w:val="000268A4"/>
    <w:rsid w:val="00031646"/>
    <w:rsid w:val="00035326"/>
    <w:rsid w:val="00035CA2"/>
    <w:rsid w:val="000401C2"/>
    <w:rsid w:val="000401D6"/>
    <w:rsid w:val="000526F7"/>
    <w:rsid w:val="00052BA7"/>
    <w:rsid w:val="000535A7"/>
    <w:rsid w:val="00057D41"/>
    <w:rsid w:val="00064C9D"/>
    <w:rsid w:val="00070E32"/>
    <w:rsid w:val="000726A0"/>
    <w:rsid w:val="00074B5F"/>
    <w:rsid w:val="00077615"/>
    <w:rsid w:val="0008239D"/>
    <w:rsid w:val="00090566"/>
    <w:rsid w:val="000926DD"/>
    <w:rsid w:val="000950B5"/>
    <w:rsid w:val="00095DAA"/>
    <w:rsid w:val="00097181"/>
    <w:rsid w:val="000A0F48"/>
    <w:rsid w:val="000A124A"/>
    <w:rsid w:val="000A2823"/>
    <w:rsid w:val="000A3329"/>
    <w:rsid w:val="000A458D"/>
    <w:rsid w:val="000B40F4"/>
    <w:rsid w:val="000B4F6E"/>
    <w:rsid w:val="000B666A"/>
    <w:rsid w:val="000B6870"/>
    <w:rsid w:val="000B72A1"/>
    <w:rsid w:val="000B7427"/>
    <w:rsid w:val="000C098E"/>
    <w:rsid w:val="000C2709"/>
    <w:rsid w:val="000C4F9D"/>
    <w:rsid w:val="000C5C84"/>
    <w:rsid w:val="000C70D0"/>
    <w:rsid w:val="000C7E13"/>
    <w:rsid w:val="000D151E"/>
    <w:rsid w:val="000D164A"/>
    <w:rsid w:val="000D1E40"/>
    <w:rsid w:val="000D2B87"/>
    <w:rsid w:val="000D496E"/>
    <w:rsid w:val="000D7DC1"/>
    <w:rsid w:val="000E004E"/>
    <w:rsid w:val="000E2281"/>
    <w:rsid w:val="000E2E99"/>
    <w:rsid w:val="000E54E1"/>
    <w:rsid w:val="000E7480"/>
    <w:rsid w:val="000F26F8"/>
    <w:rsid w:val="000F35C3"/>
    <w:rsid w:val="000F388A"/>
    <w:rsid w:val="000F4323"/>
    <w:rsid w:val="000F577D"/>
    <w:rsid w:val="00101D99"/>
    <w:rsid w:val="00102DA6"/>
    <w:rsid w:val="001039D9"/>
    <w:rsid w:val="001077B2"/>
    <w:rsid w:val="00111D4F"/>
    <w:rsid w:val="00111E73"/>
    <w:rsid w:val="0011233B"/>
    <w:rsid w:val="001123C1"/>
    <w:rsid w:val="00113693"/>
    <w:rsid w:val="00114402"/>
    <w:rsid w:val="00115232"/>
    <w:rsid w:val="00115375"/>
    <w:rsid w:val="00115715"/>
    <w:rsid w:val="00115C2A"/>
    <w:rsid w:val="001169DD"/>
    <w:rsid w:val="001207F6"/>
    <w:rsid w:val="001210C3"/>
    <w:rsid w:val="00122030"/>
    <w:rsid w:val="00126221"/>
    <w:rsid w:val="00126483"/>
    <w:rsid w:val="00126E69"/>
    <w:rsid w:val="00134032"/>
    <w:rsid w:val="0013574D"/>
    <w:rsid w:val="0013584F"/>
    <w:rsid w:val="00140520"/>
    <w:rsid w:val="00142B47"/>
    <w:rsid w:val="0014396E"/>
    <w:rsid w:val="001439B8"/>
    <w:rsid w:val="00145416"/>
    <w:rsid w:val="00150606"/>
    <w:rsid w:val="00151EA5"/>
    <w:rsid w:val="001532F0"/>
    <w:rsid w:val="00156D5D"/>
    <w:rsid w:val="00164973"/>
    <w:rsid w:val="001673CA"/>
    <w:rsid w:val="001708B8"/>
    <w:rsid w:val="00175CD2"/>
    <w:rsid w:val="00175DFA"/>
    <w:rsid w:val="00184A73"/>
    <w:rsid w:val="00187214"/>
    <w:rsid w:val="0018731A"/>
    <w:rsid w:val="0019102C"/>
    <w:rsid w:val="00192986"/>
    <w:rsid w:val="001961DC"/>
    <w:rsid w:val="001969C7"/>
    <w:rsid w:val="001974CE"/>
    <w:rsid w:val="001A05AB"/>
    <w:rsid w:val="001A07FE"/>
    <w:rsid w:val="001A1E74"/>
    <w:rsid w:val="001A21AF"/>
    <w:rsid w:val="001A2A2E"/>
    <w:rsid w:val="001A37BD"/>
    <w:rsid w:val="001A423C"/>
    <w:rsid w:val="001A5B94"/>
    <w:rsid w:val="001A725D"/>
    <w:rsid w:val="001B14D2"/>
    <w:rsid w:val="001B26BE"/>
    <w:rsid w:val="001B3133"/>
    <w:rsid w:val="001B69C8"/>
    <w:rsid w:val="001B6BF2"/>
    <w:rsid w:val="001C2BF8"/>
    <w:rsid w:val="001C370A"/>
    <w:rsid w:val="001C37DA"/>
    <w:rsid w:val="001C4043"/>
    <w:rsid w:val="001C5676"/>
    <w:rsid w:val="001C5B7C"/>
    <w:rsid w:val="001D2138"/>
    <w:rsid w:val="001D2853"/>
    <w:rsid w:val="001D28A3"/>
    <w:rsid w:val="001D55AF"/>
    <w:rsid w:val="001E0584"/>
    <w:rsid w:val="001E1441"/>
    <w:rsid w:val="001E156B"/>
    <w:rsid w:val="001E3A15"/>
    <w:rsid w:val="001F49BC"/>
    <w:rsid w:val="00200A5C"/>
    <w:rsid w:val="00201A13"/>
    <w:rsid w:val="0020264C"/>
    <w:rsid w:val="00203A7C"/>
    <w:rsid w:val="00203D43"/>
    <w:rsid w:val="002076F1"/>
    <w:rsid w:val="00210534"/>
    <w:rsid w:val="00210EC5"/>
    <w:rsid w:val="00212D0E"/>
    <w:rsid w:val="002149A1"/>
    <w:rsid w:val="002151EE"/>
    <w:rsid w:val="00220E13"/>
    <w:rsid w:val="00220E90"/>
    <w:rsid w:val="002224A1"/>
    <w:rsid w:val="0022742E"/>
    <w:rsid w:val="00227CBD"/>
    <w:rsid w:val="00230B0D"/>
    <w:rsid w:val="00231E7F"/>
    <w:rsid w:val="002342B1"/>
    <w:rsid w:val="00235290"/>
    <w:rsid w:val="00235A34"/>
    <w:rsid w:val="00235D33"/>
    <w:rsid w:val="002400BF"/>
    <w:rsid w:val="00241192"/>
    <w:rsid w:val="00241BC9"/>
    <w:rsid w:val="00247D8B"/>
    <w:rsid w:val="002507D3"/>
    <w:rsid w:val="0025315F"/>
    <w:rsid w:val="00254C55"/>
    <w:rsid w:val="002554A1"/>
    <w:rsid w:val="00256CC0"/>
    <w:rsid w:val="00260246"/>
    <w:rsid w:val="002603C6"/>
    <w:rsid w:val="00261989"/>
    <w:rsid w:val="0026615B"/>
    <w:rsid w:val="00280339"/>
    <w:rsid w:val="00280717"/>
    <w:rsid w:val="00285D7F"/>
    <w:rsid w:val="00287155"/>
    <w:rsid w:val="00291C0F"/>
    <w:rsid w:val="00291F1C"/>
    <w:rsid w:val="00292811"/>
    <w:rsid w:val="002938EA"/>
    <w:rsid w:val="00293F7D"/>
    <w:rsid w:val="00294CC3"/>
    <w:rsid w:val="002953DF"/>
    <w:rsid w:val="00295609"/>
    <w:rsid w:val="002A0FD3"/>
    <w:rsid w:val="002A4305"/>
    <w:rsid w:val="002A4C01"/>
    <w:rsid w:val="002A766D"/>
    <w:rsid w:val="002B00D4"/>
    <w:rsid w:val="002B103B"/>
    <w:rsid w:val="002B5335"/>
    <w:rsid w:val="002B73F5"/>
    <w:rsid w:val="002C2187"/>
    <w:rsid w:val="002C2429"/>
    <w:rsid w:val="002C2A63"/>
    <w:rsid w:val="002C3D9C"/>
    <w:rsid w:val="002C6383"/>
    <w:rsid w:val="002D143B"/>
    <w:rsid w:val="002D165C"/>
    <w:rsid w:val="002D3569"/>
    <w:rsid w:val="002D3C51"/>
    <w:rsid w:val="002D4476"/>
    <w:rsid w:val="002D4869"/>
    <w:rsid w:val="002D6035"/>
    <w:rsid w:val="002D742D"/>
    <w:rsid w:val="002E27D9"/>
    <w:rsid w:val="002E3DDA"/>
    <w:rsid w:val="002E50E0"/>
    <w:rsid w:val="002E6990"/>
    <w:rsid w:val="002E6E48"/>
    <w:rsid w:val="002F0466"/>
    <w:rsid w:val="002F2233"/>
    <w:rsid w:val="002F2444"/>
    <w:rsid w:val="002F3331"/>
    <w:rsid w:val="002F575A"/>
    <w:rsid w:val="003011D3"/>
    <w:rsid w:val="00301F0B"/>
    <w:rsid w:val="003027F9"/>
    <w:rsid w:val="00302F52"/>
    <w:rsid w:val="003078EC"/>
    <w:rsid w:val="00307FF2"/>
    <w:rsid w:val="00310945"/>
    <w:rsid w:val="0031234E"/>
    <w:rsid w:val="003153D2"/>
    <w:rsid w:val="003176EC"/>
    <w:rsid w:val="00324764"/>
    <w:rsid w:val="00325E9B"/>
    <w:rsid w:val="003261DA"/>
    <w:rsid w:val="00330D5E"/>
    <w:rsid w:val="003336D9"/>
    <w:rsid w:val="00336F6D"/>
    <w:rsid w:val="00341621"/>
    <w:rsid w:val="0034212F"/>
    <w:rsid w:val="00344324"/>
    <w:rsid w:val="00345E3C"/>
    <w:rsid w:val="00346972"/>
    <w:rsid w:val="00354992"/>
    <w:rsid w:val="003562D9"/>
    <w:rsid w:val="00356889"/>
    <w:rsid w:val="003654EA"/>
    <w:rsid w:val="003664D5"/>
    <w:rsid w:val="003667C0"/>
    <w:rsid w:val="00370943"/>
    <w:rsid w:val="00372E2D"/>
    <w:rsid w:val="003759CD"/>
    <w:rsid w:val="00381ADA"/>
    <w:rsid w:val="003834FF"/>
    <w:rsid w:val="00383E00"/>
    <w:rsid w:val="003843CA"/>
    <w:rsid w:val="003843DB"/>
    <w:rsid w:val="003870B9"/>
    <w:rsid w:val="003946FB"/>
    <w:rsid w:val="003953BD"/>
    <w:rsid w:val="003958F3"/>
    <w:rsid w:val="0039693E"/>
    <w:rsid w:val="003A0D5E"/>
    <w:rsid w:val="003A129C"/>
    <w:rsid w:val="003A4569"/>
    <w:rsid w:val="003A54E4"/>
    <w:rsid w:val="003B1021"/>
    <w:rsid w:val="003B2354"/>
    <w:rsid w:val="003B2C55"/>
    <w:rsid w:val="003B75C9"/>
    <w:rsid w:val="003C43F4"/>
    <w:rsid w:val="003C77BE"/>
    <w:rsid w:val="003C7B78"/>
    <w:rsid w:val="003D3461"/>
    <w:rsid w:val="003D3737"/>
    <w:rsid w:val="003D52BD"/>
    <w:rsid w:val="003D5BEF"/>
    <w:rsid w:val="003D6DAD"/>
    <w:rsid w:val="003D73D9"/>
    <w:rsid w:val="003E6DFE"/>
    <w:rsid w:val="003F0E2B"/>
    <w:rsid w:val="003F177C"/>
    <w:rsid w:val="003F2208"/>
    <w:rsid w:val="003F4453"/>
    <w:rsid w:val="003F6C73"/>
    <w:rsid w:val="003F74D6"/>
    <w:rsid w:val="004024F7"/>
    <w:rsid w:val="00403CA1"/>
    <w:rsid w:val="004047DA"/>
    <w:rsid w:val="00410359"/>
    <w:rsid w:val="004108C2"/>
    <w:rsid w:val="00415843"/>
    <w:rsid w:val="00417DFE"/>
    <w:rsid w:val="0042289A"/>
    <w:rsid w:val="0042664C"/>
    <w:rsid w:val="00426E5A"/>
    <w:rsid w:val="004334C1"/>
    <w:rsid w:val="00441ABC"/>
    <w:rsid w:val="00446D8B"/>
    <w:rsid w:val="00453BC2"/>
    <w:rsid w:val="00460147"/>
    <w:rsid w:val="00461AE0"/>
    <w:rsid w:val="00462E51"/>
    <w:rsid w:val="0046790E"/>
    <w:rsid w:val="004750CA"/>
    <w:rsid w:val="00476B21"/>
    <w:rsid w:val="004809D5"/>
    <w:rsid w:val="004824E7"/>
    <w:rsid w:val="00484932"/>
    <w:rsid w:val="0048545E"/>
    <w:rsid w:val="004868B3"/>
    <w:rsid w:val="00487381"/>
    <w:rsid w:val="00487ABE"/>
    <w:rsid w:val="00492BEE"/>
    <w:rsid w:val="004A00A6"/>
    <w:rsid w:val="004A4B92"/>
    <w:rsid w:val="004A4C76"/>
    <w:rsid w:val="004C15AD"/>
    <w:rsid w:val="004C24A3"/>
    <w:rsid w:val="004C2E58"/>
    <w:rsid w:val="004C3380"/>
    <w:rsid w:val="004C5073"/>
    <w:rsid w:val="004C6E38"/>
    <w:rsid w:val="004D3164"/>
    <w:rsid w:val="004D7B61"/>
    <w:rsid w:val="004E12F6"/>
    <w:rsid w:val="004E291C"/>
    <w:rsid w:val="004E413D"/>
    <w:rsid w:val="004E5EE5"/>
    <w:rsid w:val="004F0A6D"/>
    <w:rsid w:val="004F2312"/>
    <w:rsid w:val="004F2EE4"/>
    <w:rsid w:val="004F40E5"/>
    <w:rsid w:val="004F4DE6"/>
    <w:rsid w:val="004F5062"/>
    <w:rsid w:val="004F6AB2"/>
    <w:rsid w:val="004F727F"/>
    <w:rsid w:val="00500590"/>
    <w:rsid w:val="00501C85"/>
    <w:rsid w:val="005032C2"/>
    <w:rsid w:val="0050724E"/>
    <w:rsid w:val="00510372"/>
    <w:rsid w:val="00511176"/>
    <w:rsid w:val="00516E13"/>
    <w:rsid w:val="00516FFD"/>
    <w:rsid w:val="005222E0"/>
    <w:rsid w:val="00523121"/>
    <w:rsid w:val="005231E7"/>
    <w:rsid w:val="00523D5A"/>
    <w:rsid w:val="005256AA"/>
    <w:rsid w:val="0053123C"/>
    <w:rsid w:val="00533481"/>
    <w:rsid w:val="00535B31"/>
    <w:rsid w:val="0053751B"/>
    <w:rsid w:val="005402D2"/>
    <w:rsid w:val="005408BE"/>
    <w:rsid w:val="00541431"/>
    <w:rsid w:val="0054440D"/>
    <w:rsid w:val="00544EEB"/>
    <w:rsid w:val="00545995"/>
    <w:rsid w:val="005473C3"/>
    <w:rsid w:val="00550DC7"/>
    <w:rsid w:val="00554B2F"/>
    <w:rsid w:val="0055533F"/>
    <w:rsid w:val="00556CE1"/>
    <w:rsid w:val="00561414"/>
    <w:rsid w:val="00562440"/>
    <w:rsid w:val="00562572"/>
    <w:rsid w:val="0056510A"/>
    <w:rsid w:val="00566BF3"/>
    <w:rsid w:val="00567405"/>
    <w:rsid w:val="00573F9B"/>
    <w:rsid w:val="0057409F"/>
    <w:rsid w:val="00574311"/>
    <w:rsid w:val="00580137"/>
    <w:rsid w:val="00580643"/>
    <w:rsid w:val="00581B8B"/>
    <w:rsid w:val="005831C5"/>
    <w:rsid w:val="00587621"/>
    <w:rsid w:val="005878A2"/>
    <w:rsid w:val="0058791B"/>
    <w:rsid w:val="00590CEC"/>
    <w:rsid w:val="005925D4"/>
    <w:rsid w:val="00594578"/>
    <w:rsid w:val="00595261"/>
    <w:rsid w:val="00595499"/>
    <w:rsid w:val="005A5EB9"/>
    <w:rsid w:val="005A7785"/>
    <w:rsid w:val="005B126F"/>
    <w:rsid w:val="005B2C64"/>
    <w:rsid w:val="005B34EF"/>
    <w:rsid w:val="005B40BD"/>
    <w:rsid w:val="005C01D0"/>
    <w:rsid w:val="005C0836"/>
    <w:rsid w:val="005C15D2"/>
    <w:rsid w:val="005C68FC"/>
    <w:rsid w:val="005D2616"/>
    <w:rsid w:val="005D3175"/>
    <w:rsid w:val="005D43CA"/>
    <w:rsid w:val="005D59E8"/>
    <w:rsid w:val="005D6DFC"/>
    <w:rsid w:val="005E0184"/>
    <w:rsid w:val="005E4085"/>
    <w:rsid w:val="005E64B1"/>
    <w:rsid w:val="005E7CBA"/>
    <w:rsid w:val="005F1A76"/>
    <w:rsid w:val="005F2841"/>
    <w:rsid w:val="005F7161"/>
    <w:rsid w:val="00600783"/>
    <w:rsid w:val="00602EA3"/>
    <w:rsid w:val="006039DC"/>
    <w:rsid w:val="006043DB"/>
    <w:rsid w:val="00611984"/>
    <w:rsid w:val="00611CE1"/>
    <w:rsid w:val="0061664E"/>
    <w:rsid w:val="00616E48"/>
    <w:rsid w:val="0061728D"/>
    <w:rsid w:val="00620946"/>
    <w:rsid w:val="00620C70"/>
    <w:rsid w:val="00621472"/>
    <w:rsid w:val="006216BB"/>
    <w:rsid w:val="00622107"/>
    <w:rsid w:val="00625C0D"/>
    <w:rsid w:val="00632D9A"/>
    <w:rsid w:val="006336FA"/>
    <w:rsid w:val="00635AC1"/>
    <w:rsid w:val="00640CCB"/>
    <w:rsid w:val="00641D37"/>
    <w:rsid w:val="00642909"/>
    <w:rsid w:val="006432E2"/>
    <w:rsid w:val="00644F06"/>
    <w:rsid w:val="00645AC6"/>
    <w:rsid w:val="00654F80"/>
    <w:rsid w:val="00661700"/>
    <w:rsid w:val="00664DB0"/>
    <w:rsid w:val="0066756C"/>
    <w:rsid w:val="00667CBB"/>
    <w:rsid w:val="00670BD6"/>
    <w:rsid w:val="006736CC"/>
    <w:rsid w:val="00673884"/>
    <w:rsid w:val="00674DBD"/>
    <w:rsid w:val="00680EAC"/>
    <w:rsid w:val="00681045"/>
    <w:rsid w:val="00681246"/>
    <w:rsid w:val="00681922"/>
    <w:rsid w:val="00682A51"/>
    <w:rsid w:val="00683788"/>
    <w:rsid w:val="006845B4"/>
    <w:rsid w:val="00684B3B"/>
    <w:rsid w:val="00690D3E"/>
    <w:rsid w:val="0069147B"/>
    <w:rsid w:val="006926BA"/>
    <w:rsid w:val="006974FF"/>
    <w:rsid w:val="006A186D"/>
    <w:rsid w:val="006A2248"/>
    <w:rsid w:val="006A4FA6"/>
    <w:rsid w:val="006A596D"/>
    <w:rsid w:val="006B357E"/>
    <w:rsid w:val="006C23B8"/>
    <w:rsid w:val="006C53D9"/>
    <w:rsid w:val="006D3AAD"/>
    <w:rsid w:val="006D3DD7"/>
    <w:rsid w:val="006D6757"/>
    <w:rsid w:val="006D7BAE"/>
    <w:rsid w:val="006E111C"/>
    <w:rsid w:val="006E2129"/>
    <w:rsid w:val="006E2294"/>
    <w:rsid w:val="006E24E6"/>
    <w:rsid w:val="006E3791"/>
    <w:rsid w:val="006E56AD"/>
    <w:rsid w:val="006F435D"/>
    <w:rsid w:val="006F4DF0"/>
    <w:rsid w:val="006F5682"/>
    <w:rsid w:val="006F5A11"/>
    <w:rsid w:val="006F68C0"/>
    <w:rsid w:val="006F77BC"/>
    <w:rsid w:val="00701131"/>
    <w:rsid w:val="00702D95"/>
    <w:rsid w:val="00703563"/>
    <w:rsid w:val="00703851"/>
    <w:rsid w:val="00705B99"/>
    <w:rsid w:val="00714C8B"/>
    <w:rsid w:val="00715516"/>
    <w:rsid w:val="007165BB"/>
    <w:rsid w:val="00717A14"/>
    <w:rsid w:val="00723B61"/>
    <w:rsid w:val="00724088"/>
    <w:rsid w:val="007259B0"/>
    <w:rsid w:val="00725EF6"/>
    <w:rsid w:val="00726EC8"/>
    <w:rsid w:val="00727DE4"/>
    <w:rsid w:val="00731C13"/>
    <w:rsid w:val="007322CD"/>
    <w:rsid w:val="007330BB"/>
    <w:rsid w:val="007364EF"/>
    <w:rsid w:val="007366FB"/>
    <w:rsid w:val="007413A1"/>
    <w:rsid w:val="00741C69"/>
    <w:rsid w:val="007438A9"/>
    <w:rsid w:val="007459D5"/>
    <w:rsid w:val="00747C7E"/>
    <w:rsid w:val="007513B7"/>
    <w:rsid w:val="0075242D"/>
    <w:rsid w:val="00753307"/>
    <w:rsid w:val="00755A63"/>
    <w:rsid w:val="00755D54"/>
    <w:rsid w:val="00757823"/>
    <w:rsid w:val="007603D3"/>
    <w:rsid w:val="00773042"/>
    <w:rsid w:val="0077379E"/>
    <w:rsid w:val="007743D8"/>
    <w:rsid w:val="00780FDF"/>
    <w:rsid w:val="00781256"/>
    <w:rsid w:val="00785173"/>
    <w:rsid w:val="007863C1"/>
    <w:rsid w:val="00796803"/>
    <w:rsid w:val="0079736E"/>
    <w:rsid w:val="007A0447"/>
    <w:rsid w:val="007A0765"/>
    <w:rsid w:val="007A2B22"/>
    <w:rsid w:val="007A70EC"/>
    <w:rsid w:val="007B196C"/>
    <w:rsid w:val="007B2D3B"/>
    <w:rsid w:val="007B58EA"/>
    <w:rsid w:val="007B7A1B"/>
    <w:rsid w:val="007B7DB2"/>
    <w:rsid w:val="007C0681"/>
    <w:rsid w:val="007C1D08"/>
    <w:rsid w:val="007C54B6"/>
    <w:rsid w:val="007C7FCF"/>
    <w:rsid w:val="007D4E08"/>
    <w:rsid w:val="007D62F0"/>
    <w:rsid w:val="007E2C33"/>
    <w:rsid w:val="007F1F08"/>
    <w:rsid w:val="007F3A59"/>
    <w:rsid w:val="007F44D9"/>
    <w:rsid w:val="007F69CD"/>
    <w:rsid w:val="007F7470"/>
    <w:rsid w:val="00800224"/>
    <w:rsid w:val="00801DD7"/>
    <w:rsid w:val="008053AC"/>
    <w:rsid w:val="008079C6"/>
    <w:rsid w:val="0081056B"/>
    <w:rsid w:val="00813CBA"/>
    <w:rsid w:val="0081441B"/>
    <w:rsid w:val="00815428"/>
    <w:rsid w:val="00816E9E"/>
    <w:rsid w:val="00817FE4"/>
    <w:rsid w:val="00833268"/>
    <w:rsid w:val="0083612B"/>
    <w:rsid w:val="00836B43"/>
    <w:rsid w:val="00840609"/>
    <w:rsid w:val="0084153F"/>
    <w:rsid w:val="00841633"/>
    <w:rsid w:val="0084430E"/>
    <w:rsid w:val="00844B9B"/>
    <w:rsid w:val="0084725F"/>
    <w:rsid w:val="008507F5"/>
    <w:rsid w:val="00852F0D"/>
    <w:rsid w:val="00861871"/>
    <w:rsid w:val="00861A7F"/>
    <w:rsid w:val="0086470F"/>
    <w:rsid w:val="0086515C"/>
    <w:rsid w:val="00870361"/>
    <w:rsid w:val="00870A07"/>
    <w:rsid w:val="008738A7"/>
    <w:rsid w:val="00873FEF"/>
    <w:rsid w:val="0087454E"/>
    <w:rsid w:val="008764DE"/>
    <w:rsid w:val="0087723A"/>
    <w:rsid w:val="00880553"/>
    <w:rsid w:val="008805E9"/>
    <w:rsid w:val="00880C43"/>
    <w:rsid w:val="008859D2"/>
    <w:rsid w:val="0088712B"/>
    <w:rsid w:val="00890B09"/>
    <w:rsid w:val="00890FE6"/>
    <w:rsid w:val="008923F5"/>
    <w:rsid w:val="00893F6A"/>
    <w:rsid w:val="008A1A3D"/>
    <w:rsid w:val="008A2C4E"/>
    <w:rsid w:val="008A3FAC"/>
    <w:rsid w:val="008A54E0"/>
    <w:rsid w:val="008A621A"/>
    <w:rsid w:val="008A625B"/>
    <w:rsid w:val="008B0FD4"/>
    <w:rsid w:val="008B13A5"/>
    <w:rsid w:val="008B5E5A"/>
    <w:rsid w:val="008C0056"/>
    <w:rsid w:val="008C3C5A"/>
    <w:rsid w:val="008C4129"/>
    <w:rsid w:val="008C5A77"/>
    <w:rsid w:val="008D173A"/>
    <w:rsid w:val="008D1E3B"/>
    <w:rsid w:val="008D3695"/>
    <w:rsid w:val="008D6E3B"/>
    <w:rsid w:val="008D7529"/>
    <w:rsid w:val="008E0885"/>
    <w:rsid w:val="008E3010"/>
    <w:rsid w:val="008E4C5D"/>
    <w:rsid w:val="008E4FDC"/>
    <w:rsid w:val="008E6C7E"/>
    <w:rsid w:val="008F0BD5"/>
    <w:rsid w:val="008F1FFF"/>
    <w:rsid w:val="008F27D0"/>
    <w:rsid w:val="008F7036"/>
    <w:rsid w:val="00900480"/>
    <w:rsid w:val="0090288A"/>
    <w:rsid w:val="00902D76"/>
    <w:rsid w:val="00903379"/>
    <w:rsid w:val="00905E7E"/>
    <w:rsid w:val="00907FE8"/>
    <w:rsid w:val="00910052"/>
    <w:rsid w:val="00912C3B"/>
    <w:rsid w:val="009179C7"/>
    <w:rsid w:val="00922D45"/>
    <w:rsid w:val="00923463"/>
    <w:rsid w:val="00923B99"/>
    <w:rsid w:val="00923EC9"/>
    <w:rsid w:val="00924A8D"/>
    <w:rsid w:val="00926E41"/>
    <w:rsid w:val="00927C76"/>
    <w:rsid w:val="009362AB"/>
    <w:rsid w:val="00937655"/>
    <w:rsid w:val="0094579B"/>
    <w:rsid w:val="00946E1D"/>
    <w:rsid w:val="00947C79"/>
    <w:rsid w:val="00950E93"/>
    <w:rsid w:val="00952740"/>
    <w:rsid w:val="009561C5"/>
    <w:rsid w:val="00956A82"/>
    <w:rsid w:val="0095730A"/>
    <w:rsid w:val="0096281D"/>
    <w:rsid w:val="00966F7B"/>
    <w:rsid w:val="00967720"/>
    <w:rsid w:val="009727E2"/>
    <w:rsid w:val="009733D3"/>
    <w:rsid w:val="00974163"/>
    <w:rsid w:val="00980DCE"/>
    <w:rsid w:val="00981FAF"/>
    <w:rsid w:val="0098259C"/>
    <w:rsid w:val="009908B4"/>
    <w:rsid w:val="00993328"/>
    <w:rsid w:val="009A5C59"/>
    <w:rsid w:val="009A7C1B"/>
    <w:rsid w:val="009B0837"/>
    <w:rsid w:val="009B427E"/>
    <w:rsid w:val="009B4666"/>
    <w:rsid w:val="009C2AF4"/>
    <w:rsid w:val="009C2D28"/>
    <w:rsid w:val="009C3ECA"/>
    <w:rsid w:val="009C416E"/>
    <w:rsid w:val="009C43D6"/>
    <w:rsid w:val="009C59DF"/>
    <w:rsid w:val="009C6964"/>
    <w:rsid w:val="009D0B94"/>
    <w:rsid w:val="009D1285"/>
    <w:rsid w:val="009D1ED8"/>
    <w:rsid w:val="009D6D62"/>
    <w:rsid w:val="009D6F28"/>
    <w:rsid w:val="009E2A10"/>
    <w:rsid w:val="009E451D"/>
    <w:rsid w:val="009E6DC7"/>
    <w:rsid w:val="009F0091"/>
    <w:rsid w:val="009F1B3D"/>
    <w:rsid w:val="009F315F"/>
    <w:rsid w:val="009F3E71"/>
    <w:rsid w:val="009F4C11"/>
    <w:rsid w:val="009F504C"/>
    <w:rsid w:val="009F7CD5"/>
    <w:rsid w:val="00A01024"/>
    <w:rsid w:val="00A017C1"/>
    <w:rsid w:val="00A03B98"/>
    <w:rsid w:val="00A04AA2"/>
    <w:rsid w:val="00A10BF3"/>
    <w:rsid w:val="00A12C10"/>
    <w:rsid w:val="00A16612"/>
    <w:rsid w:val="00A2158A"/>
    <w:rsid w:val="00A23680"/>
    <w:rsid w:val="00A340DC"/>
    <w:rsid w:val="00A34BFD"/>
    <w:rsid w:val="00A35F48"/>
    <w:rsid w:val="00A36C02"/>
    <w:rsid w:val="00A37DF6"/>
    <w:rsid w:val="00A40092"/>
    <w:rsid w:val="00A4043C"/>
    <w:rsid w:val="00A4271A"/>
    <w:rsid w:val="00A44DC3"/>
    <w:rsid w:val="00A44F2B"/>
    <w:rsid w:val="00A452E0"/>
    <w:rsid w:val="00A453EC"/>
    <w:rsid w:val="00A462FC"/>
    <w:rsid w:val="00A51A1E"/>
    <w:rsid w:val="00A5219A"/>
    <w:rsid w:val="00A52DF1"/>
    <w:rsid w:val="00A5608D"/>
    <w:rsid w:val="00A571E2"/>
    <w:rsid w:val="00A619C0"/>
    <w:rsid w:val="00A63552"/>
    <w:rsid w:val="00A64003"/>
    <w:rsid w:val="00A67F30"/>
    <w:rsid w:val="00A70ABB"/>
    <w:rsid w:val="00A71526"/>
    <w:rsid w:val="00A71C61"/>
    <w:rsid w:val="00A731E8"/>
    <w:rsid w:val="00A80160"/>
    <w:rsid w:val="00A86186"/>
    <w:rsid w:val="00A8723B"/>
    <w:rsid w:val="00A87EBB"/>
    <w:rsid w:val="00A93802"/>
    <w:rsid w:val="00A96341"/>
    <w:rsid w:val="00A97988"/>
    <w:rsid w:val="00AA17E5"/>
    <w:rsid w:val="00AA343C"/>
    <w:rsid w:val="00AA4753"/>
    <w:rsid w:val="00AA4CE6"/>
    <w:rsid w:val="00AA6D98"/>
    <w:rsid w:val="00AA727C"/>
    <w:rsid w:val="00AB2C61"/>
    <w:rsid w:val="00AB4A45"/>
    <w:rsid w:val="00AB52A1"/>
    <w:rsid w:val="00AC041C"/>
    <w:rsid w:val="00AC18D2"/>
    <w:rsid w:val="00AC643B"/>
    <w:rsid w:val="00AC7244"/>
    <w:rsid w:val="00AD6C36"/>
    <w:rsid w:val="00AD7E9B"/>
    <w:rsid w:val="00AE36E8"/>
    <w:rsid w:val="00AF1275"/>
    <w:rsid w:val="00AF1475"/>
    <w:rsid w:val="00AF3FA6"/>
    <w:rsid w:val="00AF7530"/>
    <w:rsid w:val="00AF7E74"/>
    <w:rsid w:val="00B00707"/>
    <w:rsid w:val="00B030DB"/>
    <w:rsid w:val="00B03F29"/>
    <w:rsid w:val="00B064EA"/>
    <w:rsid w:val="00B069DA"/>
    <w:rsid w:val="00B072AF"/>
    <w:rsid w:val="00B125FD"/>
    <w:rsid w:val="00B12E92"/>
    <w:rsid w:val="00B13ABD"/>
    <w:rsid w:val="00B14643"/>
    <w:rsid w:val="00B20086"/>
    <w:rsid w:val="00B207A5"/>
    <w:rsid w:val="00B21732"/>
    <w:rsid w:val="00B21789"/>
    <w:rsid w:val="00B2220D"/>
    <w:rsid w:val="00B26E55"/>
    <w:rsid w:val="00B27C61"/>
    <w:rsid w:val="00B317F8"/>
    <w:rsid w:val="00B322AC"/>
    <w:rsid w:val="00B35D54"/>
    <w:rsid w:val="00B42B46"/>
    <w:rsid w:val="00B43CA6"/>
    <w:rsid w:val="00B4440F"/>
    <w:rsid w:val="00B452F1"/>
    <w:rsid w:val="00B45D5B"/>
    <w:rsid w:val="00B45D88"/>
    <w:rsid w:val="00B474A0"/>
    <w:rsid w:val="00B50EEB"/>
    <w:rsid w:val="00B5212F"/>
    <w:rsid w:val="00B575DB"/>
    <w:rsid w:val="00B60FAC"/>
    <w:rsid w:val="00B64176"/>
    <w:rsid w:val="00B65443"/>
    <w:rsid w:val="00B65EBD"/>
    <w:rsid w:val="00B6630F"/>
    <w:rsid w:val="00B742EF"/>
    <w:rsid w:val="00B74318"/>
    <w:rsid w:val="00B7468B"/>
    <w:rsid w:val="00B747F5"/>
    <w:rsid w:val="00B74F7F"/>
    <w:rsid w:val="00B81472"/>
    <w:rsid w:val="00B824C4"/>
    <w:rsid w:val="00B84D5C"/>
    <w:rsid w:val="00B92361"/>
    <w:rsid w:val="00B969AE"/>
    <w:rsid w:val="00BA0C00"/>
    <w:rsid w:val="00BA1C4F"/>
    <w:rsid w:val="00BA5D17"/>
    <w:rsid w:val="00BA74F6"/>
    <w:rsid w:val="00BA7F93"/>
    <w:rsid w:val="00BB0974"/>
    <w:rsid w:val="00BB0DB6"/>
    <w:rsid w:val="00BB1211"/>
    <w:rsid w:val="00BB3C81"/>
    <w:rsid w:val="00BB482B"/>
    <w:rsid w:val="00BB695A"/>
    <w:rsid w:val="00BB7F91"/>
    <w:rsid w:val="00BC0C4D"/>
    <w:rsid w:val="00BC5C84"/>
    <w:rsid w:val="00BC6487"/>
    <w:rsid w:val="00BC6EE5"/>
    <w:rsid w:val="00BD5A41"/>
    <w:rsid w:val="00BD5A57"/>
    <w:rsid w:val="00BD5A99"/>
    <w:rsid w:val="00BD617B"/>
    <w:rsid w:val="00BE0042"/>
    <w:rsid w:val="00BE06BA"/>
    <w:rsid w:val="00BE28DF"/>
    <w:rsid w:val="00BE4F22"/>
    <w:rsid w:val="00BE6BAC"/>
    <w:rsid w:val="00BF5971"/>
    <w:rsid w:val="00C05343"/>
    <w:rsid w:val="00C05911"/>
    <w:rsid w:val="00C06591"/>
    <w:rsid w:val="00C1176C"/>
    <w:rsid w:val="00C15531"/>
    <w:rsid w:val="00C16B2C"/>
    <w:rsid w:val="00C173C6"/>
    <w:rsid w:val="00C17CCD"/>
    <w:rsid w:val="00C222AD"/>
    <w:rsid w:val="00C236F8"/>
    <w:rsid w:val="00C242AD"/>
    <w:rsid w:val="00C251A6"/>
    <w:rsid w:val="00C269A3"/>
    <w:rsid w:val="00C26E0B"/>
    <w:rsid w:val="00C27958"/>
    <w:rsid w:val="00C3085E"/>
    <w:rsid w:val="00C331A8"/>
    <w:rsid w:val="00C43310"/>
    <w:rsid w:val="00C44B10"/>
    <w:rsid w:val="00C4528C"/>
    <w:rsid w:val="00C45694"/>
    <w:rsid w:val="00C46842"/>
    <w:rsid w:val="00C46E63"/>
    <w:rsid w:val="00C479A2"/>
    <w:rsid w:val="00C52450"/>
    <w:rsid w:val="00C5522E"/>
    <w:rsid w:val="00C57275"/>
    <w:rsid w:val="00C60F4B"/>
    <w:rsid w:val="00C631B6"/>
    <w:rsid w:val="00C63342"/>
    <w:rsid w:val="00C66F0D"/>
    <w:rsid w:val="00C7033E"/>
    <w:rsid w:val="00C71717"/>
    <w:rsid w:val="00C760E1"/>
    <w:rsid w:val="00C8321D"/>
    <w:rsid w:val="00C85FED"/>
    <w:rsid w:val="00C87902"/>
    <w:rsid w:val="00C90BFA"/>
    <w:rsid w:val="00C92FF4"/>
    <w:rsid w:val="00C94C65"/>
    <w:rsid w:val="00C9504D"/>
    <w:rsid w:val="00C96AAE"/>
    <w:rsid w:val="00CA02A9"/>
    <w:rsid w:val="00CA4237"/>
    <w:rsid w:val="00CA554A"/>
    <w:rsid w:val="00CA6DDF"/>
    <w:rsid w:val="00CA731F"/>
    <w:rsid w:val="00CB5645"/>
    <w:rsid w:val="00CB5B78"/>
    <w:rsid w:val="00CB5F45"/>
    <w:rsid w:val="00CC07E1"/>
    <w:rsid w:val="00CC205C"/>
    <w:rsid w:val="00CC3BFE"/>
    <w:rsid w:val="00CC4F72"/>
    <w:rsid w:val="00CC5027"/>
    <w:rsid w:val="00CC6DEB"/>
    <w:rsid w:val="00CC73F9"/>
    <w:rsid w:val="00CC785E"/>
    <w:rsid w:val="00CD150D"/>
    <w:rsid w:val="00CD71D8"/>
    <w:rsid w:val="00CE039A"/>
    <w:rsid w:val="00CE0629"/>
    <w:rsid w:val="00CE3E08"/>
    <w:rsid w:val="00CE3FA8"/>
    <w:rsid w:val="00CE5C3A"/>
    <w:rsid w:val="00CE618E"/>
    <w:rsid w:val="00CE661B"/>
    <w:rsid w:val="00CE6A80"/>
    <w:rsid w:val="00CE751E"/>
    <w:rsid w:val="00CF350D"/>
    <w:rsid w:val="00CF3C94"/>
    <w:rsid w:val="00CF6872"/>
    <w:rsid w:val="00D005A3"/>
    <w:rsid w:val="00D0199B"/>
    <w:rsid w:val="00D0271B"/>
    <w:rsid w:val="00D04849"/>
    <w:rsid w:val="00D057C6"/>
    <w:rsid w:val="00D071B4"/>
    <w:rsid w:val="00D123D9"/>
    <w:rsid w:val="00D17A49"/>
    <w:rsid w:val="00D20544"/>
    <w:rsid w:val="00D21B39"/>
    <w:rsid w:val="00D2233B"/>
    <w:rsid w:val="00D23621"/>
    <w:rsid w:val="00D238EF"/>
    <w:rsid w:val="00D25592"/>
    <w:rsid w:val="00D26767"/>
    <w:rsid w:val="00D3024F"/>
    <w:rsid w:val="00D30AB5"/>
    <w:rsid w:val="00D32C34"/>
    <w:rsid w:val="00D3549F"/>
    <w:rsid w:val="00D3616C"/>
    <w:rsid w:val="00D377C3"/>
    <w:rsid w:val="00D406CF"/>
    <w:rsid w:val="00D407F2"/>
    <w:rsid w:val="00D40B49"/>
    <w:rsid w:val="00D40E2B"/>
    <w:rsid w:val="00D44738"/>
    <w:rsid w:val="00D458F1"/>
    <w:rsid w:val="00D503B8"/>
    <w:rsid w:val="00D50C10"/>
    <w:rsid w:val="00D50EE9"/>
    <w:rsid w:val="00D6298B"/>
    <w:rsid w:val="00D65291"/>
    <w:rsid w:val="00D66D9A"/>
    <w:rsid w:val="00D7039D"/>
    <w:rsid w:val="00D73F39"/>
    <w:rsid w:val="00D761D6"/>
    <w:rsid w:val="00D76A72"/>
    <w:rsid w:val="00D8101D"/>
    <w:rsid w:val="00D82CFE"/>
    <w:rsid w:val="00D90E6D"/>
    <w:rsid w:val="00D91B5E"/>
    <w:rsid w:val="00D92288"/>
    <w:rsid w:val="00D94DEC"/>
    <w:rsid w:val="00D95385"/>
    <w:rsid w:val="00D968EF"/>
    <w:rsid w:val="00DA1585"/>
    <w:rsid w:val="00DA3162"/>
    <w:rsid w:val="00DA329B"/>
    <w:rsid w:val="00DA3641"/>
    <w:rsid w:val="00DB1AD0"/>
    <w:rsid w:val="00DB6A9F"/>
    <w:rsid w:val="00DC10E8"/>
    <w:rsid w:val="00DC21E8"/>
    <w:rsid w:val="00DC2B03"/>
    <w:rsid w:val="00DD0375"/>
    <w:rsid w:val="00DD3BB6"/>
    <w:rsid w:val="00DD3F7D"/>
    <w:rsid w:val="00DD74FA"/>
    <w:rsid w:val="00DD762E"/>
    <w:rsid w:val="00DE1786"/>
    <w:rsid w:val="00DE2952"/>
    <w:rsid w:val="00DE2E81"/>
    <w:rsid w:val="00DE35B0"/>
    <w:rsid w:val="00DE36A2"/>
    <w:rsid w:val="00DF0B3D"/>
    <w:rsid w:val="00DF11B5"/>
    <w:rsid w:val="00DF1C55"/>
    <w:rsid w:val="00DF3409"/>
    <w:rsid w:val="00DF4D05"/>
    <w:rsid w:val="00DF696C"/>
    <w:rsid w:val="00E02445"/>
    <w:rsid w:val="00E02B5F"/>
    <w:rsid w:val="00E06ACC"/>
    <w:rsid w:val="00E07811"/>
    <w:rsid w:val="00E123FB"/>
    <w:rsid w:val="00E130CF"/>
    <w:rsid w:val="00E16E4D"/>
    <w:rsid w:val="00E23B34"/>
    <w:rsid w:val="00E2474D"/>
    <w:rsid w:val="00E25D18"/>
    <w:rsid w:val="00E3169E"/>
    <w:rsid w:val="00E31C4C"/>
    <w:rsid w:val="00E32D82"/>
    <w:rsid w:val="00E35FC9"/>
    <w:rsid w:val="00E40127"/>
    <w:rsid w:val="00E42468"/>
    <w:rsid w:val="00E43914"/>
    <w:rsid w:val="00E45E97"/>
    <w:rsid w:val="00E46257"/>
    <w:rsid w:val="00E46CCC"/>
    <w:rsid w:val="00E506FA"/>
    <w:rsid w:val="00E515DC"/>
    <w:rsid w:val="00E51A77"/>
    <w:rsid w:val="00E552C1"/>
    <w:rsid w:val="00E60674"/>
    <w:rsid w:val="00E649A7"/>
    <w:rsid w:val="00E64F9D"/>
    <w:rsid w:val="00E73CAC"/>
    <w:rsid w:val="00E7413C"/>
    <w:rsid w:val="00E774B8"/>
    <w:rsid w:val="00E80965"/>
    <w:rsid w:val="00E82399"/>
    <w:rsid w:val="00E83519"/>
    <w:rsid w:val="00E83CAF"/>
    <w:rsid w:val="00E9042E"/>
    <w:rsid w:val="00E909C1"/>
    <w:rsid w:val="00E918F7"/>
    <w:rsid w:val="00E93F84"/>
    <w:rsid w:val="00E93FB3"/>
    <w:rsid w:val="00E942FB"/>
    <w:rsid w:val="00E94928"/>
    <w:rsid w:val="00EA2521"/>
    <w:rsid w:val="00EA5D11"/>
    <w:rsid w:val="00EA682F"/>
    <w:rsid w:val="00EA7DD9"/>
    <w:rsid w:val="00EB17F2"/>
    <w:rsid w:val="00EB2F5E"/>
    <w:rsid w:val="00EB32DC"/>
    <w:rsid w:val="00EC03E6"/>
    <w:rsid w:val="00EC0C55"/>
    <w:rsid w:val="00EC2102"/>
    <w:rsid w:val="00EC24CA"/>
    <w:rsid w:val="00EC3F0B"/>
    <w:rsid w:val="00EC46FB"/>
    <w:rsid w:val="00EC5763"/>
    <w:rsid w:val="00EC5CE4"/>
    <w:rsid w:val="00EC6EC9"/>
    <w:rsid w:val="00ED0C3A"/>
    <w:rsid w:val="00ED189D"/>
    <w:rsid w:val="00ED3324"/>
    <w:rsid w:val="00ED5073"/>
    <w:rsid w:val="00ED7449"/>
    <w:rsid w:val="00ED77A6"/>
    <w:rsid w:val="00EE0199"/>
    <w:rsid w:val="00EE355D"/>
    <w:rsid w:val="00EE5DE1"/>
    <w:rsid w:val="00EE7381"/>
    <w:rsid w:val="00EF6824"/>
    <w:rsid w:val="00F0019F"/>
    <w:rsid w:val="00F0318F"/>
    <w:rsid w:val="00F109BB"/>
    <w:rsid w:val="00F11B08"/>
    <w:rsid w:val="00F13F38"/>
    <w:rsid w:val="00F20B50"/>
    <w:rsid w:val="00F21931"/>
    <w:rsid w:val="00F23026"/>
    <w:rsid w:val="00F26E8C"/>
    <w:rsid w:val="00F32707"/>
    <w:rsid w:val="00F34F67"/>
    <w:rsid w:val="00F37FDA"/>
    <w:rsid w:val="00F44356"/>
    <w:rsid w:val="00F458C4"/>
    <w:rsid w:val="00F45B48"/>
    <w:rsid w:val="00F45FD4"/>
    <w:rsid w:val="00F46B94"/>
    <w:rsid w:val="00F50459"/>
    <w:rsid w:val="00F50635"/>
    <w:rsid w:val="00F50E37"/>
    <w:rsid w:val="00F51D69"/>
    <w:rsid w:val="00F523C8"/>
    <w:rsid w:val="00F52861"/>
    <w:rsid w:val="00F52FD7"/>
    <w:rsid w:val="00F545BD"/>
    <w:rsid w:val="00F54A34"/>
    <w:rsid w:val="00F561CD"/>
    <w:rsid w:val="00F579E0"/>
    <w:rsid w:val="00F57EAE"/>
    <w:rsid w:val="00F6130B"/>
    <w:rsid w:val="00F63DBE"/>
    <w:rsid w:val="00F652B8"/>
    <w:rsid w:val="00F66595"/>
    <w:rsid w:val="00F71F55"/>
    <w:rsid w:val="00F7338E"/>
    <w:rsid w:val="00F73F52"/>
    <w:rsid w:val="00F761CF"/>
    <w:rsid w:val="00F82258"/>
    <w:rsid w:val="00F8230B"/>
    <w:rsid w:val="00F82FA9"/>
    <w:rsid w:val="00F83D99"/>
    <w:rsid w:val="00F87577"/>
    <w:rsid w:val="00F93948"/>
    <w:rsid w:val="00F93F5B"/>
    <w:rsid w:val="00F965A2"/>
    <w:rsid w:val="00FA472E"/>
    <w:rsid w:val="00FA47C5"/>
    <w:rsid w:val="00FA5013"/>
    <w:rsid w:val="00FA63B3"/>
    <w:rsid w:val="00FA69E4"/>
    <w:rsid w:val="00FB06E8"/>
    <w:rsid w:val="00FB0AB6"/>
    <w:rsid w:val="00FB1976"/>
    <w:rsid w:val="00FB3159"/>
    <w:rsid w:val="00FB3C9D"/>
    <w:rsid w:val="00FB4475"/>
    <w:rsid w:val="00FB4E3B"/>
    <w:rsid w:val="00FB588A"/>
    <w:rsid w:val="00FB5EAE"/>
    <w:rsid w:val="00FB6BF3"/>
    <w:rsid w:val="00FC0B57"/>
    <w:rsid w:val="00FC113F"/>
    <w:rsid w:val="00FC33A9"/>
    <w:rsid w:val="00FD1AE4"/>
    <w:rsid w:val="00FD3D61"/>
    <w:rsid w:val="00FD472B"/>
    <w:rsid w:val="00FD4C73"/>
    <w:rsid w:val="00FD4FD7"/>
    <w:rsid w:val="00FD6040"/>
    <w:rsid w:val="00FE057C"/>
    <w:rsid w:val="00FE501C"/>
    <w:rsid w:val="00FF1F5D"/>
    <w:rsid w:val="00FF2912"/>
    <w:rsid w:val="00FF3BD9"/>
    <w:rsid w:val="00FF4DE1"/>
    <w:rsid w:val="00FF67D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18E"/>
    <w:rPr>
      <w:lang w:val="es-ES" w:eastAsia="es-ES"/>
    </w:rPr>
  </w:style>
  <w:style w:type="paragraph" w:styleId="Ttulo2">
    <w:name w:val="heading 2"/>
    <w:basedOn w:val="Normal"/>
    <w:next w:val="Normal"/>
    <w:qFormat/>
    <w:rsid w:val="00C5245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9F504C"/>
    <w:pPr>
      <w:keepNext/>
      <w:spacing w:before="240" w:after="60"/>
      <w:outlineLvl w:val="2"/>
    </w:pPr>
    <w:rPr>
      <w:rFonts w:ascii="Arial" w:hAnsi="Arial" w:cs="Arial"/>
      <w:b/>
      <w:bCs/>
      <w:sz w:val="26"/>
      <w:szCs w:val="26"/>
    </w:rPr>
  </w:style>
  <w:style w:type="paragraph" w:styleId="Ttulo4">
    <w:name w:val="heading 4"/>
    <w:basedOn w:val="Normal"/>
    <w:next w:val="Normal"/>
    <w:qFormat/>
    <w:rsid w:val="00CE618E"/>
    <w:pPr>
      <w:keepNext/>
      <w:spacing w:before="240" w:after="60"/>
      <w:outlineLvl w:val="3"/>
    </w:pPr>
    <w:rPr>
      <w:b/>
      <w:bCs/>
      <w:sz w:val="28"/>
      <w:szCs w:val="28"/>
    </w:rPr>
  </w:style>
  <w:style w:type="paragraph" w:styleId="Ttulo6">
    <w:name w:val="heading 6"/>
    <w:basedOn w:val="Normal"/>
    <w:next w:val="Normal"/>
    <w:qFormat/>
    <w:rsid w:val="0088712B"/>
    <w:pPr>
      <w:spacing w:before="240" w:after="60"/>
      <w:outlineLvl w:val="5"/>
    </w:pPr>
    <w:rPr>
      <w:b/>
      <w:bCs/>
      <w:sz w:val="22"/>
      <w:szCs w:val="22"/>
    </w:rPr>
  </w:style>
  <w:style w:type="paragraph" w:styleId="Ttulo7">
    <w:name w:val="heading 7"/>
    <w:basedOn w:val="Normal"/>
    <w:next w:val="Normal"/>
    <w:link w:val="Ttulo7Car"/>
    <w:unhideWhenUsed/>
    <w:qFormat/>
    <w:rsid w:val="00AC041C"/>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52450"/>
    <w:pPr>
      <w:tabs>
        <w:tab w:val="center" w:pos="4252"/>
        <w:tab w:val="right" w:pos="8504"/>
      </w:tabs>
    </w:pPr>
  </w:style>
  <w:style w:type="paragraph" w:styleId="Ttulo">
    <w:name w:val="Title"/>
    <w:basedOn w:val="Normal"/>
    <w:link w:val="TtuloCar"/>
    <w:qFormat/>
    <w:rsid w:val="00C52450"/>
    <w:pPr>
      <w:jc w:val="center"/>
    </w:pPr>
    <w:rPr>
      <w:b/>
      <w:bCs/>
      <w:sz w:val="24"/>
      <w:szCs w:val="24"/>
    </w:rPr>
  </w:style>
  <w:style w:type="paragraph" w:styleId="Textoindependiente">
    <w:name w:val="Body Text"/>
    <w:basedOn w:val="Normal"/>
    <w:rsid w:val="00C52450"/>
    <w:pPr>
      <w:spacing w:after="120"/>
    </w:pPr>
  </w:style>
  <w:style w:type="paragraph" w:styleId="Textoindependiente2">
    <w:name w:val="Body Text 2"/>
    <w:basedOn w:val="Normal"/>
    <w:link w:val="Textoindependiente2Car"/>
    <w:rsid w:val="00C52450"/>
    <w:pPr>
      <w:spacing w:after="120" w:line="480" w:lineRule="auto"/>
    </w:pPr>
  </w:style>
  <w:style w:type="paragraph" w:styleId="Textoindependiente3">
    <w:name w:val="Body Text 3"/>
    <w:basedOn w:val="Normal"/>
    <w:rsid w:val="00C52450"/>
    <w:pPr>
      <w:spacing w:after="120"/>
    </w:pPr>
    <w:rPr>
      <w:sz w:val="16"/>
      <w:szCs w:val="16"/>
    </w:rPr>
  </w:style>
  <w:style w:type="paragraph" w:styleId="Textosinformato">
    <w:name w:val="Plain Text"/>
    <w:basedOn w:val="Normal"/>
    <w:link w:val="TextosinformatoCar"/>
    <w:rsid w:val="00C52450"/>
    <w:rPr>
      <w:rFonts w:ascii="Courier New" w:hAnsi="Courier New"/>
    </w:rPr>
  </w:style>
  <w:style w:type="paragraph" w:customStyle="1" w:styleId="Textopredeterminado">
    <w:name w:val="Texto predeterminado"/>
    <w:basedOn w:val="Normal"/>
    <w:rsid w:val="00C52450"/>
    <w:rPr>
      <w:sz w:val="24"/>
      <w:lang w:val="es-ES_tradnl"/>
    </w:rPr>
  </w:style>
  <w:style w:type="paragraph" w:styleId="Listaconvietas">
    <w:name w:val="List Bullet"/>
    <w:basedOn w:val="Normal"/>
    <w:autoRedefine/>
    <w:rsid w:val="00E60674"/>
    <w:pPr>
      <w:jc w:val="both"/>
    </w:pPr>
    <w:rPr>
      <w:sz w:val="24"/>
      <w:lang w:val="es-ES_tradnl"/>
    </w:rPr>
  </w:style>
  <w:style w:type="paragraph" w:styleId="Piedepgina">
    <w:name w:val="footer"/>
    <w:basedOn w:val="Normal"/>
    <w:link w:val="PiedepginaCar"/>
    <w:uiPriority w:val="99"/>
    <w:rsid w:val="00B14643"/>
    <w:pPr>
      <w:tabs>
        <w:tab w:val="center" w:pos="4419"/>
        <w:tab w:val="right" w:pos="8838"/>
      </w:tabs>
    </w:pPr>
  </w:style>
  <w:style w:type="character" w:customStyle="1" w:styleId="PiedepginaCar">
    <w:name w:val="Pie de página Car"/>
    <w:link w:val="Piedepgina"/>
    <w:uiPriority w:val="99"/>
    <w:rsid w:val="00B14643"/>
    <w:rPr>
      <w:lang w:val="es-ES" w:eastAsia="es-ES"/>
    </w:rPr>
  </w:style>
  <w:style w:type="paragraph" w:styleId="Sinespaciado">
    <w:name w:val="No Spacing"/>
    <w:link w:val="SinespaciadoCar"/>
    <w:uiPriority w:val="1"/>
    <w:qFormat/>
    <w:rsid w:val="00064C9D"/>
    <w:rPr>
      <w:rFonts w:ascii="Calibri" w:eastAsia="Calibri" w:hAnsi="Calibri"/>
      <w:sz w:val="22"/>
      <w:szCs w:val="22"/>
      <w:lang w:eastAsia="en-US"/>
    </w:rPr>
  </w:style>
  <w:style w:type="character" w:customStyle="1" w:styleId="Textoindependiente2Car">
    <w:name w:val="Texto independiente 2 Car"/>
    <w:link w:val="Textoindependiente2"/>
    <w:rsid w:val="00FE057C"/>
    <w:rPr>
      <w:lang w:val="es-ES" w:eastAsia="es-ES"/>
    </w:rPr>
  </w:style>
  <w:style w:type="character" w:styleId="Refdecomentario">
    <w:name w:val="annotation reference"/>
    <w:rsid w:val="00622107"/>
    <w:rPr>
      <w:sz w:val="16"/>
      <w:szCs w:val="16"/>
    </w:rPr>
  </w:style>
  <w:style w:type="paragraph" w:styleId="Textocomentario">
    <w:name w:val="annotation text"/>
    <w:basedOn w:val="Normal"/>
    <w:link w:val="TextocomentarioCar"/>
    <w:rsid w:val="00622107"/>
  </w:style>
  <w:style w:type="character" w:customStyle="1" w:styleId="TextocomentarioCar">
    <w:name w:val="Texto comentario Car"/>
    <w:link w:val="Textocomentario"/>
    <w:rsid w:val="00622107"/>
    <w:rPr>
      <w:lang w:val="es-ES" w:eastAsia="es-ES"/>
    </w:rPr>
  </w:style>
  <w:style w:type="paragraph" w:styleId="Asuntodelcomentario">
    <w:name w:val="annotation subject"/>
    <w:basedOn w:val="Textocomentario"/>
    <w:next w:val="Textocomentario"/>
    <w:link w:val="AsuntodelcomentarioCar"/>
    <w:rsid w:val="00622107"/>
    <w:rPr>
      <w:b/>
      <w:bCs/>
    </w:rPr>
  </w:style>
  <w:style w:type="character" w:customStyle="1" w:styleId="AsuntodelcomentarioCar">
    <w:name w:val="Asunto del comentario Car"/>
    <w:link w:val="Asuntodelcomentario"/>
    <w:rsid w:val="00622107"/>
    <w:rPr>
      <w:b/>
      <w:bCs/>
      <w:lang w:val="es-ES" w:eastAsia="es-ES"/>
    </w:rPr>
  </w:style>
  <w:style w:type="paragraph" w:styleId="Textodeglobo">
    <w:name w:val="Balloon Text"/>
    <w:basedOn w:val="Normal"/>
    <w:link w:val="TextodegloboCar"/>
    <w:rsid w:val="00622107"/>
    <w:rPr>
      <w:rFonts w:ascii="Tahoma" w:hAnsi="Tahoma"/>
      <w:sz w:val="16"/>
      <w:szCs w:val="16"/>
    </w:rPr>
  </w:style>
  <w:style w:type="character" w:customStyle="1" w:styleId="TextodegloboCar">
    <w:name w:val="Texto de globo Car"/>
    <w:link w:val="Textodeglobo"/>
    <w:rsid w:val="00622107"/>
    <w:rPr>
      <w:rFonts w:ascii="Tahoma" w:hAnsi="Tahoma" w:cs="Tahoma"/>
      <w:sz w:val="16"/>
      <w:szCs w:val="16"/>
      <w:lang w:val="es-ES" w:eastAsia="es-ES"/>
    </w:rPr>
  </w:style>
  <w:style w:type="character" w:customStyle="1" w:styleId="TtuloCar">
    <w:name w:val="Título Car"/>
    <w:link w:val="Ttulo"/>
    <w:rsid w:val="00476B21"/>
    <w:rPr>
      <w:b/>
      <w:bCs/>
      <w:sz w:val="24"/>
      <w:szCs w:val="24"/>
      <w:lang w:val="es-ES" w:eastAsia="es-ES"/>
    </w:rPr>
  </w:style>
  <w:style w:type="character" w:styleId="nfasis">
    <w:name w:val="Emphasis"/>
    <w:uiPriority w:val="20"/>
    <w:qFormat/>
    <w:rsid w:val="00C1176C"/>
    <w:rPr>
      <w:i/>
      <w:iCs/>
    </w:rPr>
  </w:style>
  <w:style w:type="paragraph" w:styleId="Prrafodelista">
    <w:name w:val="List Paragraph"/>
    <w:basedOn w:val="Normal"/>
    <w:uiPriority w:val="34"/>
    <w:qFormat/>
    <w:rsid w:val="00E32D82"/>
    <w:pPr>
      <w:ind w:left="708"/>
    </w:pPr>
  </w:style>
  <w:style w:type="character" w:customStyle="1" w:styleId="TextosinformatoCar">
    <w:name w:val="Texto sin formato Car"/>
    <w:link w:val="Textosinformato"/>
    <w:rsid w:val="002C3D9C"/>
    <w:rPr>
      <w:rFonts w:ascii="Courier New" w:hAnsi="Courier New"/>
      <w:lang w:val="es-ES" w:eastAsia="es-ES"/>
    </w:rPr>
  </w:style>
  <w:style w:type="character" w:customStyle="1" w:styleId="Ttulo7Car">
    <w:name w:val="Título 7 Car"/>
    <w:link w:val="Ttulo7"/>
    <w:rsid w:val="00AC041C"/>
    <w:rPr>
      <w:rFonts w:ascii="Calibri" w:eastAsia="Times New Roman" w:hAnsi="Calibri" w:cs="Times New Roman"/>
      <w:sz w:val="24"/>
      <w:szCs w:val="24"/>
      <w:lang w:val="es-ES" w:eastAsia="es-ES"/>
    </w:rPr>
  </w:style>
  <w:style w:type="table" w:styleId="Tablaconcuadrcula">
    <w:name w:val="Table Grid"/>
    <w:basedOn w:val="Tablanormal"/>
    <w:uiPriority w:val="59"/>
    <w:rsid w:val="00AC04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link w:val="Sinespaciado"/>
    <w:uiPriority w:val="1"/>
    <w:rsid w:val="001B69C8"/>
    <w:rPr>
      <w:rFonts w:ascii="Calibri" w:eastAsia="Calibri" w:hAnsi="Calibri"/>
      <w:sz w:val="22"/>
      <w:szCs w:val="22"/>
      <w:lang w:val="es-EC" w:eastAsia="en-US" w:bidi="ar-SA"/>
    </w:rPr>
  </w:style>
  <w:style w:type="paragraph" w:styleId="NormalWeb">
    <w:name w:val="Normal (Web)"/>
    <w:basedOn w:val="Normal"/>
    <w:uiPriority w:val="99"/>
    <w:unhideWhenUsed/>
    <w:rsid w:val="008E301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249">
      <w:bodyDiv w:val="1"/>
      <w:marLeft w:val="0"/>
      <w:marRight w:val="0"/>
      <w:marTop w:val="0"/>
      <w:marBottom w:val="0"/>
      <w:divBdr>
        <w:top w:val="none" w:sz="0" w:space="0" w:color="auto"/>
        <w:left w:val="none" w:sz="0" w:space="0" w:color="auto"/>
        <w:bottom w:val="none" w:sz="0" w:space="0" w:color="auto"/>
        <w:right w:val="none" w:sz="0" w:space="0" w:color="auto"/>
      </w:divBdr>
    </w:div>
    <w:div w:id="214242576">
      <w:bodyDiv w:val="1"/>
      <w:marLeft w:val="0"/>
      <w:marRight w:val="0"/>
      <w:marTop w:val="0"/>
      <w:marBottom w:val="0"/>
      <w:divBdr>
        <w:top w:val="none" w:sz="0" w:space="0" w:color="auto"/>
        <w:left w:val="none" w:sz="0" w:space="0" w:color="auto"/>
        <w:bottom w:val="none" w:sz="0" w:space="0" w:color="auto"/>
        <w:right w:val="none" w:sz="0" w:space="0" w:color="auto"/>
      </w:divBdr>
    </w:div>
    <w:div w:id="226842387">
      <w:bodyDiv w:val="1"/>
      <w:marLeft w:val="0"/>
      <w:marRight w:val="0"/>
      <w:marTop w:val="0"/>
      <w:marBottom w:val="0"/>
      <w:divBdr>
        <w:top w:val="none" w:sz="0" w:space="0" w:color="auto"/>
        <w:left w:val="none" w:sz="0" w:space="0" w:color="auto"/>
        <w:bottom w:val="none" w:sz="0" w:space="0" w:color="auto"/>
        <w:right w:val="none" w:sz="0" w:space="0" w:color="auto"/>
      </w:divBdr>
    </w:div>
    <w:div w:id="463036892">
      <w:bodyDiv w:val="1"/>
      <w:marLeft w:val="0"/>
      <w:marRight w:val="0"/>
      <w:marTop w:val="0"/>
      <w:marBottom w:val="0"/>
      <w:divBdr>
        <w:top w:val="none" w:sz="0" w:space="0" w:color="auto"/>
        <w:left w:val="none" w:sz="0" w:space="0" w:color="auto"/>
        <w:bottom w:val="none" w:sz="0" w:space="0" w:color="auto"/>
        <w:right w:val="none" w:sz="0" w:space="0" w:color="auto"/>
      </w:divBdr>
    </w:div>
    <w:div w:id="932476622">
      <w:bodyDiv w:val="1"/>
      <w:marLeft w:val="0"/>
      <w:marRight w:val="0"/>
      <w:marTop w:val="0"/>
      <w:marBottom w:val="0"/>
      <w:divBdr>
        <w:top w:val="none" w:sz="0" w:space="0" w:color="auto"/>
        <w:left w:val="none" w:sz="0" w:space="0" w:color="auto"/>
        <w:bottom w:val="none" w:sz="0" w:space="0" w:color="auto"/>
        <w:right w:val="none" w:sz="0" w:space="0" w:color="auto"/>
      </w:divBdr>
    </w:div>
    <w:div w:id="1138297737">
      <w:bodyDiv w:val="1"/>
      <w:marLeft w:val="0"/>
      <w:marRight w:val="0"/>
      <w:marTop w:val="0"/>
      <w:marBottom w:val="0"/>
      <w:divBdr>
        <w:top w:val="none" w:sz="0" w:space="0" w:color="auto"/>
        <w:left w:val="none" w:sz="0" w:space="0" w:color="auto"/>
        <w:bottom w:val="none" w:sz="0" w:space="0" w:color="auto"/>
        <w:right w:val="none" w:sz="0" w:space="0" w:color="auto"/>
      </w:divBdr>
    </w:div>
    <w:div w:id="1564218954">
      <w:bodyDiv w:val="1"/>
      <w:marLeft w:val="0"/>
      <w:marRight w:val="0"/>
      <w:marTop w:val="0"/>
      <w:marBottom w:val="0"/>
      <w:divBdr>
        <w:top w:val="none" w:sz="0" w:space="0" w:color="auto"/>
        <w:left w:val="none" w:sz="0" w:space="0" w:color="auto"/>
        <w:bottom w:val="none" w:sz="0" w:space="0" w:color="auto"/>
        <w:right w:val="none" w:sz="0" w:space="0" w:color="auto"/>
      </w:divBdr>
    </w:div>
    <w:div w:id="17920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E87D-847D-4E7C-AF75-60F2C940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11</Pages>
  <Words>3237</Words>
  <Characters>17653</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EL CONCEJO METROPOLITANO DE QUITO</vt:lpstr>
    </vt:vector>
  </TitlesOfParts>
  <Company>DMPT</Company>
  <LinksUpToDate>false</LinksUpToDate>
  <CharactersWithSpaces>20849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CONCEJO METROPOLITANO DE QUITO</dc:title>
  <dc:creator>sescudero</dc:creator>
  <cp:lastModifiedBy>Diego Sebastian Cevallos Salgado</cp:lastModifiedBy>
  <cp:revision>13</cp:revision>
  <cp:lastPrinted>2016-03-30T16:06:00Z</cp:lastPrinted>
  <dcterms:created xsi:type="dcterms:W3CDTF">2016-01-20T18:13:00Z</dcterms:created>
  <dcterms:modified xsi:type="dcterms:W3CDTF">2016-03-30T16:07:00Z</dcterms:modified>
</cp:coreProperties>
</file>