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A7" w:rsidRPr="007D490B" w:rsidRDefault="00741BA7" w:rsidP="00741BA7">
      <w:pPr>
        <w:pStyle w:val="Prrafodelista"/>
        <w:ind w:left="0"/>
        <w:jc w:val="both"/>
        <w:rPr>
          <w:rFonts w:ascii="Palatino Linotype" w:hAnsi="Palatino Linotype"/>
          <w:sz w:val="22"/>
          <w:szCs w:val="22"/>
        </w:rPr>
      </w:pPr>
    </w:p>
    <w:p w:rsidR="00741BA7" w:rsidRPr="007D490B" w:rsidRDefault="00741BA7" w:rsidP="00741BA7">
      <w:pPr>
        <w:pStyle w:val="Prrafodelista"/>
        <w:ind w:left="0"/>
        <w:jc w:val="both"/>
        <w:rPr>
          <w:rFonts w:ascii="Palatino Linotype" w:hAnsi="Palatino Linotype"/>
          <w:sz w:val="22"/>
          <w:szCs w:val="22"/>
        </w:rPr>
      </w:pPr>
      <w:r w:rsidRPr="007D490B">
        <w:rPr>
          <w:rFonts w:ascii="Palatino Linotype" w:hAnsi="Palatino Linotype"/>
          <w:sz w:val="22"/>
          <w:szCs w:val="22"/>
        </w:rPr>
        <w:t>Señores</w:t>
      </w:r>
    </w:p>
    <w:p w:rsidR="00741BA7" w:rsidRPr="007D490B" w:rsidRDefault="00741BA7" w:rsidP="00741BA7">
      <w:pPr>
        <w:pStyle w:val="Prrafodelista"/>
        <w:ind w:left="0"/>
        <w:jc w:val="both"/>
        <w:rPr>
          <w:rFonts w:ascii="Palatino Linotype" w:hAnsi="Palatino Linotype"/>
          <w:b/>
          <w:sz w:val="22"/>
          <w:szCs w:val="22"/>
        </w:rPr>
      </w:pPr>
      <w:r w:rsidRPr="007D490B">
        <w:rPr>
          <w:rFonts w:ascii="Palatino Linotype" w:hAnsi="Palatino Linotype"/>
          <w:b/>
          <w:sz w:val="22"/>
          <w:szCs w:val="22"/>
        </w:rPr>
        <w:t>Alcaldía Metropolitana</w:t>
      </w:r>
    </w:p>
    <w:p w:rsidR="00741BA7" w:rsidRPr="007D490B" w:rsidRDefault="00741BA7" w:rsidP="00741BA7">
      <w:pPr>
        <w:pStyle w:val="Prrafodelista"/>
        <w:ind w:left="0"/>
        <w:jc w:val="both"/>
        <w:rPr>
          <w:rFonts w:ascii="Palatino Linotype" w:hAnsi="Palatino Linotype"/>
          <w:b/>
          <w:sz w:val="22"/>
          <w:szCs w:val="22"/>
        </w:rPr>
      </w:pPr>
      <w:r w:rsidRPr="007D490B">
        <w:rPr>
          <w:rFonts w:ascii="Palatino Linotype" w:hAnsi="Palatino Linotype"/>
          <w:b/>
          <w:sz w:val="22"/>
          <w:szCs w:val="22"/>
        </w:rPr>
        <w:t>Defensoría del Pueblo</w:t>
      </w:r>
    </w:p>
    <w:p w:rsidR="00741BA7" w:rsidRPr="007D490B" w:rsidRDefault="00741BA7" w:rsidP="00741BA7">
      <w:pPr>
        <w:pStyle w:val="Prrafodelista"/>
        <w:ind w:left="0"/>
        <w:jc w:val="both"/>
        <w:rPr>
          <w:rFonts w:ascii="Palatino Linotype" w:hAnsi="Palatino Linotype"/>
          <w:b/>
          <w:sz w:val="22"/>
          <w:szCs w:val="22"/>
        </w:rPr>
      </w:pPr>
      <w:r w:rsidRPr="007D490B">
        <w:rPr>
          <w:rFonts w:ascii="Palatino Linotype" w:hAnsi="Palatino Linotype"/>
          <w:b/>
          <w:sz w:val="22"/>
          <w:szCs w:val="22"/>
        </w:rPr>
        <w:t>Secretaría General de Planificación</w:t>
      </w:r>
    </w:p>
    <w:p w:rsidR="00741BA7" w:rsidRPr="007D490B" w:rsidRDefault="00741BA7" w:rsidP="00741BA7">
      <w:pPr>
        <w:pStyle w:val="Prrafodelista"/>
        <w:ind w:left="0"/>
        <w:jc w:val="both"/>
        <w:rPr>
          <w:rFonts w:ascii="Palatino Linotype" w:hAnsi="Palatino Linotype"/>
          <w:b/>
          <w:sz w:val="22"/>
          <w:szCs w:val="22"/>
        </w:rPr>
      </w:pPr>
      <w:r w:rsidRPr="007D490B">
        <w:rPr>
          <w:rFonts w:ascii="Palatino Linotype" w:hAnsi="Palatino Linotype"/>
          <w:b/>
          <w:sz w:val="22"/>
          <w:szCs w:val="22"/>
        </w:rPr>
        <w:t>Administración General</w:t>
      </w:r>
    </w:p>
    <w:p w:rsidR="00741BA7" w:rsidRPr="007D490B" w:rsidRDefault="00741BA7" w:rsidP="00741BA7">
      <w:pPr>
        <w:pStyle w:val="Prrafodelista"/>
        <w:ind w:left="0"/>
        <w:jc w:val="both"/>
        <w:rPr>
          <w:rFonts w:ascii="Palatino Linotype" w:hAnsi="Palatino Linotype"/>
          <w:b/>
          <w:sz w:val="22"/>
          <w:szCs w:val="22"/>
        </w:rPr>
      </w:pPr>
      <w:r w:rsidRPr="007D490B">
        <w:rPr>
          <w:rFonts w:ascii="Palatino Linotype" w:hAnsi="Palatino Linotype"/>
          <w:b/>
          <w:sz w:val="22"/>
          <w:szCs w:val="22"/>
        </w:rPr>
        <w:t>Procuraduría Metropolitana</w:t>
      </w:r>
    </w:p>
    <w:p w:rsidR="00741BA7" w:rsidRPr="007D490B" w:rsidRDefault="00741BA7" w:rsidP="00741BA7">
      <w:pPr>
        <w:pStyle w:val="Prrafodelista"/>
        <w:ind w:left="0"/>
        <w:jc w:val="both"/>
        <w:rPr>
          <w:rFonts w:ascii="Palatino Linotype" w:hAnsi="Palatino Linotype"/>
          <w:b/>
          <w:sz w:val="22"/>
          <w:szCs w:val="22"/>
        </w:rPr>
      </w:pPr>
      <w:r w:rsidRPr="007D490B">
        <w:rPr>
          <w:rFonts w:ascii="Palatino Linotype" w:hAnsi="Palatino Linotype"/>
          <w:b/>
          <w:sz w:val="22"/>
          <w:szCs w:val="22"/>
        </w:rPr>
        <w:t>Secretaría de Comunicación</w:t>
      </w:r>
    </w:p>
    <w:p w:rsidR="00741BA7" w:rsidRPr="007D490B" w:rsidRDefault="00741BA7" w:rsidP="00741BA7">
      <w:pPr>
        <w:pStyle w:val="Prrafodelista"/>
        <w:ind w:left="0"/>
        <w:jc w:val="both"/>
        <w:rPr>
          <w:rFonts w:ascii="Palatino Linotype" w:hAnsi="Palatino Linotype"/>
          <w:b/>
          <w:sz w:val="22"/>
          <w:szCs w:val="22"/>
        </w:rPr>
      </w:pPr>
      <w:r w:rsidRPr="007D490B">
        <w:rPr>
          <w:rFonts w:ascii="Palatino Linotype" w:hAnsi="Palatino Linotype"/>
          <w:b/>
          <w:sz w:val="22"/>
          <w:szCs w:val="22"/>
        </w:rPr>
        <w:t>Dirección Metropolitana de Informática</w:t>
      </w:r>
    </w:p>
    <w:p w:rsidR="00741BA7" w:rsidRPr="007D490B" w:rsidRDefault="00741BA7" w:rsidP="00741BA7">
      <w:pPr>
        <w:pStyle w:val="Prrafodelista"/>
        <w:ind w:left="0"/>
        <w:jc w:val="both"/>
        <w:rPr>
          <w:rFonts w:ascii="Palatino Linotype" w:hAnsi="Palatino Linotype"/>
          <w:b/>
          <w:sz w:val="22"/>
          <w:szCs w:val="22"/>
        </w:rPr>
      </w:pPr>
      <w:r w:rsidRPr="007D490B">
        <w:rPr>
          <w:rFonts w:ascii="Palatino Linotype" w:hAnsi="Palatino Linotype"/>
          <w:b/>
          <w:sz w:val="22"/>
          <w:szCs w:val="22"/>
        </w:rPr>
        <w:t>Dirección Metropolitana de Recursos Humanos</w:t>
      </w:r>
    </w:p>
    <w:p w:rsidR="00741BA7" w:rsidRPr="007D490B" w:rsidRDefault="00741BA7" w:rsidP="00741BA7">
      <w:pPr>
        <w:pStyle w:val="Prrafodelista"/>
        <w:ind w:left="0"/>
        <w:jc w:val="both"/>
        <w:rPr>
          <w:rFonts w:ascii="Palatino Linotype" w:hAnsi="Palatino Linotype"/>
          <w:b/>
          <w:sz w:val="22"/>
          <w:szCs w:val="22"/>
        </w:rPr>
      </w:pPr>
      <w:r w:rsidRPr="007D490B">
        <w:rPr>
          <w:rFonts w:ascii="Palatino Linotype" w:hAnsi="Palatino Linotype"/>
          <w:b/>
          <w:sz w:val="22"/>
          <w:szCs w:val="22"/>
        </w:rPr>
        <w:t>Dirección Metropolitana de Servicios Ciudadanos</w:t>
      </w:r>
    </w:p>
    <w:p w:rsidR="00741BA7" w:rsidRPr="007D490B" w:rsidRDefault="00741BA7" w:rsidP="00741BA7">
      <w:pPr>
        <w:pStyle w:val="Prrafodelista"/>
        <w:ind w:left="0"/>
        <w:jc w:val="both"/>
        <w:rPr>
          <w:rFonts w:ascii="Palatino Linotype" w:hAnsi="Palatino Linotype"/>
          <w:b/>
          <w:sz w:val="22"/>
          <w:szCs w:val="22"/>
        </w:rPr>
      </w:pPr>
      <w:r w:rsidRPr="007D490B">
        <w:rPr>
          <w:rFonts w:ascii="Palatino Linotype" w:hAnsi="Palatino Linotype"/>
          <w:b/>
          <w:sz w:val="22"/>
          <w:szCs w:val="22"/>
        </w:rPr>
        <w:t>Dirección Metropolitana Financiera</w:t>
      </w:r>
    </w:p>
    <w:p w:rsidR="00741BA7" w:rsidRPr="007D490B" w:rsidRDefault="00741BA7" w:rsidP="00741BA7">
      <w:pPr>
        <w:pStyle w:val="Prrafodelista"/>
        <w:ind w:left="0"/>
        <w:jc w:val="both"/>
        <w:rPr>
          <w:rFonts w:ascii="Palatino Linotype" w:hAnsi="Palatino Linotype"/>
          <w:b/>
          <w:sz w:val="22"/>
          <w:szCs w:val="22"/>
        </w:rPr>
      </w:pPr>
      <w:r w:rsidRPr="007D490B">
        <w:rPr>
          <w:rFonts w:ascii="Palatino Linotype" w:hAnsi="Palatino Linotype"/>
          <w:b/>
          <w:sz w:val="22"/>
          <w:szCs w:val="22"/>
        </w:rPr>
        <w:t>Dirección Metropolitana Administrativa</w:t>
      </w:r>
    </w:p>
    <w:p w:rsidR="00741BA7" w:rsidRPr="007D490B" w:rsidRDefault="00741BA7" w:rsidP="00741BA7">
      <w:pPr>
        <w:pStyle w:val="Prrafodelista"/>
        <w:ind w:left="0"/>
        <w:jc w:val="both"/>
        <w:rPr>
          <w:rFonts w:ascii="Palatino Linotype" w:hAnsi="Palatino Linotype"/>
          <w:b/>
          <w:sz w:val="22"/>
          <w:szCs w:val="22"/>
        </w:rPr>
      </w:pPr>
      <w:r w:rsidRPr="007D490B">
        <w:rPr>
          <w:rFonts w:ascii="Palatino Linotype" w:hAnsi="Palatino Linotype"/>
          <w:b/>
          <w:sz w:val="22"/>
          <w:szCs w:val="22"/>
        </w:rPr>
        <w:t>Dirección Metropolitana de Gestión Documental y Archivo</w:t>
      </w:r>
    </w:p>
    <w:p w:rsidR="00741BA7" w:rsidRPr="007D490B" w:rsidRDefault="00741BA7" w:rsidP="00741BA7">
      <w:pPr>
        <w:pStyle w:val="Prrafodelista"/>
        <w:ind w:left="0"/>
        <w:jc w:val="both"/>
        <w:rPr>
          <w:rFonts w:ascii="Palatino Linotype" w:hAnsi="Palatino Linotype"/>
          <w:b/>
          <w:sz w:val="22"/>
          <w:szCs w:val="22"/>
        </w:rPr>
      </w:pPr>
      <w:r w:rsidRPr="007D490B">
        <w:rPr>
          <w:rFonts w:ascii="Palatino Linotype" w:hAnsi="Palatino Linotype"/>
          <w:b/>
          <w:sz w:val="22"/>
          <w:szCs w:val="22"/>
        </w:rPr>
        <w:t>Comisión Metropolitana de Lucha Contra la Corrupción - Quito Honesto</w:t>
      </w:r>
    </w:p>
    <w:p w:rsidR="00741BA7" w:rsidRPr="007D490B" w:rsidRDefault="00741BA7" w:rsidP="00741BA7">
      <w:pPr>
        <w:pStyle w:val="Prrafodelista"/>
        <w:ind w:left="0"/>
        <w:jc w:val="both"/>
        <w:rPr>
          <w:rFonts w:ascii="Palatino Linotype" w:hAnsi="Palatino Linotype"/>
          <w:sz w:val="22"/>
          <w:szCs w:val="22"/>
        </w:rPr>
      </w:pPr>
      <w:r w:rsidRPr="007D490B">
        <w:rPr>
          <w:rFonts w:ascii="Palatino Linotype" w:hAnsi="Palatino Linotype"/>
          <w:sz w:val="22"/>
          <w:szCs w:val="22"/>
        </w:rPr>
        <w:t>Presente.-</w:t>
      </w:r>
    </w:p>
    <w:p w:rsidR="00741BA7" w:rsidRPr="007D490B" w:rsidRDefault="00741BA7" w:rsidP="00741BA7">
      <w:pPr>
        <w:pStyle w:val="Prrafodelista"/>
        <w:ind w:left="0"/>
        <w:jc w:val="both"/>
        <w:rPr>
          <w:rFonts w:ascii="Palatino Linotype" w:hAnsi="Palatino Linotype"/>
          <w:sz w:val="22"/>
          <w:szCs w:val="22"/>
        </w:rPr>
      </w:pPr>
    </w:p>
    <w:p w:rsidR="00741BA7" w:rsidRPr="007D490B" w:rsidRDefault="00741BA7" w:rsidP="00741BA7">
      <w:pPr>
        <w:pStyle w:val="Prrafodelista"/>
        <w:ind w:left="0"/>
        <w:jc w:val="both"/>
        <w:rPr>
          <w:rFonts w:ascii="Palatino Linotype" w:hAnsi="Palatino Linotype"/>
          <w:sz w:val="22"/>
          <w:szCs w:val="22"/>
        </w:rPr>
      </w:pPr>
      <w:r w:rsidRPr="007D490B">
        <w:rPr>
          <w:rFonts w:ascii="Palatino Linotype" w:hAnsi="Palatino Linotype"/>
          <w:sz w:val="22"/>
          <w:szCs w:val="22"/>
        </w:rPr>
        <w:t>De mi consideración:</w:t>
      </w:r>
    </w:p>
    <w:p w:rsidR="00741BA7" w:rsidRPr="007D490B" w:rsidRDefault="00741BA7" w:rsidP="00741BA7">
      <w:pPr>
        <w:pStyle w:val="Prrafodelista"/>
        <w:ind w:left="0"/>
        <w:jc w:val="both"/>
        <w:rPr>
          <w:rFonts w:ascii="Palatino Linotype" w:hAnsi="Palatino Linotype"/>
          <w:sz w:val="22"/>
          <w:szCs w:val="22"/>
        </w:rPr>
      </w:pPr>
    </w:p>
    <w:p w:rsidR="00741BA7" w:rsidRPr="007D490B" w:rsidRDefault="00741BA7" w:rsidP="00741BA7">
      <w:pPr>
        <w:pStyle w:val="Prrafodelista"/>
        <w:ind w:left="0"/>
        <w:jc w:val="both"/>
        <w:rPr>
          <w:rFonts w:ascii="Palatino Linotype" w:hAnsi="Palatino Linotype"/>
          <w:sz w:val="22"/>
          <w:szCs w:val="22"/>
        </w:rPr>
      </w:pPr>
      <w:r w:rsidRPr="007D490B">
        <w:rPr>
          <w:rFonts w:ascii="Palatino Linotype" w:hAnsi="Palatino Linotype"/>
          <w:sz w:val="22"/>
          <w:szCs w:val="22"/>
        </w:rPr>
        <w:t xml:space="preserve">El Comité de Transparencia del Municipio del Distrito Metropolitano de Quito, </w:t>
      </w:r>
      <w:r w:rsidRPr="007D490B">
        <w:rPr>
          <w:rFonts w:ascii="Palatino Linotype" w:eastAsia="Batang" w:hAnsi="Palatino Linotype" w:cs="Arial"/>
          <w:sz w:val="22"/>
          <w:szCs w:val="22"/>
        </w:rPr>
        <w:t>en sesión realizada el 11 de julio de 2018</w:t>
      </w:r>
      <w:r w:rsidRPr="007D490B">
        <w:rPr>
          <w:rFonts w:ascii="Palatino Linotype" w:hAnsi="Palatino Linotype"/>
          <w:sz w:val="22"/>
          <w:szCs w:val="22"/>
        </w:rPr>
        <w:t xml:space="preserve">, luego de conocer el informe de la Secretaría General de Planificación, correspondiente al mes de mayo de 2018, emitido mediante oficio No. SGP-2018-0669 de 18 de junio de 2018, en función de lo dispuesto en la Resolución que establece las normas generales y el procedimiento a seguir para el funcionamiento del Comité; y, en virtud de lo previsto en el artículo 3 de la Resolución de Alcaldía No. A 007, de 10 de febrero de 2016, </w:t>
      </w:r>
      <w:r w:rsidRPr="007D490B">
        <w:rPr>
          <w:rFonts w:ascii="Palatino Linotype" w:hAnsi="Palatino Linotype"/>
          <w:b/>
          <w:sz w:val="22"/>
          <w:szCs w:val="22"/>
        </w:rPr>
        <w:t>RESOLVIÓ:</w:t>
      </w:r>
      <w:r w:rsidRPr="007D490B">
        <w:rPr>
          <w:rFonts w:ascii="Palatino Linotype" w:hAnsi="Palatino Linotype"/>
          <w:sz w:val="22"/>
          <w:szCs w:val="22"/>
        </w:rPr>
        <w:t xml:space="preserve"> aprobar y autorizar la información publicada en los respectivos links de transparencia de la Municipalidad, cuya responsabilidad es de las dependencias municipales poseedoras de la información, así como su publicación en el portal web institucional por parte de la Secretaría General de Planificación.</w:t>
      </w:r>
    </w:p>
    <w:p w:rsidR="00741BA7" w:rsidRPr="007D490B" w:rsidRDefault="00741BA7" w:rsidP="00741BA7">
      <w:pPr>
        <w:pStyle w:val="Prrafodelista"/>
        <w:jc w:val="both"/>
        <w:rPr>
          <w:rFonts w:ascii="Palatino Linotype" w:hAnsi="Palatino Linotype"/>
          <w:sz w:val="22"/>
          <w:szCs w:val="22"/>
        </w:rPr>
      </w:pPr>
    </w:p>
    <w:p w:rsidR="00741BA7" w:rsidRPr="007D490B" w:rsidRDefault="00741BA7" w:rsidP="00741BA7">
      <w:pPr>
        <w:spacing w:after="0" w:line="240" w:lineRule="auto"/>
        <w:jc w:val="both"/>
        <w:rPr>
          <w:rFonts w:ascii="Palatino Linotype" w:hAnsi="Palatino Linotype"/>
        </w:rPr>
      </w:pPr>
      <w:r w:rsidRPr="007D490B">
        <w:rPr>
          <w:rFonts w:ascii="Palatino Linotype" w:hAnsi="Palatino Linotype"/>
          <w:lang w:val="es-ES"/>
        </w:rPr>
        <w:t>Atentamente,</w:t>
      </w:r>
    </w:p>
    <w:p w:rsidR="00741BA7" w:rsidRPr="007D490B" w:rsidRDefault="00741BA7" w:rsidP="00741BA7">
      <w:pPr>
        <w:spacing w:after="0" w:line="240" w:lineRule="auto"/>
        <w:rPr>
          <w:rFonts w:ascii="Palatino Linotype" w:hAnsi="Palatino Linotype"/>
        </w:rPr>
      </w:pPr>
    </w:p>
    <w:p w:rsidR="00741BA7" w:rsidRPr="007D490B" w:rsidRDefault="00741BA7" w:rsidP="00741BA7">
      <w:pPr>
        <w:spacing w:after="0" w:line="240" w:lineRule="auto"/>
        <w:rPr>
          <w:rFonts w:ascii="Palatino Linotype" w:hAnsi="Palatino Linotype"/>
        </w:rPr>
      </w:pPr>
    </w:p>
    <w:p w:rsidR="00741BA7" w:rsidRPr="007D490B" w:rsidRDefault="00741BA7" w:rsidP="00741BA7">
      <w:pPr>
        <w:spacing w:after="0" w:line="240" w:lineRule="auto"/>
        <w:rPr>
          <w:rFonts w:ascii="Palatino Linotype" w:hAnsi="Palatino Linotype"/>
        </w:rPr>
      </w:pPr>
    </w:p>
    <w:p w:rsidR="00741BA7" w:rsidRPr="007D490B" w:rsidRDefault="00741BA7" w:rsidP="00741BA7">
      <w:pPr>
        <w:spacing w:after="0" w:line="240" w:lineRule="auto"/>
        <w:rPr>
          <w:rFonts w:ascii="Palatino Linotype" w:hAnsi="Palatino Linotype"/>
        </w:rPr>
      </w:pPr>
    </w:p>
    <w:p w:rsidR="00741BA7" w:rsidRPr="007D490B" w:rsidRDefault="00741BA7" w:rsidP="00741BA7">
      <w:pPr>
        <w:spacing w:after="0" w:line="240" w:lineRule="auto"/>
        <w:rPr>
          <w:rFonts w:ascii="Palatino Linotype" w:hAnsi="Palatino Linotype"/>
        </w:rPr>
      </w:pPr>
      <w:r w:rsidRPr="007D490B">
        <w:rPr>
          <w:rFonts w:ascii="Palatino Linotype" w:hAnsi="Palatino Linotype"/>
        </w:rPr>
        <w:t>Abg. Diego Cevallos Salgado</w:t>
      </w:r>
    </w:p>
    <w:p w:rsidR="00741BA7" w:rsidRPr="007D490B" w:rsidRDefault="00741BA7" w:rsidP="00741BA7">
      <w:pPr>
        <w:spacing w:after="0" w:line="240" w:lineRule="auto"/>
        <w:rPr>
          <w:rFonts w:ascii="Palatino Linotype" w:hAnsi="Palatino Linotype"/>
          <w:b/>
        </w:rPr>
      </w:pPr>
      <w:r w:rsidRPr="007D490B">
        <w:rPr>
          <w:rFonts w:ascii="Palatino Linotype" w:hAnsi="Palatino Linotype"/>
          <w:b/>
        </w:rPr>
        <w:t xml:space="preserve">Secretario del Comité de Transparencia del </w:t>
      </w:r>
    </w:p>
    <w:p w:rsidR="00741BA7" w:rsidRDefault="00741BA7" w:rsidP="00741BA7">
      <w:pPr>
        <w:spacing w:after="0" w:line="240" w:lineRule="auto"/>
        <w:rPr>
          <w:rFonts w:ascii="Palatino Linotype" w:hAnsi="Palatino Linotype"/>
          <w:b/>
        </w:rPr>
      </w:pPr>
      <w:r w:rsidRPr="007D490B">
        <w:rPr>
          <w:rFonts w:ascii="Palatino Linotype" w:hAnsi="Palatino Linotype"/>
          <w:b/>
        </w:rPr>
        <w:t xml:space="preserve">Municipio del Distrito Metropolitano de Quito </w:t>
      </w:r>
    </w:p>
    <w:p w:rsidR="00741BA7" w:rsidRDefault="00741BA7" w:rsidP="00741BA7">
      <w:pPr>
        <w:spacing w:after="0" w:line="240" w:lineRule="auto"/>
        <w:rPr>
          <w:rFonts w:ascii="Palatino Linotype" w:hAnsi="Palatino Linotype"/>
          <w:b/>
        </w:rPr>
      </w:pPr>
    </w:p>
    <w:p w:rsidR="00741BA7" w:rsidRDefault="00741BA7" w:rsidP="00741BA7">
      <w:pPr>
        <w:spacing w:after="0" w:line="240" w:lineRule="auto"/>
        <w:rPr>
          <w:rFonts w:ascii="Palatino Linotype" w:hAnsi="Palatino Linotype"/>
          <w:b/>
        </w:rPr>
      </w:pPr>
    </w:p>
    <w:tbl>
      <w:tblPr>
        <w:tblStyle w:val="Tablaconcuadrcula"/>
        <w:tblW w:w="0" w:type="auto"/>
        <w:tblLook w:val="04A0" w:firstRow="1" w:lastRow="0" w:firstColumn="1" w:lastColumn="0" w:noHBand="0" w:noVBand="1"/>
      </w:tblPr>
      <w:tblGrid>
        <w:gridCol w:w="1795"/>
        <w:gridCol w:w="1999"/>
        <w:gridCol w:w="1592"/>
        <w:gridCol w:w="1796"/>
        <w:gridCol w:w="1290"/>
      </w:tblGrid>
      <w:tr w:rsidR="00741BA7" w:rsidRPr="007654FB" w:rsidTr="00741BA7">
        <w:tc>
          <w:tcPr>
            <w:tcW w:w="1795" w:type="dxa"/>
          </w:tcPr>
          <w:p w:rsidR="00741BA7" w:rsidRPr="007654FB" w:rsidRDefault="00741BA7" w:rsidP="00741BA7">
            <w:pPr>
              <w:pStyle w:val="Textopredeterminado"/>
              <w:contextualSpacing/>
              <w:jc w:val="both"/>
              <w:rPr>
                <w:rFonts w:ascii="Palatino Linotype" w:hAnsi="Palatino Linotype"/>
                <w:b/>
                <w:sz w:val="16"/>
                <w:szCs w:val="16"/>
              </w:rPr>
            </w:pPr>
            <w:r w:rsidRPr="007654FB">
              <w:rPr>
                <w:rFonts w:ascii="Palatino Linotype" w:hAnsi="Palatino Linotype"/>
                <w:b/>
                <w:sz w:val="16"/>
                <w:szCs w:val="16"/>
              </w:rPr>
              <w:t>Acción:</w:t>
            </w:r>
          </w:p>
        </w:tc>
        <w:tc>
          <w:tcPr>
            <w:tcW w:w="1999" w:type="dxa"/>
          </w:tcPr>
          <w:p w:rsidR="00741BA7" w:rsidRPr="007654FB" w:rsidRDefault="00741BA7" w:rsidP="00741BA7">
            <w:pPr>
              <w:pStyle w:val="Textopredeterminado"/>
              <w:contextualSpacing/>
              <w:jc w:val="both"/>
              <w:rPr>
                <w:rFonts w:ascii="Palatino Linotype" w:hAnsi="Palatino Linotype"/>
                <w:b/>
                <w:sz w:val="16"/>
                <w:szCs w:val="16"/>
              </w:rPr>
            </w:pPr>
            <w:r w:rsidRPr="007654FB">
              <w:rPr>
                <w:rFonts w:ascii="Palatino Linotype" w:hAnsi="Palatino Linotype"/>
                <w:b/>
                <w:sz w:val="16"/>
                <w:szCs w:val="16"/>
              </w:rPr>
              <w:t>Responsable:</w:t>
            </w:r>
          </w:p>
        </w:tc>
        <w:tc>
          <w:tcPr>
            <w:tcW w:w="1592" w:type="dxa"/>
          </w:tcPr>
          <w:p w:rsidR="00741BA7" w:rsidRPr="007654FB" w:rsidRDefault="00741BA7" w:rsidP="00741BA7">
            <w:pPr>
              <w:pStyle w:val="Textopredeterminado"/>
              <w:contextualSpacing/>
              <w:jc w:val="both"/>
              <w:rPr>
                <w:rFonts w:ascii="Palatino Linotype" w:hAnsi="Palatino Linotype"/>
                <w:b/>
                <w:sz w:val="16"/>
                <w:szCs w:val="16"/>
              </w:rPr>
            </w:pPr>
            <w:r w:rsidRPr="007654FB">
              <w:rPr>
                <w:rFonts w:ascii="Palatino Linotype" w:hAnsi="Palatino Linotype"/>
                <w:b/>
                <w:sz w:val="16"/>
                <w:szCs w:val="16"/>
              </w:rPr>
              <w:t>Unidad:</w:t>
            </w:r>
          </w:p>
        </w:tc>
        <w:tc>
          <w:tcPr>
            <w:tcW w:w="1796" w:type="dxa"/>
          </w:tcPr>
          <w:p w:rsidR="00741BA7" w:rsidRPr="007654FB" w:rsidRDefault="00741BA7" w:rsidP="00741BA7">
            <w:pPr>
              <w:pStyle w:val="Textopredeterminado"/>
              <w:contextualSpacing/>
              <w:jc w:val="both"/>
              <w:rPr>
                <w:rFonts w:ascii="Palatino Linotype" w:hAnsi="Palatino Linotype"/>
                <w:b/>
                <w:sz w:val="16"/>
                <w:szCs w:val="16"/>
              </w:rPr>
            </w:pPr>
            <w:r w:rsidRPr="007654FB">
              <w:rPr>
                <w:rFonts w:ascii="Palatino Linotype" w:hAnsi="Palatino Linotype"/>
                <w:b/>
                <w:sz w:val="16"/>
                <w:szCs w:val="16"/>
              </w:rPr>
              <w:t>Fecha:</w:t>
            </w:r>
          </w:p>
        </w:tc>
        <w:tc>
          <w:tcPr>
            <w:tcW w:w="1290" w:type="dxa"/>
          </w:tcPr>
          <w:p w:rsidR="00741BA7" w:rsidRPr="007654FB" w:rsidRDefault="00741BA7" w:rsidP="00741BA7">
            <w:pPr>
              <w:pStyle w:val="Textopredeterminado"/>
              <w:contextualSpacing/>
              <w:jc w:val="both"/>
              <w:rPr>
                <w:rFonts w:ascii="Palatino Linotype" w:hAnsi="Palatino Linotype"/>
                <w:b/>
                <w:sz w:val="16"/>
                <w:szCs w:val="16"/>
              </w:rPr>
            </w:pPr>
            <w:r w:rsidRPr="007654FB">
              <w:rPr>
                <w:rFonts w:ascii="Palatino Linotype" w:hAnsi="Palatino Linotype"/>
                <w:b/>
                <w:sz w:val="16"/>
                <w:szCs w:val="16"/>
              </w:rPr>
              <w:t>Sumilla:</w:t>
            </w:r>
          </w:p>
        </w:tc>
      </w:tr>
      <w:tr w:rsidR="00741BA7" w:rsidRPr="007654FB" w:rsidTr="00741BA7">
        <w:tc>
          <w:tcPr>
            <w:tcW w:w="1795" w:type="dxa"/>
          </w:tcPr>
          <w:p w:rsidR="00741BA7" w:rsidRPr="007654FB" w:rsidRDefault="00741BA7" w:rsidP="00741BA7">
            <w:pPr>
              <w:pStyle w:val="Textopredeterminado"/>
              <w:contextualSpacing/>
              <w:jc w:val="both"/>
              <w:rPr>
                <w:rFonts w:ascii="Palatino Linotype" w:hAnsi="Palatino Linotype"/>
                <w:b/>
                <w:sz w:val="16"/>
                <w:szCs w:val="16"/>
              </w:rPr>
            </w:pPr>
            <w:r w:rsidRPr="007654FB">
              <w:rPr>
                <w:rFonts w:ascii="Palatino Linotype" w:hAnsi="Palatino Linotype"/>
                <w:b/>
                <w:sz w:val="16"/>
                <w:szCs w:val="16"/>
              </w:rPr>
              <w:t>Elaborado por:</w:t>
            </w:r>
          </w:p>
        </w:tc>
        <w:tc>
          <w:tcPr>
            <w:tcW w:w="1999" w:type="dxa"/>
          </w:tcPr>
          <w:p w:rsidR="00741BA7" w:rsidRPr="007654FB" w:rsidRDefault="00741BA7" w:rsidP="00741BA7">
            <w:pPr>
              <w:pStyle w:val="Textopredeterminado"/>
              <w:contextualSpacing/>
              <w:jc w:val="both"/>
              <w:rPr>
                <w:rFonts w:ascii="Palatino Linotype" w:hAnsi="Palatino Linotype"/>
                <w:sz w:val="16"/>
                <w:szCs w:val="16"/>
              </w:rPr>
            </w:pPr>
            <w:r w:rsidRPr="007654FB">
              <w:rPr>
                <w:rFonts w:ascii="Palatino Linotype" w:hAnsi="Palatino Linotype"/>
                <w:sz w:val="16"/>
                <w:szCs w:val="16"/>
              </w:rPr>
              <w:t>R. Delgado</w:t>
            </w:r>
          </w:p>
        </w:tc>
        <w:tc>
          <w:tcPr>
            <w:tcW w:w="1592" w:type="dxa"/>
          </w:tcPr>
          <w:p w:rsidR="00741BA7" w:rsidRPr="007654FB" w:rsidRDefault="007D490B" w:rsidP="00741BA7">
            <w:pPr>
              <w:pStyle w:val="Textopredeterminado"/>
              <w:contextualSpacing/>
              <w:jc w:val="both"/>
              <w:rPr>
                <w:rFonts w:ascii="Palatino Linotype" w:hAnsi="Palatino Linotype"/>
                <w:sz w:val="16"/>
                <w:szCs w:val="16"/>
              </w:rPr>
            </w:pPr>
            <w:r>
              <w:rPr>
                <w:rFonts w:ascii="Palatino Linotype" w:hAnsi="Palatino Linotype"/>
                <w:sz w:val="16"/>
                <w:szCs w:val="16"/>
              </w:rPr>
              <w:t>P</w:t>
            </w:r>
            <w:bookmarkStart w:id="0" w:name="_GoBack"/>
            <w:bookmarkEnd w:id="0"/>
            <w:r w:rsidR="00741BA7">
              <w:rPr>
                <w:rFonts w:ascii="Palatino Linotype" w:hAnsi="Palatino Linotype"/>
                <w:sz w:val="16"/>
                <w:szCs w:val="16"/>
              </w:rPr>
              <w:t>GC</w:t>
            </w:r>
          </w:p>
        </w:tc>
        <w:tc>
          <w:tcPr>
            <w:tcW w:w="1796" w:type="dxa"/>
          </w:tcPr>
          <w:p w:rsidR="00741BA7" w:rsidRPr="007654FB" w:rsidRDefault="007D490B" w:rsidP="00741BA7">
            <w:pPr>
              <w:pStyle w:val="Textopredeterminado"/>
              <w:contextualSpacing/>
              <w:jc w:val="both"/>
              <w:rPr>
                <w:rFonts w:ascii="Palatino Linotype" w:hAnsi="Palatino Linotype"/>
                <w:sz w:val="16"/>
                <w:szCs w:val="16"/>
              </w:rPr>
            </w:pPr>
            <w:r>
              <w:rPr>
                <w:rFonts w:ascii="Palatino Linotype" w:hAnsi="Palatino Linotype"/>
                <w:sz w:val="16"/>
                <w:szCs w:val="16"/>
              </w:rPr>
              <w:t>13-08-2018</w:t>
            </w:r>
          </w:p>
        </w:tc>
        <w:tc>
          <w:tcPr>
            <w:tcW w:w="1290" w:type="dxa"/>
          </w:tcPr>
          <w:p w:rsidR="00741BA7" w:rsidRPr="007654FB" w:rsidRDefault="00741BA7" w:rsidP="00741BA7">
            <w:pPr>
              <w:pStyle w:val="Textopredeterminado"/>
              <w:contextualSpacing/>
              <w:jc w:val="both"/>
              <w:rPr>
                <w:rFonts w:ascii="Palatino Linotype" w:hAnsi="Palatino Linotype"/>
                <w:sz w:val="16"/>
                <w:szCs w:val="16"/>
              </w:rPr>
            </w:pPr>
          </w:p>
        </w:tc>
      </w:tr>
    </w:tbl>
    <w:p w:rsidR="00741BA7" w:rsidRPr="0079546C" w:rsidRDefault="00741BA7" w:rsidP="00741BA7">
      <w:pPr>
        <w:spacing w:after="0" w:line="240" w:lineRule="auto"/>
        <w:rPr>
          <w:rFonts w:ascii="Palatino Linotype" w:hAnsi="Palatino Linotype"/>
          <w:b/>
        </w:rPr>
      </w:pPr>
    </w:p>
    <w:sectPr w:rsidR="00741BA7" w:rsidRPr="0079546C" w:rsidSect="00741BA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AA" w:rsidRDefault="008718AA" w:rsidP="00741BA7">
      <w:pPr>
        <w:spacing w:after="0" w:line="240" w:lineRule="auto"/>
      </w:pPr>
      <w:r>
        <w:separator/>
      </w:r>
    </w:p>
  </w:endnote>
  <w:endnote w:type="continuationSeparator" w:id="0">
    <w:p w:rsidR="008718AA" w:rsidRDefault="008718AA" w:rsidP="0074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AA" w:rsidRDefault="008718AA" w:rsidP="00741BA7">
      <w:pPr>
        <w:spacing w:after="0" w:line="240" w:lineRule="auto"/>
      </w:pPr>
      <w:r>
        <w:separator/>
      </w:r>
    </w:p>
  </w:footnote>
  <w:footnote w:type="continuationSeparator" w:id="0">
    <w:p w:rsidR="008718AA" w:rsidRDefault="008718AA" w:rsidP="00741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A7" w:rsidRDefault="00741BA7">
    <w:pPr>
      <w:pStyle w:val="Encabezado"/>
    </w:pPr>
  </w:p>
  <w:p w:rsidR="00741BA7" w:rsidRDefault="00741BA7">
    <w:pPr>
      <w:pStyle w:val="Encabezado"/>
    </w:pPr>
  </w:p>
  <w:p w:rsidR="00741BA7" w:rsidRDefault="00741BA7">
    <w:pPr>
      <w:pStyle w:val="Encabezado"/>
    </w:pPr>
  </w:p>
  <w:p w:rsidR="00741BA7" w:rsidRDefault="00741BA7">
    <w:pPr>
      <w:pStyle w:val="Encabezado"/>
    </w:pPr>
  </w:p>
  <w:p w:rsidR="00741BA7" w:rsidRDefault="00741BA7">
    <w:pPr>
      <w:pStyle w:val="Encabezado"/>
    </w:pPr>
  </w:p>
  <w:p w:rsidR="00741BA7" w:rsidRPr="00B753C4" w:rsidRDefault="00D952E7" w:rsidP="00741BA7">
    <w:pPr>
      <w:jc w:val="center"/>
      <w:rPr>
        <w:rFonts w:ascii="Palatino Linotype" w:hAnsi="Palatino Linotype"/>
        <w:b/>
      </w:rPr>
    </w:pPr>
    <w:r>
      <w:rPr>
        <w:rFonts w:ascii="Palatino Linotype" w:hAnsi="Palatino Linotype"/>
        <w:b/>
      </w:rPr>
      <w:t>RESOLUCIÓN NO. CTMDMQ-049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A7"/>
    <w:rsid w:val="00741BA7"/>
    <w:rsid w:val="007D490B"/>
    <w:rsid w:val="008718AA"/>
    <w:rsid w:val="00946071"/>
    <w:rsid w:val="00B66F85"/>
    <w:rsid w:val="00D952E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C6FC3-5A85-4606-B948-ABEE495E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BA7"/>
    <w:pPr>
      <w:spacing w:after="200" w:line="276" w:lineRule="auto"/>
    </w:pPr>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BA7"/>
    <w:pPr>
      <w:spacing w:after="0" w:line="240" w:lineRule="auto"/>
      <w:ind w:left="720"/>
      <w:contextualSpacing/>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741B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BA7"/>
    <w:rPr>
      <w:rFonts w:eastAsiaTheme="minorEastAsia"/>
      <w:lang w:eastAsia="es-EC"/>
    </w:rPr>
  </w:style>
  <w:style w:type="table" w:styleId="Tablaconcuadrcula">
    <w:name w:val="Table Grid"/>
    <w:basedOn w:val="Tablanormal"/>
    <w:uiPriority w:val="59"/>
    <w:rsid w:val="00741B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predeterminado">
    <w:name w:val="Texto predeterminado"/>
    <w:basedOn w:val="Normal"/>
    <w:rsid w:val="00741BA7"/>
    <w:pPr>
      <w:spacing w:after="0" w:line="240" w:lineRule="auto"/>
    </w:pPr>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unhideWhenUsed/>
    <w:rsid w:val="00741B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1BA7"/>
    <w:rPr>
      <w:rFonts w:eastAsiaTheme="minorEastAsia"/>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249</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Andres Delgado Merchan</dc:creator>
  <cp:keywords/>
  <dc:description/>
  <cp:lastModifiedBy>Renato Andres Delgado Merchan</cp:lastModifiedBy>
  <cp:revision>1</cp:revision>
  <dcterms:created xsi:type="dcterms:W3CDTF">2018-08-14T01:04:00Z</dcterms:created>
  <dcterms:modified xsi:type="dcterms:W3CDTF">2018-08-15T05:37:00Z</dcterms:modified>
</cp:coreProperties>
</file>