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3"/>
        <w:tblW w:w="0" w:type="auto"/>
        <w:tblLook w:val="04A0" w:firstRow="1" w:lastRow="0" w:firstColumn="1" w:lastColumn="0" w:noHBand="0" w:noVBand="1"/>
      </w:tblPr>
      <w:tblGrid>
        <w:gridCol w:w="1985"/>
        <w:gridCol w:w="6843"/>
      </w:tblGrid>
      <w:tr w:rsidR="00B66F5E" w:rsidRPr="00D635AF" w:rsidTr="00B91208">
        <w:trPr>
          <w:cnfStyle w:val="100000000000" w:firstRow="1" w:lastRow="0" w:firstColumn="0" w:lastColumn="0" w:oddVBand="0" w:evenVBand="0" w:oddHBand="0" w:evenHBand="0" w:firstRowFirstColumn="0" w:firstRowLastColumn="0" w:lastRowFirstColumn="0" w:lastRowLastColumn="0"/>
          <w:trHeight w:val="598"/>
        </w:trPr>
        <w:tc>
          <w:tcPr>
            <w:cnfStyle w:val="001000000100" w:firstRow="0" w:lastRow="0" w:firstColumn="1" w:lastColumn="0" w:oddVBand="0" w:evenVBand="0" w:oddHBand="0" w:evenHBand="0" w:firstRowFirstColumn="1" w:firstRowLastColumn="0" w:lastRowFirstColumn="0" w:lastRowLastColumn="0"/>
            <w:tcW w:w="8828" w:type="dxa"/>
            <w:gridSpan w:val="2"/>
          </w:tcPr>
          <w:p w:rsidR="00B66F5E" w:rsidRPr="00D635AF" w:rsidRDefault="00B91208" w:rsidP="00B66F5E">
            <w:pPr>
              <w:jc w:val="center"/>
              <w:rPr>
                <w:rFonts w:asciiTheme="majorHAnsi" w:hAnsiTheme="majorHAnsi"/>
                <w:sz w:val="20"/>
                <w:szCs w:val="20"/>
              </w:rPr>
            </w:pPr>
            <w:r w:rsidRPr="00B91208">
              <w:rPr>
                <w:rFonts w:asciiTheme="majorHAnsi" w:hAnsiTheme="majorHAnsi"/>
                <w:sz w:val="20"/>
                <w:szCs w:val="20"/>
              </w:rPr>
              <w:t>RECOLECCIÓN, TRANSPORTE, TRATAMIENTO Y DISPOSICIÓN FINAL DE RESIDUOS SANITARIOS (INFECCIOSOS, BIOLÓGICOS Y CORTOPUNZANTES)</w:t>
            </w:r>
          </w:p>
        </w:tc>
      </w:tr>
      <w:tr w:rsidR="00B66F5E" w:rsidRPr="00D635AF" w:rsidTr="00D635A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85" w:type="dxa"/>
          </w:tcPr>
          <w:p w:rsidR="00B66F5E" w:rsidRPr="00D635AF" w:rsidRDefault="00D635AF" w:rsidP="00C6168C">
            <w:pPr>
              <w:rPr>
                <w:rFonts w:asciiTheme="majorHAnsi" w:hAnsiTheme="majorHAnsi"/>
                <w:sz w:val="20"/>
                <w:szCs w:val="20"/>
              </w:rPr>
            </w:pPr>
            <w:r>
              <w:rPr>
                <w:rFonts w:asciiTheme="majorHAnsi" w:hAnsiTheme="majorHAnsi"/>
                <w:sz w:val="20"/>
                <w:szCs w:val="20"/>
              </w:rPr>
              <w:t>Detalle del servicio</w:t>
            </w:r>
          </w:p>
        </w:tc>
        <w:tc>
          <w:tcPr>
            <w:tcW w:w="6843" w:type="dxa"/>
          </w:tcPr>
          <w:p w:rsidR="00B66F5E" w:rsidRPr="00D635AF" w:rsidRDefault="00B66F5E" w:rsidP="00B66F5E">
            <w:pPr>
              <w:pStyle w:val="Textocomentari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D635AF">
              <w:rPr>
                <w:rFonts w:asciiTheme="majorHAnsi" w:hAnsiTheme="majorHAnsi" w:cs="Arial"/>
              </w:rPr>
              <w:t>El Servicio comprende la recolección diferenciada, el transporte, tratamiento de desinfección de desechos incontaminados a través autoclaves y la disposición final del deshecho descontaminado en el Rellano Sanitario de Quito.</w:t>
            </w:r>
          </w:p>
        </w:tc>
      </w:tr>
      <w:tr w:rsidR="001F09D9" w:rsidRPr="00D635AF" w:rsidTr="00D635AF">
        <w:tblPrEx>
          <w:tblCellMar>
            <w:left w:w="70" w:type="dxa"/>
            <w:right w:w="70" w:type="dxa"/>
          </w:tblCellMar>
        </w:tblPrEx>
        <w:trPr>
          <w:trHeight w:val="2544"/>
        </w:trPr>
        <w:tc>
          <w:tcPr>
            <w:cnfStyle w:val="001000000000" w:firstRow="0" w:lastRow="0" w:firstColumn="1" w:lastColumn="0" w:oddVBand="0" w:evenVBand="0" w:oddHBand="0" w:evenHBand="0" w:firstRowFirstColumn="0" w:firstRowLastColumn="0" w:lastRowFirstColumn="0" w:lastRowLastColumn="0"/>
            <w:tcW w:w="1985" w:type="dxa"/>
          </w:tcPr>
          <w:p w:rsidR="001F09D9" w:rsidRPr="00470BDE" w:rsidRDefault="001F09D9" w:rsidP="001F09D9">
            <w:pPr>
              <w:rPr>
                <w:rFonts w:asciiTheme="majorHAnsi" w:hAnsiTheme="majorHAnsi"/>
                <w:sz w:val="20"/>
                <w:szCs w:val="20"/>
              </w:rPr>
            </w:pPr>
            <w:r w:rsidRPr="00470BDE">
              <w:rPr>
                <w:rFonts w:asciiTheme="majorHAnsi" w:hAnsiTheme="majorHAnsi"/>
                <w:sz w:val="20"/>
                <w:szCs w:val="20"/>
              </w:rPr>
              <w:t xml:space="preserve">fórmula polinómica </w:t>
            </w:r>
          </w:p>
        </w:tc>
        <w:tc>
          <w:tcPr>
            <w:tcW w:w="6843" w:type="dxa"/>
          </w:tcPr>
          <w:p w:rsidR="001F09D9" w:rsidRPr="00285FD6"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m:oMath>
              <m:r>
                <m:rPr>
                  <m:sty m:val="bi"/>
                </m:rPr>
                <w:rPr>
                  <w:rFonts w:ascii="Cambria Math" w:hAnsi="Cambria Math" w:cs="Arial"/>
                  <w:sz w:val="20"/>
                  <w:szCs w:val="20"/>
                </w:rPr>
                <m:t>K=0,10</m:t>
              </m:r>
              <m:f>
                <m:fPr>
                  <m:ctrlPr>
                    <w:rPr>
                      <w:rFonts w:ascii="Cambria Math" w:hAnsi="Cambria Math" w:cs="Arial"/>
                      <w:b/>
                      <w:i/>
                      <w:sz w:val="20"/>
                      <w:szCs w:val="20"/>
                    </w:rPr>
                  </m:ctrlPr>
                </m:fPr>
                <m:num>
                  <m:sSub>
                    <m:sSubPr>
                      <m:ctrlPr>
                        <w:rPr>
                          <w:rFonts w:ascii="Cambria Math" w:hAnsi="Cambria Math" w:cs="Arial"/>
                          <w:b/>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t</m:t>
                      </m:r>
                    </m:sub>
                  </m:sSub>
                </m:num>
                <m:den>
                  <m:sSub>
                    <m:sSubPr>
                      <m:ctrlPr>
                        <w:rPr>
                          <w:rFonts w:ascii="Cambria Math" w:hAnsi="Cambria Math" w:cs="Arial"/>
                          <w:b/>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t-1</m:t>
                      </m:r>
                    </m:sub>
                  </m:sSub>
                </m:den>
              </m:f>
              <m:r>
                <m:rPr>
                  <m:sty m:val="bi"/>
                </m:rPr>
                <w:rPr>
                  <w:rFonts w:ascii="Cambria Math" w:hAnsi="Cambria Math" w:cs="Arial"/>
                  <w:sz w:val="20"/>
                  <w:szCs w:val="20"/>
                </w:rPr>
                <m:t>+0,69</m:t>
              </m:r>
              <m:f>
                <m:fPr>
                  <m:ctrlPr>
                    <w:rPr>
                      <w:rFonts w:ascii="Cambria Math" w:hAnsi="Cambria Math" w:cs="Arial"/>
                      <w:b/>
                      <w:i/>
                      <w:sz w:val="20"/>
                      <w:szCs w:val="20"/>
                    </w:rPr>
                  </m:ctrlPr>
                </m:fPr>
                <m:num>
                  <m:sSub>
                    <m:sSubPr>
                      <m:ctrlPr>
                        <w:rPr>
                          <w:rFonts w:ascii="Cambria Math" w:hAnsi="Cambria Math" w:cs="Arial"/>
                          <w:b/>
                          <w:i/>
                          <w:sz w:val="20"/>
                          <w:szCs w:val="20"/>
                        </w:rPr>
                      </m:ctrlPr>
                    </m:sSubPr>
                    <m:e>
                      <m:r>
                        <m:rPr>
                          <m:sty m:val="bi"/>
                        </m:rPr>
                        <w:rPr>
                          <w:rFonts w:ascii="Cambria Math" w:hAnsi="Cambria Math" w:cs="Arial"/>
                          <w:sz w:val="20"/>
                          <w:szCs w:val="20"/>
                        </w:rPr>
                        <m:t>Cop</m:t>
                      </m:r>
                    </m:e>
                    <m:sub>
                      <m:r>
                        <m:rPr>
                          <m:sty m:val="bi"/>
                        </m:rPr>
                        <w:rPr>
                          <w:rFonts w:ascii="Cambria Math" w:hAnsi="Cambria Math" w:cs="Arial"/>
                          <w:sz w:val="20"/>
                          <w:szCs w:val="20"/>
                        </w:rPr>
                        <m:t>t</m:t>
                      </m:r>
                    </m:sub>
                  </m:sSub>
                </m:num>
                <m:den>
                  <m:sSub>
                    <m:sSubPr>
                      <m:ctrlPr>
                        <w:rPr>
                          <w:rFonts w:ascii="Cambria Math" w:hAnsi="Cambria Math" w:cs="Arial"/>
                          <w:b/>
                          <w:i/>
                          <w:sz w:val="20"/>
                          <w:szCs w:val="20"/>
                        </w:rPr>
                      </m:ctrlPr>
                    </m:sSubPr>
                    <m:e>
                      <m:r>
                        <m:rPr>
                          <m:sty m:val="bi"/>
                        </m:rPr>
                        <w:rPr>
                          <w:rFonts w:ascii="Cambria Math" w:hAnsi="Cambria Math" w:cs="Arial"/>
                          <w:sz w:val="20"/>
                          <w:szCs w:val="20"/>
                        </w:rPr>
                        <m:t>Cop</m:t>
                      </m:r>
                    </m:e>
                    <m:sub>
                      <m:r>
                        <m:rPr>
                          <m:sty m:val="bi"/>
                        </m:rPr>
                        <w:rPr>
                          <w:rFonts w:ascii="Cambria Math" w:hAnsi="Cambria Math" w:cs="Arial"/>
                          <w:sz w:val="20"/>
                          <w:szCs w:val="20"/>
                        </w:rPr>
                        <m:t>t-1</m:t>
                      </m:r>
                    </m:sub>
                  </m:sSub>
                </m:den>
              </m:f>
              <m:r>
                <m:rPr>
                  <m:sty m:val="bi"/>
                </m:rPr>
                <w:rPr>
                  <w:rFonts w:ascii="Cambria Math" w:hAnsi="Cambria Math" w:cs="Arial"/>
                  <w:sz w:val="20"/>
                  <w:szCs w:val="20"/>
                </w:rPr>
                <m:t>+0,11</m:t>
              </m:r>
              <m:f>
                <m:fPr>
                  <m:ctrlPr>
                    <w:rPr>
                      <w:rFonts w:ascii="Cambria Math" w:hAnsi="Cambria Math" w:cs="Arial"/>
                      <w:b/>
                      <w:i/>
                      <w:sz w:val="20"/>
                      <w:szCs w:val="20"/>
                    </w:rPr>
                  </m:ctrlPr>
                </m:fPr>
                <m:num>
                  <m:sSub>
                    <m:sSubPr>
                      <m:ctrlPr>
                        <w:rPr>
                          <w:rFonts w:ascii="Cambria Math" w:hAnsi="Cambria Math" w:cs="Arial"/>
                          <w:b/>
                          <w:i/>
                          <w:sz w:val="20"/>
                          <w:szCs w:val="20"/>
                        </w:rPr>
                      </m:ctrlPr>
                    </m:sSubPr>
                    <m:e>
                      <m:r>
                        <m:rPr>
                          <m:sty m:val="bi"/>
                        </m:rPr>
                        <w:rPr>
                          <w:rFonts w:ascii="Cambria Math" w:hAnsi="Cambria Math" w:cs="Arial"/>
                          <w:sz w:val="20"/>
                          <w:szCs w:val="20"/>
                        </w:rPr>
                        <m:t>Ca</m:t>
                      </m:r>
                    </m:e>
                    <m:sub>
                      <m:r>
                        <m:rPr>
                          <m:sty m:val="bi"/>
                        </m:rPr>
                        <w:rPr>
                          <w:rFonts w:ascii="Cambria Math" w:hAnsi="Cambria Math" w:cs="Arial"/>
                          <w:sz w:val="20"/>
                          <w:szCs w:val="20"/>
                        </w:rPr>
                        <m:t>t</m:t>
                      </m:r>
                    </m:sub>
                  </m:sSub>
                </m:num>
                <m:den>
                  <m:sSub>
                    <m:sSubPr>
                      <m:ctrlPr>
                        <w:rPr>
                          <w:rFonts w:ascii="Cambria Math" w:hAnsi="Cambria Math" w:cs="Arial"/>
                          <w:b/>
                          <w:i/>
                          <w:sz w:val="20"/>
                          <w:szCs w:val="20"/>
                        </w:rPr>
                      </m:ctrlPr>
                    </m:sSubPr>
                    <m:e>
                      <m:r>
                        <m:rPr>
                          <m:sty m:val="bi"/>
                        </m:rPr>
                        <w:rPr>
                          <w:rFonts w:ascii="Cambria Math" w:hAnsi="Cambria Math" w:cs="Arial"/>
                          <w:sz w:val="20"/>
                          <w:szCs w:val="20"/>
                        </w:rPr>
                        <m:t>Ca</m:t>
                      </m:r>
                    </m:e>
                    <m:sub>
                      <m:r>
                        <m:rPr>
                          <m:sty m:val="bi"/>
                        </m:rPr>
                        <w:rPr>
                          <w:rFonts w:ascii="Cambria Math" w:hAnsi="Cambria Math" w:cs="Arial"/>
                          <w:sz w:val="20"/>
                          <w:szCs w:val="20"/>
                        </w:rPr>
                        <m:t>t-1</m:t>
                      </m:r>
                    </m:sub>
                  </m:sSub>
                </m:den>
              </m:f>
              <m:r>
                <m:rPr>
                  <m:sty m:val="bi"/>
                </m:rPr>
                <w:rPr>
                  <w:rFonts w:ascii="Cambria Math" w:hAnsi="Cambria Math" w:cs="Arial"/>
                  <w:sz w:val="20"/>
                  <w:szCs w:val="20"/>
                </w:rPr>
                <m:t>+0,10</m:t>
              </m:r>
              <m:f>
                <m:fPr>
                  <m:ctrlPr>
                    <w:rPr>
                      <w:rFonts w:ascii="Cambria Math" w:hAnsi="Cambria Math" w:cs="Arial"/>
                      <w:b/>
                      <w:i/>
                      <w:sz w:val="20"/>
                      <w:szCs w:val="20"/>
                    </w:rPr>
                  </m:ctrlPr>
                </m:fPr>
                <m:num>
                  <m:sSub>
                    <m:sSubPr>
                      <m:ctrlPr>
                        <w:rPr>
                          <w:rFonts w:ascii="Cambria Math" w:hAnsi="Cambria Math" w:cs="Arial"/>
                          <w:b/>
                          <w:i/>
                          <w:sz w:val="20"/>
                          <w:szCs w:val="20"/>
                        </w:rPr>
                      </m:ctrlPr>
                    </m:sSubPr>
                    <m:e>
                      <m:r>
                        <m:rPr>
                          <m:sty m:val="bi"/>
                        </m:rPr>
                        <w:rPr>
                          <w:rFonts w:ascii="Cambria Math" w:hAnsi="Cambria Math" w:cs="Arial"/>
                          <w:sz w:val="20"/>
                          <w:szCs w:val="20"/>
                        </w:rPr>
                        <m:t>Sm</m:t>
                      </m:r>
                    </m:e>
                    <m:sub>
                      <m:r>
                        <m:rPr>
                          <m:sty m:val="bi"/>
                        </m:rPr>
                        <w:rPr>
                          <w:rFonts w:ascii="Cambria Math" w:hAnsi="Cambria Math" w:cs="Arial"/>
                          <w:sz w:val="20"/>
                          <w:szCs w:val="20"/>
                        </w:rPr>
                        <m:t>t</m:t>
                      </m:r>
                    </m:sub>
                  </m:sSub>
                </m:num>
                <m:den>
                  <m:sSub>
                    <m:sSubPr>
                      <m:ctrlPr>
                        <w:rPr>
                          <w:rFonts w:ascii="Cambria Math" w:hAnsi="Cambria Math" w:cs="Arial"/>
                          <w:b/>
                          <w:i/>
                          <w:sz w:val="20"/>
                          <w:szCs w:val="20"/>
                        </w:rPr>
                      </m:ctrlPr>
                    </m:sSubPr>
                    <m:e>
                      <m:r>
                        <m:rPr>
                          <m:sty m:val="bi"/>
                        </m:rPr>
                        <w:rPr>
                          <w:rFonts w:ascii="Cambria Math" w:hAnsi="Cambria Math" w:cs="Arial"/>
                          <w:sz w:val="20"/>
                          <w:szCs w:val="20"/>
                        </w:rPr>
                        <m:t>Sm</m:t>
                      </m:r>
                    </m:e>
                    <m:sub>
                      <m:r>
                        <m:rPr>
                          <m:sty m:val="bi"/>
                        </m:rPr>
                        <w:rPr>
                          <w:rFonts w:ascii="Cambria Math" w:hAnsi="Cambria Math" w:cs="Arial"/>
                          <w:sz w:val="20"/>
                          <w:szCs w:val="20"/>
                        </w:rPr>
                        <m:t>t-1</m:t>
                      </m:r>
                    </m:sub>
                  </m:sSub>
                </m:den>
              </m:f>
            </m:oMath>
            <w:r w:rsidRPr="00285FD6">
              <w:rPr>
                <w:rFonts w:asciiTheme="majorHAnsi" w:eastAsiaTheme="minorEastAsia" w:hAnsiTheme="majorHAnsi" w:cs="Arial"/>
                <w:b/>
                <w:sz w:val="20"/>
                <w:szCs w:val="20"/>
              </w:rPr>
              <w:t xml:space="preserve"> </w:t>
            </w:r>
          </w:p>
          <w:p w:rsidR="001F09D9"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p>
          <w:p w:rsidR="001F09D9" w:rsidRPr="00470BDE"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470BDE">
              <w:rPr>
                <w:rFonts w:asciiTheme="majorHAnsi" w:hAnsiTheme="majorHAnsi" w:cs="Arial"/>
                <w:b/>
                <w:sz w:val="20"/>
                <w:szCs w:val="20"/>
              </w:rPr>
              <w:t xml:space="preserve">Variables: </w:t>
            </w:r>
          </w:p>
          <w:p w:rsidR="001F09D9" w:rsidRPr="00470BDE"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470BDE">
              <w:rPr>
                <w:rFonts w:asciiTheme="majorHAnsi" w:hAnsiTheme="majorHAnsi" w:cs="Arial"/>
                <w:i/>
                <w:sz w:val="20"/>
                <w:szCs w:val="20"/>
              </w:rPr>
              <w:t>K</w:t>
            </w:r>
            <w:r>
              <w:rPr>
                <w:rFonts w:asciiTheme="majorHAnsi" w:hAnsiTheme="majorHAnsi" w:cs="Arial"/>
                <w:i/>
                <w:sz w:val="20"/>
                <w:szCs w:val="20"/>
              </w:rPr>
              <w:t xml:space="preserve"> </w:t>
            </w:r>
            <w:r w:rsidRPr="00470BDE">
              <w:rPr>
                <w:rFonts w:asciiTheme="majorHAnsi" w:hAnsiTheme="majorHAnsi" w:cs="Arial"/>
                <w:b/>
                <w:sz w:val="20"/>
                <w:szCs w:val="20"/>
              </w:rPr>
              <w:t xml:space="preserve">= </w:t>
            </w:r>
            <w:r w:rsidRPr="00470BDE">
              <w:rPr>
                <w:rFonts w:asciiTheme="majorHAnsi" w:hAnsiTheme="majorHAnsi" w:cs="Arial"/>
                <w:sz w:val="20"/>
                <w:szCs w:val="20"/>
              </w:rPr>
              <w:t>Factor de ajuste a la tarifa inicial</w:t>
            </w:r>
          </w:p>
          <w:p w:rsidR="001F09D9" w:rsidRPr="00470BDE"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470BDE">
              <w:rPr>
                <w:rFonts w:asciiTheme="majorHAnsi" w:hAnsiTheme="majorHAnsi" w:cs="Arial"/>
                <w:i/>
                <w:sz w:val="20"/>
                <w:szCs w:val="20"/>
              </w:rPr>
              <w:t>I</w:t>
            </w:r>
            <w:r>
              <w:rPr>
                <w:rFonts w:asciiTheme="majorHAnsi" w:hAnsiTheme="majorHAnsi" w:cs="Arial"/>
                <w:i/>
                <w:sz w:val="20"/>
                <w:szCs w:val="20"/>
              </w:rPr>
              <w:t xml:space="preserve"> </w:t>
            </w:r>
            <w:r w:rsidRPr="00470BDE">
              <w:rPr>
                <w:rFonts w:asciiTheme="majorHAnsi" w:hAnsiTheme="majorHAnsi" w:cs="Arial"/>
                <w:sz w:val="20"/>
                <w:szCs w:val="20"/>
              </w:rPr>
              <w:t xml:space="preserve">= </w:t>
            </w:r>
            <w:r>
              <w:rPr>
                <w:rFonts w:asciiTheme="majorHAnsi" w:hAnsiTheme="majorHAnsi" w:cs="Arial"/>
                <w:sz w:val="20"/>
                <w:szCs w:val="20"/>
              </w:rPr>
              <w:t>Índice de precios al Consumidor</w:t>
            </w:r>
          </w:p>
          <w:p w:rsidR="001F09D9" w:rsidRPr="00470BDE"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proofErr w:type="spellStart"/>
            <w:r w:rsidRPr="00470BDE">
              <w:rPr>
                <w:rFonts w:asciiTheme="majorHAnsi" w:hAnsiTheme="majorHAnsi" w:cs="Arial"/>
                <w:i/>
                <w:sz w:val="20"/>
                <w:szCs w:val="20"/>
              </w:rPr>
              <w:t>Cop</w:t>
            </w:r>
            <w:proofErr w:type="spellEnd"/>
            <w:r>
              <w:rPr>
                <w:rFonts w:asciiTheme="majorHAnsi" w:hAnsiTheme="majorHAnsi" w:cs="Arial"/>
                <w:i/>
                <w:sz w:val="20"/>
                <w:szCs w:val="20"/>
              </w:rPr>
              <w:t xml:space="preserve"> </w:t>
            </w:r>
            <w:r w:rsidRPr="00470BDE">
              <w:rPr>
                <w:rFonts w:asciiTheme="majorHAnsi" w:hAnsiTheme="majorHAnsi" w:cs="Arial"/>
                <w:sz w:val="20"/>
                <w:szCs w:val="20"/>
              </w:rPr>
              <w:t xml:space="preserve">= Costos operativos </w:t>
            </w:r>
          </w:p>
          <w:p w:rsidR="001F09D9" w:rsidRPr="00470BDE"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470BDE">
              <w:rPr>
                <w:rFonts w:asciiTheme="majorHAnsi" w:hAnsiTheme="majorHAnsi" w:cs="Arial"/>
                <w:i/>
                <w:sz w:val="20"/>
                <w:szCs w:val="20"/>
              </w:rPr>
              <w:t>Ca</w:t>
            </w:r>
            <w:r>
              <w:rPr>
                <w:rFonts w:asciiTheme="majorHAnsi" w:hAnsiTheme="majorHAnsi" w:cs="Arial"/>
                <w:i/>
                <w:sz w:val="20"/>
                <w:szCs w:val="20"/>
              </w:rPr>
              <w:t xml:space="preserve"> </w:t>
            </w:r>
            <w:r w:rsidRPr="00470BDE">
              <w:rPr>
                <w:rFonts w:asciiTheme="majorHAnsi" w:hAnsiTheme="majorHAnsi" w:cs="Arial"/>
                <w:sz w:val="20"/>
                <w:szCs w:val="20"/>
              </w:rPr>
              <w:t xml:space="preserve">= Costos administrativos </w:t>
            </w:r>
          </w:p>
          <w:p w:rsidR="001F09D9"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470BDE">
              <w:rPr>
                <w:rFonts w:asciiTheme="majorHAnsi" w:hAnsiTheme="majorHAnsi" w:cs="Arial"/>
                <w:i/>
                <w:sz w:val="20"/>
                <w:szCs w:val="20"/>
              </w:rPr>
              <w:t>Sm</w:t>
            </w:r>
            <w:r>
              <w:rPr>
                <w:rFonts w:asciiTheme="majorHAnsi" w:hAnsiTheme="majorHAnsi" w:cs="Arial"/>
                <w:i/>
                <w:sz w:val="20"/>
                <w:szCs w:val="20"/>
              </w:rPr>
              <w:t xml:space="preserve"> </w:t>
            </w:r>
            <w:r w:rsidRPr="00470BDE">
              <w:rPr>
                <w:rFonts w:asciiTheme="majorHAnsi" w:hAnsiTheme="majorHAnsi" w:cs="Arial"/>
                <w:sz w:val="20"/>
                <w:szCs w:val="20"/>
              </w:rPr>
              <w:t>= Salarios mínimos</w:t>
            </w:r>
            <w:r w:rsidRPr="00470BDE">
              <w:rPr>
                <w:rFonts w:asciiTheme="majorHAnsi" w:hAnsiTheme="majorHAnsi" w:cs="Arial"/>
                <w:b/>
                <w:sz w:val="20"/>
                <w:szCs w:val="20"/>
              </w:rPr>
              <w:t xml:space="preserve"> </w:t>
            </w:r>
          </w:p>
          <w:p w:rsidR="001F09D9" w:rsidRPr="00470BDE" w:rsidRDefault="001F09D9" w:rsidP="001F09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B45640">
              <w:rPr>
                <w:rFonts w:asciiTheme="majorHAnsi" w:hAnsiTheme="majorHAnsi" w:cs="Arial"/>
                <w:sz w:val="20"/>
                <w:szCs w:val="20"/>
              </w:rPr>
              <w:t>t = año</w:t>
            </w:r>
          </w:p>
        </w:tc>
      </w:tr>
      <w:tr w:rsidR="00B66F5E" w:rsidRPr="00D635AF" w:rsidTr="00D6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B66F5E" w:rsidRPr="00D635AF" w:rsidRDefault="00B66F5E" w:rsidP="00C6168C">
            <w:pPr>
              <w:rPr>
                <w:rFonts w:asciiTheme="majorHAnsi" w:hAnsiTheme="majorHAnsi"/>
                <w:sz w:val="20"/>
                <w:szCs w:val="20"/>
              </w:rPr>
            </w:pPr>
            <w:r w:rsidRPr="00D635AF">
              <w:rPr>
                <w:rFonts w:asciiTheme="majorHAnsi" w:hAnsiTheme="majorHAnsi"/>
                <w:sz w:val="20"/>
                <w:szCs w:val="20"/>
              </w:rPr>
              <w:t>Aspectos Técnicos y Costos</w:t>
            </w:r>
          </w:p>
          <w:p w:rsidR="00B66F5E" w:rsidRPr="00D635AF" w:rsidRDefault="00B66F5E" w:rsidP="00C6168C">
            <w:pPr>
              <w:rPr>
                <w:rFonts w:asciiTheme="majorHAnsi" w:hAnsiTheme="majorHAnsi"/>
                <w:sz w:val="20"/>
                <w:szCs w:val="20"/>
              </w:rPr>
            </w:pPr>
          </w:p>
        </w:tc>
        <w:tc>
          <w:tcPr>
            <w:tcW w:w="6843" w:type="dxa"/>
          </w:tcPr>
          <w:p w:rsidR="00B66F5E" w:rsidRPr="00D635AF" w:rsidRDefault="00D635AF" w:rsidP="00D635A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Mediante M</w:t>
            </w:r>
            <w:r w:rsidR="00B024D8" w:rsidRPr="00D635AF">
              <w:rPr>
                <w:rFonts w:asciiTheme="majorHAnsi" w:hAnsiTheme="majorHAnsi" w:cs="Arial"/>
                <w:sz w:val="20"/>
                <w:szCs w:val="20"/>
              </w:rPr>
              <w:t>emorando No. 161-GOP-CNP-2013 de 24 de junio de 2013, la Coordinadora de Negocios propios remite a la Gerencia General de la EMGIRS EP el Informe Técnico de Costos de Operación para el nuevo modelo tarifario del servicio de gestión integral de desechos sólidos hospitalarios.</w:t>
            </w:r>
          </w:p>
          <w:p w:rsidR="00B024D8" w:rsidRPr="00D635AF" w:rsidRDefault="00B024D8" w:rsidP="00B024D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p>
          <w:p w:rsidR="00D635AF" w:rsidRDefault="00B024D8" w:rsidP="00D635A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sz w:val="20"/>
                <w:szCs w:val="20"/>
              </w:rPr>
            </w:pPr>
            <w:r w:rsidRPr="00D635AF">
              <w:rPr>
                <w:rFonts w:asciiTheme="majorHAnsi" w:hAnsiTheme="majorHAnsi" w:cs="Arial"/>
                <w:sz w:val="20"/>
                <w:szCs w:val="20"/>
              </w:rPr>
              <w:t>Mediante Resolución No. 074-GGE-EMGIRS EP-2013</w:t>
            </w:r>
            <w:r w:rsidR="00D635AF">
              <w:rPr>
                <w:rFonts w:asciiTheme="majorHAnsi" w:hAnsiTheme="majorHAnsi" w:cs="Arial"/>
                <w:sz w:val="20"/>
                <w:szCs w:val="20"/>
              </w:rPr>
              <w:t>,</w:t>
            </w:r>
            <w:r w:rsidRPr="00D635AF">
              <w:rPr>
                <w:rFonts w:asciiTheme="majorHAnsi" w:hAnsiTheme="majorHAnsi" w:cs="Arial"/>
                <w:sz w:val="20"/>
                <w:szCs w:val="20"/>
              </w:rPr>
              <w:t xml:space="preserve"> el Gerente General de l</w:t>
            </w:r>
            <w:r w:rsidR="00D635AF">
              <w:rPr>
                <w:rFonts w:asciiTheme="majorHAnsi" w:hAnsiTheme="majorHAnsi" w:cs="Arial"/>
                <w:sz w:val="20"/>
                <w:szCs w:val="20"/>
              </w:rPr>
              <w:t xml:space="preserve">a EMGIRS EP resuelve en el Art. 1: </w:t>
            </w:r>
            <w:r w:rsidR="00571848" w:rsidRPr="00D635AF">
              <w:rPr>
                <w:rFonts w:asciiTheme="majorHAnsi" w:hAnsiTheme="majorHAnsi" w:cs="Arial"/>
                <w:i/>
                <w:sz w:val="20"/>
                <w:szCs w:val="20"/>
              </w:rPr>
              <w:t>Acoger el informe técnico de costos de operación para el nuevo modelo tarifario del servicio integral de residuos hospitalarios, en el que se fijan las tarifas básicas de la siguiente manera</w:t>
            </w:r>
          </w:p>
          <w:p w:rsidR="00D635AF" w:rsidRDefault="00D635AF" w:rsidP="00D635A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sz w:val="20"/>
                <w:szCs w:val="20"/>
              </w:rPr>
            </w:pPr>
          </w:p>
          <w:tbl>
            <w:tblPr>
              <w:tblStyle w:val="Tablaconcuadrcula"/>
              <w:tblW w:w="0" w:type="auto"/>
              <w:jc w:val="center"/>
              <w:tblLook w:val="04A0" w:firstRow="1" w:lastRow="0" w:firstColumn="1" w:lastColumn="0" w:noHBand="0" w:noVBand="1"/>
            </w:tblPr>
            <w:tblGrid>
              <w:gridCol w:w="2890"/>
              <w:gridCol w:w="2372"/>
            </w:tblGrid>
            <w:tr w:rsidR="00D635AF" w:rsidTr="00D635AF">
              <w:trPr>
                <w:trHeight w:val="488"/>
                <w:jc w:val="center"/>
              </w:trPr>
              <w:tc>
                <w:tcPr>
                  <w:tcW w:w="2890" w:type="dxa"/>
                  <w:shd w:val="clear" w:color="auto" w:fill="D0CECE" w:themeFill="background2" w:themeFillShade="E6"/>
                  <w:vAlign w:val="center"/>
                </w:tcPr>
                <w:p w:rsidR="00D635AF" w:rsidRPr="00800735" w:rsidRDefault="00D635AF" w:rsidP="00D635AF">
                  <w:pPr>
                    <w:jc w:val="center"/>
                    <w:rPr>
                      <w:rFonts w:asciiTheme="majorHAnsi" w:hAnsiTheme="majorHAnsi" w:cs="Arial"/>
                      <w:b/>
                      <w:sz w:val="20"/>
                      <w:szCs w:val="20"/>
                    </w:rPr>
                  </w:pPr>
                  <w:r>
                    <w:rPr>
                      <w:rFonts w:asciiTheme="majorHAnsi" w:hAnsiTheme="majorHAnsi" w:cs="Arial"/>
                      <w:b/>
                      <w:sz w:val="20"/>
                      <w:szCs w:val="20"/>
                    </w:rPr>
                    <w:t>TARIFARIO</w:t>
                  </w:r>
                </w:p>
              </w:tc>
              <w:tc>
                <w:tcPr>
                  <w:tcW w:w="2372" w:type="dxa"/>
                  <w:shd w:val="clear" w:color="auto" w:fill="D0CECE" w:themeFill="background2" w:themeFillShade="E6"/>
                  <w:vAlign w:val="center"/>
                </w:tcPr>
                <w:p w:rsidR="00D635AF" w:rsidRPr="00800735" w:rsidRDefault="00D635AF" w:rsidP="00D635AF">
                  <w:pPr>
                    <w:jc w:val="center"/>
                    <w:rPr>
                      <w:rFonts w:asciiTheme="majorHAnsi" w:hAnsiTheme="majorHAnsi" w:cs="Arial"/>
                      <w:b/>
                      <w:sz w:val="20"/>
                      <w:szCs w:val="20"/>
                    </w:rPr>
                  </w:pPr>
                  <w:r>
                    <w:rPr>
                      <w:rFonts w:asciiTheme="majorHAnsi" w:hAnsiTheme="majorHAnsi" w:cs="Arial"/>
                      <w:b/>
                      <w:sz w:val="20"/>
                      <w:szCs w:val="20"/>
                    </w:rPr>
                    <w:t>ESTABLECIMIENTOS PÚBLICOS Y PRIVADOS</w:t>
                  </w:r>
                </w:p>
              </w:tc>
            </w:tr>
            <w:tr w:rsidR="00D635AF" w:rsidTr="00D635AF">
              <w:trPr>
                <w:trHeight w:val="489"/>
                <w:jc w:val="center"/>
              </w:trPr>
              <w:tc>
                <w:tcPr>
                  <w:tcW w:w="2890" w:type="dxa"/>
                  <w:vAlign w:val="center"/>
                </w:tcPr>
                <w:p w:rsidR="00D635AF" w:rsidRDefault="00D635AF" w:rsidP="00D635AF">
                  <w:pPr>
                    <w:rPr>
                      <w:rFonts w:asciiTheme="majorHAnsi" w:hAnsiTheme="majorHAnsi" w:cs="Arial"/>
                      <w:sz w:val="20"/>
                      <w:szCs w:val="20"/>
                    </w:rPr>
                  </w:pPr>
                  <w:r>
                    <w:rPr>
                      <w:rFonts w:asciiTheme="majorHAnsi" w:hAnsiTheme="majorHAnsi" w:cs="Arial"/>
                      <w:sz w:val="20"/>
                      <w:szCs w:val="20"/>
                    </w:rPr>
                    <w:t>Valor por cada Kilogramo, sin IVA</w:t>
                  </w:r>
                </w:p>
              </w:tc>
              <w:tc>
                <w:tcPr>
                  <w:tcW w:w="2372" w:type="dxa"/>
                  <w:vAlign w:val="center"/>
                </w:tcPr>
                <w:p w:rsidR="00D635AF" w:rsidRDefault="00D635AF" w:rsidP="00D635AF">
                  <w:pPr>
                    <w:jc w:val="center"/>
                    <w:rPr>
                      <w:rFonts w:asciiTheme="majorHAnsi" w:hAnsiTheme="majorHAnsi" w:cs="Arial"/>
                      <w:sz w:val="20"/>
                      <w:szCs w:val="20"/>
                    </w:rPr>
                  </w:pPr>
                  <w:r>
                    <w:rPr>
                      <w:rFonts w:asciiTheme="majorHAnsi" w:hAnsiTheme="majorHAnsi" w:cs="Arial"/>
                      <w:sz w:val="20"/>
                      <w:szCs w:val="20"/>
                    </w:rPr>
                    <w:t>USD 1,50</w:t>
                  </w:r>
                </w:p>
              </w:tc>
            </w:tr>
          </w:tbl>
          <w:p w:rsidR="00571848" w:rsidRPr="00D635AF" w:rsidRDefault="00571848" w:rsidP="00D635A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p>
        </w:tc>
      </w:tr>
    </w:tbl>
    <w:p w:rsidR="00B66F5E" w:rsidRPr="00D635AF" w:rsidRDefault="00B66F5E" w:rsidP="00B66F5E">
      <w:pPr>
        <w:rPr>
          <w:rFonts w:asciiTheme="majorHAnsi" w:hAnsiTheme="majorHAnsi"/>
          <w:sz w:val="20"/>
          <w:szCs w:val="20"/>
        </w:rPr>
      </w:pPr>
    </w:p>
    <w:p w:rsidR="004940F0" w:rsidRPr="00D635AF" w:rsidRDefault="004940F0">
      <w:pPr>
        <w:rPr>
          <w:rFonts w:asciiTheme="majorHAnsi" w:hAnsiTheme="majorHAnsi"/>
          <w:sz w:val="20"/>
          <w:szCs w:val="20"/>
        </w:rPr>
      </w:pPr>
    </w:p>
    <w:sectPr w:rsidR="004940F0" w:rsidRPr="00D635A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48" w:rsidRDefault="00E87B48" w:rsidP="00B66F5E">
      <w:pPr>
        <w:spacing w:after="0" w:line="240" w:lineRule="auto"/>
      </w:pPr>
      <w:r>
        <w:separator/>
      </w:r>
    </w:p>
  </w:endnote>
  <w:endnote w:type="continuationSeparator" w:id="0">
    <w:p w:rsidR="00E87B48" w:rsidRDefault="00E87B48" w:rsidP="00B6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48" w:rsidRDefault="00E87B48" w:rsidP="00B66F5E">
      <w:pPr>
        <w:spacing w:after="0" w:line="240" w:lineRule="auto"/>
      </w:pPr>
      <w:r>
        <w:separator/>
      </w:r>
    </w:p>
  </w:footnote>
  <w:footnote w:type="continuationSeparator" w:id="0">
    <w:p w:rsidR="00E87B48" w:rsidRDefault="00E87B48" w:rsidP="00B6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E" w:rsidRDefault="00B66F5E">
    <w:pPr>
      <w:pStyle w:val="Encabezado"/>
    </w:pPr>
    <w:r>
      <w:rPr>
        <w:noProof/>
        <w:lang w:eastAsia="es-EC"/>
      </w:rPr>
      <w:drawing>
        <wp:anchor distT="0" distB="0" distL="114300" distR="114300" simplePos="0" relativeHeight="251659264" behindDoc="1" locked="0" layoutInCell="1" allowOverlap="1" wp14:anchorId="4BB05F06" wp14:editId="483A3DC6">
          <wp:simplePos x="0" y="0"/>
          <wp:positionH relativeFrom="column">
            <wp:posOffset>4619625</wp:posOffset>
          </wp:positionH>
          <wp:positionV relativeFrom="paragraph">
            <wp:posOffset>-257810</wp:posOffset>
          </wp:positionV>
          <wp:extent cx="1800225" cy="869950"/>
          <wp:effectExtent l="0" t="0" r="9525"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9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19A"/>
    <w:multiLevelType w:val="hybridMultilevel"/>
    <w:tmpl w:val="F594B9EC"/>
    <w:lvl w:ilvl="0" w:tplc="F476DD78">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6A5483"/>
    <w:multiLevelType w:val="hybridMultilevel"/>
    <w:tmpl w:val="575267AC"/>
    <w:lvl w:ilvl="0" w:tplc="89B80204">
      <w:start w:val="2"/>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3F243F1"/>
    <w:multiLevelType w:val="hybridMultilevel"/>
    <w:tmpl w:val="92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EE376AD"/>
    <w:multiLevelType w:val="hybridMultilevel"/>
    <w:tmpl w:val="5CDAAF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61C5324"/>
    <w:multiLevelType w:val="hybridMultilevel"/>
    <w:tmpl w:val="CBB44AFC"/>
    <w:lvl w:ilvl="0" w:tplc="0A26C73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5E"/>
    <w:rsid w:val="001F09D9"/>
    <w:rsid w:val="0032414A"/>
    <w:rsid w:val="00383AE7"/>
    <w:rsid w:val="004940F0"/>
    <w:rsid w:val="004D2CA5"/>
    <w:rsid w:val="00516AD3"/>
    <w:rsid w:val="00571848"/>
    <w:rsid w:val="008B4F30"/>
    <w:rsid w:val="00B024D8"/>
    <w:rsid w:val="00B66F5E"/>
    <w:rsid w:val="00B91208"/>
    <w:rsid w:val="00D635AF"/>
    <w:rsid w:val="00E87B48"/>
    <w:rsid w:val="00EA5771"/>
    <w:rsid w:val="00EC1403"/>
    <w:rsid w:val="00EC34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2ED3-9AF3-458F-82AE-3EA93A9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3">
    <w:name w:val="Plain Table 3"/>
    <w:basedOn w:val="Tablanormal"/>
    <w:uiPriority w:val="43"/>
    <w:rsid w:val="00B66F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comentario">
    <w:name w:val="annotation text"/>
    <w:basedOn w:val="Normal"/>
    <w:link w:val="TextocomentarioCar"/>
    <w:uiPriority w:val="99"/>
    <w:unhideWhenUsed/>
    <w:rsid w:val="00B66F5E"/>
    <w:pPr>
      <w:spacing w:line="240" w:lineRule="auto"/>
    </w:pPr>
    <w:rPr>
      <w:sz w:val="20"/>
      <w:szCs w:val="20"/>
    </w:rPr>
  </w:style>
  <w:style w:type="character" w:customStyle="1" w:styleId="TextocomentarioCar">
    <w:name w:val="Texto comentario Car"/>
    <w:basedOn w:val="Fuentedeprrafopredeter"/>
    <w:link w:val="Textocomentario"/>
    <w:uiPriority w:val="99"/>
    <w:rsid w:val="00B66F5E"/>
    <w:rPr>
      <w:sz w:val="20"/>
      <w:szCs w:val="20"/>
    </w:rPr>
  </w:style>
  <w:style w:type="paragraph" w:styleId="Prrafodelista">
    <w:name w:val="List Paragraph"/>
    <w:aliases w:val="Capítulo,TIT 2 IND,Párrafo 3"/>
    <w:basedOn w:val="Normal"/>
    <w:link w:val="PrrafodelistaCar"/>
    <w:uiPriority w:val="34"/>
    <w:qFormat/>
    <w:rsid w:val="00B66F5E"/>
    <w:pPr>
      <w:ind w:left="720"/>
      <w:contextualSpacing/>
    </w:pPr>
  </w:style>
  <w:style w:type="character" w:customStyle="1" w:styleId="PrrafodelistaCar">
    <w:name w:val="Párrafo de lista Car"/>
    <w:aliases w:val="Capítulo Car,TIT 2 IND Car,Párrafo 3 Car"/>
    <w:link w:val="Prrafodelista"/>
    <w:uiPriority w:val="34"/>
    <w:locked/>
    <w:rsid w:val="00B66F5E"/>
  </w:style>
  <w:style w:type="paragraph" w:styleId="Textonotapie">
    <w:name w:val="footnote text"/>
    <w:basedOn w:val="Normal"/>
    <w:link w:val="TextonotapieCar"/>
    <w:uiPriority w:val="99"/>
    <w:semiHidden/>
    <w:unhideWhenUsed/>
    <w:rsid w:val="00B66F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F5E"/>
    <w:rPr>
      <w:sz w:val="20"/>
      <w:szCs w:val="20"/>
    </w:rPr>
  </w:style>
  <w:style w:type="character" w:styleId="Refdenotaalpie">
    <w:name w:val="footnote reference"/>
    <w:basedOn w:val="Fuentedeprrafopredeter"/>
    <w:uiPriority w:val="99"/>
    <w:semiHidden/>
    <w:unhideWhenUsed/>
    <w:rsid w:val="00B66F5E"/>
    <w:rPr>
      <w:vertAlign w:val="superscript"/>
    </w:rPr>
  </w:style>
  <w:style w:type="paragraph" w:styleId="NormalWeb">
    <w:name w:val="Normal (Web)"/>
    <w:basedOn w:val="Normal"/>
    <w:uiPriority w:val="99"/>
    <w:semiHidden/>
    <w:unhideWhenUsed/>
    <w:rsid w:val="00B66F5E"/>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Encabezado">
    <w:name w:val="header"/>
    <w:basedOn w:val="Normal"/>
    <w:link w:val="EncabezadoCar"/>
    <w:uiPriority w:val="99"/>
    <w:unhideWhenUsed/>
    <w:rsid w:val="00B66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F5E"/>
  </w:style>
  <w:style w:type="paragraph" w:styleId="Piedepgina">
    <w:name w:val="footer"/>
    <w:basedOn w:val="Normal"/>
    <w:link w:val="PiedepginaCar"/>
    <w:uiPriority w:val="99"/>
    <w:unhideWhenUsed/>
    <w:rsid w:val="00B66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F5E"/>
  </w:style>
  <w:style w:type="table" w:styleId="Tablaconcuadrcula">
    <w:name w:val="Table Grid"/>
    <w:basedOn w:val="Tablanormal"/>
    <w:uiPriority w:val="39"/>
    <w:rsid w:val="00D6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0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0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Lilet Stefania Hernandez Arboleda</dc:creator>
  <cp:keywords/>
  <dc:description/>
  <cp:lastModifiedBy>Santiago Andres Burneo Delgado</cp:lastModifiedBy>
  <cp:revision>7</cp:revision>
  <cp:lastPrinted>2017-07-25T20:03:00Z</cp:lastPrinted>
  <dcterms:created xsi:type="dcterms:W3CDTF">2017-04-12T19:50:00Z</dcterms:created>
  <dcterms:modified xsi:type="dcterms:W3CDTF">2017-07-25T20:11:00Z</dcterms:modified>
</cp:coreProperties>
</file>