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2E4E77" w:rsidRPr="00151059" w:rsidTr="00C6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2E4E77" w:rsidRPr="00151059" w:rsidRDefault="002E4E77" w:rsidP="00C616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059">
              <w:rPr>
                <w:rFonts w:asciiTheme="majorHAnsi" w:hAnsiTheme="majorHAnsi"/>
                <w:sz w:val="20"/>
                <w:szCs w:val="20"/>
              </w:rPr>
              <w:t xml:space="preserve">disposición de </w:t>
            </w:r>
            <w:r w:rsidR="004C5134">
              <w:rPr>
                <w:rFonts w:asciiTheme="majorHAnsi" w:hAnsiTheme="majorHAnsi"/>
                <w:sz w:val="20"/>
                <w:szCs w:val="20"/>
              </w:rPr>
              <w:t xml:space="preserve">escombros </w:t>
            </w:r>
            <w:r w:rsidR="00C31783" w:rsidRPr="00151059">
              <w:rPr>
                <w:rFonts w:asciiTheme="majorHAnsi" w:hAnsiTheme="majorHAnsi"/>
                <w:sz w:val="20"/>
                <w:szCs w:val="20"/>
              </w:rPr>
              <w:t>horario NOCTURNO</w:t>
            </w:r>
            <w:r w:rsidR="008E1958" w:rsidRPr="001510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5134">
              <w:rPr>
                <w:rFonts w:asciiTheme="majorHAnsi" w:hAnsiTheme="majorHAnsi"/>
                <w:sz w:val="20"/>
                <w:szCs w:val="20"/>
              </w:rPr>
              <w:t>(</w:t>
            </w:r>
            <w:r w:rsidR="008E1958" w:rsidRPr="00151059">
              <w:rPr>
                <w:rFonts w:asciiTheme="majorHAnsi" w:hAnsiTheme="majorHAnsi"/>
                <w:sz w:val="20"/>
                <w:szCs w:val="20"/>
              </w:rPr>
              <w:t>19h00 a 7h00</w:t>
            </w:r>
            <w:r w:rsidRPr="00151059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2E4E77" w:rsidRPr="00151059" w:rsidRDefault="002E4E77" w:rsidP="00C616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0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E4E77" w:rsidRPr="00151059" w:rsidTr="0015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E4E77" w:rsidRPr="00151059" w:rsidRDefault="00151059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2E4E77" w:rsidRPr="00151059" w:rsidRDefault="002E4E77" w:rsidP="00C6168C">
            <w:pPr>
              <w:autoSpaceDE w:val="0"/>
              <w:autoSpaceDN w:val="0"/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151059">
              <w:rPr>
                <w:rFonts w:asciiTheme="majorHAnsi" w:hAnsiTheme="majorHAnsi" w:cs="Arial"/>
                <w:sz w:val="20"/>
                <w:szCs w:val="20"/>
                <w:lang w:val="es-ES"/>
              </w:rPr>
              <w:t>El Modelo de la Gestión de Escombros, relaciona los procesos que producto de las demoliciones, tierra de excavación, obras civiles y demás actividades que generen material asimilable a escombros, requieren ser almacenados en lugares adecuados y en condiciones especiales, que garanticen la seguridad con el entorno, mitigue los posibles impactos con el medio ambiente.</w:t>
            </w:r>
          </w:p>
        </w:tc>
      </w:tr>
      <w:tr w:rsidR="00D9702C" w:rsidRPr="00151059" w:rsidTr="00151059">
        <w:tblPrEx>
          <w:tblCellMar>
            <w:left w:w="70" w:type="dxa"/>
            <w:right w:w="70" w:type="dxa"/>
          </w:tblCellMar>
        </w:tblPrEx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9702C" w:rsidRPr="00470BDE" w:rsidRDefault="00D9702C" w:rsidP="00D9702C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D9702C" w:rsidRPr="00285FD6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D9702C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D9702C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D9702C" w:rsidRPr="00470BDE" w:rsidRDefault="00D9702C" w:rsidP="00D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2E4E77" w:rsidRPr="00151059" w:rsidTr="0015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E4E77" w:rsidRPr="00151059" w:rsidRDefault="002E4E77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151059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2E4E77" w:rsidRPr="00151059" w:rsidRDefault="002E4E77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</w:tcPr>
          <w:p w:rsidR="002E4E77" w:rsidRPr="00151059" w:rsidRDefault="002E4E77" w:rsidP="002E4E77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M3 Ingresados </w:t>
            </w:r>
            <w:r w:rsidRPr="00151059">
              <w:rPr>
                <w:rFonts w:asciiTheme="majorHAnsi" w:hAnsiTheme="majorHAnsi" w:cs="Arial"/>
                <w:b/>
                <w:sz w:val="20"/>
                <w:szCs w:val="20"/>
              </w:rPr>
              <w:t>anualmente</w:t>
            </w:r>
          </w:p>
          <w:p w:rsidR="002E4E77" w:rsidRPr="00151059" w:rsidRDefault="002E4E77" w:rsidP="00C6168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151059" w:rsidRPr="00192F2A" w:rsidRDefault="00151059" w:rsidP="00151059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  <w:r w:rsidRPr="00192F2A">
              <w:rPr>
                <w:rFonts w:asciiTheme="majorHAnsi" w:hAnsiTheme="majorHAnsi" w:cs="Helvetica"/>
              </w:rPr>
              <w:t xml:space="preserve">A continuación, se puede observar un estimado de los m3 que ingresaron al Troje 4 para el año 2016: </w:t>
            </w:r>
          </w:p>
          <w:p w:rsidR="00151059" w:rsidRPr="00192F2A" w:rsidRDefault="00151059" w:rsidP="00151059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151059" w:rsidRPr="00FA3408" w:rsidRDefault="00151059" w:rsidP="00151059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0" w:name="_Ref486864284"/>
            <w:r w:rsidRPr="00FA3408">
              <w:rPr>
                <w:rFonts w:asciiTheme="majorHAnsi" w:hAnsiTheme="majorHAnsi"/>
                <w:sz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</w:rPr>
              <w:fldChar w:fldCharType="separate"/>
            </w:r>
            <w:r w:rsidR="00D9702C">
              <w:rPr>
                <w:rFonts w:asciiTheme="majorHAnsi" w:hAnsiTheme="majorHAnsi"/>
                <w:noProof/>
                <w:sz w:val="20"/>
              </w:rPr>
              <w:t>1</w:t>
            </w:r>
            <w:r w:rsidRPr="00FA3408">
              <w:rPr>
                <w:rFonts w:asciiTheme="majorHAnsi" w:hAnsiTheme="majorHAnsi"/>
                <w:sz w:val="20"/>
              </w:rPr>
              <w:fldChar w:fldCharType="end"/>
            </w:r>
            <w:bookmarkEnd w:id="0"/>
            <w:r w:rsidRPr="00FA3408">
              <w:rPr>
                <w:rFonts w:asciiTheme="majorHAnsi" w:hAnsiTheme="majorHAnsi"/>
                <w:sz w:val="20"/>
              </w:rPr>
              <w:t>. Volumen ingresado en el Troje 4, Año 2016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3"/>
              <w:gridCol w:w="1833"/>
            </w:tblGrid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833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Volumen Ingresado (m</w:t>
                  </w: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 xml:space="preserve">Enero 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82.118,92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Febrero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133.252,54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202.356,81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131.886,62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130.265,55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169.259,41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Julio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215.888,95</w:t>
                  </w:r>
                </w:p>
              </w:tc>
            </w:tr>
            <w:tr w:rsidR="00151059" w:rsidRPr="00192F2A" w:rsidTr="009A7C95">
              <w:trPr>
                <w:trHeight w:val="239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197.901,07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139.499,31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186.420,94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Noviembre*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158.885,01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Diciembre*</w:t>
                  </w:r>
                </w:p>
              </w:tc>
              <w:tc>
                <w:tcPr>
                  <w:tcW w:w="1833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158.885,01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1833" w:type="dxa"/>
                  <w:shd w:val="clear" w:color="auto" w:fill="8496B0" w:themeFill="text2" w:themeFillTint="99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33" w:type="dxa"/>
                  <w:shd w:val="clear" w:color="auto" w:fill="8496B0" w:themeFill="text2" w:themeFillTint="99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1.906.620,13</w:t>
                  </w:r>
                </w:p>
              </w:tc>
            </w:tr>
          </w:tbl>
          <w:p w:rsidR="00151059" w:rsidRPr="00192F2A" w:rsidRDefault="00151059" w:rsidP="00151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18"/>
                <w:szCs w:val="20"/>
              </w:rPr>
              <w:t>Fuente: Cuadro de mando integral</w:t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</w:p>
          <w:p w:rsidR="00151059" w:rsidRPr="00192F2A" w:rsidRDefault="00151059" w:rsidP="00151059">
            <w:pPr>
              <w:pStyle w:val="Textocoment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8"/>
              </w:rPr>
            </w:pPr>
            <w:r w:rsidRPr="00192F2A">
              <w:rPr>
                <w:rFonts w:asciiTheme="majorHAnsi" w:hAnsiTheme="majorHAnsi" w:cs="Helvetica"/>
                <w:sz w:val="18"/>
              </w:rPr>
              <w:t xml:space="preserve">*Valores Proyectados </w:t>
            </w:r>
          </w:p>
          <w:p w:rsidR="00151059" w:rsidRPr="00192F2A" w:rsidRDefault="00151059" w:rsidP="00151059">
            <w:pPr>
              <w:pStyle w:val="Textocoment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151059" w:rsidRPr="00192F2A" w:rsidRDefault="00151059" w:rsidP="00151059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  <w:r w:rsidRPr="00192F2A">
              <w:rPr>
                <w:rFonts w:asciiTheme="majorHAnsi" w:hAnsiTheme="majorHAnsi" w:cs="Helvetica"/>
              </w:rPr>
              <w:t xml:space="preserve">Como se observa en la </w:t>
            </w:r>
            <w:r w:rsidRPr="00192F2A">
              <w:rPr>
                <w:rFonts w:asciiTheme="majorHAnsi" w:hAnsiTheme="majorHAnsi" w:cs="Helvetica"/>
              </w:rPr>
              <w:fldChar w:fldCharType="begin"/>
            </w:r>
            <w:r w:rsidRPr="00192F2A">
              <w:rPr>
                <w:rFonts w:asciiTheme="majorHAnsi" w:hAnsiTheme="majorHAnsi" w:cs="Helvetica"/>
              </w:rPr>
              <w:instrText xml:space="preserve"> REF _Ref486864284 \h </w:instrText>
            </w:r>
            <w:r>
              <w:rPr>
                <w:rFonts w:asciiTheme="majorHAnsi" w:hAnsiTheme="majorHAnsi" w:cs="Helvetica"/>
              </w:rPr>
              <w:instrText xml:space="preserve"> \* MERGEFORMAT </w:instrText>
            </w:r>
            <w:r w:rsidRPr="00192F2A">
              <w:rPr>
                <w:rFonts w:asciiTheme="majorHAnsi" w:hAnsiTheme="majorHAnsi" w:cs="Helvetica"/>
              </w:rPr>
            </w:r>
            <w:r w:rsidRPr="00192F2A">
              <w:rPr>
                <w:rFonts w:asciiTheme="majorHAnsi" w:hAnsiTheme="majorHAnsi" w:cs="Helvetica"/>
              </w:rPr>
              <w:fldChar w:fldCharType="separate"/>
            </w:r>
            <w:r w:rsidR="00D9702C" w:rsidRPr="00D9702C">
              <w:rPr>
                <w:rFonts w:asciiTheme="majorHAnsi" w:hAnsiTheme="majorHAnsi"/>
                <w:i/>
                <w:iCs/>
                <w:color w:val="44546A" w:themeColor="text2"/>
                <w:szCs w:val="18"/>
              </w:rPr>
              <w:t>Tabla 1</w:t>
            </w:r>
            <w:r w:rsidRPr="00192F2A">
              <w:rPr>
                <w:rFonts w:asciiTheme="majorHAnsi" w:hAnsiTheme="majorHAnsi" w:cs="Helvetica"/>
              </w:rPr>
              <w:fldChar w:fldCharType="end"/>
            </w:r>
            <w:r w:rsidRPr="00192F2A">
              <w:rPr>
                <w:rFonts w:asciiTheme="majorHAnsi" w:hAnsiTheme="majorHAnsi" w:cs="Helvetica"/>
              </w:rPr>
              <w:t>, durante el año 2016 ingresaron al Troje 4 aproximadamente 1.906.620,13 m3 de escombros, de los cuales el 93% corresponde al horario diurno, mientras que el 7% ingresa durante el horario nocturno. Cabe mencionar que estos porcentajes se utilizaron para determinar los costos e inversiones del operador en los diferentes horarios, diferenciando aquellos insumos que se emplean únicamente durante la noche.</w:t>
            </w:r>
          </w:p>
          <w:p w:rsidR="002E4E77" w:rsidRPr="00151059" w:rsidRDefault="002E4E77" w:rsidP="00C6168C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A23947" w:rsidRPr="00151059" w:rsidRDefault="00A23947" w:rsidP="00C6168C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2E4E77" w:rsidRPr="00151059" w:rsidRDefault="002E4E77" w:rsidP="002E4E77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/>
                <w:sz w:val="20"/>
                <w:szCs w:val="20"/>
              </w:rPr>
              <w:lastRenderedPageBreak/>
              <w:t>Inversiones Operador</w:t>
            </w:r>
          </w:p>
          <w:p w:rsidR="002E4E77" w:rsidRPr="00151059" w:rsidRDefault="002E4E77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151059" w:rsidRPr="00192F2A" w:rsidRDefault="00151059" w:rsidP="00151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20"/>
                <w:szCs w:val="20"/>
              </w:rPr>
              <w:t xml:space="preserve">Para la operación de una escombrera de similares características al Troje 4, se requieren una inversión inicial aproximada de </w:t>
            </w:r>
            <w:r w:rsidRPr="00192F2A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$3.448.420,50 </w:t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 xml:space="preserve">que incluye maquinaria y equipamiento, como se puede apreciar en la </w:t>
            </w:r>
            <w:r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_Ref486866535 \h </w:instrText>
            </w:r>
            <w:r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\* MERGEFORMAT </w:instrText>
            </w:r>
            <w:r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="00D9702C" w:rsidRPr="00D9702C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2</w:t>
            </w:r>
            <w:r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.</w:t>
            </w:r>
          </w:p>
          <w:p w:rsidR="00151059" w:rsidRPr="00192F2A" w:rsidRDefault="00151059" w:rsidP="00151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151059" w:rsidRPr="00FA3408" w:rsidRDefault="00151059" w:rsidP="00151059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1" w:name="_Ref486866535"/>
            <w:r w:rsidRPr="00FA3408">
              <w:rPr>
                <w:rFonts w:asciiTheme="majorHAnsi" w:hAnsiTheme="majorHAnsi"/>
                <w:sz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</w:rPr>
              <w:fldChar w:fldCharType="separate"/>
            </w:r>
            <w:r w:rsidR="00D9702C">
              <w:rPr>
                <w:rFonts w:asciiTheme="majorHAnsi" w:hAnsiTheme="majorHAnsi"/>
                <w:noProof/>
                <w:sz w:val="20"/>
              </w:rPr>
              <w:t>2</w:t>
            </w:r>
            <w:r w:rsidRPr="00FA3408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FA3408">
              <w:rPr>
                <w:rFonts w:asciiTheme="majorHAnsi" w:hAnsiTheme="majorHAnsi"/>
                <w:sz w:val="20"/>
              </w:rPr>
              <w:t>. Inversión inicial Escombrera</w:t>
            </w:r>
          </w:p>
          <w:tbl>
            <w:tblPr>
              <w:tblStyle w:val="Tablaconcuadrcula"/>
              <w:tblW w:w="6524" w:type="dxa"/>
              <w:jc w:val="center"/>
              <w:tblLook w:val="04A0" w:firstRow="1" w:lastRow="0" w:firstColumn="1" w:lastColumn="0" w:noHBand="0" w:noVBand="1"/>
            </w:tblPr>
            <w:tblGrid>
              <w:gridCol w:w="2967"/>
              <w:gridCol w:w="862"/>
              <w:gridCol w:w="1366"/>
              <w:gridCol w:w="1329"/>
            </w:tblGrid>
            <w:tr w:rsidR="00151059" w:rsidRPr="00192F2A" w:rsidTr="009A7C95">
              <w:trPr>
                <w:trHeight w:val="388"/>
                <w:jc w:val="center"/>
              </w:trPr>
              <w:tc>
                <w:tcPr>
                  <w:tcW w:w="2967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Inversión</w:t>
                  </w:r>
                </w:p>
              </w:tc>
              <w:tc>
                <w:tcPr>
                  <w:tcW w:w="862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Cantidad</w:t>
                  </w:r>
                </w:p>
              </w:tc>
              <w:tc>
                <w:tcPr>
                  <w:tcW w:w="1366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Valor/Unidad</w:t>
                  </w:r>
                </w:p>
              </w:tc>
              <w:tc>
                <w:tcPr>
                  <w:tcW w:w="1329" w:type="dxa"/>
                  <w:shd w:val="clear" w:color="auto" w:fill="D0CECE" w:themeFill="background2" w:themeFillShade="E6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Valor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Maquinaria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D155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450.000,00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900.000,00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D8L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510.000,00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510.000,00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D65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450.000,00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450.000,00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Excavadora de Oruga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320.000,00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320.000,00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Motoniveladora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420.000,00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420.000,00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Rodillo pata de cabra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145.000,00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145.000,00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Tanquero para control de polvos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100.000,00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100.000,00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Cargadora frontal para bacheos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215.000,00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     215.000,00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Equipamiento Escombreras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Campers tipo oficina 20 pies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7.934,40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15.868,80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Garitas de guardianía 1,2 x 1,2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2.508,00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2.508,00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Baterías Sanitarias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9.690,00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9.690,00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Sistemas CCTV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26.676,00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26.676,00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 de facturación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6.498,00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6.498,00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 de control de acceso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9.120,00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9.120,00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Cabinas de cobro 1,2 x 1,2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2.622,00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2.622,00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Generador Eléctrico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Radio Comunicación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670,32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670,32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Equipos adicionales (biométrico y teléfono)</w:t>
                  </w:r>
                </w:p>
              </w:tc>
              <w:tc>
                <w:tcPr>
                  <w:tcW w:w="862" w:type="dxa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746,70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1.493,40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Cableado Estructurado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1.767,00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1.767,00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Torres de Iluminación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</w:t>
                  </w:r>
                  <w:r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13.266,80</w:t>
                  </w: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26.533,59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Varios Equipamiento Escombreras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Acometidas de instalaciones eléctricas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4.645,06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Acometidas de agua potable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3.251,54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Obras Civiles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Fosa Séptica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1.200,00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Obras preliminares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240.000,00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Tanque de combustible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8.200,00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Plan de Manejo Ambiental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Señalética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5.000,00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Cunetas Superficiales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10.000,00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Equipos de Oficina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151059" w:rsidRPr="00192F2A" w:rsidRDefault="00151059" w:rsidP="00151059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Equipos de oficina (computadora, impresora y equipo de oficina)</w:t>
                  </w:r>
                </w:p>
              </w:tc>
              <w:tc>
                <w:tcPr>
                  <w:tcW w:w="862" w:type="dxa"/>
                </w:tcPr>
                <w:p w:rsidR="00151059" w:rsidRPr="00192F2A" w:rsidRDefault="00151059" w:rsidP="00151059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2.043,83</w:t>
                  </w:r>
                </w:p>
              </w:tc>
            </w:tr>
            <w:tr w:rsidR="00151059" w:rsidRPr="00192F2A" w:rsidTr="009A7C95">
              <w:trPr>
                <w:jc w:val="center"/>
              </w:trPr>
              <w:tc>
                <w:tcPr>
                  <w:tcW w:w="5195" w:type="dxa"/>
                  <w:gridSpan w:val="3"/>
                  <w:shd w:val="clear" w:color="auto" w:fill="323E4F" w:themeFill="text2" w:themeFillShade="BF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  <w:t>TOTAL</w:t>
                  </w:r>
                </w:p>
              </w:tc>
              <w:tc>
                <w:tcPr>
                  <w:tcW w:w="1329" w:type="dxa"/>
                  <w:shd w:val="clear" w:color="auto" w:fill="323E4F" w:themeFill="text2" w:themeFillShade="BF"/>
                  <w:vAlign w:val="center"/>
                </w:tcPr>
                <w:p w:rsidR="00151059" w:rsidRPr="00192F2A" w:rsidRDefault="00151059" w:rsidP="00151059">
                  <w:pPr>
                    <w:jc w:val="right"/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  <w:t>$ 3.448.420,50</w:t>
                  </w:r>
                </w:p>
              </w:tc>
            </w:tr>
          </w:tbl>
          <w:p w:rsidR="00151059" w:rsidRPr="00192F2A" w:rsidRDefault="00151059" w:rsidP="00151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6"/>
                <w:szCs w:val="20"/>
              </w:rPr>
            </w:pPr>
            <w:r w:rsidRPr="00192F2A">
              <w:rPr>
                <w:rFonts w:asciiTheme="majorHAnsi" w:hAnsiTheme="majorHAnsi" w:cs="Helvetica"/>
                <w:sz w:val="16"/>
                <w:szCs w:val="20"/>
              </w:rPr>
              <w:t>Fuente: Operador Troje 4, Coordinación de Escombreras, Unidad de Transporte, Coordinación de Tecnologías de Información y Comunicación, Unidad de Transporte, Coordinación de Seguridad, Salud Ocupacional y Ambiente.</w:t>
            </w:r>
          </w:p>
          <w:p w:rsidR="00151059" w:rsidRPr="00192F2A" w:rsidRDefault="00151059" w:rsidP="00151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2E4E77" w:rsidRPr="00151059" w:rsidRDefault="00151059" w:rsidP="00151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20"/>
                <w:szCs w:val="20"/>
              </w:rPr>
              <w:t>La inversión necesaria (</w: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_Ref486866535 \h  \* MERGEFORMAT </w:instrTex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="00D9702C" w:rsidRPr="00D9702C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2</w: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>) en el periodo pre operativo para disponer 1.906.620,13 m3, deberá ser repuesta de acuerdo a la vida útil de cada activo.</w:t>
            </w:r>
          </w:p>
          <w:p w:rsidR="00D74867" w:rsidRPr="00151059" w:rsidRDefault="00D74867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2E4E77" w:rsidRPr="00151059" w:rsidRDefault="002E4E77" w:rsidP="002E4E77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Costos del Operador </w:t>
            </w:r>
          </w:p>
          <w:p w:rsidR="002E4E77" w:rsidRPr="00151059" w:rsidRDefault="002E4E77" w:rsidP="00C6168C">
            <w:pPr>
              <w:pStyle w:val="Prrafodelista"/>
              <w:ind w:left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151059" w:rsidRDefault="00151059" w:rsidP="00151059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Para la operación del Troje 4 en horario diurno se requieren en promedio </w:t>
            </w:r>
            <w:r w:rsidRPr="00BE444D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$1.423.788,79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anuales y una proporción anual de la inversión inicial correspondiente a $ 319.121,98. Estos valores dan como resultado un co</w:t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sto total anual aproximado de </w:t>
            </w:r>
            <w:r w:rsidRPr="00BE444D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$1.742.910,77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. </w:t>
            </w:r>
          </w:p>
          <w:p w:rsidR="00151059" w:rsidRDefault="00151059" w:rsidP="00151059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151059" w:rsidRPr="00192F2A" w:rsidRDefault="00151059" w:rsidP="00151059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Considerando un ingreso proyectado de 1.771.272,66 m3 para el año 2016 en horario diurno, se obtiene un costo por m3 de </w:t>
            </w:r>
            <w:r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$1,13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, tomando en consideración un 15% de ganancia para el operador</w:t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(</w: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_Ref486868113 \h  \* MERGEFORMAT </w:instrTex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="00D9702C" w:rsidRPr="00D9702C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3</w: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>)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.</w:t>
            </w:r>
          </w:p>
          <w:p w:rsidR="00151059" w:rsidRPr="00BE444D" w:rsidRDefault="00151059" w:rsidP="0015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151059" w:rsidRPr="00192F2A" w:rsidRDefault="00151059" w:rsidP="00151059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2" w:name="_Ref486868113"/>
            <w:r w:rsidRPr="00192F2A">
              <w:rPr>
                <w:rFonts w:asciiTheme="majorHAnsi" w:hAnsiTheme="majorHAnsi"/>
                <w:sz w:val="20"/>
              </w:rPr>
              <w:t xml:space="preserve">Tabla </w:t>
            </w:r>
            <w:r w:rsidRPr="00192F2A">
              <w:rPr>
                <w:rFonts w:asciiTheme="majorHAnsi" w:hAnsiTheme="majorHAnsi"/>
                <w:sz w:val="20"/>
              </w:rPr>
              <w:fldChar w:fldCharType="begin"/>
            </w:r>
            <w:r w:rsidRPr="00192F2A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192F2A">
              <w:rPr>
                <w:rFonts w:asciiTheme="majorHAnsi" w:hAnsiTheme="majorHAnsi"/>
                <w:sz w:val="20"/>
              </w:rPr>
              <w:fldChar w:fldCharType="separate"/>
            </w:r>
            <w:r w:rsidR="00D9702C">
              <w:rPr>
                <w:rFonts w:asciiTheme="majorHAnsi" w:hAnsiTheme="majorHAnsi"/>
                <w:noProof/>
                <w:sz w:val="20"/>
              </w:rPr>
              <w:t>3</w:t>
            </w:r>
            <w:r w:rsidRPr="00192F2A">
              <w:rPr>
                <w:rFonts w:asciiTheme="majorHAnsi" w:hAnsiTheme="majorHAnsi"/>
                <w:sz w:val="20"/>
              </w:rPr>
              <w:fldChar w:fldCharType="end"/>
            </w:r>
            <w:bookmarkEnd w:id="2"/>
            <w:r w:rsidRPr="00192F2A">
              <w:rPr>
                <w:rFonts w:asciiTheme="majorHAnsi" w:hAnsiTheme="majorHAnsi"/>
                <w:sz w:val="20"/>
              </w:rPr>
              <w:t>. Costo Unitario Anual del Operador</w:t>
            </w:r>
          </w:p>
          <w:tbl>
            <w:tblPr>
              <w:tblW w:w="57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1520"/>
            </w:tblGrid>
            <w:tr w:rsidR="00151059" w:rsidRPr="00192F2A" w:rsidTr="009A7C95">
              <w:trPr>
                <w:trHeight w:val="300"/>
                <w:tblHeader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(USD/M3</w:t>
                  </w: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)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0,16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Plan de Manejo Ambiental (PMA)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Combustible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0,27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Mantenimiento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0,14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Agua control de polvo e hidratación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Equipo de Oficina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0,0005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Obras complementarias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Equipamiento de Escombreras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Varios equipamiento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0,003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Seguros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0,06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Básicos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0,002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Guardianía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Reforestación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0,001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Plan de Invierno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0,06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Tonelada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0,76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Imprevistos 5%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0,04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Proporción Inversión Inicial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Unitario (USD/M3)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Pr="00192F2A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0,98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15% Ganancia Operador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51059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0,147</w:t>
                  </w:r>
                </w:p>
              </w:tc>
            </w:tr>
            <w:tr w:rsidR="00151059" w:rsidRPr="00192F2A" w:rsidTr="009A7C95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151059" w:rsidRPr="00FA3408" w:rsidRDefault="00151059" w:rsidP="0015105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  <w:t>Costo Unitario Total por m3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151059" w:rsidRPr="00FA3408" w:rsidRDefault="00151059" w:rsidP="001510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  <w:t>1,127</w:t>
                  </w:r>
                </w:p>
              </w:tc>
            </w:tr>
          </w:tbl>
          <w:p w:rsidR="002E4E77" w:rsidRPr="00151059" w:rsidRDefault="00151059" w:rsidP="00151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8"/>
                <w:szCs w:val="20"/>
              </w:rPr>
            </w:pPr>
            <w:r w:rsidRPr="00192F2A">
              <w:rPr>
                <w:rFonts w:asciiTheme="majorHAnsi" w:hAnsiTheme="majorHAnsi" w:cs="Helvetica"/>
                <w:sz w:val="18"/>
                <w:szCs w:val="20"/>
              </w:rPr>
              <w:t>Fuente: Operador Troje 4, Coordinación de Escombreras, Unidad de Transporte, Coordinación de Tecnologías de Información y Comunicación, Unidad de Transporte, Coordinación de Seguridad, Salud Ocupacional y Ambiente.</w:t>
            </w:r>
          </w:p>
          <w:p w:rsidR="00A23947" w:rsidRPr="00151059" w:rsidRDefault="00A23947" w:rsidP="002E4E77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A23947" w:rsidRPr="00151059" w:rsidRDefault="00A23947" w:rsidP="00A23947">
            <w:pPr>
              <w:pStyle w:val="Encabezado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bCs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Tarifa EMGIRS EP</w:t>
            </w:r>
          </w:p>
          <w:p w:rsidR="00A23947" w:rsidRPr="00151059" w:rsidRDefault="00A23947" w:rsidP="00A23947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A23947" w:rsidRPr="00151059" w:rsidRDefault="00A23947" w:rsidP="00A23947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>El análisis detallado previamente corresponde a los costos referencia</w:t>
            </w:r>
            <w:r w:rsidR="008E1958"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>les</w:t>
            </w: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para el manejo de una Escombrera tipo Troje 4. Sin embargo, el contrato modificatorio al contrato EMGIRS-EP-CJU-2017-008 suscrito el 06 de marzo de 2017, entre la Empresa Metropolitana de Gestión de Residuos Sólidos y el Consorcio El Troje Oyacoto para la “Operación de Escombreras EMGIRS EP Troje 4 Fase II y Oyacoto”, establece el siguiente precio unitario para el horario nocturno: </w:t>
            </w:r>
          </w:p>
          <w:p w:rsidR="00A23947" w:rsidRDefault="00A23947" w:rsidP="00A23947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noProof/>
                <w:sz w:val="20"/>
                <w:szCs w:val="20"/>
                <w:lang w:eastAsia="es-EC"/>
              </w:rPr>
            </w:pPr>
          </w:p>
          <w:p w:rsidR="00F44A40" w:rsidRPr="00FA3408" w:rsidRDefault="00F44A40" w:rsidP="00F44A40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A3408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702C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A3408">
              <w:rPr>
                <w:rFonts w:asciiTheme="majorHAnsi" w:hAnsiTheme="majorHAnsi"/>
                <w:sz w:val="20"/>
                <w:szCs w:val="20"/>
              </w:rPr>
              <w:t>. Precio Unitario para el horario diurno Consorcio El Troje Oyacoto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5"/>
              <w:gridCol w:w="794"/>
              <w:gridCol w:w="1380"/>
            </w:tblGrid>
            <w:tr w:rsidR="00F44A40" w:rsidRPr="00FA3408" w:rsidTr="009A7C95">
              <w:trPr>
                <w:trHeight w:val="418"/>
                <w:jc w:val="center"/>
              </w:trPr>
              <w:tc>
                <w:tcPr>
                  <w:tcW w:w="2095" w:type="dxa"/>
                  <w:shd w:val="clear" w:color="auto" w:fill="D0CECE" w:themeFill="background2" w:themeFillShade="E6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610" w:type="dxa"/>
                  <w:shd w:val="clear" w:color="auto" w:fill="D0CECE" w:themeFill="background2" w:themeFillShade="E6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Unidad</w:t>
                  </w:r>
                </w:p>
              </w:tc>
              <w:tc>
                <w:tcPr>
                  <w:tcW w:w="1380" w:type="dxa"/>
                  <w:shd w:val="clear" w:color="auto" w:fill="D0CECE" w:themeFill="background2" w:themeFillShade="E6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Precio Unitario</w:t>
                  </w:r>
                </w:p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(USD/M3)</w:t>
                  </w:r>
                </w:p>
              </w:tc>
            </w:tr>
            <w:tr w:rsidR="00F44A40" w:rsidRPr="00FA3408" w:rsidTr="009A7C95">
              <w:trPr>
                <w:trHeight w:val="848"/>
                <w:jc w:val="center"/>
              </w:trPr>
              <w:tc>
                <w:tcPr>
                  <w:tcW w:w="2095" w:type="dxa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sz w:val="20"/>
                      <w:szCs w:val="20"/>
                    </w:rPr>
                    <w:t>Servicio de disposición fin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al de escombros – Jornada Nocturna</w:t>
                  </w:r>
                </w:p>
              </w:tc>
              <w:tc>
                <w:tcPr>
                  <w:tcW w:w="610" w:type="dxa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380" w:type="dxa"/>
                  <w:vAlign w:val="center"/>
                </w:tcPr>
                <w:p w:rsidR="00F44A40" w:rsidRPr="00FA3408" w:rsidRDefault="00F44A40" w:rsidP="00F44A4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1,4455769600</w:t>
                  </w:r>
                </w:p>
              </w:tc>
            </w:tr>
          </w:tbl>
          <w:p w:rsidR="00F44A40" w:rsidRPr="00FA3408" w:rsidRDefault="00F44A40" w:rsidP="00F44A40">
            <w:pPr>
              <w:pStyle w:val="Encabezado"/>
              <w:ind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18"/>
                <w:szCs w:val="20"/>
              </w:rPr>
            </w:pPr>
            <w:r w:rsidRPr="00FA3408">
              <w:rPr>
                <w:rFonts w:asciiTheme="majorHAnsi" w:hAnsiTheme="majorHAnsi" w:cs="Helvetica"/>
                <w:bCs/>
                <w:sz w:val="18"/>
                <w:szCs w:val="20"/>
              </w:rPr>
              <w:t>Fuente: contrato EMGIRS-EP-CJU-2017-008</w:t>
            </w:r>
          </w:p>
          <w:p w:rsidR="00A23947" w:rsidRPr="00151059" w:rsidRDefault="00A23947" w:rsidP="00A23947">
            <w:pPr>
              <w:pStyle w:val="Encabezado"/>
              <w:ind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2E4E77" w:rsidRPr="00151059" w:rsidRDefault="00A23947" w:rsidP="003A5F59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>La tarifa en para el</w:t>
            </w:r>
            <w:r w:rsidR="00F44A40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horario diurno corresponde a </w:t>
            </w:r>
            <w:r w:rsidR="00F44A40" w:rsidRPr="00F44A40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</w:t>
            </w:r>
            <w:r w:rsidR="00025C26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1,78</w:t>
            </w: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, considerando un 10% de </w:t>
            </w:r>
            <w:r w:rsidR="00025C26">
              <w:rPr>
                <w:rFonts w:asciiTheme="majorHAnsi" w:hAnsiTheme="majorHAnsi" w:cs="Helvetica"/>
                <w:bCs/>
                <w:sz w:val="20"/>
                <w:szCs w:val="20"/>
              </w:rPr>
              <w:t>sostenibilidad financiera</w:t>
            </w: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</w:t>
            </w:r>
            <w:r w:rsidR="003A5F59">
              <w:rPr>
                <w:rFonts w:asciiTheme="majorHAnsi" w:hAnsiTheme="majorHAnsi" w:cs="Helvetica"/>
                <w:bCs/>
                <w:sz w:val="20"/>
                <w:szCs w:val="20"/>
              </w:rPr>
              <w:t>del servicio</w:t>
            </w:r>
            <w:r w:rsidR="00025C26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y el 12% correspondiente a IVA que debe ser cancelado por la empresa</w:t>
            </w:r>
            <w:r w:rsidRPr="00151059">
              <w:rPr>
                <w:rFonts w:asciiTheme="majorHAnsi" w:hAnsiTheme="majorHAnsi" w:cs="Helvetica"/>
                <w:bCs/>
                <w:sz w:val="20"/>
                <w:szCs w:val="20"/>
              </w:rPr>
              <w:t>.</w:t>
            </w:r>
          </w:p>
        </w:tc>
      </w:tr>
    </w:tbl>
    <w:p w:rsidR="002E4E77" w:rsidRPr="00151059" w:rsidRDefault="002E4E77" w:rsidP="002E4E77">
      <w:pPr>
        <w:rPr>
          <w:rFonts w:asciiTheme="majorHAnsi" w:hAnsiTheme="majorHAnsi"/>
          <w:sz w:val="20"/>
          <w:szCs w:val="20"/>
        </w:rPr>
      </w:pPr>
    </w:p>
    <w:sectPr w:rsidR="002E4E77" w:rsidRPr="001510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C3" w:rsidRDefault="005D02C3">
      <w:pPr>
        <w:spacing w:after="0" w:line="240" w:lineRule="auto"/>
      </w:pPr>
      <w:r>
        <w:separator/>
      </w:r>
    </w:p>
  </w:endnote>
  <w:endnote w:type="continuationSeparator" w:id="0">
    <w:p w:rsidR="005D02C3" w:rsidRDefault="005D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C3" w:rsidRDefault="005D02C3">
      <w:pPr>
        <w:spacing w:after="0" w:line="240" w:lineRule="auto"/>
      </w:pPr>
      <w:r>
        <w:separator/>
      </w:r>
    </w:p>
  </w:footnote>
  <w:footnote w:type="continuationSeparator" w:id="0">
    <w:p w:rsidR="005D02C3" w:rsidRDefault="005D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5E" w:rsidRDefault="00C3178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8CD998A" wp14:editId="2287F650">
          <wp:simplePos x="0" y="0"/>
          <wp:positionH relativeFrom="column">
            <wp:posOffset>4619625</wp:posOffset>
          </wp:positionH>
          <wp:positionV relativeFrom="paragraph">
            <wp:posOffset>-257810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3BC"/>
    <w:multiLevelType w:val="hybridMultilevel"/>
    <w:tmpl w:val="93E2DF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0B63"/>
    <w:multiLevelType w:val="hybridMultilevel"/>
    <w:tmpl w:val="93E2DF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7"/>
    <w:rsid w:val="00025C26"/>
    <w:rsid w:val="001124E7"/>
    <w:rsid w:val="00151059"/>
    <w:rsid w:val="0023585D"/>
    <w:rsid w:val="002E4E77"/>
    <w:rsid w:val="003A5F59"/>
    <w:rsid w:val="004940F0"/>
    <w:rsid w:val="004C5134"/>
    <w:rsid w:val="00597F55"/>
    <w:rsid w:val="005D02C3"/>
    <w:rsid w:val="007E4215"/>
    <w:rsid w:val="008E1958"/>
    <w:rsid w:val="00A23947"/>
    <w:rsid w:val="00AA196A"/>
    <w:rsid w:val="00C31783"/>
    <w:rsid w:val="00CC37E8"/>
    <w:rsid w:val="00D74867"/>
    <w:rsid w:val="00D9702C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0E42B6-4E7F-4372-A50D-E7B44C5C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2E4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2E4E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4E7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4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2E4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2E4E77"/>
  </w:style>
  <w:style w:type="paragraph" w:styleId="Prrafodelista">
    <w:name w:val="List Paragraph"/>
    <w:basedOn w:val="Normal"/>
    <w:uiPriority w:val="34"/>
    <w:qFormat/>
    <w:rsid w:val="002E4E7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1510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15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13</cp:revision>
  <cp:lastPrinted>2017-07-25T20:02:00Z</cp:lastPrinted>
  <dcterms:created xsi:type="dcterms:W3CDTF">2017-04-12T21:02:00Z</dcterms:created>
  <dcterms:modified xsi:type="dcterms:W3CDTF">2017-07-25T20:11:00Z</dcterms:modified>
</cp:coreProperties>
</file>