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985"/>
        <w:gridCol w:w="6843"/>
      </w:tblGrid>
      <w:tr w:rsidR="002E6FFA" w:rsidRPr="00503FF2" w:rsidTr="00503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</w:tcPr>
          <w:p w:rsidR="002E6FFA" w:rsidRPr="00503FF2" w:rsidRDefault="00503FF2" w:rsidP="002E6F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FF2">
              <w:rPr>
                <w:rFonts w:asciiTheme="majorHAnsi" w:hAnsiTheme="majorHAnsi"/>
                <w:sz w:val="20"/>
                <w:szCs w:val="20"/>
              </w:rPr>
              <w:t>TRATAMIENTO Y DISPOSICIÓN FINAL DE RESIDUOS SANITARIOS (INFECCIOSOS, BIOLÓGICOS Y CORTOPUNZANTES)  (MÍNIMO 420.000 KILOS ANUALES)</w:t>
            </w:r>
          </w:p>
        </w:tc>
      </w:tr>
      <w:tr w:rsidR="002E6FFA" w:rsidRPr="00503FF2" w:rsidTr="00503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E6FFA" w:rsidRPr="00503FF2" w:rsidRDefault="00503FF2" w:rsidP="00C616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servicio</w:t>
            </w:r>
          </w:p>
        </w:tc>
        <w:tc>
          <w:tcPr>
            <w:tcW w:w="6843" w:type="dxa"/>
          </w:tcPr>
          <w:p w:rsidR="002E6FFA" w:rsidRPr="00503FF2" w:rsidRDefault="002E6FFA" w:rsidP="00AD6C92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503FF2">
              <w:rPr>
                <w:rFonts w:asciiTheme="majorHAnsi" w:hAnsiTheme="majorHAnsi" w:cs="Arial"/>
              </w:rPr>
              <w:t xml:space="preserve">El Servicio comprende la recolección diferenciada, el transporte, tratamiento de desinfección de desechos incontaminados a través autoclaves y la disposición final del deshecho descontaminado en el Rellano Sanitario de Quito para Gestores con ingresos </w:t>
            </w:r>
            <w:r w:rsidR="00AD6C92" w:rsidRPr="00503FF2">
              <w:rPr>
                <w:rFonts w:asciiTheme="majorHAnsi" w:hAnsiTheme="majorHAnsi" w:cs="Arial"/>
              </w:rPr>
              <w:t>de mínimo 35.000 kilos mensuales</w:t>
            </w:r>
            <w:r w:rsidRPr="00503FF2">
              <w:rPr>
                <w:rFonts w:asciiTheme="majorHAnsi" w:hAnsiTheme="majorHAnsi" w:cs="Arial"/>
              </w:rPr>
              <w:t>.</w:t>
            </w:r>
          </w:p>
        </w:tc>
      </w:tr>
      <w:tr w:rsidR="00717457" w:rsidRPr="00503FF2" w:rsidTr="00503FF2">
        <w:tblPrEx>
          <w:tblCellMar>
            <w:left w:w="70" w:type="dxa"/>
            <w:right w:w="70" w:type="dxa"/>
          </w:tblCellMar>
        </w:tblPrEx>
        <w:trPr>
          <w:trHeight w:val="2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17457" w:rsidRPr="00470BDE" w:rsidRDefault="00717457" w:rsidP="00717457">
            <w:pPr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843" w:type="dxa"/>
          </w:tcPr>
          <w:p w:rsidR="00717457" w:rsidRPr="00285FD6" w:rsidRDefault="00717457" w:rsidP="00717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717457" w:rsidRDefault="00717457" w:rsidP="00717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717457" w:rsidRPr="00470BDE" w:rsidRDefault="00717457" w:rsidP="00717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717457" w:rsidRPr="00470BDE" w:rsidRDefault="00717457" w:rsidP="00717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717457" w:rsidRPr="00470BDE" w:rsidRDefault="00717457" w:rsidP="00717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717457" w:rsidRPr="00470BDE" w:rsidRDefault="00717457" w:rsidP="00717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717457" w:rsidRPr="00470BDE" w:rsidRDefault="00717457" w:rsidP="00717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717457" w:rsidRDefault="00717457" w:rsidP="00717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717457" w:rsidRPr="00470BDE" w:rsidRDefault="00717457" w:rsidP="00717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</w:tr>
      <w:tr w:rsidR="002E6FFA" w:rsidRPr="00503FF2" w:rsidTr="00DA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E6FFA" w:rsidRPr="00503FF2" w:rsidRDefault="002E6FFA" w:rsidP="00C6168C">
            <w:pPr>
              <w:rPr>
                <w:rFonts w:asciiTheme="majorHAnsi" w:hAnsiTheme="majorHAnsi"/>
                <w:sz w:val="20"/>
                <w:szCs w:val="20"/>
              </w:rPr>
            </w:pPr>
            <w:r w:rsidRPr="00503FF2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2E6FFA" w:rsidRPr="00503FF2" w:rsidRDefault="002E6FFA" w:rsidP="00C616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43" w:type="dxa"/>
          </w:tcPr>
          <w:p w:rsidR="002E6FFA" w:rsidRPr="00503FF2" w:rsidRDefault="002E6FFA" w:rsidP="002E6FFA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3FF2">
              <w:rPr>
                <w:rFonts w:asciiTheme="majorHAnsi" w:hAnsiTheme="majorHAnsi" w:cs="Arial"/>
                <w:b/>
                <w:sz w:val="20"/>
                <w:szCs w:val="20"/>
              </w:rPr>
              <w:t xml:space="preserve">Antecedentes: </w:t>
            </w:r>
          </w:p>
          <w:p w:rsidR="002E6FFA" w:rsidRPr="00503FF2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6FFA" w:rsidRPr="00503FF2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03FF2">
              <w:rPr>
                <w:rFonts w:asciiTheme="majorHAnsi" w:hAnsiTheme="majorHAnsi" w:cs="Arial"/>
                <w:sz w:val="20"/>
                <w:szCs w:val="20"/>
              </w:rPr>
              <w:t>A través de memorando No. 161-GOP-CNP-2013 de 24 de junio de 2013, la Coordinadora de Negocios propios remite a la Gerencia General de la EMGIRS EP el Informe Técnico de Costos de Operación para el nuevo modelo tarifario del servicio de gestión integral de desechos sólidos hospitalarios.</w:t>
            </w:r>
          </w:p>
          <w:p w:rsidR="002E6FFA" w:rsidRPr="00503FF2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6FFA" w:rsidRPr="00DA04A8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03FF2">
              <w:rPr>
                <w:rFonts w:asciiTheme="majorHAnsi" w:hAnsiTheme="majorHAnsi" w:cs="Arial"/>
                <w:sz w:val="20"/>
                <w:szCs w:val="20"/>
              </w:rPr>
              <w:t>Mediante Re</w:t>
            </w:r>
            <w:r w:rsidR="00DA04A8">
              <w:rPr>
                <w:rFonts w:asciiTheme="majorHAnsi" w:hAnsiTheme="majorHAnsi" w:cs="Arial"/>
                <w:sz w:val="20"/>
                <w:szCs w:val="20"/>
              </w:rPr>
              <w:t>solución No. 074-GGE-EMGIRS EP-</w:t>
            </w:r>
            <w:r w:rsidRPr="00503FF2">
              <w:rPr>
                <w:rFonts w:asciiTheme="majorHAnsi" w:hAnsiTheme="majorHAnsi" w:cs="Arial"/>
                <w:sz w:val="20"/>
                <w:szCs w:val="20"/>
              </w:rPr>
              <w:t>2013</w:t>
            </w:r>
            <w:r w:rsidR="00DA04A8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503FF2">
              <w:rPr>
                <w:rFonts w:asciiTheme="majorHAnsi" w:hAnsiTheme="majorHAnsi" w:cs="Arial"/>
                <w:sz w:val="20"/>
                <w:szCs w:val="20"/>
              </w:rPr>
              <w:t xml:space="preserve"> el Gerente General de la </w:t>
            </w:r>
            <w:r w:rsidR="00DA04A8">
              <w:rPr>
                <w:rFonts w:asciiTheme="majorHAnsi" w:hAnsiTheme="majorHAnsi" w:cs="Arial"/>
                <w:sz w:val="20"/>
                <w:szCs w:val="20"/>
              </w:rPr>
              <w:t xml:space="preserve">EMGIRS EP resuelve en el Art. 1: </w:t>
            </w:r>
            <w:r w:rsidRPr="00DA04A8">
              <w:rPr>
                <w:rFonts w:asciiTheme="majorHAnsi" w:hAnsiTheme="majorHAnsi" w:cs="Arial"/>
                <w:i/>
                <w:sz w:val="20"/>
                <w:szCs w:val="20"/>
              </w:rPr>
              <w:t>Acoger el informe técnico de costos de operación para el nuevo modelo tarifario del servicio integral de residuos hospitalarios, en el que se fijan las tarifas b</w:t>
            </w:r>
            <w:r w:rsidR="00DA04A8">
              <w:rPr>
                <w:rFonts w:asciiTheme="majorHAnsi" w:hAnsiTheme="majorHAnsi" w:cs="Arial"/>
                <w:i/>
                <w:sz w:val="20"/>
                <w:szCs w:val="20"/>
              </w:rPr>
              <w:t>ásicas de la siguiente manera:</w:t>
            </w:r>
          </w:p>
          <w:p w:rsidR="002E6FFA" w:rsidRPr="00503FF2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0"/>
              <w:gridCol w:w="2372"/>
            </w:tblGrid>
            <w:tr w:rsidR="00DA04A8" w:rsidTr="00C7003F">
              <w:trPr>
                <w:trHeight w:val="488"/>
                <w:jc w:val="center"/>
              </w:trPr>
              <w:tc>
                <w:tcPr>
                  <w:tcW w:w="2890" w:type="dxa"/>
                  <w:shd w:val="clear" w:color="auto" w:fill="D0CECE" w:themeFill="background2" w:themeFillShade="E6"/>
                  <w:vAlign w:val="center"/>
                </w:tcPr>
                <w:p w:rsidR="00DA04A8" w:rsidRPr="00800735" w:rsidRDefault="00DA04A8" w:rsidP="00DA04A8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TARIFARIO</w:t>
                  </w:r>
                </w:p>
              </w:tc>
              <w:tc>
                <w:tcPr>
                  <w:tcW w:w="2372" w:type="dxa"/>
                  <w:shd w:val="clear" w:color="auto" w:fill="D0CECE" w:themeFill="background2" w:themeFillShade="E6"/>
                  <w:vAlign w:val="center"/>
                </w:tcPr>
                <w:p w:rsidR="00DA04A8" w:rsidRPr="00800735" w:rsidRDefault="00DA04A8" w:rsidP="00DA04A8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ESTABLECIMIENTOS PÚBLICOS Y PRIVADOS</w:t>
                  </w:r>
                </w:p>
              </w:tc>
            </w:tr>
            <w:tr w:rsidR="00DA04A8" w:rsidTr="00C7003F">
              <w:trPr>
                <w:trHeight w:val="489"/>
                <w:jc w:val="center"/>
              </w:trPr>
              <w:tc>
                <w:tcPr>
                  <w:tcW w:w="2890" w:type="dxa"/>
                  <w:vAlign w:val="center"/>
                </w:tcPr>
                <w:p w:rsidR="00DA04A8" w:rsidRDefault="00DA04A8" w:rsidP="00DA04A8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Valor por cada Kilogramo, sin IVA</w:t>
                  </w:r>
                </w:p>
              </w:tc>
              <w:tc>
                <w:tcPr>
                  <w:tcW w:w="2372" w:type="dxa"/>
                  <w:vAlign w:val="center"/>
                </w:tcPr>
                <w:p w:rsidR="00DA04A8" w:rsidRDefault="00DA04A8" w:rsidP="00DA04A8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USD 1,50</w:t>
                  </w:r>
                </w:p>
              </w:tc>
            </w:tr>
          </w:tbl>
          <w:p w:rsidR="00503FF2" w:rsidRPr="00503FF2" w:rsidRDefault="00503FF2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6FFA" w:rsidRPr="00503FF2" w:rsidRDefault="002E6FFA" w:rsidP="002E6FFA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3FF2">
              <w:rPr>
                <w:rFonts w:asciiTheme="majorHAnsi" w:hAnsiTheme="majorHAnsi" w:cs="Arial"/>
                <w:b/>
                <w:sz w:val="20"/>
                <w:szCs w:val="20"/>
              </w:rPr>
              <w:t>Establecimiento de una tarifa para Grandes Gestores:</w:t>
            </w:r>
          </w:p>
          <w:p w:rsidR="002E6FFA" w:rsidRPr="00503FF2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6FFA" w:rsidRPr="00503FF2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03FF2">
              <w:rPr>
                <w:rFonts w:asciiTheme="majorHAnsi" w:hAnsiTheme="majorHAnsi" w:cs="Arial"/>
                <w:sz w:val="20"/>
                <w:szCs w:val="20"/>
              </w:rPr>
              <w:t xml:space="preserve">El 16 de febrero de 2017, mediante memorando No. GOP-UC-2017-041, la Unidad de Comercialización remite el informe para bajar la tarifa a los gestores ambientales que tengan una producción mayor a 35.000 kilos mensuales, dentro del cual señaló que: </w:t>
            </w:r>
          </w:p>
          <w:p w:rsidR="002E6FFA" w:rsidRPr="00503FF2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6FFA" w:rsidRPr="00DA04A8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A04A8">
              <w:rPr>
                <w:rFonts w:asciiTheme="majorHAnsi" w:hAnsiTheme="majorHAnsi" w:cs="Arial"/>
                <w:i/>
                <w:sz w:val="20"/>
                <w:szCs w:val="20"/>
              </w:rPr>
              <w:t>En la ciudad de Quito existen varios gestores ambientales calificados, además de la Empresa Metropolitana de Gestión Integral de Residuos Sólidos; que ofrecen una mayor cantidad de servicios, lo que ha generado una disminución significante en el número de clientes de la empresa.</w:t>
            </w:r>
            <w:r w:rsidR="002F6E12" w:rsidRPr="00DA04A8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DA04A8">
              <w:rPr>
                <w:rFonts w:asciiTheme="majorHAnsi" w:hAnsiTheme="majorHAnsi" w:cs="Arial"/>
                <w:i/>
                <w:sz w:val="20"/>
                <w:szCs w:val="20"/>
              </w:rPr>
              <w:t xml:space="preserve">De acuerdo a los datos entregados por AV </w:t>
            </w:r>
            <w:proofErr w:type="spellStart"/>
            <w:r w:rsidRPr="00DA04A8">
              <w:rPr>
                <w:rFonts w:asciiTheme="majorHAnsi" w:hAnsiTheme="majorHAnsi" w:cs="Arial"/>
                <w:i/>
                <w:sz w:val="20"/>
                <w:szCs w:val="20"/>
              </w:rPr>
              <w:t>Corp</w:t>
            </w:r>
            <w:proofErr w:type="spellEnd"/>
            <w:r w:rsidRPr="00DA04A8">
              <w:rPr>
                <w:rFonts w:asciiTheme="majorHAnsi" w:hAnsiTheme="majorHAnsi" w:cs="Arial"/>
                <w:i/>
                <w:sz w:val="20"/>
                <w:szCs w:val="20"/>
              </w:rPr>
              <w:t xml:space="preserve">, la disminución en número de clientes ha sido de un 20% con respecto a los clientes recolectados en el 2015.  </w:t>
            </w:r>
          </w:p>
          <w:p w:rsidR="002E6FFA" w:rsidRPr="00503FF2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AD6C92" w:rsidRPr="00503FF2" w:rsidRDefault="002E6FFA" w:rsidP="002E6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03FF2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Por este motivo se propone el cobro de una tarifa de </w:t>
            </w:r>
            <w:r w:rsidR="002F6E12" w:rsidRPr="00DA04A8">
              <w:rPr>
                <w:rFonts w:asciiTheme="majorHAnsi" w:hAnsiTheme="majorHAnsi" w:cs="Arial"/>
                <w:b/>
                <w:sz w:val="20"/>
                <w:szCs w:val="20"/>
              </w:rPr>
              <w:t>$</w:t>
            </w:r>
            <w:r w:rsidRPr="00DA04A8">
              <w:rPr>
                <w:rFonts w:asciiTheme="majorHAnsi" w:hAnsiTheme="majorHAnsi" w:cs="Arial"/>
                <w:b/>
                <w:sz w:val="20"/>
                <w:szCs w:val="20"/>
              </w:rPr>
              <w:t>1,35 por kg</w:t>
            </w:r>
            <w:r w:rsidR="002F6E12" w:rsidRPr="00503FF2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503FF2">
              <w:rPr>
                <w:rFonts w:asciiTheme="majorHAnsi" w:hAnsiTheme="majorHAnsi" w:cs="Arial"/>
                <w:sz w:val="20"/>
                <w:szCs w:val="20"/>
              </w:rPr>
              <w:t xml:space="preserve"> para los gestores con un ingreso </w:t>
            </w:r>
            <w:r w:rsidR="002F6E12" w:rsidRPr="00503FF2">
              <w:rPr>
                <w:rFonts w:asciiTheme="majorHAnsi" w:hAnsiTheme="majorHAnsi" w:cs="Arial"/>
                <w:sz w:val="20"/>
                <w:szCs w:val="20"/>
              </w:rPr>
              <w:t xml:space="preserve">mínimo mensual de 35.000 kilos, de tal manera que se evite la fuga de clientes. </w:t>
            </w:r>
          </w:p>
        </w:tc>
      </w:tr>
    </w:tbl>
    <w:p w:rsidR="002E6FFA" w:rsidRPr="00503FF2" w:rsidRDefault="002E6FFA" w:rsidP="002E6FFA">
      <w:pPr>
        <w:rPr>
          <w:rFonts w:asciiTheme="majorHAnsi" w:hAnsiTheme="majorHAnsi"/>
          <w:sz w:val="20"/>
          <w:szCs w:val="20"/>
        </w:rPr>
      </w:pPr>
    </w:p>
    <w:p w:rsidR="002E6FFA" w:rsidRPr="00503FF2" w:rsidRDefault="002E6FFA" w:rsidP="002E6FFA">
      <w:pPr>
        <w:rPr>
          <w:rFonts w:asciiTheme="majorHAnsi" w:hAnsiTheme="majorHAnsi"/>
          <w:sz w:val="20"/>
          <w:szCs w:val="20"/>
        </w:rPr>
      </w:pPr>
    </w:p>
    <w:p w:rsidR="004940F0" w:rsidRPr="00503FF2" w:rsidRDefault="004940F0">
      <w:pPr>
        <w:rPr>
          <w:rFonts w:asciiTheme="majorHAnsi" w:hAnsiTheme="majorHAnsi"/>
          <w:sz w:val="20"/>
          <w:szCs w:val="20"/>
        </w:rPr>
      </w:pPr>
    </w:p>
    <w:sectPr w:rsidR="004940F0" w:rsidRPr="00503F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D2" w:rsidRDefault="006B33D2" w:rsidP="002E6FFA">
      <w:pPr>
        <w:spacing w:after="0" w:line="240" w:lineRule="auto"/>
      </w:pPr>
      <w:r>
        <w:separator/>
      </w:r>
    </w:p>
  </w:endnote>
  <w:endnote w:type="continuationSeparator" w:id="0">
    <w:p w:rsidR="006B33D2" w:rsidRDefault="006B33D2" w:rsidP="002E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D2" w:rsidRDefault="006B33D2" w:rsidP="002E6FFA">
      <w:pPr>
        <w:spacing w:after="0" w:line="240" w:lineRule="auto"/>
      </w:pPr>
      <w:r>
        <w:separator/>
      </w:r>
    </w:p>
  </w:footnote>
  <w:footnote w:type="continuationSeparator" w:id="0">
    <w:p w:rsidR="006B33D2" w:rsidRDefault="006B33D2" w:rsidP="002E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5E" w:rsidRDefault="004E1B2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2774259" wp14:editId="74392D8A">
          <wp:simplePos x="0" y="0"/>
          <wp:positionH relativeFrom="column">
            <wp:posOffset>4619625</wp:posOffset>
          </wp:positionH>
          <wp:positionV relativeFrom="paragraph">
            <wp:posOffset>-257810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A88"/>
    <w:multiLevelType w:val="hybridMultilevel"/>
    <w:tmpl w:val="92C409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A"/>
    <w:rsid w:val="001B1533"/>
    <w:rsid w:val="002E6FFA"/>
    <w:rsid w:val="002F6E12"/>
    <w:rsid w:val="004940F0"/>
    <w:rsid w:val="004E1B23"/>
    <w:rsid w:val="00503FF2"/>
    <w:rsid w:val="006B33D2"/>
    <w:rsid w:val="00717457"/>
    <w:rsid w:val="00997645"/>
    <w:rsid w:val="00AD6C92"/>
    <w:rsid w:val="00D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1777B9-4705-4178-8433-8EECA985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2E6F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2E6F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6FFA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E6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2E6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FFA"/>
  </w:style>
  <w:style w:type="paragraph" w:styleId="Piedepgina">
    <w:name w:val="footer"/>
    <w:basedOn w:val="Normal"/>
    <w:link w:val="PiedepginaCar"/>
    <w:uiPriority w:val="99"/>
    <w:unhideWhenUsed/>
    <w:rsid w:val="002E6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FFA"/>
  </w:style>
  <w:style w:type="paragraph" w:styleId="Prrafodelista">
    <w:name w:val="List Paragraph"/>
    <w:basedOn w:val="Normal"/>
    <w:uiPriority w:val="34"/>
    <w:qFormat/>
    <w:rsid w:val="002E6F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6</cp:revision>
  <cp:lastPrinted>2017-07-25T20:04:00Z</cp:lastPrinted>
  <dcterms:created xsi:type="dcterms:W3CDTF">2017-04-13T16:12:00Z</dcterms:created>
  <dcterms:modified xsi:type="dcterms:W3CDTF">2017-07-25T20:11:00Z</dcterms:modified>
</cp:coreProperties>
</file>