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9C" w:rsidRDefault="00AB089C" w:rsidP="00F6070D">
      <w:pPr>
        <w:spacing w:line="240" w:lineRule="auto"/>
        <w:jc w:val="center"/>
        <w:rPr>
          <w:b/>
          <w:color w:val="1F497D" w:themeColor="text2"/>
          <w:sz w:val="24"/>
          <w:szCs w:val="24"/>
        </w:rPr>
      </w:pPr>
    </w:p>
    <w:p w:rsidR="00D217F9" w:rsidRDefault="007F5420" w:rsidP="007F5420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INFORME DE 66 CASOS CONSTANTES EN MATRIZ DE CAMBIOS 2016</w:t>
      </w:r>
    </w:p>
    <w:p w:rsidR="007F5420" w:rsidRDefault="007F5420" w:rsidP="007F5420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QUE PRESENTAN INCONSISTENCIAS ENTRE LOS DATOS DE LA MATRIZ Y LA GRAFICACIÓN EN LOS MAPAS</w:t>
      </w:r>
    </w:p>
    <w:p w:rsidR="007F5420" w:rsidRPr="00852655" w:rsidRDefault="007F5420" w:rsidP="007F5420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</w:p>
    <w:p w:rsidR="00E34858" w:rsidRPr="00852655" w:rsidRDefault="00E34858" w:rsidP="0012747C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color w:val="0070C0"/>
          <w:sz w:val="20"/>
          <w:szCs w:val="20"/>
        </w:rPr>
      </w:pPr>
      <w:r w:rsidRPr="00852655">
        <w:rPr>
          <w:b/>
          <w:color w:val="0070C0"/>
          <w:sz w:val="20"/>
          <w:szCs w:val="20"/>
        </w:rPr>
        <w:t>Antecedentes:</w:t>
      </w:r>
    </w:p>
    <w:p w:rsidR="00E34858" w:rsidRPr="00F6070D" w:rsidRDefault="00E34858" w:rsidP="00F6070D">
      <w:pPr>
        <w:spacing w:line="240" w:lineRule="auto"/>
        <w:jc w:val="both"/>
        <w:rPr>
          <w:sz w:val="20"/>
          <w:szCs w:val="20"/>
        </w:rPr>
      </w:pPr>
      <w:r w:rsidRPr="00F6070D">
        <w:rPr>
          <w:sz w:val="20"/>
          <w:szCs w:val="20"/>
        </w:rPr>
        <w:t>Con la finalidad de dar cumplimiento a lo dispuesto por el Concejo M</w:t>
      </w:r>
      <w:r w:rsidR="00840D8D">
        <w:rPr>
          <w:sz w:val="20"/>
          <w:szCs w:val="20"/>
        </w:rPr>
        <w:t>etropolitano llevado a cabo en S</w:t>
      </w:r>
      <w:r w:rsidRPr="00F6070D">
        <w:rPr>
          <w:sz w:val="20"/>
          <w:szCs w:val="20"/>
        </w:rPr>
        <w:t xml:space="preserve">esión </w:t>
      </w:r>
      <w:r w:rsidR="00840D8D">
        <w:rPr>
          <w:sz w:val="20"/>
          <w:szCs w:val="20"/>
        </w:rPr>
        <w:t xml:space="preserve">Ordinaria </w:t>
      </w:r>
      <w:r w:rsidRPr="00F6070D">
        <w:rPr>
          <w:sz w:val="20"/>
          <w:szCs w:val="20"/>
        </w:rPr>
        <w:t>del 07 de septiembre de 2017</w:t>
      </w:r>
      <w:r w:rsidR="00E11771">
        <w:rPr>
          <w:sz w:val="20"/>
          <w:szCs w:val="20"/>
        </w:rPr>
        <w:t>,</w:t>
      </w:r>
      <w:r w:rsidRPr="00F6070D">
        <w:rPr>
          <w:sz w:val="20"/>
          <w:szCs w:val="20"/>
        </w:rPr>
        <w:t xml:space="preserve"> en la que se </w:t>
      </w:r>
      <w:r w:rsidR="00840D8D">
        <w:rPr>
          <w:sz w:val="20"/>
          <w:szCs w:val="20"/>
        </w:rPr>
        <w:t xml:space="preserve">estableció </w:t>
      </w:r>
      <w:r w:rsidRPr="00F6070D">
        <w:rPr>
          <w:sz w:val="20"/>
          <w:szCs w:val="20"/>
        </w:rPr>
        <w:t>que los mapas del Plan de Uso y Ocupación del Suelo sean un fiel r</w:t>
      </w:r>
      <w:r w:rsidR="0068083A">
        <w:rPr>
          <w:sz w:val="20"/>
          <w:szCs w:val="20"/>
        </w:rPr>
        <w:t>eflejo de lo establecido en la Matriz de C</w:t>
      </w:r>
      <w:r w:rsidRPr="00F6070D">
        <w:rPr>
          <w:sz w:val="20"/>
          <w:szCs w:val="20"/>
        </w:rPr>
        <w:t>ambios 2016, la Dirección de Políticas y Planeamiento del Suelo realizó un análisis comparativo  entre los 985 polígono</w:t>
      </w:r>
      <w:r w:rsidR="0068083A">
        <w:rPr>
          <w:sz w:val="20"/>
          <w:szCs w:val="20"/>
        </w:rPr>
        <w:t>s de cambio que constan en la  Matriz de C</w:t>
      </w:r>
      <w:r w:rsidRPr="00F6070D">
        <w:rPr>
          <w:sz w:val="20"/>
          <w:szCs w:val="20"/>
        </w:rPr>
        <w:t>ambios 2016 y el P</w:t>
      </w:r>
      <w:r w:rsidR="00AF4767" w:rsidRPr="00F6070D">
        <w:rPr>
          <w:sz w:val="20"/>
          <w:szCs w:val="20"/>
        </w:rPr>
        <w:t xml:space="preserve">lan de Uso y Ocupación vigente, a fin de establecer </w:t>
      </w:r>
      <w:r w:rsidR="00BC12FF" w:rsidRPr="00F6070D">
        <w:rPr>
          <w:sz w:val="20"/>
          <w:szCs w:val="20"/>
        </w:rPr>
        <w:t>si existen diferencias entre ambas informaciones</w:t>
      </w:r>
      <w:r w:rsidR="00AF48CA">
        <w:rPr>
          <w:sz w:val="20"/>
          <w:szCs w:val="20"/>
        </w:rPr>
        <w:t>.</w:t>
      </w:r>
    </w:p>
    <w:p w:rsidR="00AF4767" w:rsidRPr="00852655" w:rsidRDefault="00AF4767" w:rsidP="0012747C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color w:val="0070C0"/>
          <w:sz w:val="20"/>
          <w:szCs w:val="20"/>
        </w:rPr>
      </w:pPr>
      <w:r w:rsidRPr="00852655">
        <w:rPr>
          <w:b/>
          <w:color w:val="0070C0"/>
          <w:sz w:val="20"/>
          <w:szCs w:val="20"/>
        </w:rPr>
        <w:t>Metodología de trabajo</w:t>
      </w:r>
    </w:p>
    <w:p w:rsidR="00AF4767" w:rsidRPr="00F6070D" w:rsidRDefault="00FA5DE7" w:rsidP="00F6070D">
      <w:pPr>
        <w:spacing w:line="240" w:lineRule="auto"/>
        <w:jc w:val="both"/>
        <w:rPr>
          <w:sz w:val="20"/>
          <w:szCs w:val="20"/>
        </w:rPr>
      </w:pPr>
      <w:r w:rsidRPr="00F6070D">
        <w:rPr>
          <w:sz w:val="20"/>
          <w:szCs w:val="20"/>
        </w:rPr>
        <w:t>Para el efecto, se realizó un análisis visual entre lo</w:t>
      </w:r>
      <w:r w:rsidR="00CC3CA6">
        <w:rPr>
          <w:sz w:val="20"/>
          <w:szCs w:val="20"/>
        </w:rPr>
        <w:t xml:space="preserve"> reflejado en los mapas U2 y Z2 del PUOS</w:t>
      </w:r>
      <w:r w:rsidR="0068083A">
        <w:rPr>
          <w:sz w:val="20"/>
          <w:szCs w:val="20"/>
        </w:rPr>
        <w:t xml:space="preserve"> vigente y lo contenido en la Matriz de C</w:t>
      </w:r>
      <w:r w:rsidRPr="00F6070D">
        <w:rPr>
          <w:sz w:val="20"/>
          <w:szCs w:val="20"/>
        </w:rPr>
        <w:t xml:space="preserve">ambios 2016, detectándose un total </w:t>
      </w:r>
      <w:r w:rsidRPr="001A0820">
        <w:rPr>
          <w:sz w:val="20"/>
          <w:szCs w:val="20"/>
        </w:rPr>
        <w:t xml:space="preserve">de </w:t>
      </w:r>
      <w:r w:rsidR="00805A96" w:rsidRPr="001A0820">
        <w:rPr>
          <w:b/>
          <w:sz w:val="20"/>
          <w:szCs w:val="20"/>
        </w:rPr>
        <w:t>6</w:t>
      </w:r>
      <w:r w:rsidR="00170511" w:rsidRPr="001A0820">
        <w:rPr>
          <w:b/>
          <w:sz w:val="20"/>
          <w:szCs w:val="20"/>
        </w:rPr>
        <w:t>6</w:t>
      </w:r>
      <w:r w:rsidRPr="001A0820">
        <w:rPr>
          <w:b/>
          <w:sz w:val="20"/>
          <w:szCs w:val="20"/>
        </w:rPr>
        <w:t xml:space="preserve"> casos</w:t>
      </w:r>
      <w:r w:rsidRPr="001A0820">
        <w:rPr>
          <w:sz w:val="20"/>
          <w:szCs w:val="20"/>
        </w:rPr>
        <w:t xml:space="preserve"> en</w:t>
      </w:r>
      <w:r w:rsidR="00170511">
        <w:rPr>
          <w:sz w:val="20"/>
          <w:szCs w:val="20"/>
        </w:rPr>
        <w:t xml:space="preserve"> que </w:t>
      </w:r>
      <w:r w:rsidR="001A0820">
        <w:rPr>
          <w:sz w:val="20"/>
          <w:szCs w:val="20"/>
        </w:rPr>
        <w:t>existen</w:t>
      </w:r>
      <w:r w:rsidR="00170511">
        <w:rPr>
          <w:sz w:val="20"/>
          <w:szCs w:val="20"/>
        </w:rPr>
        <w:t xml:space="preserve"> inconsistencias entre la matriz y los mapas</w:t>
      </w:r>
      <w:r w:rsidR="00143F4E" w:rsidRPr="00F6070D">
        <w:rPr>
          <w:sz w:val="20"/>
          <w:szCs w:val="20"/>
        </w:rPr>
        <w:t>.</w:t>
      </w:r>
    </w:p>
    <w:p w:rsidR="00AF4767" w:rsidRPr="00852655" w:rsidRDefault="00AF4767" w:rsidP="00852655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color w:val="0070C0"/>
          <w:sz w:val="20"/>
          <w:szCs w:val="20"/>
        </w:rPr>
      </w:pPr>
      <w:r w:rsidRPr="00852655">
        <w:rPr>
          <w:b/>
          <w:color w:val="0070C0"/>
          <w:sz w:val="20"/>
          <w:szCs w:val="20"/>
        </w:rPr>
        <w:t>Resultados encontrados</w:t>
      </w:r>
    </w:p>
    <w:p w:rsidR="009F0093" w:rsidRDefault="009F0093" w:rsidP="00F6070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F6070D">
        <w:rPr>
          <w:sz w:val="20"/>
          <w:szCs w:val="20"/>
        </w:rPr>
        <w:t>ediante una mesa de trabajo con el equipo de la DMPPS</w:t>
      </w:r>
      <w:r>
        <w:rPr>
          <w:sz w:val="20"/>
          <w:szCs w:val="20"/>
        </w:rPr>
        <w:t xml:space="preserve"> </w:t>
      </w:r>
      <w:r w:rsidRPr="00F6070D">
        <w:rPr>
          <w:sz w:val="20"/>
          <w:szCs w:val="20"/>
        </w:rPr>
        <w:t xml:space="preserve">llevada a cabo el </w:t>
      </w:r>
      <w:r>
        <w:rPr>
          <w:sz w:val="20"/>
          <w:szCs w:val="20"/>
        </w:rPr>
        <w:t xml:space="preserve">19 y </w:t>
      </w:r>
      <w:r w:rsidRPr="00F6070D">
        <w:rPr>
          <w:sz w:val="20"/>
          <w:szCs w:val="20"/>
        </w:rPr>
        <w:t xml:space="preserve">20 de septiembre de </w:t>
      </w:r>
      <w:r>
        <w:rPr>
          <w:sz w:val="20"/>
          <w:szCs w:val="20"/>
        </w:rPr>
        <w:t>2017, se analizó caso por caso, determinándose los siguientes resultados:</w:t>
      </w:r>
    </w:p>
    <w:p w:rsidR="00840D8D" w:rsidRPr="008C2C07" w:rsidRDefault="004460EF" w:rsidP="009F0093">
      <w:pPr>
        <w:pStyle w:val="Prrafode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DF7489">
        <w:rPr>
          <w:b/>
          <w:sz w:val="20"/>
          <w:szCs w:val="20"/>
        </w:rPr>
        <w:t>4</w:t>
      </w:r>
      <w:r w:rsidR="00DF7489" w:rsidRPr="00DF7489">
        <w:rPr>
          <w:b/>
          <w:sz w:val="20"/>
          <w:szCs w:val="20"/>
        </w:rPr>
        <w:t>7</w:t>
      </w:r>
      <w:r w:rsidR="009F0093" w:rsidRPr="008C2C07">
        <w:rPr>
          <w:b/>
          <w:sz w:val="20"/>
          <w:szCs w:val="20"/>
        </w:rPr>
        <w:t xml:space="preserve"> casos</w:t>
      </w:r>
      <w:r w:rsidR="00A921E4" w:rsidRPr="008C2C07">
        <w:rPr>
          <w:b/>
          <w:sz w:val="20"/>
          <w:szCs w:val="20"/>
        </w:rPr>
        <w:t xml:space="preserve"> </w:t>
      </w:r>
      <w:r w:rsidR="0089643A" w:rsidRPr="008C2C07">
        <w:rPr>
          <w:sz w:val="20"/>
          <w:szCs w:val="20"/>
        </w:rPr>
        <w:t xml:space="preserve">constantes en la matriz e incorporados con errores de </w:t>
      </w:r>
      <w:proofErr w:type="spellStart"/>
      <w:r w:rsidR="0089643A" w:rsidRPr="008C2C07">
        <w:rPr>
          <w:sz w:val="20"/>
          <w:szCs w:val="20"/>
        </w:rPr>
        <w:t>graficación</w:t>
      </w:r>
      <w:proofErr w:type="spellEnd"/>
      <w:r w:rsidR="0089643A" w:rsidRPr="008C2C07">
        <w:rPr>
          <w:sz w:val="20"/>
          <w:szCs w:val="20"/>
        </w:rPr>
        <w:t xml:space="preserve"> en el PUOS.</w:t>
      </w:r>
    </w:p>
    <w:p w:rsidR="00C079DD" w:rsidRPr="008C2C07" w:rsidRDefault="00B4084E" w:rsidP="009F0093">
      <w:pPr>
        <w:pStyle w:val="Prrafode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DF7489">
        <w:rPr>
          <w:b/>
          <w:sz w:val="20"/>
          <w:szCs w:val="20"/>
        </w:rPr>
        <w:t>1</w:t>
      </w:r>
      <w:r w:rsidR="00DF7489" w:rsidRPr="00DF7489">
        <w:rPr>
          <w:b/>
          <w:sz w:val="20"/>
          <w:szCs w:val="20"/>
        </w:rPr>
        <w:t>5</w:t>
      </w:r>
      <w:r w:rsidR="00BA6789" w:rsidRPr="008C2C07">
        <w:rPr>
          <w:b/>
          <w:sz w:val="20"/>
          <w:szCs w:val="20"/>
        </w:rPr>
        <w:t xml:space="preserve"> casos</w:t>
      </w:r>
      <w:r w:rsidR="00BA6789" w:rsidRPr="008C2C07">
        <w:rPr>
          <w:sz w:val="20"/>
          <w:szCs w:val="20"/>
        </w:rPr>
        <w:t xml:space="preserve"> </w:t>
      </w:r>
      <w:r w:rsidR="00A921E4" w:rsidRPr="008C2C07">
        <w:rPr>
          <w:sz w:val="20"/>
          <w:szCs w:val="20"/>
        </w:rPr>
        <w:t>presentan un err</w:t>
      </w:r>
      <w:r w:rsidR="0068083A" w:rsidRPr="008C2C07">
        <w:rPr>
          <w:sz w:val="20"/>
          <w:szCs w:val="20"/>
        </w:rPr>
        <w:t>or en la M</w:t>
      </w:r>
      <w:r w:rsidR="001B7B05" w:rsidRPr="008C2C07">
        <w:rPr>
          <w:sz w:val="20"/>
          <w:szCs w:val="20"/>
        </w:rPr>
        <w:t xml:space="preserve">atriz de </w:t>
      </w:r>
      <w:r w:rsidR="0068083A" w:rsidRPr="008C2C07">
        <w:rPr>
          <w:sz w:val="20"/>
          <w:szCs w:val="20"/>
        </w:rPr>
        <w:t>C</w:t>
      </w:r>
      <w:r w:rsidR="001B7B05" w:rsidRPr="008C2C07">
        <w:rPr>
          <w:sz w:val="20"/>
          <w:szCs w:val="20"/>
        </w:rPr>
        <w:t xml:space="preserve">ambios 2016, </w:t>
      </w:r>
      <w:r w:rsidR="00170511" w:rsidRPr="008C2C07">
        <w:rPr>
          <w:sz w:val="20"/>
          <w:szCs w:val="20"/>
        </w:rPr>
        <w:t xml:space="preserve"> en su uso y/o zonificación</w:t>
      </w:r>
      <w:r w:rsidR="000642A5" w:rsidRPr="008C2C07">
        <w:rPr>
          <w:sz w:val="20"/>
          <w:szCs w:val="20"/>
        </w:rPr>
        <w:t>,</w:t>
      </w:r>
      <w:r w:rsidR="00170511" w:rsidRPr="008C2C07">
        <w:rPr>
          <w:sz w:val="20"/>
          <w:szCs w:val="20"/>
        </w:rPr>
        <w:t xml:space="preserve"> si bien los mapas</w:t>
      </w:r>
      <w:r w:rsidR="00C079DD" w:rsidRPr="008C2C07">
        <w:rPr>
          <w:sz w:val="20"/>
          <w:szCs w:val="20"/>
        </w:rPr>
        <w:t xml:space="preserve"> U2 y Z2 de la Ordenanza Metropolitana 127 grafican de forma correcta las asignaciones de uso y zonificación de tales polígonos.</w:t>
      </w:r>
    </w:p>
    <w:p w:rsidR="00B4084E" w:rsidRPr="008C2C07" w:rsidRDefault="00B4084E" w:rsidP="009F0093">
      <w:pPr>
        <w:pStyle w:val="Prrafode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DF7489">
        <w:rPr>
          <w:b/>
          <w:sz w:val="20"/>
          <w:szCs w:val="20"/>
        </w:rPr>
        <w:t xml:space="preserve">3 </w:t>
      </w:r>
      <w:r w:rsidRPr="008C2C07">
        <w:rPr>
          <w:b/>
          <w:sz w:val="20"/>
          <w:szCs w:val="20"/>
        </w:rPr>
        <w:t xml:space="preserve">casos </w:t>
      </w:r>
      <w:r w:rsidR="0068083A" w:rsidRPr="008C2C07">
        <w:rPr>
          <w:sz w:val="20"/>
          <w:szCs w:val="20"/>
        </w:rPr>
        <w:t xml:space="preserve"> presentan un error en M</w:t>
      </w:r>
      <w:r w:rsidRPr="008C2C07">
        <w:rPr>
          <w:sz w:val="20"/>
          <w:szCs w:val="20"/>
        </w:rPr>
        <w:t xml:space="preserve">atriz </w:t>
      </w:r>
      <w:r w:rsidR="0068083A" w:rsidRPr="008C2C07">
        <w:rPr>
          <w:sz w:val="20"/>
          <w:szCs w:val="20"/>
        </w:rPr>
        <w:t>de C</w:t>
      </w:r>
      <w:r w:rsidR="001B7B05" w:rsidRPr="008C2C07">
        <w:rPr>
          <w:sz w:val="20"/>
          <w:szCs w:val="20"/>
        </w:rPr>
        <w:t xml:space="preserve">ambios 2016 </w:t>
      </w:r>
      <w:r w:rsidRPr="008C2C07">
        <w:rPr>
          <w:sz w:val="20"/>
          <w:szCs w:val="20"/>
        </w:rPr>
        <w:t xml:space="preserve">por inconsistencias entre el uso de suelo </w:t>
      </w:r>
      <w:r w:rsidR="001B7B05" w:rsidRPr="008C2C07">
        <w:rPr>
          <w:sz w:val="20"/>
          <w:szCs w:val="20"/>
        </w:rPr>
        <w:t>y la clasificación.</w:t>
      </w:r>
    </w:p>
    <w:p w:rsidR="009F0093" w:rsidRPr="008C2C07" w:rsidRDefault="00C2093E" w:rsidP="009F0093">
      <w:pPr>
        <w:pStyle w:val="Prrafode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8C2C07">
        <w:rPr>
          <w:b/>
          <w:sz w:val="20"/>
          <w:szCs w:val="20"/>
        </w:rPr>
        <w:t>1 caso</w:t>
      </w:r>
      <w:r w:rsidRPr="008C2C07">
        <w:rPr>
          <w:sz w:val="20"/>
          <w:szCs w:val="20"/>
        </w:rPr>
        <w:t xml:space="preserve"> corresponde a un duplicado, que corresponde a  un cambio que fue codificado dos veces, uno con información correcta </w:t>
      </w:r>
      <w:r w:rsidR="00857298" w:rsidRPr="008C2C07">
        <w:rPr>
          <w:sz w:val="20"/>
          <w:szCs w:val="20"/>
        </w:rPr>
        <w:t xml:space="preserve">(088MS) </w:t>
      </w:r>
      <w:r w:rsidRPr="008C2C07">
        <w:rPr>
          <w:sz w:val="20"/>
          <w:szCs w:val="20"/>
        </w:rPr>
        <w:t>y otro con información equivocada</w:t>
      </w:r>
      <w:r w:rsidR="001B7B05" w:rsidRPr="008C2C07">
        <w:rPr>
          <w:sz w:val="20"/>
          <w:szCs w:val="20"/>
        </w:rPr>
        <w:t xml:space="preserve"> </w:t>
      </w:r>
      <w:r w:rsidR="00857298" w:rsidRPr="008C2C07">
        <w:rPr>
          <w:sz w:val="20"/>
          <w:szCs w:val="20"/>
        </w:rPr>
        <w:t>(072MS).</w:t>
      </w:r>
    </w:p>
    <w:p w:rsidR="00891169" w:rsidRDefault="00805A96" w:rsidP="00805A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aclara  además que existen </w:t>
      </w:r>
      <w:r w:rsidR="00891169">
        <w:rPr>
          <w:b/>
          <w:sz w:val="20"/>
          <w:szCs w:val="20"/>
        </w:rPr>
        <w:t xml:space="preserve"> </w:t>
      </w:r>
      <w:r w:rsidR="00170511">
        <w:rPr>
          <w:b/>
          <w:sz w:val="20"/>
          <w:szCs w:val="20"/>
        </w:rPr>
        <w:t>8</w:t>
      </w:r>
      <w:r w:rsidR="00891169" w:rsidRPr="00891169">
        <w:rPr>
          <w:b/>
          <w:sz w:val="20"/>
          <w:szCs w:val="20"/>
        </w:rPr>
        <w:t xml:space="preserve"> casos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que </w:t>
      </w:r>
      <w:r w:rsidR="0068083A">
        <w:rPr>
          <w:sz w:val="20"/>
          <w:szCs w:val="20"/>
        </w:rPr>
        <w:t>modifican lo establecido en la Matriz de C</w:t>
      </w:r>
      <w:r w:rsidR="00891169" w:rsidRPr="00891169">
        <w:rPr>
          <w:sz w:val="20"/>
          <w:szCs w:val="20"/>
        </w:rPr>
        <w:t>ambios 2016, debido a que se ajustan posterior a la Ordenanza 127</w:t>
      </w:r>
      <w:r>
        <w:rPr>
          <w:sz w:val="20"/>
          <w:szCs w:val="20"/>
        </w:rPr>
        <w:t>,</w:t>
      </w:r>
      <w:r w:rsidR="00891169" w:rsidRPr="00891169">
        <w:rPr>
          <w:sz w:val="20"/>
          <w:szCs w:val="20"/>
        </w:rPr>
        <w:t xml:space="preserve"> </w:t>
      </w:r>
      <w:r w:rsidR="00170511">
        <w:rPr>
          <w:sz w:val="20"/>
          <w:szCs w:val="20"/>
        </w:rPr>
        <w:t>al amparo de</w:t>
      </w:r>
      <w:r w:rsidR="00891169" w:rsidRPr="00891169">
        <w:rPr>
          <w:sz w:val="20"/>
          <w:szCs w:val="20"/>
        </w:rPr>
        <w:t xml:space="preserve"> lo establecido en la Ordenanza</w:t>
      </w:r>
      <w:r>
        <w:rPr>
          <w:sz w:val="20"/>
          <w:szCs w:val="20"/>
        </w:rPr>
        <w:t xml:space="preserve"> 172, Art. 3</w:t>
      </w:r>
      <w:proofErr w:type="gramStart"/>
      <w:r>
        <w:rPr>
          <w:sz w:val="20"/>
          <w:szCs w:val="20"/>
        </w:rPr>
        <w:t>,4,5</w:t>
      </w:r>
      <w:proofErr w:type="gramEnd"/>
      <w:r>
        <w:rPr>
          <w:sz w:val="20"/>
          <w:szCs w:val="20"/>
        </w:rPr>
        <w:t xml:space="preserve"> y Disposición General S</w:t>
      </w:r>
      <w:r w:rsidR="00891169" w:rsidRPr="00891169">
        <w:rPr>
          <w:sz w:val="20"/>
          <w:szCs w:val="20"/>
        </w:rPr>
        <w:t xml:space="preserve">exta. </w:t>
      </w:r>
      <w:r w:rsidR="00891169">
        <w:rPr>
          <w:sz w:val="20"/>
          <w:szCs w:val="20"/>
        </w:rPr>
        <w:t xml:space="preserve"> </w:t>
      </w:r>
    </w:p>
    <w:p w:rsidR="00AF48CA" w:rsidRDefault="00FF792A" w:rsidP="00F6070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454515">
        <w:rPr>
          <w:sz w:val="20"/>
          <w:szCs w:val="20"/>
        </w:rPr>
        <w:t>Tabla nº1</w:t>
      </w:r>
      <w:r>
        <w:rPr>
          <w:sz w:val="20"/>
          <w:szCs w:val="20"/>
        </w:rPr>
        <w:t xml:space="preserve"> resume lo señalado anteriormente:</w:t>
      </w:r>
    </w:p>
    <w:p w:rsidR="00E11771" w:rsidRDefault="00E11771" w:rsidP="00E11771">
      <w:pPr>
        <w:pStyle w:val="Epgrafe"/>
        <w:jc w:val="center"/>
        <w:rPr>
          <w:sz w:val="20"/>
          <w:szCs w:val="20"/>
        </w:rPr>
      </w:pPr>
      <w:r>
        <w:t xml:space="preserve">Tabla </w:t>
      </w:r>
      <w:r w:rsidR="007C1DB7">
        <w:fldChar w:fldCharType="begin"/>
      </w:r>
      <w:r w:rsidR="007C1DB7">
        <w:instrText xml:space="preserve"> SEQ Tabla \* ARABIC </w:instrText>
      </w:r>
      <w:r w:rsidR="007C1DB7">
        <w:fldChar w:fldCharType="separate"/>
      </w:r>
      <w:r w:rsidR="00712C68">
        <w:rPr>
          <w:noProof/>
        </w:rPr>
        <w:t>1</w:t>
      </w:r>
      <w:r w:rsidR="007C1DB7">
        <w:rPr>
          <w:noProof/>
        </w:rPr>
        <w:fldChar w:fldCharType="end"/>
      </w:r>
      <w:r w:rsidRPr="00E11771">
        <w:t xml:space="preserve"> Casos que no acogen lo establecido en la matriz de cambios 2016</w:t>
      </w:r>
    </w:p>
    <w:tbl>
      <w:tblPr>
        <w:tblStyle w:val="Sombreadomedio1-nfasis1"/>
        <w:tblW w:w="5544" w:type="dxa"/>
        <w:jc w:val="center"/>
        <w:tblLook w:val="04A0" w:firstRow="1" w:lastRow="0" w:firstColumn="1" w:lastColumn="0" w:noHBand="0" w:noVBand="1"/>
      </w:tblPr>
      <w:tblGrid>
        <w:gridCol w:w="3428"/>
        <w:gridCol w:w="1003"/>
        <w:gridCol w:w="1113"/>
      </w:tblGrid>
      <w:tr w:rsidR="00FF792A" w:rsidRPr="00BA6789" w:rsidTr="0084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noWrap/>
            <w:hideMark/>
          </w:tcPr>
          <w:p w:rsidR="00BA6789" w:rsidRPr="00BA6789" w:rsidRDefault="00BA6789" w:rsidP="00FF792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</w:pPr>
            <w:r w:rsidRPr="00BA6789"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  <w:t>Tipo</w:t>
            </w:r>
          </w:p>
        </w:tc>
        <w:tc>
          <w:tcPr>
            <w:tcW w:w="1003" w:type="dxa"/>
            <w:noWrap/>
            <w:hideMark/>
          </w:tcPr>
          <w:p w:rsidR="00BA6789" w:rsidRPr="00BA6789" w:rsidRDefault="00BA6789" w:rsidP="00840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</w:pPr>
            <w:r w:rsidRPr="00BA6789"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  <w:t>nº casos</w:t>
            </w:r>
          </w:p>
        </w:tc>
        <w:tc>
          <w:tcPr>
            <w:tcW w:w="1113" w:type="dxa"/>
            <w:noWrap/>
            <w:hideMark/>
          </w:tcPr>
          <w:p w:rsidR="00BA6789" w:rsidRPr="00BA6789" w:rsidRDefault="00BA6789" w:rsidP="00840D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</w:pPr>
            <w:r w:rsidRPr="00BA6789">
              <w:rPr>
                <w:rFonts w:ascii="Calibri" w:eastAsia="Times New Roman" w:hAnsi="Calibri" w:cs="Times New Roman"/>
                <w:sz w:val="20"/>
                <w:szCs w:val="20"/>
                <w:lang w:eastAsia="es-EC"/>
              </w:rPr>
              <w:t>Porcentaje</w:t>
            </w:r>
          </w:p>
        </w:tc>
      </w:tr>
      <w:tr w:rsidR="00BA6789" w:rsidRPr="00BA6789" w:rsidTr="00840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noWrap/>
            <w:hideMark/>
          </w:tcPr>
          <w:p w:rsidR="00BA6789" w:rsidRPr="00BA6789" w:rsidRDefault="00F409F1" w:rsidP="00170511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</w:pPr>
            <w:r w:rsidRPr="00F409F1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  <w:t>Datos  constantes en matriz e incorporados erróneamente al PUOS</w:t>
            </w:r>
            <w:r w:rsidR="00170511" w:rsidRPr="00170511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  <w:t>.</w:t>
            </w:r>
          </w:p>
        </w:tc>
        <w:tc>
          <w:tcPr>
            <w:tcW w:w="1003" w:type="dxa"/>
            <w:noWrap/>
            <w:hideMark/>
          </w:tcPr>
          <w:p w:rsidR="00BA6789" w:rsidRPr="00DF7489" w:rsidRDefault="001B7B05" w:rsidP="00DF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4</w:t>
            </w:r>
            <w:r w:rsidR="00DF7489"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1113" w:type="dxa"/>
            <w:noWrap/>
          </w:tcPr>
          <w:p w:rsidR="00BA6789" w:rsidRPr="00DF7489" w:rsidRDefault="00DF7489" w:rsidP="00DF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71.21</w:t>
            </w:r>
            <w:r w:rsidR="00C079DD"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%</w:t>
            </w:r>
          </w:p>
        </w:tc>
      </w:tr>
      <w:tr w:rsidR="00BA6789" w:rsidRPr="00BA6789" w:rsidTr="00840D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noWrap/>
            <w:hideMark/>
          </w:tcPr>
          <w:p w:rsidR="00BA6789" w:rsidRPr="00BA6789" w:rsidRDefault="00891169" w:rsidP="00BA6789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  <w:t>Dato incorrecto  en la matriz</w:t>
            </w:r>
          </w:p>
        </w:tc>
        <w:tc>
          <w:tcPr>
            <w:tcW w:w="1003" w:type="dxa"/>
            <w:noWrap/>
            <w:hideMark/>
          </w:tcPr>
          <w:p w:rsidR="00BA6789" w:rsidRPr="00DF7489" w:rsidRDefault="001B7B05" w:rsidP="00DF74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1</w:t>
            </w:r>
            <w:r w:rsidR="00DF7489"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1113" w:type="dxa"/>
            <w:noWrap/>
          </w:tcPr>
          <w:p w:rsidR="00BA6789" w:rsidRPr="00DF7489" w:rsidRDefault="00DF7489" w:rsidP="00DF74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22.73</w:t>
            </w:r>
            <w:r w:rsidR="00C079DD"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%</w:t>
            </w:r>
          </w:p>
        </w:tc>
      </w:tr>
      <w:tr w:rsidR="00BA6789" w:rsidRPr="00BA6789" w:rsidTr="00840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noWrap/>
            <w:hideMark/>
          </w:tcPr>
          <w:p w:rsidR="00BA6789" w:rsidRPr="00BA6789" w:rsidRDefault="00891169" w:rsidP="00BA6789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  <w:t>Dato incorrecto en la clasificación del suelo</w:t>
            </w:r>
          </w:p>
        </w:tc>
        <w:tc>
          <w:tcPr>
            <w:tcW w:w="1003" w:type="dxa"/>
            <w:noWrap/>
            <w:hideMark/>
          </w:tcPr>
          <w:p w:rsidR="00BA6789" w:rsidRPr="00DF7489" w:rsidRDefault="001B7B05" w:rsidP="00DF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1113" w:type="dxa"/>
            <w:noWrap/>
          </w:tcPr>
          <w:p w:rsidR="00BA6789" w:rsidRPr="00DF7489" w:rsidRDefault="00C079DD" w:rsidP="00DF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4.54%</w:t>
            </w:r>
          </w:p>
        </w:tc>
      </w:tr>
      <w:tr w:rsidR="00BA6789" w:rsidRPr="00BA6789" w:rsidTr="00840D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noWrap/>
            <w:hideMark/>
          </w:tcPr>
          <w:p w:rsidR="00BA6789" w:rsidRPr="00BA6789" w:rsidRDefault="00BA6789" w:rsidP="00BA6789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</w:pPr>
            <w:r w:rsidRPr="00BA6789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es-EC"/>
              </w:rPr>
              <w:t>Duplicado</w:t>
            </w:r>
          </w:p>
        </w:tc>
        <w:tc>
          <w:tcPr>
            <w:tcW w:w="1003" w:type="dxa"/>
            <w:noWrap/>
            <w:hideMark/>
          </w:tcPr>
          <w:p w:rsidR="00BA6789" w:rsidRPr="00DF7489" w:rsidRDefault="00805A96" w:rsidP="00DF74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1113" w:type="dxa"/>
            <w:noWrap/>
          </w:tcPr>
          <w:p w:rsidR="00BA6789" w:rsidRPr="00DF7489" w:rsidRDefault="00C079DD" w:rsidP="00DF74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2.1%</w:t>
            </w:r>
          </w:p>
        </w:tc>
      </w:tr>
      <w:tr w:rsidR="00BA6789" w:rsidRPr="00BA6789" w:rsidTr="00840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  <w:noWrap/>
            <w:hideMark/>
          </w:tcPr>
          <w:p w:rsidR="00BA6789" w:rsidRPr="00BA6789" w:rsidRDefault="00BA6789" w:rsidP="00BA678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BA67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Total general</w:t>
            </w:r>
          </w:p>
        </w:tc>
        <w:tc>
          <w:tcPr>
            <w:tcW w:w="1003" w:type="dxa"/>
            <w:noWrap/>
            <w:hideMark/>
          </w:tcPr>
          <w:p w:rsidR="00BA6789" w:rsidRPr="00DF7489" w:rsidRDefault="001B7B05" w:rsidP="00DF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6</w:t>
            </w:r>
            <w:r w:rsidR="00C079DD"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113" w:type="dxa"/>
            <w:noWrap/>
            <w:hideMark/>
          </w:tcPr>
          <w:p w:rsidR="00BA6789" w:rsidRPr="00DF7489" w:rsidRDefault="00BA6789" w:rsidP="00DF7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DF74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C"/>
              </w:rPr>
              <w:t>100,0%</w:t>
            </w:r>
          </w:p>
        </w:tc>
      </w:tr>
    </w:tbl>
    <w:p w:rsidR="00B60856" w:rsidRPr="00E11771" w:rsidRDefault="00E11771" w:rsidP="00E11771">
      <w:pPr>
        <w:spacing w:line="240" w:lineRule="auto"/>
        <w:ind w:left="708" w:firstLine="708"/>
        <w:jc w:val="both"/>
        <w:rPr>
          <w:sz w:val="16"/>
          <w:szCs w:val="16"/>
        </w:rPr>
      </w:pPr>
      <w:r w:rsidRPr="00E11771">
        <w:rPr>
          <w:sz w:val="16"/>
          <w:szCs w:val="16"/>
        </w:rPr>
        <w:t>Elaboración: Equipo DMPPS.</w:t>
      </w:r>
    </w:p>
    <w:p w:rsidR="005320D9" w:rsidRDefault="00170511" w:rsidP="004904F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 la finalidad de ga</w:t>
      </w:r>
      <w:r w:rsidR="0068083A">
        <w:rPr>
          <w:sz w:val="20"/>
          <w:szCs w:val="20"/>
        </w:rPr>
        <w:t>rantizar la consistencia entre M</w:t>
      </w:r>
      <w:r>
        <w:rPr>
          <w:sz w:val="20"/>
          <w:szCs w:val="20"/>
        </w:rPr>
        <w:t>at</w:t>
      </w:r>
      <w:r w:rsidR="0068083A">
        <w:rPr>
          <w:sz w:val="20"/>
          <w:szCs w:val="20"/>
        </w:rPr>
        <w:t>riz de C</w:t>
      </w:r>
      <w:r>
        <w:rPr>
          <w:sz w:val="20"/>
          <w:szCs w:val="20"/>
        </w:rPr>
        <w:t>ambios y los mapas U2 y Z2</w:t>
      </w:r>
      <w:r w:rsidR="0068083A">
        <w:rPr>
          <w:sz w:val="20"/>
          <w:szCs w:val="20"/>
        </w:rPr>
        <w:t xml:space="preserve"> de PUOS aprobado</w:t>
      </w:r>
      <w:r>
        <w:rPr>
          <w:sz w:val="20"/>
          <w:szCs w:val="20"/>
        </w:rPr>
        <w:t xml:space="preserve">, con asignaciones correctas de clasificación, uso y zonificación de suelo  tanto en matriz como en mapa, para la totalidad </w:t>
      </w:r>
      <w:proofErr w:type="gramStart"/>
      <w:r w:rsidR="00A31CAC">
        <w:rPr>
          <w:sz w:val="20"/>
          <w:szCs w:val="20"/>
        </w:rPr>
        <w:t>de los polígonos objeto</w:t>
      </w:r>
      <w:proofErr w:type="gramEnd"/>
      <w:r>
        <w:rPr>
          <w:sz w:val="20"/>
          <w:szCs w:val="20"/>
        </w:rPr>
        <w:t xml:space="preserve"> de cambio, se recomienda proceder  de la siguiente manera:</w:t>
      </w:r>
    </w:p>
    <w:p w:rsidR="005320D9" w:rsidRPr="009B1BBA" w:rsidRDefault="007C3496" w:rsidP="00C079DD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Datos  constantes en matriz </w:t>
      </w:r>
      <w:r w:rsidR="00170511">
        <w:rPr>
          <w:b/>
          <w:sz w:val="20"/>
          <w:szCs w:val="20"/>
        </w:rPr>
        <w:t>e in</w:t>
      </w:r>
      <w:r w:rsidR="00F409F1">
        <w:rPr>
          <w:b/>
          <w:sz w:val="20"/>
          <w:szCs w:val="20"/>
        </w:rPr>
        <w:t xml:space="preserve">corporados erróneamente al PUOS: </w:t>
      </w:r>
      <w:r w:rsidR="00F409F1" w:rsidRPr="00A31CAC">
        <w:rPr>
          <w:sz w:val="20"/>
          <w:szCs w:val="20"/>
        </w:rPr>
        <w:t xml:space="preserve">Se recomienda </w:t>
      </w:r>
      <w:r w:rsidR="0098480F">
        <w:rPr>
          <w:sz w:val="20"/>
          <w:szCs w:val="20"/>
        </w:rPr>
        <w:t xml:space="preserve">corregir </w:t>
      </w:r>
      <w:r w:rsidR="00F409F1" w:rsidRPr="00A31CAC">
        <w:rPr>
          <w:sz w:val="20"/>
          <w:szCs w:val="20"/>
        </w:rPr>
        <w:t>en los mapas</w:t>
      </w:r>
      <w:r w:rsidR="002C6B14">
        <w:rPr>
          <w:sz w:val="20"/>
          <w:szCs w:val="20"/>
        </w:rPr>
        <w:t xml:space="preserve"> </w:t>
      </w:r>
      <w:r w:rsidR="00F409F1" w:rsidRPr="00A31CAC">
        <w:rPr>
          <w:sz w:val="20"/>
          <w:szCs w:val="20"/>
        </w:rPr>
        <w:t>U2</w:t>
      </w:r>
      <w:r w:rsidR="00C079DD">
        <w:rPr>
          <w:sz w:val="20"/>
          <w:szCs w:val="20"/>
        </w:rPr>
        <w:t xml:space="preserve"> </w:t>
      </w:r>
      <w:r w:rsidR="00F409F1" w:rsidRPr="00A31CAC">
        <w:rPr>
          <w:sz w:val="20"/>
          <w:szCs w:val="20"/>
        </w:rPr>
        <w:t>y Z2,</w:t>
      </w:r>
      <w:r w:rsidR="00F409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320D9" w:rsidRPr="009B1BBA">
        <w:rPr>
          <w:sz w:val="20"/>
          <w:szCs w:val="20"/>
        </w:rPr>
        <w:t xml:space="preserve">los </w:t>
      </w:r>
      <w:r w:rsidR="005320D9" w:rsidRPr="00DF7489">
        <w:rPr>
          <w:sz w:val="20"/>
          <w:szCs w:val="20"/>
        </w:rPr>
        <w:t>4</w:t>
      </w:r>
      <w:r w:rsidR="00DF7489" w:rsidRPr="00DF7489">
        <w:rPr>
          <w:sz w:val="20"/>
          <w:szCs w:val="20"/>
        </w:rPr>
        <w:t>7</w:t>
      </w:r>
      <w:r w:rsidR="005320D9" w:rsidRPr="009B1BBA">
        <w:rPr>
          <w:sz w:val="20"/>
          <w:szCs w:val="20"/>
        </w:rPr>
        <w:t xml:space="preserve"> cambios </w:t>
      </w:r>
      <w:r w:rsidR="00F409F1">
        <w:rPr>
          <w:sz w:val="20"/>
          <w:szCs w:val="20"/>
        </w:rPr>
        <w:t>de</w:t>
      </w:r>
      <w:r w:rsidR="005320D9" w:rsidRPr="009B1BBA">
        <w:rPr>
          <w:sz w:val="20"/>
          <w:szCs w:val="20"/>
        </w:rPr>
        <w:t xml:space="preserve"> la Ordenanza modificatoria de la Ord. 127.</w:t>
      </w:r>
    </w:p>
    <w:p w:rsidR="008C2C07" w:rsidRPr="009B1BBA" w:rsidRDefault="005320D9" w:rsidP="008C2C07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B1BBA"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  <w:t xml:space="preserve">Dato incorrecto  en la matriz: </w:t>
      </w:r>
      <w:r w:rsidRPr="009B1BBA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Se </w:t>
      </w:r>
      <w:r w:rsidR="00A31CAC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recomienda </w:t>
      </w:r>
      <w:r w:rsidRPr="009B1BBA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>cambia</w:t>
      </w:r>
      <w:r w:rsidR="00A31CAC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>r</w:t>
      </w:r>
      <w:r w:rsidRPr="009B1BBA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 los datos de la matriz en uso y zon</w:t>
      </w:r>
      <w:r w:rsidR="00C079DD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ificación para </w:t>
      </w:r>
      <w:r w:rsidR="00DF7489" w:rsidRPr="00DF7489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>15</w:t>
      </w:r>
      <w:r w:rsidR="00C079DD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 casos, consignado en la matriz las asignaciones de uso y zonificación de los mapas </w:t>
      </w:r>
      <w:r w:rsidR="00C079DD" w:rsidRPr="00A31CAC">
        <w:rPr>
          <w:sz w:val="20"/>
          <w:szCs w:val="20"/>
        </w:rPr>
        <w:t>PUOS-U2</w:t>
      </w:r>
      <w:r w:rsidR="00C079DD">
        <w:rPr>
          <w:sz w:val="20"/>
          <w:szCs w:val="20"/>
        </w:rPr>
        <w:t xml:space="preserve"> </w:t>
      </w:r>
      <w:r w:rsidR="00C079DD" w:rsidRPr="00A31CAC">
        <w:rPr>
          <w:sz w:val="20"/>
          <w:szCs w:val="20"/>
        </w:rPr>
        <w:t>y PUOS-Z2</w:t>
      </w:r>
      <w:r w:rsidR="008C2C07">
        <w:rPr>
          <w:sz w:val="20"/>
          <w:szCs w:val="20"/>
        </w:rPr>
        <w:t xml:space="preserve">  por ser correctos, y según se detalla en el anexo 2.</w:t>
      </w:r>
    </w:p>
    <w:p w:rsidR="005320D9" w:rsidRPr="009B1BBA" w:rsidRDefault="005320D9" w:rsidP="00C079DD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B1BBA"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  <w:t xml:space="preserve">Dato incorrecto en la clasificación del suelo: </w:t>
      </w:r>
      <w:r w:rsidRPr="009B1BBA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En </w:t>
      </w:r>
      <w:r w:rsidR="009B1BBA" w:rsidRPr="009B1BBA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los </w:t>
      </w:r>
      <w:r w:rsidR="009B1BBA" w:rsidRPr="00DF7489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>3</w:t>
      </w:r>
      <w:r w:rsidR="009B1BBA" w:rsidRPr="009B1BBA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 casos se </w:t>
      </w:r>
      <w:r w:rsidR="00C079DD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>recomienda  cambiar en la matriz</w:t>
      </w:r>
      <w:r w:rsidR="009B1BBA" w:rsidRPr="009B1BBA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 la clasificación del suelo </w:t>
      </w:r>
      <w:r w:rsidR="00C079DD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URBANO </w:t>
      </w:r>
      <w:r w:rsidR="009B1BBA" w:rsidRPr="009B1BBA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>a RURAL</w:t>
      </w:r>
      <w:r w:rsidR="00C079DD">
        <w:rPr>
          <w:rFonts w:ascii="Calibri" w:eastAsia="Times New Roman" w:hAnsi="Calibri" w:cs="Times New Roman"/>
          <w:color w:val="000000"/>
          <w:sz w:val="20"/>
          <w:szCs w:val="20"/>
          <w:lang w:eastAsia="es-EC"/>
        </w:rPr>
        <w:t xml:space="preserve">, conforme consta en los mapas </w:t>
      </w:r>
      <w:r w:rsidR="00C079DD" w:rsidRPr="00A31CAC">
        <w:rPr>
          <w:sz w:val="20"/>
          <w:szCs w:val="20"/>
        </w:rPr>
        <w:t>U2</w:t>
      </w:r>
      <w:r w:rsidR="00C079DD">
        <w:rPr>
          <w:sz w:val="20"/>
          <w:szCs w:val="20"/>
        </w:rPr>
        <w:t xml:space="preserve"> </w:t>
      </w:r>
      <w:r w:rsidR="00C079DD" w:rsidRPr="00A31CAC">
        <w:rPr>
          <w:sz w:val="20"/>
          <w:szCs w:val="20"/>
        </w:rPr>
        <w:t>y Z2</w:t>
      </w:r>
      <w:r w:rsidR="002C6B14">
        <w:rPr>
          <w:sz w:val="20"/>
          <w:szCs w:val="20"/>
        </w:rPr>
        <w:t xml:space="preserve"> del PUOS aprobado y según se detalla en el anexo </w:t>
      </w:r>
      <w:r w:rsidR="005A75E9">
        <w:rPr>
          <w:sz w:val="20"/>
          <w:szCs w:val="20"/>
        </w:rPr>
        <w:t>2</w:t>
      </w:r>
      <w:r w:rsidR="002C6B14">
        <w:rPr>
          <w:sz w:val="20"/>
          <w:szCs w:val="20"/>
        </w:rPr>
        <w:t>.</w:t>
      </w:r>
    </w:p>
    <w:p w:rsidR="009B1BBA" w:rsidRDefault="009B1BBA" w:rsidP="00C079DD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es-EC"/>
        </w:rPr>
        <w:t>Duplicado:</w:t>
      </w:r>
      <w:r>
        <w:rPr>
          <w:sz w:val="20"/>
          <w:szCs w:val="20"/>
        </w:rPr>
        <w:t xml:space="preserve"> Se </w:t>
      </w:r>
      <w:r w:rsidR="002C6B14">
        <w:rPr>
          <w:sz w:val="20"/>
          <w:szCs w:val="20"/>
        </w:rPr>
        <w:t xml:space="preserve">recomienda </w:t>
      </w:r>
      <w:r>
        <w:rPr>
          <w:sz w:val="20"/>
          <w:szCs w:val="20"/>
        </w:rPr>
        <w:t>elimina</w:t>
      </w:r>
      <w:r w:rsidR="002C6B14">
        <w:rPr>
          <w:sz w:val="20"/>
          <w:szCs w:val="20"/>
        </w:rPr>
        <w:t>r de la matriz</w:t>
      </w:r>
      <w:r>
        <w:rPr>
          <w:sz w:val="20"/>
          <w:szCs w:val="20"/>
        </w:rPr>
        <w:t xml:space="preserve"> el registro 072MS que contiene información errónea y que se localiza en el mismo lugar que el polígono 088MS, que c</w:t>
      </w:r>
      <w:r w:rsidR="008C2C07">
        <w:rPr>
          <w:sz w:val="20"/>
          <w:szCs w:val="20"/>
        </w:rPr>
        <w:t>ontiene la información correcta, según se detalla en el anexo 3.</w:t>
      </w:r>
    </w:p>
    <w:p w:rsidR="0089643A" w:rsidRDefault="007F5420" w:rsidP="0089643A">
      <w:pPr>
        <w:spacing w:line="240" w:lineRule="auto"/>
        <w:jc w:val="both"/>
        <w:rPr>
          <w:sz w:val="20"/>
          <w:szCs w:val="20"/>
        </w:rPr>
      </w:pPr>
      <w:r w:rsidRPr="0089643A">
        <w:rPr>
          <w:sz w:val="20"/>
          <w:szCs w:val="20"/>
        </w:rPr>
        <w:t xml:space="preserve">El Anexo nº </w:t>
      </w:r>
      <w:r w:rsidR="0089643A">
        <w:rPr>
          <w:sz w:val="20"/>
          <w:szCs w:val="20"/>
        </w:rPr>
        <w:t>1</w:t>
      </w:r>
      <w:r w:rsidRPr="0089643A">
        <w:rPr>
          <w:sz w:val="20"/>
          <w:szCs w:val="20"/>
        </w:rPr>
        <w:t xml:space="preserve">  </w:t>
      </w:r>
      <w:r w:rsidR="0089643A" w:rsidRPr="0089643A">
        <w:rPr>
          <w:sz w:val="20"/>
          <w:szCs w:val="20"/>
        </w:rPr>
        <w:t xml:space="preserve">contiene la matriz con los </w:t>
      </w:r>
      <w:r w:rsidR="00DF7489" w:rsidRPr="00DF7489">
        <w:rPr>
          <w:sz w:val="20"/>
          <w:szCs w:val="20"/>
        </w:rPr>
        <w:t>47</w:t>
      </w:r>
      <w:r w:rsidR="0089643A" w:rsidRPr="0089643A">
        <w:rPr>
          <w:sz w:val="20"/>
          <w:szCs w:val="20"/>
        </w:rPr>
        <w:t xml:space="preserve"> casos constantes en la matriz e incorporados con errores de </w:t>
      </w:r>
      <w:proofErr w:type="spellStart"/>
      <w:r w:rsidR="0089643A" w:rsidRPr="0089643A">
        <w:rPr>
          <w:sz w:val="20"/>
          <w:szCs w:val="20"/>
        </w:rPr>
        <w:t>graficación</w:t>
      </w:r>
      <w:proofErr w:type="spellEnd"/>
      <w:r w:rsidR="0089643A" w:rsidRPr="0089643A">
        <w:rPr>
          <w:sz w:val="20"/>
          <w:szCs w:val="20"/>
        </w:rPr>
        <w:t xml:space="preserve"> en el PUOS.</w:t>
      </w:r>
      <w:r w:rsidR="0089643A">
        <w:rPr>
          <w:sz w:val="20"/>
          <w:szCs w:val="20"/>
        </w:rPr>
        <w:t xml:space="preserve"> El Anexo 1A contiene los mapas de estos </w:t>
      </w:r>
      <w:r w:rsidR="00DF7489" w:rsidRPr="00DF7489">
        <w:rPr>
          <w:sz w:val="20"/>
          <w:szCs w:val="20"/>
        </w:rPr>
        <w:t>47</w:t>
      </w:r>
      <w:r w:rsidR="0089643A">
        <w:rPr>
          <w:sz w:val="20"/>
          <w:szCs w:val="20"/>
        </w:rPr>
        <w:t xml:space="preserve"> casos, en los que en la  ventana izquierda, se refleja cada uno de los polígonos contenidos en el mapa del PUOS vigente</w:t>
      </w:r>
      <w:r w:rsidR="001950F0">
        <w:rPr>
          <w:sz w:val="20"/>
          <w:szCs w:val="20"/>
        </w:rPr>
        <w:t xml:space="preserve"> con información errónea</w:t>
      </w:r>
      <w:r w:rsidR="0089643A">
        <w:rPr>
          <w:sz w:val="20"/>
          <w:szCs w:val="20"/>
        </w:rPr>
        <w:t xml:space="preserve">; en tanto que en la ventana derecha, se muestra el </w:t>
      </w:r>
      <w:r w:rsidR="001950F0">
        <w:rPr>
          <w:sz w:val="20"/>
          <w:szCs w:val="20"/>
        </w:rPr>
        <w:t>PUOS con la información correcta contenida en la matriz de cambios 2016.</w:t>
      </w:r>
    </w:p>
    <w:p w:rsidR="007F5420" w:rsidRDefault="0089643A" w:rsidP="007F542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Anexo nº 2 </w:t>
      </w:r>
      <w:r w:rsidR="007F5420">
        <w:rPr>
          <w:sz w:val="20"/>
          <w:szCs w:val="20"/>
        </w:rPr>
        <w:t xml:space="preserve">contiene la matriz con los </w:t>
      </w:r>
      <w:r w:rsidR="00DF7489" w:rsidRPr="00DF7489">
        <w:rPr>
          <w:sz w:val="20"/>
          <w:szCs w:val="20"/>
        </w:rPr>
        <w:t>18 casos (15</w:t>
      </w:r>
      <w:r w:rsidR="00DF7489">
        <w:rPr>
          <w:sz w:val="20"/>
          <w:szCs w:val="20"/>
        </w:rPr>
        <w:t xml:space="preserve"> más 3</w:t>
      </w:r>
      <w:r w:rsidR="007F5420" w:rsidRPr="00DF7489">
        <w:rPr>
          <w:sz w:val="20"/>
          <w:szCs w:val="20"/>
        </w:rPr>
        <w:t>)</w:t>
      </w:r>
      <w:r w:rsidR="007F5420" w:rsidRPr="007F5420">
        <w:rPr>
          <w:sz w:val="20"/>
          <w:szCs w:val="20"/>
        </w:rPr>
        <w:t xml:space="preserve"> </w:t>
      </w:r>
      <w:r w:rsidR="007F5420">
        <w:rPr>
          <w:sz w:val="20"/>
          <w:szCs w:val="20"/>
        </w:rPr>
        <w:t xml:space="preserve">que contienen error en la matriz.  El anexo </w:t>
      </w:r>
      <w:r w:rsidR="001950F0">
        <w:rPr>
          <w:sz w:val="20"/>
          <w:szCs w:val="20"/>
        </w:rPr>
        <w:t>2</w:t>
      </w:r>
      <w:r w:rsidR="007F5420">
        <w:rPr>
          <w:sz w:val="20"/>
          <w:szCs w:val="20"/>
        </w:rPr>
        <w:t xml:space="preserve">A,  se adjuntan los mapa de los </w:t>
      </w:r>
      <w:r w:rsidR="00DF7489" w:rsidRPr="00DF7489">
        <w:rPr>
          <w:sz w:val="20"/>
          <w:szCs w:val="20"/>
        </w:rPr>
        <w:t>18</w:t>
      </w:r>
      <w:r w:rsidR="007F5420">
        <w:rPr>
          <w:sz w:val="20"/>
          <w:szCs w:val="20"/>
        </w:rPr>
        <w:t xml:space="preserve"> casos, en los que en la  ventana izquierda, se refleja cada uno de los polígonos contenidos en el mapa del PUOS vigente; en tanto que en la ventana derecha, se muestra el PUOS con la información errónea correspondiente a los datos de la matriz.</w:t>
      </w:r>
    </w:p>
    <w:p w:rsidR="00FA51F0" w:rsidRDefault="00280FAF" w:rsidP="004904F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el Anexo nº 3 </w:t>
      </w:r>
      <w:r w:rsidR="00FA51F0">
        <w:rPr>
          <w:sz w:val="20"/>
          <w:szCs w:val="20"/>
        </w:rPr>
        <w:t xml:space="preserve">se detallan </w:t>
      </w:r>
      <w:r w:rsidR="005A75E9">
        <w:rPr>
          <w:sz w:val="20"/>
          <w:szCs w:val="20"/>
        </w:rPr>
        <w:t xml:space="preserve">el polígono que se encuentra duplicado; </w:t>
      </w:r>
      <w:r w:rsidR="004037AB">
        <w:rPr>
          <w:sz w:val="20"/>
          <w:szCs w:val="20"/>
        </w:rPr>
        <w:t xml:space="preserve"> y en el anexo 3A  se muestra</w:t>
      </w:r>
      <w:r w:rsidR="005A75E9">
        <w:rPr>
          <w:sz w:val="20"/>
          <w:szCs w:val="20"/>
        </w:rPr>
        <w:t xml:space="preserve"> el mapa de este polígono.</w:t>
      </w:r>
    </w:p>
    <w:p w:rsidR="00A4585D" w:rsidRDefault="00A4585D" w:rsidP="004904FC">
      <w:pPr>
        <w:spacing w:line="240" w:lineRule="auto"/>
        <w:jc w:val="both"/>
        <w:rPr>
          <w:sz w:val="20"/>
          <w:szCs w:val="20"/>
        </w:rPr>
      </w:pPr>
    </w:p>
    <w:p w:rsidR="009B1BBA" w:rsidRDefault="009B1B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5D73" w:rsidRDefault="00D95D73" w:rsidP="004904FC">
      <w:pPr>
        <w:spacing w:line="240" w:lineRule="auto"/>
        <w:jc w:val="both"/>
        <w:rPr>
          <w:sz w:val="20"/>
          <w:szCs w:val="20"/>
        </w:rPr>
      </w:pPr>
    </w:p>
    <w:p w:rsidR="0068494A" w:rsidRDefault="0068494A" w:rsidP="00DD2EAA">
      <w:pPr>
        <w:spacing w:line="240" w:lineRule="auto"/>
        <w:jc w:val="both"/>
        <w:rPr>
          <w:sz w:val="56"/>
          <w:szCs w:val="56"/>
        </w:rPr>
      </w:pPr>
    </w:p>
    <w:p w:rsidR="0068494A" w:rsidRDefault="0068494A" w:rsidP="0068494A">
      <w:pPr>
        <w:spacing w:line="240" w:lineRule="auto"/>
        <w:jc w:val="center"/>
        <w:rPr>
          <w:sz w:val="56"/>
          <w:szCs w:val="56"/>
        </w:rPr>
      </w:pPr>
    </w:p>
    <w:p w:rsidR="0068494A" w:rsidRDefault="0068494A" w:rsidP="0068494A">
      <w:pPr>
        <w:spacing w:line="240" w:lineRule="auto"/>
        <w:jc w:val="center"/>
        <w:rPr>
          <w:sz w:val="56"/>
          <w:szCs w:val="56"/>
        </w:rPr>
      </w:pPr>
    </w:p>
    <w:p w:rsidR="0068494A" w:rsidRDefault="0068494A" w:rsidP="0068494A">
      <w:pPr>
        <w:spacing w:line="240" w:lineRule="auto"/>
        <w:jc w:val="center"/>
        <w:rPr>
          <w:sz w:val="56"/>
          <w:szCs w:val="56"/>
        </w:rPr>
      </w:pPr>
    </w:p>
    <w:p w:rsidR="000D154B" w:rsidRDefault="000D154B" w:rsidP="0068494A">
      <w:pPr>
        <w:spacing w:line="240" w:lineRule="auto"/>
        <w:jc w:val="center"/>
        <w:rPr>
          <w:sz w:val="56"/>
          <w:szCs w:val="56"/>
        </w:rPr>
      </w:pPr>
    </w:p>
    <w:p w:rsidR="000D154B" w:rsidRDefault="000D154B" w:rsidP="0068494A">
      <w:pPr>
        <w:spacing w:line="240" w:lineRule="auto"/>
        <w:jc w:val="center"/>
        <w:rPr>
          <w:sz w:val="56"/>
          <w:szCs w:val="56"/>
        </w:rPr>
      </w:pPr>
    </w:p>
    <w:p w:rsidR="0068494A" w:rsidRPr="0068494A" w:rsidRDefault="00BF7F9C" w:rsidP="0068494A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ANEXO 1A</w:t>
      </w:r>
    </w:p>
    <w:p w:rsidR="0068494A" w:rsidRDefault="0068494A" w:rsidP="0068494A">
      <w:pPr>
        <w:spacing w:line="240" w:lineRule="auto"/>
        <w:jc w:val="center"/>
        <w:rPr>
          <w:sz w:val="56"/>
          <w:szCs w:val="56"/>
        </w:rPr>
      </w:pPr>
      <w:r w:rsidRPr="0068494A">
        <w:rPr>
          <w:sz w:val="56"/>
          <w:szCs w:val="56"/>
        </w:rPr>
        <w:t>MAPAS</w:t>
      </w:r>
      <w:r w:rsidR="00BF7F9C">
        <w:rPr>
          <w:sz w:val="56"/>
          <w:szCs w:val="56"/>
        </w:rPr>
        <w:t xml:space="preserve"> </w:t>
      </w:r>
      <w:r w:rsidR="00DF7489" w:rsidRPr="00DF7489">
        <w:rPr>
          <w:sz w:val="56"/>
          <w:szCs w:val="56"/>
        </w:rPr>
        <w:t>47</w:t>
      </w:r>
      <w:r w:rsidR="00BF7F9C">
        <w:rPr>
          <w:sz w:val="56"/>
          <w:szCs w:val="56"/>
        </w:rPr>
        <w:t xml:space="preserve"> </w:t>
      </w:r>
      <w:bookmarkStart w:id="0" w:name="_GoBack"/>
      <w:bookmarkEnd w:id="0"/>
      <w:r w:rsidR="00BF7F9C">
        <w:rPr>
          <w:sz w:val="56"/>
          <w:szCs w:val="56"/>
        </w:rPr>
        <w:t>CASOS</w:t>
      </w:r>
    </w:p>
    <w:p w:rsidR="00BF7F9C" w:rsidRPr="0068494A" w:rsidRDefault="00BF7F9C" w:rsidP="0068494A">
      <w:pPr>
        <w:spacing w:line="240" w:lineRule="auto"/>
        <w:jc w:val="center"/>
        <w:rPr>
          <w:sz w:val="56"/>
          <w:szCs w:val="56"/>
        </w:rPr>
      </w:pPr>
      <w:r w:rsidRPr="00BF7F9C">
        <w:rPr>
          <w:sz w:val="56"/>
          <w:szCs w:val="56"/>
        </w:rPr>
        <w:t>CONSTANTES EN LA MATRIZ E INCORPORADOS CON ERRORES DE GRAFICACIÓN EN EL PUOS</w:t>
      </w:r>
    </w:p>
    <w:p w:rsidR="00DD2EAA" w:rsidRPr="0068494A" w:rsidRDefault="00DD2EAA" w:rsidP="00F6070D">
      <w:pPr>
        <w:spacing w:line="240" w:lineRule="auto"/>
        <w:jc w:val="both"/>
        <w:rPr>
          <w:sz w:val="56"/>
          <w:szCs w:val="56"/>
        </w:rPr>
      </w:pPr>
    </w:p>
    <w:p w:rsidR="00DD2EAA" w:rsidRPr="00F6070D" w:rsidRDefault="00DD2EAA" w:rsidP="00F6070D">
      <w:pPr>
        <w:spacing w:line="240" w:lineRule="auto"/>
        <w:jc w:val="both"/>
        <w:rPr>
          <w:sz w:val="20"/>
          <w:szCs w:val="20"/>
        </w:rPr>
      </w:pPr>
    </w:p>
    <w:p w:rsidR="00F6070D" w:rsidRPr="00F6070D" w:rsidRDefault="00F6070D" w:rsidP="00F6070D">
      <w:pPr>
        <w:spacing w:line="240" w:lineRule="auto"/>
        <w:jc w:val="both"/>
        <w:rPr>
          <w:sz w:val="20"/>
          <w:szCs w:val="20"/>
        </w:rPr>
      </w:pPr>
    </w:p>
    <w:p w:rsidR="00F6070D" w:rsidRPr="00F6070D" w:rsidRDefault="00F6070D" w:rsidP="00F6070D">
      <w:pPr>
        <w:spacing w:line="240" w:lineRule="auto"/>
        <w:jc w:val="both"/>
        <w:rPr>
          <w:sz w:val="20"/>
          <w:szCs w:val="20"/>
        </w:rPr>
      </w:pPr>
    </w:p>
    <w:p w:rsidR="00BF7F9C" w:rsidRDefault="00BF7F9C">
      <w:pPr>
        <w:rPr>
          <w:b/>
        </w:rPr>
      </w:pPr>
      <w:r>
        <w:rPr>
          <w:b/>
        </w:rPr>
        <w:br w:type="page"/>
      </w: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654944" w:rsidRDefault="0065494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BF7F9C" w:rsidRPr="0068494A" w:rsidRDefault="00BF7F9C" w:rsidP="00BF7F9C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ANEXO 2A</w:t>
      </w: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  <w:r w:rsidRPr="0068494A">
        <w:rPr>
          <w:sz w:val="56"/>
          <w:szCs w:val="56"/>
        </w:rPr>
        <w:t>MAPAS</w:t>
      </w:r>
      <w:r>
        <w:rPr>
          <w:sz w:val="56"/>
          <w:szCs w:val="56"/>
        </w:rPr>
        <w:t xml:space="preserve"> </w:t>
      </w:r>
      <w:r w:rsidR="00DF7489" w:rsidRPr="00DF7489">
        <w:rPr>
          <w:sz w:val="56"/>
          <w:szCs w:val="56"/>
        </w:rPr>
        <w:t>18</w:t>
      </w:r>
      <w:r>
        <w:rPr>
          <w:sz w:val="56"/>
          <w:szCs w:val="56"/>
        </w:rPr>
        <w:t xml:space="preserve"> CASOS</w:t>
      </w:r>
    </w:p>
    <w:p w:rsidR="00BF7F9C" w:rsidRPr="0068494A" w:rsidRDefault="00BF7F9C" w:rsidP="00BF7F9C">
      <w:pPr>
        <w:spacing w:line="240" w:lineRule="auto"/>
        <w:jc w:val="center"/>
        <w:rPr>
          <w:sz w:val="56"/>
          <w:szCs w:val="56"/>
        </w:rPr>
      </w:pPr>
      <w:r w:rsidRPr="00BF7F9C">
        <w:rPr>
          <w:sz w:val="56"/>
          <w:szCs w:val="56"/>
        </w:rPr>
        <w:t>QUE CONTIENEN ERROR EN LA MATRIZ</w:t>
      </w:r>
      <w:r w:rsidR="0005048A">
        <w:rPr>
          <w:sz w:val="56"/>
          <w:szCs w:val="56"/>
        </w:rPr>
        <w:t xml:space="preserve"> DE CAMBIOS 2016</w:t>
      </w:r>
    </w:p>
    <w:p w:rsidR="00BF7F9C" w:rsidRDefault="00BF7F9C">
      <w:pPr>
        <w:rPr>
          <w:b/>
        </w:rPr>
      </w:pPr>
      <w:r>
        <w:rPr>
          <w:b/>
        </w:rPr>
        <w:br w:type="page"/>
      </w: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BF7F9C" w:rsidRDefault="00BF7F9C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894F84" w:rsidRDefault="00894F84" w:rsidP="00BF7F9C">
      <w:pPr>
        <w:spacing w:line="240" w:lineRule="auto"/>
        <w:jc w:val="center"/>
        <w:rPr>
          <w:sz w:val="56"/>
          <w:szCs w:val="56"/>
        </w:rPr>
      </w:pPr>
    </w:p>
    <w:p w:rsidR="00BF7F9C" w:rsidRPr="0068494A" w:rsidRDefault="00BF7F9C" w:rsidP="00BF7F9C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ANEXO 3A</w:t>
      </w:r>
    </w:p>
    <w:p w:rsidR="00BF7F9C" w:rsidRPr="0068494A" w:rsidRDefault="00BF7F9C" w:rsidP="00BF7F9C">
      <w:pPr>
        <w:spacing w:line="240" w:lineRule="auto"/>
        <w:jc w:val="center"/>
        <w:rPr>
          <w:sz w:val="56"/>
          <w:szCs w:val="56"/>
        </w:rPr>
      </w:pPr>
      <w:r w:rsidRPr="0068494A">
        <w:rPr>
          <w:sz w:val="56"/>
          <w:szCs w:val="56"/>
        </w:rPr>
        <w:t>MAPAS</w:t>
      </w:r>
      <w:r>
        <w:rPr>
          <w:sz w:val="56"/>
          <w:szCs w:val="56"/>
        </w:rPr>
        <w:t xml:space="preserve"> DE UN POLÍGONO DUPLICADO</w:t>
      </w:r>
      <w:r w:rsidR="0005048A">
        <w:rPr>
          <w:sz w:val="56"/>
          <w:szCs w:val="56"/>
        </w:rPr>
        <w:t xml:space="preserve"> EN MATRIZ DE CAMBIOS 2016</w:t>
      </w:r>
    </w:p>
    <w:p w:rsidR="00AF4767" w:rsidRPr="00AF4767" w:rsidRDefault="00AF4767" w:rsidP="00E34858">
      <w:pPr>
        <w:jc w:val="both"/>
        <w:rPr>
          <w:b/>
        </w:rPr>
      </w:pPr>
    </w:p>
    <w:sectPr w:rsidR="00AF4767" w:rsidRPr="00AF4767" w:rsidSect="00543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B7" w:rsidRDefault="007C1DB7" w:rsidP="007B4112">
      <w:pPr>
        <w:spacing w:after="0" w:line="240" w:lineRule="auto"/>
      </w:pPr>
      <w:r>
        <w:separator/>
      </w:r>
    </w:p>
  </w:endnote>
  <w:endnote w:type="continuationSeparator" w:id="0">
    <w:p w:rsidR="007C1DB7" w:rsidRDefault="007C1DB7" w:rsidP="007B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2" w:rsidRDefault="007B41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2" w:rsidRDefault="007B41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2" w:rsidRDefault="007B4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B7" w:rsidRDefault="007C1DB7" w:rsidP="007B4112">
      <w:pPr>
        <w:spacing w:after="0" w:line="240" w:lineRule="auto"/>
      </w:pPr>
      <w:r>
        <w:separator/>
      </w:r>
    </w:p>
  </w:footnote>
  <w:footnote w:type="continuationSeparator" w:id="0">
    <w:p w:rsidR="007C1DB7" w:rsidRDefault="007C1DB7" w:rsidP="007B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2" w:rsidRDefault="007B41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2" w:rsidRDefault="007B41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2" w:rsidRDefault="007B41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6A8"/>
    <w:multiLevelType w:val="hybridMultilevel"/>
    <w:tmpl w:val="44888F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6A16"/>
    <w:multiLevelType w:val="hybridMultilevel"/>
    <w:tmpl w:val="6D4445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100"/>
    <w:multiLevelType w:val="hybridMultilevel"/>
    <w:tmpl w:val="40A8EB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40638"/>
    <w:multiLevelType w:val="hybridMultilevel"/>
    <w:tmpl w:val="3424AC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2129"/>
    <w:multiLevelType w:val="hybridMultilevel"/>
    <w:tmpl w:val="2C0AEE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8"/>
    <w:rsid w:val="0001569F"/>
    <w:rsid w:val="000259FA"/>
    <w:rsid w:val="0005048A"/>
    <w:rsid w:val="000642A5"/>
    <w:rsid w:val="00067F01"/>
    <w:rsid w:val="000B40F9"/>
    <w:rsid w:val="000D154B"/>
    <w:rsid w:val="000E0228"/>
    <w:rsid w:val="0012747C"/>
    <w:rsid w:val="00143F4E"/>
    <w:rsid w:val="00156332"/>
    <w:rsid w:val="00163D1E"/>
    <w:rsid w:val="00170511"/>
    <w:rsid w:val="00177D9F"/>
    <w:rsid w:val="001950F0"/>
    <w:rsid w:val="001A0820"/>
    <w:rsid w:val="001B70F3"/>
    <w:rsid w:val="001B7B05"/>
    <w:rsid w:val="001F6FFF"/>
    <w:rsid w:val="0023100A"/>
    <w:rsid w:val="0023322C"/>
    <w:rsid w:val="00280FAF"/>
    <w:rsid w:val="0029399E"/>
    <w:rsid w:val="00293CA1"/>
    <w:rsid w:val="002C6B14"/>
    <w:rsid w:val="00331BBA"/>
    <w:rsid w:val="00344072"/>
    <w:rsid w:val="00363728"/>
    <w:rsid w:val="00381CDF"/>
    <w:rsid w:val="003A5968"/>
    <w:rsid w:val="004037AB"/>
    <w:rsid w:val="004163E2"/>
    <w:rsid w:val="004460EF"/>
    <w:rsid w:val="00454515"/>
    <w:rsid w:val="004619CC"/>
    <w:rsid w:val="004904FC"/>
    <w:rsid w:val="004A2B5C"/>
    <w:rsid w:val="00531ADF"/>
    <w:rsid w:val="005320D9"/>
    <w:rsid w:val="005432FA"/>
    <w:rsid w:val="00583341"/>
    <w:rsid w:val="005A36F1"/>
    <w:rsid w:val="005A75E9"/>
    <w:rsid w:val="00613B5F"/>
    <w:rsid w:val="00654944"/>
    <w:rsid w:val="00665684"/>
    <w:rsid w:val="0068083A"/>
    <w:rsid w:val="0068494A"/>
    <w:rsid w:val="006A724D"/>
    <w:rsid w:val="00712C68"/>
    <w:rsid w:val="00792671"/>
    <w:rsid w:val="00792F8F"/>
    <w:rsid w:val="007A15D5"/>
    <w:rsid w:val="007B4112"/>
    <w:rsid w:val="007C1DB7"/>
    <w:rsid w:val="007C3496"/>
    <w:rsid w:val="007F5420"/>
    <w:rsid w:val="00805A96"/>
    <w:rsid w:val="00825249"/>
    <w:rsid w:val="00830AAF"/>
    <w:rsid w:val="0083251F"/>
    <w:rsid w:val="0083566A"/>
    <w:rsid w:val="00840D8D"/>
    <w:rsid w:val="00852655"/>
    <w:rsid w:val="00854E55"/>
    <w:rsid w:val="00857298"/>
    <w:rsid w:val="00883A3B"/>
    <w:rsid w:val="00891169"/>
    <w:rsid w:val="00894F84"/>
    <w:rsid w:val="0089643A"/>
    <w:rsid w:val="008B55AD"/>
    <w:rsid w:val="008C2C07"/>
    <w:rsid w:val="008C44DB"/>
    <w:rsid w:val="008D5432"/>
    <w:rsid w:val="008E02D8"/>
    <w:rsid w:val="00925216"/>
    <w:rsid w:val="00927CA5"/>
    <w:rsid w:val="0098480F"/>
    <w:rsid w:val="009B1BBA"/>
    <w:rsid w:val="009F0093"/>
    <w:rsid w:val="00A31CAC"/>
    <w:rsid w:val="00A41B98"/>
    <w:rsid w:val="00A4585D"/>
    <w:rsid w:val="00A849AB"/>
    <w:rsid w:val="00A921E4"/>
    <w:rsid w:val="00AA5118"/>
    <w:rsid w:val="00AB089C"/>
    <w:rsid w:val="00AD4BFF"/>
    <w:rsid w:val="00AF4767"/>
    <w:rsid w:val="00AF48CA"/>
    <w:rsid w:val="00B4084E"/>
    <w:rsid w:val="00B60856"/>
    <w:rsid w:val="00B66560"/>
    <w:rsid w:val="00B9267B"/>
    <w:rsid w:val="00BA6789"/>
    <w:rsid w:val="00BA6E79"/>
    <w:rsid w:val="00BB73FF"/>
    <w:rsid w:val="00BC12FF"/>
    <w:rsid w:val="00BD57F4"/>
    <w:rsid w:val="00BF7F9C"/>
    <w:rsid w:val="00C079DD"/>
    <w:rsid w:val="00C2093E"/>
    <w:rsid w:val="00C51A5B"/>
    <w:rsid w:val="00CC2958"/>
    <w:rsid w:val="00CC3CA6"/>
    <w:rsid w:val="00CE0C85"/>
    <w:rsid w:val="00D85F33"/>
    <w:rsid w:val="00D95D73"/>
    <w:rsid w:val="00DB5AB1"/>
    <w:rsid w:val="00DD2EAA"/>
    <w:rsid w:val="00DE49E8"/>
    <w:rsid w:val="00DF7489"/>
    <w:rsid w:val="00E11771"/>
    <w:rsid w:val="00E34858"/>
    <w:rsid w:val="00F409F1"/>
    <w:rsid w:val="00F6070D"/>
    <w:rsid w:val="00F62CA9"/>
    <w:rsid w:val="00F6678B"/>
    <w:rsid w:val="00F7520B"/>
    <w:rsid w:val="00F93439"/>
    <w:rsid w:val="00FA51F0"/>
    <w:rsid w:val="00FA5DE7"/>
    <w:rsid w:val="00FC2079"/>
    <w:rsid w:val="00FD34FC"/>
    <w:rsid w:val="00FD70F3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2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B9267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E117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112"/>
  </w:style>
  <w:style w:type="paragraph" w:styleId="Piedepgina">
    <w:name w:val="footer"/>
    <w:basedOn w:val="Normal"/>
    <w:link w:val="PiedepginaCar"/>
    <w:uiPriority w:val="99"/>
    <w:unhideWhenUsed/>
    <w:rsid w:val="007B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112"/>
  </w:style>
  <w:style w:type="paragraph" w:styleId="Textodeglobo">
    <w:name w:val="Balloon Text"/>
    <w:basedOn w:val="Normal"/>
    <w:link w:val="TextodegloboCar"/>
    <w:uiPriority w:val="99"/>
    <w:semiHidden/>
    <w:unhideWhenUsed/>
    <w:rsid w:val="00D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2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B9267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E117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112"/>
  </w:style>
  <w:style w:type="paragraph" w:styleId="Piedepgina">
    <w:name w:val="footer"/>
    <w:basedOn w:val="Normal"/>
    <w:link w:val="PiedepginaCar"/>
    <w:uiPriority w:val="99"/>
    <w:unhideWhenUsed/>
    <w:rsid w:val="007B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112"/>
  </w:style>
  <w:style w:type="paragraph" w:styleId="Textodeglobo">
    <w:name w:val="Balloon Text"/>
    <w:basedOn w:val="Normal"/>
    <w:link w:val="TextodegloboCar"/>
    <w:uiPriority w:val="99"/>
    <w:semiHidden/>
    <w:unhideWhenUsed/>
    <w:rsid w:val="00D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FA4E-D0F3-4956-9765-1229EF00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Elizabeth Cubillo Betancourt</dc:creator>
  <cp:lastModifiedBy>Paulina Elizabeth Cubillo Betancourt</cp:lastModifiedBy>
  <cp:revision>3</cp:revision>
  <cp:lastPrinted>2017-11-01T22:36:00Z</cp:lastPrinted>
  <dcterms:created xsi:type="dcterms:W3CDTF">2017-11-01T22:32:00Z</dcterms:created>
  <dcterms:modified xsi:type="dcterms:W3CDTF">2017-11-01T23:38:00Z</dcterms:modified>
</cp:coreProperties>
</file>