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14" w:rsidRDefault="00790230" w:rsidP="00790230">
      <w:pPr>
        <w:pStyle w:val="Textoindependiente"/>
        <w:jc w:val="center"/>
        <w:rPr>
          <w:rFonts w:ascii="Calibri" w:hAnsi="Calibri" w:cs="Calibri"/>
          <w:b/>
          <w:sz w:val="20"/>
          <w:szCs w:val="20"/>
          <w:lang w:val="es-MX"/>
        </w:rPr>
      </w:pPr>
      <w:r w:rsidRPr="00790230">
        <w:rPr>
          <w:rFonts w:ascii="Calibri" w:hAnsi="Calibri" w:cs="Calibri"/>
          <w:b/>
          <w:sz w:val="20"/>
          <w:szCs w:val="20"/>
          <w:lang w:val="es-MX"/>
        </w:rPr>
        <w:t xml:space="preserve">INFORME TÉCNICO </w:t>
      </w:r>
      <w:r w:rsidR="001B3A63">
        <w:rPr>
          <w:rFonts w:ascii="Calibri" w:hAnsi="Calibri" w:cs="Calibri"/>
          <w:b/>
          <w:sz w:val="20"/>
          <w:szCs w:val="20"/>
          <w:lang w:val="es-MX"/>
        </w:rPr>
        <w:t xml:space="preserve">DE ANÁLISIS </w:t>
      </w:r>
      <w:r w:rsidRPr="00790230">
        <w:rPr>
          <w:rFonts w:ascii="Calibri" w:hAnsi="Calibri" w:cs="Calibri"/>
          <w:b/>
          <w:sz w:val="20"/>
          <w:szCs w:val="20"/>
          <w:lang w:val="es-MX"/>
        </w:rPr>
        <w:t>SOBRE LOS</w:t>
      </w:r>
      <w:r w:rsidR="0025799A">
        <w:rPr>
          <w:rFonts w:ascii="Calibri" w:hAnsi="Calibri" w:cs="Calibri"/>
          <w:b/>
          <w:sz w:val="20"/>
          <w:szCs w:val="20"/>
          <w:lang w:val="es-MX"/>
        </w:rPr>
        <w:t xml:space="preserve"> 354</w:t>
      </w:r>
      <w:r w:rsidRPr="00790230">
        <w:rPr>
          <w:rFonts w:ascii="Calibri" w:hAnsi="Calibri" w:cs="Calibri"/>
          <w:b/>
          <w:sz w:val="20"/>
          <w:szCs w:val="20"/>
          <w:lang w:val="es-MX"/>
        </w:rPr>
        <w:t xml:space="preserve"> CASOS NO REGISTRADOS </w:t>
      </w:r>
    </w:p>
    <w:p w:rsidR="00790230" w:rsidRDefault="00790230" w:rsidP="00790230">
      <w:pPr>
        <w:pStyle w:val="Textoindependiente"/>
        <w:jc w:val="center"/>
        <w:rPr>
          <w:rFonts w:ascii="Calibri" w:hAnsi="Calibri" w:cs="Calibri"/>
          <w:b/>
          <w:sz w:val="20"/>
          <w:szCs w:val="20"/>
          <w:lang w:val="es-MX"/>
        </w:rPr>
      </w:pPr>
      <w:r w:rsidRPr="00790230">
        <w:rPr>
          <w:rFonts w:ascii="Calibri" w:hAnsi="Calibri" w:cs="Calibri"/>
          <w:b/>
          <w:sz w:val="20"/>
          <w:szCs w:val="20"/>
          <w:lang w:val="es-MX"/>
        </w:rPr>
        <w:t>EN LA MATRIZ DE CAMBIOS 2016</w:t>
      </w:r>
      <w:r w:rsidR="00892D95">
        <w:rPr>
          <w:rFonts w:ascii="Calibri" w:hAnsi="Calibri" w:cs="Calibri"/>
          <w:b/>
          <w:sz w:val="20"/>
          <w:szCs w:val="20"/>
          <w:lang w:val="es-MX"/>
        </w:rPr>
        <w:t xml:space="preserve"> </w:t>
      </w:r>
    </w:p>
    <w:p w:rsidR="0025799A" w:rsidRPr="0025799A" w:rsidRDefault="0025799A" w:rsidP="0025799A">
      <w:pPr>
        <w:pStyle w:val="Textoindependiente"/>
        <w:jc w:val="right"/>
        <w:rPr>
          <w:rFonts w:ascii="Calibri" w:hAnsi="Calibri" w:cs="Calibri"/>
          <w:sz w:val="20"/>
          <w:szCs w:val="20"/>
          <w:lang w:val="es-MX"/>
        </w:rPr>
      </w:pPr>
      <w:r w:rsidRPr="0025799A">
        <w:rPr>
          <w:rFonts w:ascii="Calibri" w:hAnsi="Calibri" w:cs="Calibri"/>
          <w:sz w:val="20"/>
          <w:szCs w:val="20"/>
          <w:lang w:val="es-MX"/>
        </w:rPr>
        <w:t>Agosto 2017</w:t>
      </w:r>
    </w:p>
    <w:p w:rsidR="00790230" w:rsidRPr="00790230" w:rsidRDefault="00892D95" w:rsidP="00790230">
      <w:pPr>
        <w:pStyle w:val="Textoindependiente"/>
        <w:rPr>
          <w:rFonts w:ascii="Calibri" w:hAnsi="Calibri" w:cs="Calibri"/>
          <w:sz w:val="20"/>
          <w:szCs w:val="20"/>
          <w:lang w:val="es-MX"/>
        </w:rPr>
      </w:pPr>
      <w:r>
        <w:rPr>
          <w:rFonts w:ascii="Calibri" w:hAnsi="Calibri" w:cs="Calibri"/>
          <w:sz w:val="20"/>
          <w:szCs w:val="20"/>
          <w:lang w:val="es-MX"/>
        </w:rPr>
        <w:t>________________________________________________________________________________</w:t>
      </w:r>
    </w:p>
    <w:p w:rsidR="00790230" w:rsidRPr="00790230" w:rsidRDefault="00790230" w:rsidP="00790230">
      <w:pPr>
        <w:pStyle w:val="Textoindependiente"/>
        <w:rPr>
          <w:rFonts w:ascii="Calibri" w:hAnsi="Calibri" w:cs="Calibri"/>
          <w:sz w:val="20"/>
          <w:szCs w:val="20"/>
          <w:lang w:val="es-MX"/>
        </w:rPr>
      </w:pPr>
    </w:p>
    <w:p w:rsidR="00AE2357" w:rsidRDefault="00AE2357" w:rsidP="00790230">
      <w:pPr>
        <w:pStyle w:val="Textoindependiente"/>
        <w:rPr>
          <w:rFonts w:ascii="Calibri" w:hAnsi="Calibri" w:cs="Calibri"/>
          <w:b/>
          <w:sz w:val="20"/>
          <w:szCs w:val="20"/>
          <w:lang w:val="es-MX"/>
        </w:rPr>
      </w:pPr>
    </w:p>
    <w:p w:rsidR="00790230" w:rsidRPr="00790230" w:rsidRDefault="00790230" w:rsidP="00790230">
      <w:pPr>
        <w:pStyle w:val="Textoindependiente"/>
        <w:rPr>
          <w:rFonts w:ascii="Calibri" w:hAnsi="Calibri" w:cs="Calibri"/>
          <w:b/>
          <w:sz w:val="20"/>
          <w:szCs w:val="20"/>
          <w:lang w:val="es-MX"/>
        </w:rPr>
      </w:pPr>
      <w:r w:rsidRPr="00790230">
        <w:rPr>
          <w:rFonts w:ascii="Calibri" w:hAnsi="Calibri" w:cs="Calibri"/>
          <w:b/>
          <w:sz w:val="20"/>
          <w:szCs w:val="20"/>
          <w:lang w:val="es-MX"/>
        </w:rPr>
        <w:t>Antecedentes referidos al PUOS.</w:t>
      </w:r>
    </w:p>
    <w:p w:rsidR="00790230" w:rsidRDefault="00790230" w:rsidP="005E70E2">
      <w:pPr>
        <w:pStyle w:val="Textoindependiente"/>
        <w:rPr>
          <w:rFonts w:ascii="Calibri" w:hAnsi="Calibri" w:cs="Calibri"/>
          <w:color w:val="000000" w:themeColor="text1"/>
          <w:sz w:val="20"/>
          <w:szCs w:val="20"/>
          <w:lang w:val="es-MX"/>
        </w:rPr>
      </w:pPr>
    </w:p>
    <w:p w:rsidR="00C6705C" w:rsidRDefault="00C6705C" w:rsidP="005E70E2">
      <w:pPr>
        <w:pStyle w:val="Textoindependiente"/>
        <w:rPr>
          <w:rFonts w:ascii="Calibri" w:hAnsi="Calibri" w:cs="Calibri"/>
          <w:sz w:val="20"/>
          <w:szCs w:val="20"/>
          <w:lang w:val="es-MX"/>
        </w:rPr>
      </w:pPr>
      <w:r w:rsidRPr="00C6705C">
        <w:rPr>
          <w:rFonts w:ascii="Calibri" w:hAnsi="Calibri" w:cs="Calibri"/>
          <w:sz w:val="20"/>
          <w:szCs w:val="20"/>
          <w:lang w:val="es-MX"/>
        </w:rPr>
        <w:t xml:space="preserve">En sesión extraordinaria del día miércoles 31 de mayo de 2017, convocada por la Comisión de Uso de Suelo, se resolvió solicitar a la Secretaría de Territorio, Hábitat y Vivienda realizar un análisis pormenorizado de los cambios de clasificación, uso y zonificación del suelo que fueron realizados por esta Secretaría y que no constan en la  Matriz de Cambios 2016, y elabore un proyecto de ordenanza modificatoria de la Ordenanza Metropolitana No. 127, en la cual solo consten los cambios que fueron aprobados por el Concejo Metropolitano y que constan en la citada matriz. </w:t>
      </w:r>
    </w:p>
    <w:p w:rsidR="00C6705C" w:rsidRPr="00C6705C" w:rsidRDefault="00C6705C" w:rsidP="005E70E2">
      <w:pPr>
        <w:pStyle w:val="Textoindependiente"/>
        <w:rPr>
          <w:rFonts w:ascii="Calibri" w:hAnsi="Calibri" w:cs="Calibri"/>
          <w:sz w:val="20"/>
          <w:szCs w:val="20"/>
          <w:lang w:val="es-MX"/>
        </w:rPr>
      </w:pPr>
    </w:p>
    <w:p w:rsidR="00C6705C" w:rsidRDefault="00C6705C" w:rsidP="005E70E2">
      <w:pPr>
        <w:pStyle w:val="Textoindependiente"/>
        <w:rPr>
          <w:rFonts w:ascii="Calibri" w:hAnsi="Calibri" w:cs="Calibri"/>
          <w:sz w:val="20"/>
          <w:szCs w:val="20"/>
          <w:lang w:val="es-MX"/>
        </w:rPr>
      </w:pPr>
      <w:r w:rsidRPr="005E70E2">
        <w:rPr>
          <w:rFonts w:ascii="Calibri" w:hAnsi="Calibri" w:cs="Calibri"/>
          <w:sz w:val="20"/>
          <w:szCs w:val="20"/>
          <w:lang w:val="es-MX"/>
        </w:rPr>
        <w:t>La Secretaría de Territorio, Hábitat y Vivienda, realizó el análisis solicitado y  mediante oficio No. STHV-DMPPS-3293 del 23 de junio de 2017</w:t>
      </w:r>
      <w:r w:rsidR="008E051E">
        <w:rPr>
          <w:rFonts w:ascii="Calibri" w:hAnsi="Calibri" w:cs="Calibri"/>
          <w:sz w:val="20"/>
          <w:szCs w:val="20"/>
          <w:lang w:val="es-MX"/>
        </w:rPr>
        <w:t>, copia adjunta,</w:t>
      </w:r>
      <w:r w:rsidRPr="005E70E2">
        <w:rPr>
          <w:rFonts w:ascii="Calibri" w:hAnsi="Calibri" w:cs="Calibri"/>
          <w:sz w:val="20"/>
          <w:szCs w:val="20"/>
          <w:lang w:val="es-MX"/>
        </w:rPr>
        <w:t xml:space="preserve"> remitió a la Comisión de Uso de Suelo el informe técnico sobre los casos no registrados en la Matriz de Cambios 2016, con los anexos gráficos y técnicos correspondientes. </w:t>
      </w:r>
    </w:p>
    <w:p w:rsidR="005E70E2" w:rsidRPr="005E70E2" w:rsidRDefault="005E70E2" w:rsidP="005E70E2">
      <w:pPr>
        <w:pStyle w:val="Textoindependiente"/>
        <w:rPr>
          <w:rFonts w:ascii="Calibri" w:hAnsi="Calibri" w:cs="Calibri"/>
          <w:sz w:val="20"/>
          <w:szCs w:val="20"/>
          <w:lang w:val="es-MX"/>
        </w:rPr>
      </w:pPr>
    </w:p>
    <w:p w:rsidR="00C6705C" w:rsidRDefault="00C6705C" w:rsidP="005E70E2">
      <w:pPr>
        <w:pStyle w:val="Textoindependiente"/>
        <w:rPr>
          <w:rFonts w:ascii="Calibri" w:hAnsi="Calibri" w:cs="Calibri"/>
          <w:sz w:val="20"/>
          <w:szCs w:val="20"/>
          <w:lang w:val="es-MX"/>
        </w:rPr>
      </w:pPr>
      <w:r w:rsidRPr="005E70E2">
        <w:rPr>
          <w:rFonts w:ascii="Calibri" w:hAnsi="Calibri" w:cs="Calibri"/>
          <w:sz w:val="20"/>
          <w:szCs w:val="20"/>
          <w:lang w:val="es-MX"/>
        </w:rPr>
        <w:t>Mediante oficio No. STHV-DMPPS-3495 del  3 de julio de 2017,  la Secretaría de Territorio, Hábitat y Vivienda remitió el texto de la propuesta de Ordenanza Modificatoria a la Ordenanza Metropolitana No. 127 del Plan de Uso y Ocupación del Suelo, a la que se adjunta los mapas de Uso de Suelo y de Ocupación y Edificabilidad modificatorios al PUOS (PUOS U2-1 y PUOS Z2-1).</w:t>
      </w:r>
    </w:p>
    <w:p w:rsidR="005E70E2" w:rsidRPr="005E70E2" w:rsidRDefault="005E70E2" w:rsidP="005E70E2">
      <w:pPr>
        <w:pStyle w:val="Textoindependiente"/>
        <w:rPr>
          <w:rFonts w:ascii="Calibri" w:hAnsi="Calibri" w:cs="Calibri"/>
          <w:sz w:val="20"/>
          <w:szCs w:val="20"/>
          <w:lang w:val="es-MX"/>
        </w:rPr>
      </w:pPr>
    </w:p>
    <w:p w:rsidR="00C6705C" w:rsidRDefault="00C6705C" w:rsidP="005E70E2">
      <w:pPr>
        <w:pStyle w:val="Textoindependiente"/>
        <w:rPr>
          <w:rFonts w:ascii="Calibri" w:hAnsi="Calibri" w:cs="Calibri"/>
          <w:sz w:val="20"/>
          <w:szCs w:val="20"/>
          <w:lang w:val="es-MX"/>
        </w:rPr>
      </w:pPr>
      <w:r w:rsidRPr="005E70E2">
        <w:rPr>
          <w:rFonts w:ascii="Calibri" w:hAnsi="Calibri" w:cs="Calibri"/>
          <w:sz w:val="20"/>
          <w:szCs w:val="20"/>
          <w:lang w:val="es-MX"/>
        </w:rPr>
        <w:t xml:space="preserve">La Comisión de Uso de Suelo en Sesión </w:t>
      </w:r>
      <w:r w:rsidR="005E70E2">
        <w:rPr>
          <w:rFonts w:ascii="Calibri" w:hAnsi="Calibri" w:cs="Calibri"/>
          <w:sz w:val="20"/>
          <w:szCs w:val="20"/>
          <w:lang w:val="es-MX"/>
        </w:rPr>
        <w:t xml:space="preserve">Extraordinaria del 13 de julio de </w:t>
      </w:r>
      <w:r w:rsidR="00F84466">
        <w:rPr>
          <w:rFonts w:ascii="Calibri" w:hAnsi="Calibri" w:cs="Calibri"/>
          <w:sz w:val="20"/>
          <w:szCs w:val="20"/>
          <w:lang w:val="es-MX"/>
        </w:rPr>
        <w:t>2017, aprobó</w:t>
      </w:r>
      <w:r w:rsidRPr="005E70E2">
        <w:rPr>
          <w:rFonts w:ascii="Calibri" w:hAnsi="Calibri" w:cs="Calibri"/>
          <w:sz w:val="20"/>
          <w:szCs w:val="20"/>
          <w:lang w:val="es-MX"/>
        </w:rPr>
        <w:t xml:space="preserve"> el informe de la Secretaría de Territorio, Hábitat y Vivienda</w:t>
      </w:r>
      <w:r w:rsidR="00F84466">
        <w:rPr>
          <w:rFonts w:ascii="Calibri" w:hAnsi="Calibri" w:cs="Calibri"/>
          <w:sz w:val="20"/>
          <w:szCs w:val="20"/>
          <w:lang w:val="es-MX"/>
        </w:rPr>
        <w:t xml:space="preserve"> con la </w:t>
      </w:r>
      <w:r w:rsidRPr="005E70E2">
        <w:rPr>
          <w:rFonts w:ascii="Calibri" w:hAnsi="Calibri" w:cs="Calibri"/>
          <w:sz w:val="20"/>
          <w:szCs w:val="20"/>
          <w:lang w:val="es-MX"/>
        </w:rPr>
        <w:t xml:space="preserve"> reforma a la Ordenanza Metropolitana No. 127 en el cual se incluyen los mapas de Uso de Suelo y de Ocupación y Edificabilidad que cont</w:t>
      </w:r>
      <w:r w:rsidR="00713407">
        <w:rPr>
          <w:rFonts w:ascii="Calibri" w:hAnsi="Calibri" w:cs="Calibri"/>
          <w:sz w:val="20"/>
          <w:szCs w:val="20"/>
          <w:lang w:val="es-MX"/>
        </w:rPr>
        <w:t>ienen</w:t>
      </w:r>
      <w:r w:rsidRPr="005E70E2">
        <w:rPr>
          <w:rFonts w:ascii="Calibri" w:hAnsi="Calibri" w:cs="Calibri"/>
          <w:sz w:val="20"/>
          <w:szCs w:val="20"/>
          <w:lang w:val="es-MX"/>
        </w:rPr>
        <w:t xml:space="preserve"> únicamente los polígonos constantes en la matriz de cambios antes señalada, incorporando los</w:t>
      </w:r>
      <w:r w:rsidR="00F84466">
        <w:rPr>
          <w:rFonts w:ascii="Calibri" w:hAnsi="Calibri" w:cs="Calibri"/>
          <w:sz w:val="20"/>
          <w:szCs w:val="20"/>
          <w:lang w:val="es-MX"/>
        </w:rPr>
        <w:t xml:space="preserve"> polígonos por omisiones</w:t>
      </w:r>
      <w:r w:rsidR="00C4625C">
        <w:rPr>
          <w:rFonts w:ascii="Calibri" w:hAnsi="Calibri" w:cs="Calibri"/>
          <w:sz w:val="20"/>
          <w:szCs w:val="20"/>
          <w:lang w:val="es-MX"/>
        </w:rPr>
        <w:t xml:space="preserve"> (11 polígonos y 1 ajuste)</w:t>
      </w:r>
      <w:r w:rsidR="00F84466">
        <w:rPr>
          <w:rFonts w:ascii="Calibri" w:hAnsi="Calibri" w:cs="Calibri"/>
          <w:sz w:val="20"/>
          <w:szCs w:val="20"/>
          <w:lang w:val="es-MX"/>
        </w:rPr>
        <w:t xml:space="preserve"> </w:t>
      </w:r>
      <w:r w:rsidRPr="005E70E2">
        <w:rPr>
          <w:rFonts w:ascii="Calibri" w:hAnsi="Calibri" w:cs="Calibri"/>
          <w:sz w:val="20"/>
          <w:szCs w:val="20"/>
          <w:lang w:val="es-MX"/>
        </w:rPr>
        <w:t>así como aquellos que se derivan de los ajustes cartográficos implementados para precisar los límites o vértices de  polígonos que no cambian de clasificación, uso o zonificación, según lo detallado en el Informe Técnico sobre los casos no registrados en la matriz de cambios 2016, anexo al oficio No. STHV-DMPPS-3293 del 23 de junio de 2017.</w:t>
      </w:r>
    </w:p>
    <w:p w:rsidR="005E70E2" w:rsidRPr="005E70E2" w:rsidRDefault="005E70E2" w:rsidP="005E70E2">
      <w:pPr>
        <w:pStyle w:val="Textoindependiente"/>
        <w:rPr>
          <w:rFonts w:ascii="Calibri" w:hAnsi="Calibri" w:cs="Calibri"/>
          <w:sz w:val="20"/>
          <w:szCs w:val="20"/>
          <w:lang w:val="es-MX"/>
        </w:rPr>
      </w:pPr>
    </w:p>
    <w:p w:rsidR="00C6705C" w:rsidRDefault="00C6705C" w:rsidP="005E70E2">
      <w:pPr>
        <w:pStyle w:val="Textoindependiente"/>
        <w:rPr>
          <w:rFonts w:ascii="Calibri" w:hAnsi="Calibri" w:cs="Calibri"/>
          <w:sz w:val="20"/>
          <w:szCs w:val="20"/>
          <w:lang w:val="es-MX"/>
        </w:rPr>
      </w:pPr>
      <w:r w:rsidRPr="005E70E2">
        <w:rPr>
          <w:rFonts w:ascii="Calibri" w:hAnsi="Calibri" w:cs="Calibri"/>
          <w:sz w:val="20"/>
          <w:szCs w:val="20"/>
          <w:lang w:val="es-MX"/>
        </w:rPr>
        <w:t>Las reformas a la Ordenanza Metropolitana No. 127, permitirán contar con un PUOS cuyos mapas de Uso de Suelo y de Ocupación y Edificabilidad sean coincidentes con los cambios que analizó y aprobó el Concejo Metropolitano en la Sesión del Segundo Debate llevada a cabo  el 18 de  julio de 2016 en concordancia con los polígonos contenidos en la Matriz de Cambios 2016 que sirvió como instrumento de trabajo para identificar los polígonos de cambio;  pudiendo ser este el punto de partida sobre el cual se analicen otros cambios legítimos que podrán constar a futuro en el PUOS, derivados de las aprobaciones de Ordenanzas, Resoluciones, omisiones o errores, entre otros casos, que justifiquen un posterior ajuste del PUOS en vista que responden al período de actualización comprendido entre el año 2011 y el 2016.</w:t>
      </w:r>
    </w:p>
    <w:p w:rsidR="004E1B99" w:rsidRPr="005E70E2" w:rsidRDefault="004E1B99" w:rsidP="005E70E2">
      <w:pPr>
        <w:pStyle w:val="Textoindependiente"/>
        <w:rPr>
          <w:rFonts w:ascii="Calibri" w:hAnsi="Calibri" w:cs="Calibri"/>
          <w:sz w:val="20"/>
          <w:szCs w:val="20"/>
          <w:lang w:val="es-MX"/>
        </w:rPr>
      </w:pPr>
    </w:p>
    <w:p w:rsidR="00C6705C" w:rsidRPr="005E70E2" w:rsidRDefault="00C6705C" w:rsidP="005E70E2">
      <w:pPr>
        <w:pStyle w:val="Textoindependiente"/>
        <w:rPr>
          <w:rFonts w:ascii="Calibri" w:hAnsi="Calibri" w:cs="Calibri"/>
          <w:sz w:val="20"/>
          <w:szCs w:val="20"/>
          <w:lang w:val="es-MX"/>
        </w:rPr>
      </w:pPr>
      <w:r w:rsidRPr="005E70E2">
        <w:rPr>
          <w:rFonts w:ascii="Calibri" w:hAnsi="Calibri" w:cs="Calibri"/>
          <w:sz w:val="20"/>
          <w:szCs w:val="20"/>
          <w:lang w:val="es-MX"/>
        </w:rPr>
        <w:t xml:space="preserve">Por otro lado, en vista de que el PUOS y sus anexos cartográficos son la base para actualizar y regular el sistema de emisión de los Informes de Regulación Metropolitana (IRM), resulta </w:t>
      </w:r>
      <w:r w:rsidRPr="005B29D1">
        <w:rPr>
          <w:rFonts w:ascii="Calibri" w:hAnsi="Calibri" w:cs="Calibri"/>
          <w:b/>
          <w:sz w:val="20"/>
          <w:szCs w:val="20"/>
          <w:lang w:val="es-MX"/>
        </w:rPr>
        <w:t>urgente</w:t>
      </w:r>
      <w:r w:rsidRPr="005E70E2">
        <w:rPr>
          <w:rFonts w:ascii="Calibri" w:hAnsi="Calibri" w:cs="Calibri"/>
          <w:sz w:val="20"/>
          <w:szCs w:val="20"/>
          <w:lang w:val="es-MX"/>
        </w:rPr>
        <w:t xml:space="preserve"> que este sea reformado en el sentido de lo expuesto en los párrafos anteriores, con la finalidad de evitar la emisión de IRM que contengan datos distintos de aquellos derivados de la aprobación que hiciere el Concejo Metropolitano en base a la Matriz de Cambios antes señalada y de esta manera evitar procesos de Licenciamiento Metropolitano Urbanístico</w:t>
      </w:r>
      <w:r w:rsidR="00C4625C">
        <w:rPr>
          <w:rFonts w:ascii="Calibri" w:hAnsi="Calibri" w:cs="Calibri"/>
          <w:sz w:val="20"/>
          <w:szCs w:val="20"/>
          <w:lang w:val="es-MX"/>
        </w:rPr>
        <w:t xml:space="preserve"> </w:t>
      </w:r>
      <w:r w:rsidR="005B29D1">
        <w:rPr>
          <w:rFonts w:ascii="Calibri" w:hAnsi="Calibri" w:cs="Calibri"/>
          <w:sz w:val="20"/>
          <w:szCs w:val="20"/>
          <w:lang w:val="es-MX"/>
        </w:rPr>
        <w:t xml:space="preserve">LMU y de Lineamiento Económico </w:t>
      </w:r>
      <w:r w:rsidR="00C4625C">
        <w:rPr>
          <w:rFonts w:ascii="Calibri" w:hAnsi="Calibri" w:cs="Calibri"/>
          <w:sz w:val="20"/>
          <w:szCs w:val="20"/>
          <w:lang w:val="es-MX"/>
        </w:rPr>
        <w:t>(LUAE)</w:t>
      </w:r>
      <w:r w:rsidRPr="005E70E2">
        <w:rPr>
          <w:rFonts w:ascii="Calibri" w:hAnsi="Calibri" w:cs="Calibri"/>
          <w:sz w:val="20"/>
          <w:szCs w:val="20"/>
          <w:lang w:val="es-MX"/>
        </w:rPr>
        <w:t xml:space="preserve"> que pudieran ser emitidos con datos que no correspondan a las determinaciones de usos de suelo o de ocupación y edificabilidad que fueron aprobados por el Concejo Metropolitano.</w:t>
      </w:r>
    </w:p>
    <w:p w:rsidR="007422B3" w:rsidRDefault="00A32A74" w:rsidP="007422B3">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 xml:space="preserve">  </w:t>
      </w:r>
    </w:p>
    <w:p w:rsidR="007422B3" w:rsidRDefault="007422B3" w:rsidP="007422B3">
      <w:pPr>
        <w:pStyle w:val="Textoindependiente"/>
        <w:rPr>
          <w:rFonts w:ascii="Calibri" w:hAnsi="Calibri" w:cs="Calibri"/>
          <w:b/>
          <w:sz w:val="20"/>
          <w:szCs w:val="20"/>
          <w:lang w:val="es-MX"/>
        </w:rPr>
      </w:pPr>
      <w:r w:rsidRPr="007422B3">
        <w:rPr>
          <w:rFonts w:ascii="Calibri" w:hAnsi="Calibri" w:cs="Calibri"/>
          <w:b/>
          <w:sz w:val="20"/>
          <w:szCs w:val="20"/>
          <w:lang w:val="es-MX"/>
        </w:rPr>
        <w:t>Del proc</w:t>
      </w:r>
      <w:r w:rsidR="0043606A">
        <w:rPr>
          <w:rFonts w:ascii="Calibri" w:hAnsi="Calibri" w:cs="Calibri"/>
          <w:b/>
          <w:sz w:val="20"/>
          <w:szCs w:val="20"/>
          <w:lang w:val="es-MX"/>
        </w:rPr>
        <w:t>eso de revisión de los 354 cambios</w:t>
      </w:r>
    </w:p>
    <w:p w:rsidR="005977C1" w:rsidRDefault="005977C1" w:rsidP="005977C1">
      <w:pPr>
        <w:pStyle w:val="Textoindependiente"/>
        <w:rPr>
          <w:rFonts w:ascii="Calibri" w:hAnsi="Calibri" w:cs="Calibri"/>
          <w:color w:val="000000" w:themeColor="text1"/>
          <w:sz w:val="20"/>
          <w:szCs w:val="20"/>
          <w:lang w:val="es-MX"/>
        </w:rPr>
      </w:pPr>
    </w:p>
    <w:p w:rsidR="005977C1" w:rsidRDefault="005977C1" w:rsidP="005977C1">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 xml:space="preserve">El equipo técnico de la Secretaria de Territorio, Hábitat y Vivienda,  en atención al requerimiento de la Comisión de Uso de Suelo </w:t>
      </w:r>
      <w:r w:rsidR="005E70E2">
        <w:rPr>
          <w:rFonts w:ascii="Calibri" w:hAnsi="Calibri" w:cs="Calibri"/>
          <w:color w:val="000000" w:themeColor="text1"/>
          <w:sz w:val="20"/>
          <w:szCs w:val="20"/>
          <w:lang w:val="es-MX"/>
        </w:rPr>
        <w:t>para</w:t>
      </w:r>
      <w:r>
        <w:rPr>
          <w:rFonts w:ascii="Calibri" w:hAnsi="Calibri" w:cs="Calibri"/>
          <w:color w:val="000000" w:themeColor="text1"/>
          <w:sz w:val="20"/>
          <w:szCs w:val="20"/>
          <w:lang w:val="es-MX"/>
        </w:rPr>
        <w:t xml:space="preserve"> que se llevara a cabo urgentemente la reforma a la Ordenanza </w:t>
      </w:r>
      <w:r>
        <w:rPr>
          <w:rFonts w:ascii="Calibri" w:hAnsi="Calibri" w:cs="Calibri"/>
          <w:color w:val="000000" w:themeColor="text1"/>
          <w:sz w:val="20"/>
          <w:szCs w:val="20"/>
          <w:lang w:val="es-MX"/>
        </w:rPr>
        <w:lastRenderedPageBreak/>
        <w:t>Metropolitana 127 que contiene el PUOS, con la finalidad</w:t>
      </w:r>
      <w:r w:rsidR="005E70E2">
        <w:rPr>
          <w:rFonts w:ascii="Calibri" w:hAnsi="Calibri" w:cs="Calibri"/>
          <w:color w:val="000000" w:themeColor="text1"/>
          <w:sz w:val="20"/>
          <w:szCs w:val="20"/>
          <w:lang w:val="es-MX"/>
        </w:rPr>
        <w:t xml:space="preserve"> de</w:t>
      </w:r>
      <w:r>
        <w:rPr>
          <w:rFonts w:ascii="Calibri" w:hAnsi="Calibri" w:cs="Calibri"/>
          <w:color w:val="000000" w:themeColor="text1"/>
          <w:sz w:val="20"/>
          <w:szCs w:val="20"/>
          <w:lang w:val="es-MX"/>
        </w:rPr>
        <w:t xml:space="preserve"> que en sus anexos cartográficos consten únicamente los cambios aprobados por el Concejo Metropolitano según la matriz de cambios 2016 (985  cambios), realizó una depuración de cambios generados en el proceso de actualización del PUOS, </w:t>
      </w:r>
      <w:r w:rsidR="005E70E2">
        <w:rPr>
          <w:rFonts w:ascii="Calibri" w:hAnsi="Calibri" w:cs="Calibri"/>
          <w:color w:val="000000" w:themeColor="text1"/>
          <w:sz w:val="20"/>
          <w:szCs w:val="20"/>
          <w:lang w:val="es-MX"/>
        </w:rPr>
        <w:t xml:space="preserve">y </w:t>
      </w:r>
      <w:r w:rsidR="00C4625C">
        <w:rPr>
          <w:rFonts w:ascii="Calibri" w:hAnsi="Calibri" w:cs="Calibri"/>
          <w:color w:val="000000" w:themeColor="text1"/>
          <w:sz w:val="20"/>
          <w:szCs w:val="20"/>
          <w:lang w:val="es-MX"/>
        </w:rPr>
        <w:t>así</w:t>
      </w:r>
      <w:r>
        <w:rPr>
          <w:rFonts w:ascii="Calibri" w:hAnsi="Calibri" w:cs="Calibri"/>
          <w:color w:val="000000" w:themeColor="text1"/>
          <w:sz w:val="20"/>
          <w:szCs w:val="20"/>
          <w:lang w:val="es-MX"/>
        </w:rPr>
        <w:t xml:space="preserve"> tener certeza de otros posibles cambios incorporados en los mapas anexos al PUOS que no fueron incluidos en la referida matriz.</w:t>
      </w:r>
    </w:p>
    <w:p w:rsidR="005977C1" w:rsidRDefault="005977C1" w:rsidP="007422B3">
      <w:pPr>
        <w:pStyle w:val="Textoindependiente"/>
        <w:rPr>
          <w:rFonts w:ascii="Calibri" w:hAnsi="Calibri" w:cs="Calibri"/>
          <w:b/>
          <w:sz w:val="20"/>
          <w:szCs w:val="20"/>
          <w:lang w:val="es-MX"/>
        </w:rPr>
      </w:pPr>
    </w:p>
    <w:p w:rsidR="00790230" w:rsidRDefault="00790230" w:rsidP="00790230">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 xml:space="preserve">Este análisis parte de la comparación de los archivos </w:t>
      </w:r>
      <w:proofErr w:type="spellStart"/>
      <w:r>
        <w:rPr>
          <w:rFonts w:ascii="Calibri" w:hAnsi="Calibri" w:cs="Calibri"/>
          <w:color w:val="000000" w:themeColor="text1"/>
          <w:sz w:val="20"/>
          <w:szCs w:val="20"/>
          <w:lang w:val="es-MX"/>
        </w:rPr>
        <w:t>shapefiles</w:t>
      </w:r>
      <w:proofErr w:type="spellEnd"/>
      <w:r>
        <w:rPr>
          <w:rFonts w:ascii="Calibri" w:hAnsi="Calibri" w:cs="Calibri"/>
          <w:color w:val="000000" w:themeColor="text1"/>
          <w:sz w:val="20"/>
          <w:szCs w:val="20"/>
          <w:lang w:val="es-MX"/>
        </w:rPr>
        <w:t xml:space="preserve"> de las Ordenanzas No. 041 (2015) y  127 (2016),  de lo que  se determina una diferencia de 20.457 polígonos de cambio.</w:t>
      </w:r>
    </w:p>
    <w:p w:rsidR="00790230" w:rsidRDefault="00790230" w:rsidP="00790230">
      <w:pPr>
        <w:pStyle w:val="Textoindependiente"/>
        <w:rPr>
          <w:rFonts w:ascii="Calibri" w:hAnsi="Calibri" w:cs="Calibri"/>
          <w:color w:val="000000" w:themeColor="text1"/>
          <w:sz w:val="20"/>
          <w:szCs w:val="20"/>
          <w:lang w:val="es-MX"/>
        </w:rPr>
      </w:pPr>
    </w:p>
    <w:p w:rsidR="00790230" w:rsidRDefault="00790230" w:rsidP="00790230">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Se realiz</w:t>
      </w:r>
      <w:r w:rsidR="005E70E2">
        <w:rPr>
          <w:rFonts w:ascii="Calibri" w:hAnsi="Calibri" w:cs="Calibri"/>
          <w:color w:val="000000" w:themeColor="text1"/>
          <w:sz w:val="20"/>
          <w:szCs w:val="20"/>
          <w:lang w:val="es-MX"/>
        </w:rPr>
        <w:t>ó</w:t>
      </w:r>
      <w:r>
        <w:rPr>
          <w:rFonts w:ascii="Calibri" w:hAnsi="Calibri" w:cs="Calibri"/>
          <w:color w:val="000000" w:themeColor="text1"/>
          <w:sz w:val="20"/>
          <w:szCs w:val="20"/>
          <w:lang w:val="es-MX"/>
        </w:rPr>
        <w:t xml:space="preserve"> una discriminación y análisis de los ajustes cartográficos, descartando aquellos polígonos que variaron su área (5.720)</w:t>
      </w:r>
      <w:r w:rsidR="005B29D1">
        <w:rPr>
          <w:rFonts w:ascii="Calibri" w:hAnsi="Calibri" w:cs="Calibri"/>
          <w:color w:val="000000" w:themeColor="text1"/>
          <w:sz w:val="20"/>
          <w:szCs w:val="20"/>
          <w:lang w:val="es-MX"/>
        </w:rPr>
        <w:t xml:space="preserve"> sin cambiar las asignaciones de </w:t>
      </w:r>
      <w:r w:rsidR="005D0260">
        <w:rPr>
          <w:rFonts w:ascii="Calibri" w:hAnsi="Calibri" w:cs="Calibri"/>
          <w:color w:val="000000" w:themeColor="text1"/>
          <w:sz w:val="20"/>
          <w:szCs w:val="20"/>
          <w:lang w:val="es-MX"/>
        </w:rPr>
        <w:t>uso o zonificación del suelo</w:t>
      </w:r>
      <w:r>
        <w:rPr>
          <w:rFonts w:ascii="Calibri" w:hAnsi="Calibri" w:cs="Calibri"/>
          <w:color w:val="000000" w:themeColor="text1"/>
          <w:sz w:val="20"/>
          <w:szCs w:val="20"/>
          <w:lang w:val="es-MX"/>
        </w:rPr>
        <w:t>; otros con reasignación de zona de riesgo ZR a otros usos (412) y otros con ajustes menores a 100 m2. (8.123); la suma  determina un total de 14.255 polígonos.</w:t>
      </w:r>
    </w:p>
    <w:p w:rsidR="00790230" w:rsidRDefault="00790230" w:rsidP="004B1C26">
      <w:pPr>
        <w:pStyle w:val="Textoindependiente"/>
        <w:rPr>
          <w:rFonts w:ascii="Calibri" w:hAnsi="Calibri" w:cs="Calibri"/>
          <w:color w:val="000000" w:themeColor="text1"/>
          <w:sz w:val="20"/>
          <w:szCs w:val="20"/>
          <w:lang w:val="es-MX"/>
        </w:rPr>
      </w:pPr>
    </w:p>
    <w:p w:rsidR="00790230" w:rsidRDefault="00790230" w:rsidP="004B1C26">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Del proceso mencionado derivan</w:t>
      </w:r>
      <w:r w:rsidR="005977C1">
        <w:rPr>
          <w:rFonts w:ascii="Calibri" w:hAnsi="Calibri" w:cs="Calibri"/>
          <w:color w:val="000000" w:themeColor="text1"/>
          <w:sz w:val="20"/>
          <w:szCs w:val="20"/>
          <w:lang w:val="es-MX"/>
        </w:rPr>
        <w:t xml:space="preserve"> </w:t>
      </w:r>
      <w:r>
        <w:rPr>
          <w:rFonts w:ascii="Calibri" w:hAnsi="Calibri" w:cs="Calibri"/>
          <w:color w:val="000000" w:themeColor="text1"/>
          <w:sz w:val="20"/>
          <w:szCs w:val="20"/>
          <w:lang w:val="es-MX"/>
        </w:rPr>
        <w:t xml:space="preserve">6.202 polígonos de cambio, los cuales </w:t>
      </w:r>
      <w:r w:rsidR="008E051E">
        <w:rPr>
          <w:rFonts w:ascii="Calibri" w:hAnsi="Calibri" w:cs="Calibri"/>
          <w:color w:val="000000" w:themeColor="text1"/>
          <w:sz w:val="20"/>
          <w:szCs w:val="20"/>
          <w:lang w:val="es-MX"/>
        </w:rPr>
        <w:t xml:space="preserve">se </w:t>
      </w:r>
      <w:r>
        <w:rPr>
          <w:rFonts w:ascii="Calibri" w:hAnsi="Calibri" w:cs="Calibri"/>
          <w:color w:val="000000" w:themeColor="text1"/>
          <w:sz w:val="20"/>
          <w:szCs w:val="20"/>
          <w:lang w:val="es-MX"/>
        </w:rPr>
        <w:t xml:space="preserve"> someti</w:t>
      </w:r>
      <w:r w:rsidR="008E051E">
        <w:rPr>
          <w:rFonts w:ascii="Calibri" w:hAnsi="Calibri" w:cs="Calibri"/>
          <w:color w:val="000000" w:themeColor="text1"/>
          <w:sz w:val="20"/>
          <w:szCs w:val="20"/>
          <w:lang w:val="es-MX"/>
        </w:rPr>
        <w:t>eron</w:t>
      </w:r>
      <w:r>
        <w:rPr>
          <w:rFonts w:ascii="Calibri" w:hAnsi="Calibri" w:cs="Calibri"/>
          <w:color w:val="000000" w:themeColor="text1"/>
          <w:sz w:val="20"/>
          <w:szCs w:val="20"/>
          <w:lang w:val="es-MX"/>
        </w:rPr>
        <w:t xml:space="preserve"> a un proceso de depuración explicado mediante el </w:t>
      </w:r>
      <w:r w:rsidR="005977C1" w:rsidRPr="005977C1">
        <w:rPr>
          <w:rFonts w:ascii="Calibri" w:hAnsi="Calibri" w:cs="Calibri"/>
          <w:color w:val="000000" w:themeColor="text1"/>
          <w:sz w:val="20"/>
          <w:szCs w:val="20"/>
          <w:lang w:val="es-MX"/>
        </w:rPr>
        <w:t>INFORME TÉCNICO SOBRE LOS CASOS NO REGISTRADOS E</w:t>
      </w:r>
      <w:r w:rsidR="00452E00">
        <w:rPr>
          <w:rFonts w:ascii="Calibri" w:hAnsi="Calibri" w:cs="Calibri"/>
          <w:color w:val="000000" w:themeColor="text1"/>
          <w:sz w:val="20"/>
          <w:szCs w:val="20"/>
          <w:lang w:val="es-MX"/>
        </w:rPr>
        <w:t xml:space="preserve">N </w:t>
      </w:r>
      <w:r w:rsidR="005977C1" w:rsidRPr="005977C1">
        <w:rPr>
          <w:rFonts w:ascii="Calibri" w:hAnsi="Calibri" w:cs="Calibri"/>
          <w:color w:val="000000" w:themeColor="text1"/>
          <w:sz w:val="20"/>
          <w:szCs w:val="20"/>
          <w:lang w:val="es-MX"/>
        </w:rPr>
        <w:t>LA MATRIZ DE CAMBIOS 2016</w:t>
      </w:r>
      <w:r w:rsidR="004E1B99">
        <w:rPr>
          <w:rFonts w:ascii="Calibri" w:hAnsi="Calibri" w:cs="Calibri"/>
          <w:color w:val="000000" w:themeColor="text1"/>
          <w:sz w:val="20"/>
          <w:szCs w:val="20"/>
          <w:lang w:val="es-MX"/>
        </w:rPr>
        <w:t xml:space="preserve"> </w:t>
      </w:r>
      <w:r w:rsidR="008E051E">
        <w:rPr>
          <w:rFonts w:ascii="Calibri" w:hAnsi="Calibri" w:cs="Calibri"/>
          <w:color w:val="000000" w:themeColor="text1"/>
          <w:sz w:val="20"/>
          <w:szCs w:val="20"/>
          <w:lang w:val="es-MX"/>
        </w:rPr>
        <w:t xml:space="preserve">anexo al </w:t>
      </w:r>
      <w:r w:rsidR="008E051E" w:rsidRPr="005E70E2">
        <w:rPr>
          <w:rFonts w:ascii="Calibri" w:hAnsi="Calibri" w:cs="Calibri"/>
          <w:sz w:val="20"/>
          <w:szCs w:val="20"/>
          <w:lang w:val="es-MX"/>
        </w:rPr>
        <w:t xml:space="preserve"> oficio No. STHV-DMPPS-3293 del 23 de junio de 2017</w:t>
      </w:r>
      <w:r w:rsidR="00C3262A">
        <w:rPr>
          <w:rFonts w:ascii="Calibri" w:hAnsi="Calibri" w:cs="Calibri"/>
          <w:sz w:val="20"/>
          <w:szCs w:val="20"/>
          <w:lang w:val="es-MX"/>
        </w:rPr>
        <w:t xml:space="preserve"> remitido a la Comisión de Uso de Suelo del Concejo Metropolitano</w:t>
      </w:r>
      <w:r w:rsidR="008E051E">
        <w:rPr>
          <w:rFonts w:ascii="Calibri" w:hAnsi="Calibri" w:cs="Calibri"/>
          <w:sz w:val="20"/>
          <w:szCs w:val="20"/>
          <w:lang w:val="es-MX"/>
        </w:rPr>
        <w:t>,  del cual se obtuvo un total de</w:t>
      </w:r>
      <w:r>
        <w:rPr>
          <w:rFonts w:ascii="Calibri" w:hAnsi="Calibri" w:cs="Calibri"/>
          <w:color w:val="000000" w:themeColor="text1"/>
          <w:sz w:val="20"/>
          <w:szCs w:val="20"/>
          <w:lang w:val="es-MX"/>
        </w:rPr>
        <w:t xml:space="preserve"> 354 cambios no registrados en la matriz de cambios 2016.</w:t>
      </w:r>
    </w:p>
    <w:p w:rsidR="00576ED1" w:rsidRDefault="00576ED1" w:rsidP="004B1C26">
      <w:pPr>
        <w:pStyle w:val="Textoindependiente"/>
        <w:rPr>
          <w:rFonts w:ascii="Calibri" w:hAnsi="Calibri" w:cs="Calibri"/>
          <w:color w:val="000000" w:themeColor="text1"/>
          <w:sz w:val="20"/>
          <w:szCs w:val="20"/>
          <w:lang w:val="es-MX"/>
        </w:rPr>
      </w:pPr>
    </w:p>
    <w:p w:rsidR="00790230" w:rsidRDefault="00576ED1" w:rsidP="004B1C26">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 xml:space="preserve">En la cronología del desarrollo del PUOS 2016 </w:t>
      </w:r>
      <w:r w:rsidR="005D0260" w:rsidRPr="00B05178">
        <w:rPr>
          <w:rFonts w:ascii="Calibri" w:hAnsi="Calibri" w:cs="Calibri"/>
          <w:b/>
          <w:color w:val="000000" w:themeColor="text1"/>
          <w:sz w:val="20"/>
          <w:szCs w:val="20"/>
          <w:lang w:val="es-MX"/>
        </w:rPr>
        <w:t>(</w:t>
      </w:r>
      <w:r w:rsidR="008074A6" w:rsidRPr="00B05178">
        <w:rPr>
          <w:rFonts w:ascii="Calibri" w:hAnsi="Calibri" w:cs="Calibri"/>
          <w:b/>
          <w:color w:val="000000" w:themeColor="text1"/>
          <w:sz w:val="20"/>
          <w:szCs w:val="20"/>
          <w:lang w:val="es-MX"/>
        </w:rPr>
        <w:t>a</w:t>
      </w:r>
      <w:r w:rsidRPr="00B05178">
        <w:rPr>
          <w:rFonts w:ascii="Calibri" w:hAnsi="Calibri" w:cs="Calibri"/>
          <w:b/>
          <w:color w:val="000000" w:themeColor="text1"/>
          <w:sz w:val="20"/>
          <w:szCs w:val="20"/>
          <w:lang w:val="es-MX"/>
        </w:rPr>
        <w:t>nexo 1</w:t>
      </w:r>
      <w:r w:rsidR="005D0260">
        <w:rPr>
          <w:rFonts w:ascii="Calibri" w:hAnsi="Calibri" w:cs="Calibri"/>
          <w:color w:val="000000" w:themeColor="text1"/>
          <w:sz w:val="20"/>
          <w:szCs w:val="20"/>
          <w:lang w:val="es-MX"/>
        </w:rPr>
        <w:t>)</w:t>
      </w:r>
      <w:r>
        <w:rPr>
          <w:rFonts w:ascii="Calibri" w:hAnsi="Calibri" w:cs="Calibri"/>
          <w:color w:val="000000" w:themeColor="text1"/>
          <w:sz w:val="20"/>
          <w:szCs w:val="20"/>
          <w:lang w:val="es-MX"/>
        </w:rPr>
        <w:t>, se describen</w:t>
      </w:r>
      <w:r w:rsidR="005D0260">
        <w:rPr>
          <w:rFonts w:ascii="Calibri" w:hAnsi="Calibri" w:cs="Calibri"/>
          <w:color w:val="000000" w:themeColor="text1"/>
          <w:sz w:val="20"/>
          <w:szCs w:val="20"/>
          <w:lang w:val="es-MX"/>
        </w:rPr>
        <w:t xml:space="preserve"> por un lado, </w:t>
      </w:r>
      <w:r>
        <w:rPr>
          <w:rFonts w:ascii="Calibri" w:hAnsi="Calibri" w:cs="Calibri"/>
          <w:color w:val="000000" w:themeColor="text1"/>
          <w:sz w:val="20"/>
          <w:szCs w:val="20"/>
          <w:lang w:val="es-MX"/>
        </w:rPr>
        <w:t xml:space="preserve"> los actos administrativos y normativos</w:t>
      </w:r>
      <w:r w:rsidR="00F93F70">
        <w:rPr>
          <w:rFonts w:ascii="Calibri" w:hAnsi="Calibri" w:cs="Calibri"/>
          <w:color w:val="000000" w:themeColor="text1"/>
          <w:sz w:val="20"/>
          <w:szCs w:val="20"/>
          <w:lang w:val="es-MX"/>
        </w:rPr>
        <w:t>,</w:t>
      </w:r>
      <w:r>
        <w:rPr>
          <w:rFonts w:ascii="Calibri" w:hAnsi="Calibri" w:cs="Calibri"/>
          <w:color w:val="000000" w:themeColor="text1"/>
          <w:sz w:val="20"/>
          <w:szCs w:val="20"/>
          <w:lang w:val="es-MX"/>
        </w:rPr>
        <w:t xml:space="preserve"> y </w:t>
      </w:r>
      <w:r w:rsidR="005D0260">
        <w:rPr>
          <w:rFonts w:ascii="Calibri" w:hAnsi="Calibri" w:cs="Calibri"/>
          <w:color w:val="000000" w:themeColor="text1"/>
          <w:sz w:val="20"/>
          <w:szCs w:val="20"/>
          <w:lang w:val="es-MX"/>
        </w:rPr>
        <w:t xml:space="preserve">por otro, </w:t>
      </w:r>
      <w:r>
        <w:rPr>
          <w:rFonts w:ascii="Calibri" w:hAnsi="Calibri" w:cs="Calibri"/>
          <w:color w:val="000000" w:themeColor="text1"/>
          <w:sz w:val="20"/>
          <w:szCs w:val="20"/>
          <w:lang w:val="es-MX"/>
        </w:rPr>
        <w:t>las acciones técnicas derivadas de los mismos</w:t>
      </w:r>
      <w:r w:rsidR="008074A6">
        <w:rPr>
          <w:rFonts w:ascii="Calibri" w:hAnsi="Calibri" w:cs="Calibri"/>
          <w:color w:val="000000" w:themeColor="text1"/>
          <w:sz w:val="20"/>
          <w:szCs w:val="20"/>
          <w:lang w:val="es-MX"/>
        </w:rPr>
        <w:t>, lo que se explica a continuación:</w:t>
      </w:r>
    </w:p>
    <w:p w:rsidR="008074A6" w:rsidRDefault="008074A6" w:rsidP="004B1C26">
      <w:pPr>
        <w:pStyle w:val="Textoindependiente"/>
        <w:rPr>
          <w:rFonts w:ascii="Calibri" w:hAnsi="Calibri" w:cs="Calibri"/>
          <w:color w:val="000000" w:themeColor="text1"/>
          <w:sz w:val="20"/>
          <w:szCs w:val="20"/>
          <w:lang w:val="es-MX"/>
        </w:rPr>
      </w:pPr>
    </w:p>
    <w:p w:rsidR="004E1B99" w:rsidRDefault="004E1B99" w:rsidP="004E1B99">
      <w:pPr>
        <w:pStyle w:val="Textoindependiente"/>
        <w:rPr>
          <w:rFonts w:ascii="Calibri" w:hAnsi="Calibri" w:cs="Calibri"/>
          <w:color w:val="000000" w:themeColor="text1"/>
          <w:sz w:val="20"/>
          <w:szCs w:val="20"/>
          <w:lang w:val="es-MX"/>
        </w:rPr>
      </w:pPr>
    </w:p>
    <w:p w:rsidR="008F4D59" w:rsidRPr="00B05178" w:rsidRDefault="004E1B99" w:rsidP="00B05178">
      <w:pPr>
        <w:pStyle w:val="Textoindependiente"/>
        <w:rPr>
          <w:rFonts w:ascii="Calibri" w:hAnsi="Calibri" w:cs="Calibri"/>
          <w:color w:val="000000" w:themeColor="text1"/>
          <w:sz w:val="20"/>
          <w:szCs w:val="20"/>
          <w:lang w:val="es-MX"/>
        </w:rPr>
      </w:pPr>
      <w:r w:rsidRPr="00B05178">
        <w:rPr>
          <w:rFonts w:ascii="Calibri" w:hAnsi="Calibri" w:cs="Calibri"/>
          <w:color w:val="000000" w:themeColor="text1"/>
          <w:sz w:val="20"/>
          <w:szCs w:val="20"/>
          <w:lang w:val="es-MX"/>
        </w:rPr>
        <w:t xml:space="preserve">Se procedió a identificar </w:t>
      </w:r>
      <w:r w:rsidR="00C4625C" w:rsidRPr="00B05178">
        <w:rPr>
          <w:rFonts w:ascii="Calibri" w:hAnsi="Calibri" w:cs="Calibri"/>
          <w:color w:val="000000" w:themeColor="text1"/>
          <w:sz w:val="20"/>
          <w:szCs w:val="20"/>
          <w:lang w:val="es-MX"/>
        </w:rPr>
        <w:t xml:space="preserve">las cargas en los IRM correspondientes a los cambios </w:t>
      </w:r>
      <w:r w:rsidR="00457B5E" w:rsidRPr="00B05178">
        <w:rPr>
          <w:rFonts w:ascii="Calibri" w:hAnsi="Calibri" w:cs="Calibri"/>
          <w:color w:val="000000" w:themeColor="text1"/>
          <w:sz w:val="20"/>
          <w:szCs w:val="20"/>
          <w:lang w:val="es-MX"/>
        </w:rPr>
        <w:t xml:space="preserve"> de los mapas PUOS U2 y PUOS Z2</w:t>
      </w:r>
      <w:r w:rsidR="005D0260" w:rsidRPr="00B05178">
        <w:rPr>
          <w:rFonts w:ascii="Calibri" w:hAnsi="Calibri" w:cs="Calibri"/>
          <w:color w:val="000000" w:themeColor="text1"/>
          <w:sz w:val="20"/>
          <w:szCs w:val="20"/>
          <w:lang w:val="es-MX"/>
        </w:rPr>
        <w:t xml:space="preserve">, aprobados mediante Ordenanza Metropolitana nº 127 </w:t>
      </w:r>
      <w:r w:rsidR="006B16A7" w:rsidRPr="00B05178">
        <w:rPr>
          <w:rFonts w:ascii="Calibri" w:hAnsi="Calibri" w:cs="Calibri"/>
          <w:color w:val="000000" w:themeColor="text1"/>
          <w:sz w:val="20"/>
          <w:szCs w:val="20"/>
          <w:lang w:val="es-MX"/>
        </w:rPr>
        <w:t xml:space="preserve"> </w:t>
      </w:r>
      <w:r w:rsidRPr="00B05178">
        <w:rPr>
          <w:rFonts w:ascii="Calibri" w:hAnsi="Calibri" w:cs="Calibri"/>
          <w:color w:val="000000" w:themeColor="text1"/>
          <w:sz w:val="20"/>
          <w:szCs w:val="20"/>
          <w:lang w:val="es-MX"/>
        </w:rPr>
        <w:t>con el objetivo de evidenciar que los diferentes cambios que se han detectado corresponden a todo el proceso evolutivo del PUOS</w:t>
      </w:r>
      <w:r w:rsidR="00B05178" w:rsidRPr="00B05178">
        <w:rPr>
          <w:rFonts w:ascii="Calibri" w:hAnsi="Calibri" w:cs="Calibri"/>
          <w:color w:val="000000" w:themeColor="text1"/>
          <w:sz w:val="20"/>
          <w:szCs w:val="20"/>
          <w:lang w:val="es-MX"/>
        </w:rPr>
        <w:t>,</w:t>
      </w:r>
      <w:r w:rsidRPr="00B05178">
        <w:rPr>
          <w:rFonts w:ascii="Calibri" w:hAnsi="Calibri" w:cs="Calibri"/>
          <w:color w:val="000000" w:themeColor="text1"/>
          <w:sz w:val="20"/>
          <w:szCs w:val="20"/>
          <w:lang w:val="es-MX"/>
        </w:rPr>
        <w:t xml:space="preserve"> y  que la </w:t>
      </w:r>
      <w:r w:rsidR="00457B5E" w:rsidRPr="00B05178">
        <w:rPr>
          <w:rFonts w:ascii="Calibri" w:hAnsi="Calibri" w:cs="Calibri"/>
          <w:color w:val="000000" w:themeColor="text1"/>
          <w:sz w:val="20"/>
          <w:szCs w:val="20"/>
          <w:lang w:val="es-MX"/>
        </w:rPr>
        <w:t>M</w:t>
      </w:r>
      <w:r w:rsidRPr="00B05178">
        <w:rPr>
          <w:rFonts w:ascii="Calibri" w:hAnsi="Calibri" w:cs="Calibri"/>
          <w:color w:val="000000" w:themeColor="text1"/>
          <w:sz w:val="20"/>
          <w:szCs w:val="20"/>
          <w:lang w:val="es-MX"/>
        </w:rPr>
        <w:t xml:space="preserve">atriz de </w:t>
      </w:r>
      <w:r w:rsidR="00457B5E" w:rsidRPr="00B05178">
        <w:rPr>
          <w:rFonts w:ascii="Calibri" w:hAnsi="Calibri" w:cs="Calibri"/>
          <w:color w:val="000000" w:themeColor="text1"/>
          <w:sz w:val="20"/>
          <w:szCs w:val="20"/>
          <w:lang w:val="es-MX"/>
        </w:rPr>
        <w:t>C</w:t>
      </w:r>
      <w:r w:rsidRPr="00B05178">
        <w:rPr>
          <w:rFonts w:ascii="Calibri" w:hAnsi="Calibri" w:cs="Calibri"/>
          <w:color w:val="000000" w:themeColor="text1"/>
          <w:sz w:val="20"/>
          <w:szCs w:val="20"/>
          <w:lang w:val="es-MX"/>
        </w:rPr>
        <w:t>ambios 2016 corre</w:t>
      </w:r>
      <w:r w:rsidR="00982618">
        <w:rPr>
          <w:rFonts w:ascii="Calibri" w:hAnsi="Calibri" w:cs="Calibri"/>
          <w:color w:val="000000" w:themeColor="text1"/>
          <w:sz w:val="20"/>
          <w:szCs w:val="20"/>
          <w:lang w:val="es-MX"/>
        </w:rPr>
        <w:t>spondió</w:t>
      </w:r>
      <w:r w:rsidR="00457B5E" w:rsidRPr="00B05178">
        <w:rPr>
          <w:rFonts w:ascii="Calibri" w:hAnsi="Calibri" w:cs="Calibri"/>
          <w:color w:val="000000" w:themeColor="text1"/>
          <w:sz w:val="20"/>
          <w:szCs w:val="20"/>
          <w:lang w:val="es-MX"/>
        </w:rPr>
        <w:t xml:space="preserve"> a un instrumento técnico de registro </w:t>
      </w:r>
      <w:r w:rsidR="00CD3EB0" w:rsidRPr="00B05178">
        <w:rPr>
          <w:rFonts w:ascii="Calibri" w:hAnsi="Calibri" w:cs="Calibri"/>
          <w:color w:val="000000" w:themeColor="text1"/>
          <w:sz w:val="20"/>
          <w:szCs w:val="20"/>
          <w:lang w:val="es-MX"/>
        </w:rPr>
        <w:t>que se utilizó entre febrero</w:t>
      </w:r>
      <w:r w:rsidR="00457B5E" w:rsidRPr="00B05178">
        <w:rPr>
          <w:rFonts w:ascii="Calibri" w:hAnsi="Calibri" w:cs="Calibri"/>
          <w:color w:val="000000" w:themeColor="text1"/>
          <w:sz w:val="20"/>
          <w:szCs w:val="20"/>
          <w:lang w:val="es-MX"/>
        </w:rPr>
        <w:t xml:space="preserve"> y julio de 2016, </w:t>
      </w:r>
      <w:r w:rsidR="00B05178" w:rsidRPr="00B05178">
        <w:rPr>
          <w:rFonts w:ascii="Calibri" w:hAnsi="Calibri" w:cs="Calibri"/>
          <w:color w:val="000000" w:themeColor="text1"/>
          <w:sz w:val="20"/>
          <w:szCs w:val="20"/>
          <w:lang w:val="es-MX"/>
        </w:rPr>
        <w:t xml:space="preserve"> sin que </w:t>
      </w:r>
      <w:r w:rsidR="00457B5E" w:rsidRPr="00B05178">
        <w:rPr>
          <w:rFonts w:ascii="Calibri" w:hAnsi="Calibri" w:cs="Calibri"/>
          <w:color w:val="000000" w:themeColor="text1"/>
          <w:sz w:val="20"/>
          <w:szCs w:val="20"/>
          <w:lang w:val="es-MX"/>
        </w:rPr>
        <w:t>contenga la totalidad de cambios que ya se habían incorporado en el PUOS, ni tampoco otros cambios que la DMPPS de la Secretaría de Territorio, incorporó directamente en lo</w:t>
      </w:r>
      <w:r w:rsidR="00982618">
        <w:rPr>
          <w:rFonts w:ascii="Calibri" w:hAnsi="Calibri" w:cs="Calibri"/>
          <w:color w:val="000000" w:themeColor="text1"/>
          <w:sz w:val="20"/>
          <w:szCs w:val="20"/>
          <w:lang w:val="es-MX"/>
        </w:rPr>
        <w:t>s mapas del PUOS posterior al uso</w:t>
      </w:r>
      <w:r w:rsidR="00457B5E" w:rsidRPr="00B05178">
        <w:rPr>
          <w:rFonts w:ascii="Calibri" w:hAnsi="Calibri" w:cs="Calibri"/>
          <w:color w:val="000000" w:themeColor="text1"/>
          <w:sz w:val="20"/>
          <w:szCs w:val="20"/>
          <w:lang w:val="es-MX"/>
        </w:rPr>
        <w:t xml:space="preserve"> de la matriz;  para lo cual se realizó </w:t>
      </w:r>
      <w:r w:rsidRPr="00B05178">
        <w:rPr>
          <w:rFonts w:ascii="Calibri" w:hAnsi="Calibri" w:cs="Calibri"/>
          <w:color w:val="000000" w:themeColor="text1"/>
          <w:sz w:val="20"/>
          <w:szCs w:val="20"/>
          <w:lang w:val="es-MX"/>
        </w:rPr>
        <w:t xml:space="preserve">una comparación </w:t>
      </w:r>
      <w:r w:rsidR="00A51497" w:rsidRPr="00B05178">
        <w:rPr>
          <w:rFonts w:ascii="Calibri" w:hAnsi="Calibri" w:cs="Calibri"/>
          <w:color w:val="000000" w:themeColor="text1"/>
          <w:sz w:val="20"/>
          <w:szCs w:val="20"/>
          <w:lang w:val="es-MX"/>
        </w:rPr>
        <w:t xml:space="preserve">entre los archivos de actualización del </w:t>
      </w:r>
      <w:r w:rsidRPr="00B05178">
        <w:rPr>
          <w:rFonts w:ascii="Calibri" w:hAnsi="Calibri" w:cs="Calibri"/>
          <w:color w:val="000000" w:themeColor="text1"/>
          <w:sz w:val="20"/>
          <w:szCs w:val="20"/>
          <w:lang w:val="es-MX"/>
        </w:rPr>
        <w:t>PUOS de diferentes fechas con las siguientes coberturas</w:t>
      </w:r>
      <w:r w:rsidR="00A54C16" w:rsidRPr="00B05178">
        <w:rPr>
          <w:rFonts w:ascii="Calibri" w:hAnsi="Calibri" w:cs="Calibri"/>
          <w:color w:val="000000" w:themeColor="text1"/>
          <w:sz w:val="20"/>
          <w:szCs w:val="20"/>
          <w:lang w:val="es-MX"/>
        </w:rPr>
        <w:t>:</w:t>
      </w:r>
      <w:r w:rsidR="00982618">
        <w:rPr>
          <w:rFonts w:ascii="Calibri" w:hAnsi="Calibri" w:cs="Calibri"/>
          <w:color w:val="000000" w:themeColor="text1"/>
          <w:sz w:val="20"/>
          <w:szCs w:val="20"/>
          <w:lang w:val="es-MX"/>
        </w:rPr>
        <w:t xml:space="preserve"> </w:t>
      </w:r>
      <w:r w:rsidRPr="00B05178">
        <w:rPr>
          <w:rFonts w:ascii="Calibri" w:hAnsi="Calibri" w:cs="Calibri"/>
          <w:color w:val="000000" w:themeColor="text1"/>
          <w:sz w:val="20"/>
          <w:szCs w:val="20"/>
          <w:lang w:val="es-MX"/>
        </w:rPr>
        <w:t xml:space="preserve"> </w:t>
      </w:r>
      <w:r w:rsidR="00982618">
        <w:rPr>
          <w:rFonts w:ascii="Calibri" w:hAnsi="Calibri" w:cs="Calibri"/>
          <w:color w:val="000000" w:themeColor="text1"/>
          <w:sz w:val="20"/>
          <w:szCs w:val="20"/>
          <w:lang w:val="es-MX"/>
        </w:rPr>
        <w:t>(Ver anexo 1)</w:t>
      </w:r>
    </w:p>
    <w:p w:rsidR="008F4D59" w:rsidRDefault="008F4D59" w:rsidP="008F4D59">
      <w:pPr>
        <w:pStyle w:val="Textoindependiente"/>
        <w:ind w:left="720"/>
        <w:rPr>
          <w:rFonts w:ascii="Calibri" w:hAnsi="Calibri" w:cs="Calibri"/>
          <w:color w:val="000000" w:themeColor="text1"/>
          <w:sz w:val="20"/>
          <w:szCs w:val="20"/>
          <w:lang w:val="es-MX"/>
        </w:rPr>
      </w:pPr>
    </w:p>
    <w:p w:rsidR="008F4D59" w:rsidRPr="00982618" w:rsidRDefault="004E1B99" w:rsidP="00B05178">
      <w:pPr>
        <w:pStyle w:val="Textoindependiente"/>
        <w:numPr>
          <w:ilvl w:val="1"/>
          <w:numId w:val="19"/>
        </w:numPr>
        <w:rPr>
          <w:rFonts w:ascii="Calibri" w:hAnsi="Calibri" w:cs="Calibri"/>
          <w:i/>
          <w:color w:val="000000" w:themeColor="text1"/>
          <w:sz w:val="20"/>
          <w:szCs w:val="20"/>
          <w:lang w:val="es-MX"/>
        </w:rPr>
      </w:pPr>
      <w:r w:rsidRPr="00982618">
        <w:rPr>
          <w:rFonts w:ascii="Calibri" w:hAnsi="Calibri" w:cs="Calibri"/>
          <w:i/>
          <w:color w:val="000000" w:themeColor="text1"/>
          <w:sz w:val="20"/>
          <w:szCs w:val="20"/>
          <w:lang w:val="es-MX"/>
        </w:rPr>
        <w:t xml:space="preserve">Carga a los IRM inicial Ord. </w:t>
      </w:r>
      <w:r w:rsidR="004D7748" w:rsidRPr="00982618">
        <w:rPr>
          <w:rFonts w:ascii="Calibri" w:hAnsi="Calibri" w:cs="Calibri"/>
          <w:i/>
          <w:color w:val="000000" w:themeColor="text1"/>
          <w:sz w:val="20"/>
          <w:szCs w:val="20"/>
          <w:lang w:val="es-MX"/>
        </w:rPr>
        <w:t>041, Archivo Madre (26/02/2015)</w:t>
      </w:r>
    </w:p>
    <w:p w:rsidR="008F4D59" w:rsidRPr="00982618" w:rsidRDefault="008F4D59" w:rsidP="008F4D59">
      <w:pPr>
        <w:pStyle w:val="Textoindependiente"/>
        <w:numPr>
          <w:ilvl w:val="0"/>
          <w:numId w:val="7"/>
        </w:numPr>
        <w:rPr>
          <w:rFonts w:ascii="Calibri" w:hAnsi="Calibri" w:cs="Calibri"/>
          <w:color w:val="000000" w:themeColor="text1"/>
          <w:sz w:val="20"/>
          <w:szCs w:val="20"/>
          <w:lang w:val="es-MX"/>
        </w:rPr>
      </w:pPr>
      <w:r w:rsidRPr="00982618">
        <w:rPr>
          <w:rFonts w:ascii="Calibri" w:hAnsi="Calibri" w:cs="Calibri"/>
          <w:color w:val="000000" w:themeColor="text1"/>
          <w:sz w:val="20"/>
          <w:szCs w:val="20"/>
          <w:lang w:val="es-MX"/>
        </w:rPr>
        <w:t>Integrado a</w:t>
      </w:r>
      <w:r w:rsidR="004E1B99" w:rsidRPr="00982618">
        <w:rPr>
          <w:rFonts w:ascii="Calibri" w:hAnsi="Calibri" w:cs="Calibri"/>
          <w:color w:val="000000" w:themeColor="text1"/>
          <w:sz w:val="20"/>
          <w:szCs w:val="20"/>
          <w:lang w:val="es-MX"/>
        </w:rPr>
        <w:t xml:space="preserve">ntes </w:t>
      </w:r>
      <w:r w:rsidR="00CD3EB0" w:rsidRPr="00982618">
        <w:rPr>
          <w:rFonts w:ascii="Calibri" w:hAnsi="Calibri" w:cs="Calibri"/>
          <w:color w:val="000000" w:themeColor="text1"/>
          <w:sz w:val="20"/>
          <w:szCs w:val="20"/>
          <w:lang w:val="es-MX"/>
        </w:rPr>
        <w:t xml:space="preserve">de separar el PUOS (01/09/2015): Archivo de </w:t>
      </w:r>
      <w:r w:rsidR="004D7748" w:rsidRPr="00982618">
        <w:rPr>
          <w:rFonts w:ascii="Calibri" w:hAnsi="Calibri" w:cs="Calibri"/>
          <w:color w:val="000000" w:themeColor="text1"/>
          <w:sz w:val="20"/>
          <w:szCs w:val="20"/>
          <w:lang w:val="es-MX"/>
        </w:rPr>
        <w:t>la Ordenanza nº 041 que se divide en 4 partes para efectos de actualización.</w:t>
      </w:r>
    </w:p>
    <w:p w:rsidR="008F4D59" w:rsidRPr="00982618" w:rsidRDefault="004E1B99" w:rsidP="008F4D59">
      <w:pPr>
        <w:pStyle w:val="Textoindependiente"/>
        <w:numPr>
          <w:ilvl w:val="0"/>
          <w:numId w:val="7"/>
        </w:numPr>
        <w:rPr>
          <w:rFonts w:ascii="Calibri" w:hAnsi="Calibri" w:cs="Calibri"/>
          <w:color w:val="000000" w:themeColor="text1"/>
          <w:sz w:val="20"/>
          <w:szCs w:val="20"/>
          <w:lang w:val="es-MX"/>
        </w:rPr>
      </w:pPr>
      <w:r w:rsidRPr="00982618">
        <w:rPr>
          <w:rFonts w:ascii="Calibri" w:hAnsi="Calibri" w:cs="Calibri"/>
          <w:color w:val="000000" w:themeColor="text1"/>
          <w:sz w:val="20"/>
          <w:szCs w:val="20"/>
          <w:lang w:val="es-MX"/>
        </w:rPr>
        <w:t xml:space="preserve"> Integración del PUOS (24/02/2016/)</w:t>
      </w:r>
      <w:r w:rsidR="004D7748" w:rsidRPr="00982618">
        <w:rPr>
          <w:rFonts w:ascii="Calibri" w:hAnsi="Calibri" w:cs="Calibri"/>
          <w:color w:val="000000" w:themeColor="text1"/>
          <w:sz w:val="20"/>
          <w:szCs w:val="20"/>
          <w:lang w:val="es-MX"/>
        </w:rPr>
        <w:t>: Unificación de las 4 partes del PUOS actualizados a febrero de 2016.</w:t>
      </w:r>
      <w:r w:rsidRPr="00982618">
        <w:rPr>
          <w:rFonts w:ascii="Calibri" w:hAnsi="Calibri" w:cs="Calibri"/>
          <w:color w:val="000000" w:themeColor="text1"/>
          <w:sz w:val="20"/>
          <w:szCs w:val="20"/>
          <w:lang w:val="es-MX"/>
        </w:rPr>
        <w:t xml:space="preserve"> </w:t>
      </w:r>
    </w:p>
    <w:p w:rsidR="008F4D59" w:rsidRPr="00982618" w:rsidRDefault="004E1B99" w:rsidP="00B05178">
      <w:pPr>
        <w:pStyle w:val="Textoindependiente"/>
        <w:numPr>
          <w:ilvl w:val="1"/>
          <w:numId w:val="19"/>
        </w:numPr>
        <w:rPr>
          <w:rFonts w:ascii="Calibri" w:hAnsi="Calibri" w:cs="Calibri"/>
          <w:color w:val="000000" w:themeColor="text1"/>
          <w:sz w:val="20"/>
          <w:szCs w:val="20"/>
          <w:lang w:val="es-MX"/>
        </w:rPr>
      </w:pPr>
      <w:r w:rsidRPr="00982618">
        <w:rPr>
          <w:rFonts w:ascii="Calibri" w:hAnsi="Calibri" w:cs="Calibri"/>
          <w:i/>
          <w:color w:val="000000" w:themeColor="text1"/>
          <w:sz w:val="20"/>
          <w:szCs w:val="20"/>
          <w:lang w:val="es-MX"/>
        </w:rPr>
        <w:t xml:space="preserve">Carga IRM final Ord. </w:t>
      </w:r>
      <w:r w:rsidR="004D7748" w:rsidRPr="00982618">
        <w:rPr>
          <w:rFonts w:ascii="Calibri" w:hAnsi="Calibri" w:cs="Calibri"/>
          <w:i/>
          <w:color w:val="000000" w:themeColor="text1"/>
          <w:sz w:val="20"/>
          <w:szCs w:val="20"/>
          <w:lang w:val="es-MX"/>
        </w:rPr>
        <w:t>041 (28/07/2016):</w:t>
      </w:r>
      <w:r w:rsidR="004D7748" w:rsidRPr="00982618">
        <w:rPr>
          <w:rFonts w:ascii="Calibri" w:hAnsi="Calibri" w:cs="Calibri"/>
          <w:color w:val="000000" w:themeColor="text1"/>
          <w:sz w:val="20"/>
          <w:szCs w:val="20"/>
          <w:lang w:val="es-MX"/>
        </w:rPr>
        <w:t xml:space="preserve"> Último archivo de la </w:t>
      </w:r>
      <w:r w:rsidRPr="00982618">
        <w:rPr>
          <w:rFonts w:ascii="Calibri" w:hAnsi="Calibri" w:cs="Calibri"/>
          <w:color w:val="000000" w:themeColor="text1"/>
          <w:sz w:val="20"/>
          <w:szCs w:val="20"/>
          <w:lang w:val="es-MX"/>
        </w:rPr>
        <w:t xml:space="preserve"> </w:t>
      </w:r>
      <w:r w:rsidR="004D7748" w:rsidRPr="00982618">
        <w:rPr>
          <w:rFonts w:ascii="Calibri" w:hAnsi="Calibri" w:cs="Calibri"/>
          <w:color w:val="000000" w:themeColor="text1"/>
          <w:sz w:val="20"/>
          <w:szCs w:val="20"/>
          <w:lang w:val="es-MX"/>
        </w:rPr>
        <w:t>Ord. 041  que se carga al sistema IRM.</w:t>
      </w:r>
    </w:p>
    <w:p w:rsidR="00216F52" w:rsidRPr="00982618" w:rsidRDefault="00216F52" w:rsidP="00B05178">
      <w:pPr>
        <w:pStyle w:val="Textoindependiente"/>
        <w:numPr>
          <w:ilvl w:val="1"/>
          <w:numId w:val="19"/>
        </w:numPr>
        <w:rPr>
          <w:rFonts w:ascii="Calibri" w:hAnsi="Calibri" w:cs="Calibri"/>
          <w:color w:val="000000" w:themeColor="text1"/>
          <w:sz w:val="20"/>
          <w:szCs w:val="20"/>
          <w:lang w:val="es-MX"/>
        </w:rPr>
      </w:pPr>
      <w:r w:rsidRPr="00982618">
        <w:rPr>
          <w:rFonts w:ascii="Calibri" w:hAnsi="Calibri" w:cs="Calibri"/>
          <w:i/>
          <w:color w:val="000000" w:themeColor="text1"/>
          <w:sz w:val="20"/>
          <w:szCs w:val="20"/>
          <w:lang w:val="es-MX"/>
        </w:rPr>
        <w:t xml:space="preserve">Carga de los IRM inicial </w:t>
      </w:r>
      <w:r w:rsidR="004E1B99" w:rsidRPr="00982618">
        <w:rPr>
          <w:rFonts w:ascii="Calibri" w:hAnsi="Calibri" w:cs="Calibri"/>
          <w:i/>
          <w:color w:val="000000" w:themeColor="text1"/>
          <w:sz w:val="20"/>
          <w:szCs w:val="20"/>
          <w:lang w:val="es-MX"/>
        </w:rPr>
        <w:t xml:space="preserve">Ord. 127 modificatoria de Ord. 041 </w:t>
      </w:r>
      <w:r w:rsidR="00A51497" w:rsidRPr="00982618">
        <w:rPr>
          <w:rFonts w:ascii="Calibri" w:hAnsi="Calibri" w:cs="Calibri"/>
          <w:i/>
          <w:color w:val="000000" w:themeColor="text1"/>
          <w:sz w:val="20"/>
          <w:szCs w:val="20"/>
          <w:lang w:val="es-MX"/>
        </w:rPr>
        <w:t xml:space="preserve"> (10/08</w:t>
      </w:r>
      <w:r w:rsidR="004E1B99" w:rsidRPr="00982618">
        <w:rPr>
          <w:rFonts w:ascii="Calibri" w:hAnsi="Calibri" w:cs="Calibri"/>
          <w:i/>
          <w:color w:val="000000" w:themeColor="text1"/>
          <w:sz w:val="20"/>
          <w:szCs w:val="20"/>
          <w:lang w:val="es-MX"/>
        </w:rPr>
        <w:t>/2016</w:t>
      </w:r>
      <w:r w:rsidR="00A51497" w:rsidRPr="00982618">
        <w:rPr>
          <w:rFonts w:ascii="Calibri" w:hAnsi="Calibri" w:cs="Calibri"/>
          <w:i/>
          <w:color w:val="000000" w:themeColor="text1"/>
          <w:sz w:val="20"/>
          <w:szCs w:val="20"/>
          <w:lang w:val="es-MX"/>
        </w:rPr>
        <w:t>)</w:t>
      </w:r>
      <w:r w:rsidR="004D7748" w:rsidRPr="00982618">
        <w:rPr>
          <w:rFonts w:ascii="Calibri" w:hAnsi="Calibri" w:cs="Calibri"/>
          <w:color w:val="000000" w:themeColor="text1"/>
          <w:sz w:val="20"/>
          <w:szCs w:val="20"/>
          <w:lang w:val="es-MX"/>
        </w:rPr>
        <w:t xml:space="preserve">: Archivo de la Ordenanza nº 127 </w:t>
      </w:r>
      <w:r w:rsidR="004E1B99" w:rsidRPr="00982618">
        <w:rPr>
          <w:rFonts w:ascii="Calibri" w:hAnsi="Calibri" w:cs="Calibri"/>
          <w:color w:val="000000" w:themeColor="text1"/>
          <w:sz w:val="20"/>
          <w:szCs w:val="20"/>
          <w:lang w:val="es-MX"/>
        </w:rPr>
        <w:t xml:space="preserve"> </w:t>
      </w:r>
      <w:r w:rsidR="004D7748" w:rsidRPr="00982618">
        <w:rPr>
          <w:rFonts w:ascii="Calibri" w:hAnsi="Calibri" w:cs="Calibri"/>
          <w:color w:val="000000" w:themeColor="text1"/>
          <w:sz w:val="20"/>
          <w:szCs w:val="20"/>
          <w:lang w:val="es-MX"/>
        </w:rPr>
        <w:t>aprobado el 25 de julio de 2016 y subido al sistema IRM el 10/08/2016.</w:t>
      </w:r>
    </w:p>
    <w:p w:rsidR="00B9552F" w:rsidRPr="00982618" w:rsidRDefault="00216F52" w:rsidP="00B05178">
      <w:pPr>
        <w:pStyle w:val="Textoindependiente"/>
        <w:numPr>
          <w:ilvl w:val="1"/>
          <w:numId w:val="19"/>
        </w:numPr>
        <w:rPr>
          <w:rFonts w:ascii="Calibri" w:hAnsi="Calibri" w:cs="Calibri"/>
          <w:color w:val="000000" w:themeColor="text1"/>
          <w:sz w:val="20"/>
          <w:szCs w:val="20"/>
          <w:lang w:val="es-MX"/>
        </w:rPr>
      </w:pPr>
      <w:r w:rsidRPr="00982618">
        <w:rPr>
          <w:rFonts w:ascii="Calibri" w:hAnsi="Calibri" w:cs="Calibri"/>
          <w:color w:val="000000" w:themeColor="text1"/>
          <w:sz w:val="20"/>
          <w:szCs w:val="20"/>
          <w:lang w:val="es-MX"/>
        </w:rPr>
        <w:t>Carga IRM Omisiones 127 (18</w:t>
      </w:r>
      <w:r w:rsidR="004E1B99" w:rsidRPr="00982618">
        <w:rPr>
          <w:rFonts w:ascii="Calibri" w:hAnsi="Calibri" w:cs="Calibri"/>
          <w:color w:val="000000" w:themeColor="text1"/>
          <w:sz w:val="20"/>
          <w:szCs w:val="20"/>
          <w:lang w:val="es-MX"/>
        </w:rPr>
        <w:t>/04/2017); contrastado con los 354 casos</w:t>
      </w:r>
      <w:r w:rsidR="00B9552F" w:rsidRPr="00982618">
        <w:rPr>
          <w:rFonts w:ascii="Calibri" w:hAnsi="Calibri" w:cs="Calibri"/>
          <w:color w:val="000000" w:themeColor="text1"/>
          <w:sz w:val="20"/>
          <w:szCs w:val="20"/>
          <w:lang w:val="es-MX"/>
        </w:rPr>
        <w:t xml:space="preserve">. </w:t>
      </w:r>
      <w:r w:rsidR="004D7748" w:rsidRPr="00982618">
        <w:rPr>
          <w:rFonts w:ascii="Calibri" w:hAnsi="Calibri" w:cs="Calibri"/>
          <w:color w:val="000000" w:themeColor="text1"/>
          <w:sz w:val="20"/>
          <w:szCs w:val="20"/>
          <w:lang w:val="es-MX"/>
        </w:rPr>
        <w:t>Archivo de la Ordenanza nº 127  que contiene las omisiones, y ajustes contemplados en la Ordenanza 172, artículos 3</w:t>
      </w:r>
      <w:proofErr w:type="gramStart"/>
      <w:r w:rsidR="004D7748" w:rsidRPr="00982618">
        <w:rPr>
          <w:rFonts w:ascii="Calibri" w:hAnsi="Calibri" w:cs="Calibri"/>
          <w:color w:val="000000" w:themeColor="text1"/>
          <w:sz w:val="20"/>
          <w:szCs w:val="20"/>
          <w:lang w:val="es-MX"/>
        </w:rPr>
        <w:t>,4,5</w:t>
      </w:r>
      <w:proofErr w:type="gramEnd"/>
      <w:r w:rsidR="004D7748" w:rsidRPr="00982618">
        <w:rPr>
          <w:rFonts w:ascii="Calibri" w:hAnsi="Calibri" w:cs="Calibri"/>
          <w:color w:val="000000" w:themeColor="text1"/>
          <w:sz w:val="20"/>
          <w:szCs w:val="20"/>
          <w:lang w:val="es-MX"/>
        </w:rPr>
        <w:t xml:space="preserve"> y Disposición General Sexta, cargados al sistema IRM el 18/04/2017.</w:t>
      </w:r>
    </w:p>
    <w:p w:rsidR="00B9552F" w:rsidRDefault="00B9552F" w:rsidP="008F4D59">
      <w:pPr>
        <w:pStyle w:val="Textoindependiente"/>
        <w:ind w:left="720"/>
        <w:rPr>
          <w:rFonts w:ascii="Calibri" w:hAnsi="Calibri" w:cs="Calibri"/>
          <w:color w:val="000000" w:themeColor="text1"/>
          <w:sz w:val="20"/>
          <w:szCs w:val="20"/>
          <w:lang w:val="es-MX"/>
        </w:rPr>
      </w:pPr>
    </w:p>
    <w:p w:rsidR="00216F52" w:rsidRDefault="00B9552F" w:rsidP="00B05178">
      <w:pPr>
        <w:pStyle w:val="Textoindependiente"/>
        <w:rPr>
          <w:rFonts w:ascii="Calibri" w:hAnsi="Calibri" w:cs="Calibri"/>
          <w:color w:val="000000" w:themeColor="text1"/>
          <w:sz w:val="20"/>
          <w:szCs w:val="20"/>
          <w:lang w:val="es-MX"/>
        </w:rPr>
      </w:pPr>
      <w:r>
        <w:rPr>
          <w:rFonts w:ascii="Calibri" w:hAnsi="Calibri" w:cs="Calibri"/>
          <w:color w:val="000000" w:themeColor="text1"/>
          <w:sz w:val="20"/>
          <w:szCs w:val="20"/>
          <w:lang w:val="es-MX"/>
        </w:rPr>
        <w:t xml:space="preserve">Cada una de las capas antes mencionadas corresponde a una cobertura </w:t>
      </w:r>
      <w:proofErr w:type="spellStart"/>
      <w:r>
        <w:rPr>
          <w:rFonts w:ascii="Calibri" w:hAnsi="Calibri" w:cs="Calibri"/>
          <w:color w:val="000000" w:themeColor="text1"/>
          <w:sz w:val="20"/>
          <w:szCs w:val="20"/>
          <w:lang w:val="es-MX"/>
        </w:rPr>
        <w:t>shapefile</w:t>
      </w:r>
      <w:proofErr w:type="spellEnd"/>
      <w:r w:rsidR="004E1B99" w:rsidRPr="0089587F">
        <w:rPr>
          <w:rFonts w:ascii="Calibri" w:hAnsi="Calibri" w:cs="Calibri"/>
          <w:color w:val="000000" w:themeColor="text1"/>
          <w:sz w:val="20"/>
          <w:szCs w:val="20"/>
          <w:lang w:val="es-MX"/>
        </w:rPr>
        <w:t>,</w:t>
      </w:r>
      <w:r>
        <w:rPr>
          <w:rFonts w:ascii="Calibri" w:hAnsi="Calibri" w:cs="Calibri"/>
          <w:color w:val="000000" w:themeColor="text1"/>
          <w:sz w:val="20"/>
          <w:szCs w:val="20"/>
          <w:lang w:val="es-MX"/>
        </w:rPr>
        <w:t xml:space="preserve"> que fue comparada una por una con la cobertura de los cambios no registrados</w:t>
      </w:r>
      <w:r w:rsidR="00CA1177">
        <w:rPr>
          <w:rFonts w:ascii="Calibri" w:hAnsi="Calibri" w:cs="Calibri"/>
          <w:color w:val="000000" w:themeColor="text1"/>
          <w:sz w:val="20"/>
          <w:szCs w:val="20"/>
          <w:lang w:val="es-MX"/>
        </w:rPr>
        <w:t xml:space="preserve"> en la matriz</w:t>
      </w:r>
      <w:r>
        <w:rPr>
          <w:rFonts w:ascii="Calibri" w:hAnsi="Calibri" w:cs="Calibri"/>
          <w:color w:val="000000" w:themeColor="text1"/>
          <w:sz w:val="20"/>
          <w:szCs w:val="20"/>
          <w:lang w:val="es-MX"/>
        </w:rPr>
        <w:t xml:space="preserve"> mediante un proceso de </w:t>
      </w:r>
      <w:proofErr w:type="spellStart"/>
      <w:r>
        <w:rPr>
          <w:rFonts w:ascii="Calibri" w:hAnsi="Calibri" w:cs="Calibri"/>
          <w:color w:val="000000" w:themeColor="text1"/>
          <w:sz w:val="20"/>
          <w:szCs w:val="20"/>
          <w:lang w:val="es-MX"/>
        </w:rPr>
        <w:t>sobreposición</w:t>
      </w:r>
      <w:proofErr w:type="spellEnd"/>
      <w:r>
        <w:rPr>
          <w:rFonts w:ascii="Calibri" w:hAnsi="Calibri" w:cs="Calibri"/>
          <w:color w:val="000000" w:themeColor="text1"/>
          <w:sz w:val="20"/>
          <w:szCs w:val="20"/>
          <w:lang w:val="es-MX"/>
        </w:rPr>
        <w:t>, este análisis permitió identificar la fecha en que constaba el cambio dentro del PUOS,</w:t>
      </w:r>
      <w:r w:rsidR="004E1B99" w:rsidRPr="0089587F">
        <w:rPr>
          <w:rFonts w:ascii="Calibri" w:hAnsi="Calibri" w:cs="Calibri"/>
          <w:color w:val="000000" w:themeColor="text1"/>
          <w:sz w:val="20"/>
          <w:szCs w:val="20"/>
          <w:lang w:val="es-MX"/>
        </w:rPr>
        <w:t xml:space="preserve"> teniendo como resultado</w:t>
      </w:r>
      <w:r w:rsidR="00216F52">
        <w:rPr>
          <w:rFonts w:ascii="Calibri" w:hAnsi="Calibri" w:cs="Calibri"/>
          <w:color w:val="000000" w:themeColor="text1"/>
          <w:sz w:val="20"/>
          <w:szCs w:val="20"/>
          <w:lang w:val="es-MX"/>
        </w:rPr>
        <w:t xml:space="preserve"> </w:t>
      </w:r>
      <w:r w:rsidR="006D247C">
        <w:rPr>
          <w:rFonts w:ascii="Calibri" w:hAnsi="Calibri" w:cs="Calibri"/>
          <w:color w:val="000000" w:themeColor="text1"/>
          <w:sz w:val="20"/>
          <w:szCs w:val="20"/>
          <w:lang w:val="es-MX"/>
        </w:rPr>
        <w:t>que</w:t>
      </w:r>
      <w:r w:rsidR="00807249">
        <w:rPr>
          <w:rFonts w:ascii="Calibri" w:hAnsi="Calibri" w:cs="Calibri"/>
          <w:color w:val="000000" w:themeColor="text1"/>
          <w:sz w:val="20"/>
          <w:szCs w:val="20"/>
          <w:lang w:val="es-MX"/>
        </w:rPr>
        <w:t>:</w:t>
      </w:r>
      <w:r w:rsidR="006D247C">
        <w:rPr>
          <w:rFonts w:ascii="Calibri" w:hAnsi="Calibri" w:cs="Calibri"/>
          <w:color w:val="000000" w:themeColor="text1"/>
          <w:sz w:val="20"/>
          <w:szCs w:val="20"/>
          <w:lang w:val="es-MX"/>
        </w:rPr>
        <w:t xml:space="preserve"> </w:t>
      </w:r>
    </w:p>
    <w:p w:rsidR="00B05178" w:rsidRDefault="00B05178" w:rsidP="008F4D59">
      <w:pPr>
        <w:pStyle w:val="Textoindependiente"/>
        <w:ind w:left="720"/>
        <w:rPr>
          <w:rFonts w:ascii="Calibri" w:hAnsi="Calibri" w:cs="Calibri"/>
          <w:color w:val="000000" w:themeColor="text1"/>
          <w:sz w:val="20"/>
          <w:szCs w:val="20"/>
          <w:lang w:val="es-MX"/>
        </w:rPr>
      </w:pPr>
    </w:p>
    <w:p w:rsidR="0020481E" w:rsidRPr="0073748A" w:rsidRDefault="004E1B99" w:rsidP="004E1B99">
      <w:pPr>
        <w:pStyle w:val="Textoindependiente"/>
        <w:numPr>
          <w:ilvl w:val="0"/>
          <w:numId w:val="3"/>
        </w:numPr>
        <w:rPr>
          <w:rFonts w:ascii="Calibri" w:hAnsi="Calibri" w:cs="Calibri"/>
          <w:color w:val="000000" w:themeColor="text1"/>
          <w:sz w:val="20"/>
          <w:szCs w:val="20"/>
          <w:lang w:val="es-MX"/>
        </w:rPr>
      </w:pPr>
      <w:r w:rsidRPr="0073748A">
        <w:rPr>
          <w:rFonts w:ascii="Calibri" w:hAnsi="Calibri" w:cs="Calibri"/>
          <w:color w:val="000000" w:themeColor="text1"/>
          <w:sz w:val="20"/>
          <w:szCs w:val="20"/>
          <w:lang w:val="es-MX"/>
        </w:rPr>
        <w:t xml:space="preserve">Antes de la </w:t>
      </w:r>
      <w:r w:rsidR="005D0260">
        <w:rPr>
          <w:rFonts w:ascii="Calibri" w:hAnsi="Calibri" w:cs="Calibri"/>
          <w:color w:val="000000" w:themeColor="text1"/>
          <w:sz w:val="20"/>
          <w:szCs w:val="20"/>
          <w:lang w:val="es-MX"/>
        </w:rPr>
        <w:t xml:space="preserve">aprobación de la </w:t>
      </w:r>
      <w:r w:rsidR="0001109A" w:rsidRPr="0073748A">
        <w:rPr>
          <w:rFonts w:ascii="Calibri" w:hAnsi="Calibri" w:cs="Calibri"/>
          <w:color w:val="000000" w:themeColor="text1"/>
          <w:sz w:val="20"/>
          <w:szCs w:val="20"/>
          <w:lang w:val="es-MX"/>
        </w:rPr>
        <w:t xml:space="preserve">Ordenanza  nº 127 </w:t>
      </w:r>
      <w:r w:rsidR="005D0260">
        <w:rPr>
          <w:rFonts w:ascii="Calibri" w:hAnsi="Calibri" w:cs="Calibri"/>
          <w:color w:val="000000" w:themeColor="text1"/>
          <w:sz w:val="20"/>
          <w:szCs w:val="20"/>
          <w:lang w:val="es-MX"/>
        </w:rPr>
        <w:t xml:space="preserve">(25/07/2017), </w:t>
      </w:r>
      <w:r w:rsidR="0001109A" w:rsidRPr="0073748A">
        <w:rPr>
          <w:rFonts w:ascii="Calibri" w:hAnsi="Calibri" w:cs="Calibri"/>
          <w:color w:val="000000" w:themeColor="text1"/>
          <w:sz w:val="20"/>
          <w:szCs w:val="20"/>
          <w:lang w:val="es-MX"/>
        </w:rPr>
        <w:t xml:space="preserve"> </w:t>
      </w:r>
      <w:r w:rsidRPr="0073748A">
        <w:rPr>
          <w:rFonts w:ascii="Calibri" w:hAnsi="Calibri" w:cs="Calibri"/>
          <w:color w:val="000000" w:themeColor="text1"/>
          <w:sz w:val="20"/>
          <w:szCs w:val="20"/>
          <w:lang w:val="es-MX"/>
        </w:rPr>
        <w:t>exist</w:t>
      </w:r>
      <w:r w:rsidR="00504A8E" w:rsidRPr="0073748A">
        <w:rPr>
          <w:rFonts w:ascii="Calibri" w:hAnsi="Calibri" w:cs="Calibri"/>
          <w:color w:val="000000" w:themeColor="text1"/>
          <w:sz w:val="20"/>
          <w:szCs w:val="20"/>
          <w:lang w:val="es-MX"/>
        </w:rPr>
        <w:t>ieron</w:t>
      </w:r>
      <w:r w:rsidR="0001109A" w:rsidRPr="0073748A">
        <w:rPr>
          <w:rFonts w:ascii="Calibri" w:hAnsi="Calibri" w:cs="Calibri"/>
          <w:color w:val="000000" w:themeColor="text1"/>
          <w:sz w:val="20"/>
          <w:szCs w:val="20"/>
          <w:lang w:val="es-MX"/>
        </w:rPr>
        <w:t xml:space="preserve"> 332</w:t>
      </w:r>
      <w:r w:rsidRPr="0073748A">
        <w:rPr>
          <w:rFonts w:ascii="Calibri" w:hAnsi="Calibri" w:cs="Calibri"/>
          <w:color w:val="000000" w:themeColor="text1"/>
          <w:sz w:val="20"/>
          <w:szCs w:val="20"/>
          <w:lang w:val="es-MX"/>
        </w:rPr>
        <w:t xml:space="preserve"> casos que re</w:t>
      </w:r>
      <w:r w:rsidR="0001109A" w:rsidRPr="0073748A">
        <w:rPr>
          <w:rFonts w:ascii="Calibri" w:hAnsi="Calibri" w:cs="Calibri"/>
          <w:color w:val="000000" w:themeColor="text1"/>
          <w:sz w:val="20"/>
          <w:szCs w:val="20"/>
          <w:lang w:val="es-MX"/>
        </w:rPr>
        <w:t>presentan el 93.8</w:t>
      </w:r>
      <w:r w:rsidR="00D2517D" w:rsidRPr="0073748A">
        <w:rPr>
          <w:rFonts w:ascii="Calibri" w:hAnsi="Calibri" w:cs="Calibri"/>
          <w:color w:val="000000" w:themeColor="text1"/>
          <w:sz w:val="20"/>
          <w:szCs w:val="20"/>
          <w:lang w:val="es-MX"/>
        </w:rPr>
        <w:t>%</w:t>
      </w:r>
      <w:r w:rsidR="00CA1177" w:rsidRPr="0073748A">
        <w:rPr>
          <w:rFonts w:ascii="Calibri" w:hAnsi="Calibri" w:cs="Calibri"/>
          <w:color w:val="000000" w:themeColor="text1"/>
          <w:sz w:val="20"/>
          <w:szCs w:val="20"/>
          <w:lang w:val="es-MX"/>
        </w:rPr>
        <w:t xml:space="preserve"> de cambios no registrados en dicho instrumento.</w:t>
      </w:r>
    </w:p>
    <w:p w:rsidR="004E1B99" w:rsidRPr="0073748A" w:rsidRDefault="00A54C16" w:rsidP="004E1B99">
      <w:pPr>
        <w:pStyle w:val="Textoindependiente"/>
        <w:numPr>
          <w:ilvl w:val="0"/>
          <w:numId w:val="3"/>
        </w:numPr>
        <w:rPr>
          <w:rFonts w:ascii="Calibri" w:hAnsi="Calibri" w:cs="Calibri"/>
          <w:color w:val="000000" w:themeColor="text1"/>
          <w:sz w:val="20"/>
          <w:szCs w:val="20"/>
          <w:lang w:val="es-MX"/>
        </w:rPr>
      </w:pPr>
      <w:r w:rsidRPr="0073748A">
        <w:rPr>
          <w:rFonts w:ascii="Calibri" w:hAnsi="Calibri" w:cs="Calibri"/>
          <w:color w:val="000000" w:themeColor="text1"/>
          <w:sz w:val="20"/>
          <w:szCs w:val="20"/>
          <w:lang w:val="es-MX"/>
        </w:rPr>
        <w:t xml:space="preserve">Después de </w:t>
      </w:r>
      <w:r w:rsidR="005D0260">
        <w:rPr>
          <w:rFonts w:ascii="Calibri" w:hAnsi="Calibri" w:cs="Calibri"/>
          <w:color w:val="000000" w:themeColor="text1"/>
          <w:sz w:val="20"/>
          <w:szCs w:val="20"/>
          <w:lang w:val="es-MX"/>
        </w:rPr>
        <w:t xml:space="preserve">la aprobación de la </w:t>
      </w:r>
      <w:r w:rsidR="0001109A" w:rsidRPr="0073748A">
        <w:rPr>
          <w:rFonts w:ascii="Calibri" w:hAnsi="Calibri" w:cs="Calibri"/>
          <w:color w:val="000000" w:themeColor="text1"/>
          <w:sz w:val="20"/>
          <w:szCs w:val="20"/>
          <w:lang w:val="es-MX"/>
        </w:rPr>
        <w:t>Ordenanza nº 127</w:t>
      </w:r>
      <w:r w:rsidR="004E1B99" w:rsidRPr="0073748A">
        <w:rPr>
          <w:rFonts w:ascii="Calibri" w:hAnsi="Calibri" w:cs="Calibri"/>
          <w:color w:val="000000" w:themeColor="text1"/>
          <w:sz w:val="20"/>
          <w:szCs w:val="20"/>
          <w:lang w:val="es-MX"/>
        </w:rPr>
        <w:t>, exist</w:t>
      </w:r>
      <w:r w:rsidR="00504A8E" w:rsidRPr="0073748A">
        <w:rPr>
          <w:rFonts w:ascii="Calibri" w:hAnsi="Calibri" w:cs="Calibri"/>
          <w:color w:val="000000" w:themeColor="text1"/>
          <w:sz w:val="20"/>
          <w:szCs w:val="20"/>
          <w:lang w:val="es-MX"/>
        </w:rPr>
        <w:t>ieron</w:t>
      </w:r>
      <w:r w:rsidR="0001109A" w:rsidRPr="0073748A">
        <w:rPr>
          <w:rFonts w:ascii="Calibri" w:hAnsi="Calibri" w:cs="Calibri"/>
          <w:color w:val="000000" w:themeColor="text1"/>
          <w:sz w:val="20"/>
          <w:szCs w:val="20"/>
          <w:lang w:val="es-MX"/>
        </w:rPr>
        <w:t xml:space="preserve"> 22</w:t>
      </w:r>
      <w:r w:rsidR="004E1B99" w:rsidRPr="0073748A">
        <w:rPr>
          <w:rFonts w:ascii="Calibri" w:hAnsi="Calibri" w:cs="Calibri"/>
          <w:color w:val="000000" w:themeColor="text1"/>
          <w:sz w:val="20"/>
          <w:szCs w:val="20"/>
          <w:lang w:val="es-MX"/>
        </w:rPr>
        <w:t xml:space="preserve"> caso</w:t>
      </w:r>
      <w:r w:rsidR="0001109A" w:rsidRPr="0073748A">
        <w:rPr>
          <w:rFonts w:ascii="Calibri" w:hAnsi="Calibri" w:cs="Calibri"/>
          <w:color w:val="000000" w:themeColor="text1"/>
          <w:sz w:val="20"/>
          <w:szCs w:val="20"/>
          <w:lang w:val="es-MX"/>
        </w:rPr>
        <w:t>s que representan el 6.2</w:t>
      </w:r>
      <w:r w:rsidR="00D2517D" w:rsidRPr="0073748A">
        <w:rPr>
          <w:rFonts w:ascii="Calibri" w:hAnsi="Calibri" w:cs="Calibri"/>
          <w:color w:val="000000" w:themeColor="text1"/>
          <w:sz w:val="20"/>
          <w:szCs w:val="20"/>
          <w:lang w:val="es-MX"/>
        </w:rPr>
        <w:t>%</w:t>
      </w:r>
      <w:r w:rsidR="00CA1177" w:rsidRPr="0073748A">
        <w:rPr>
          <w:rFonts w:ascii="Calibri" w:hAnsi="Calibri" w:cs="Calibri"/>
          <w:color w:val="000000" w:themeColor="text1"/>
          <w:sz w:val="20"/>
          <w:szCs w:val="20"/>
          <w:lang w:val="es-MX"/>
        </w:rPr>
        <w:t xml:space="preserve"> de los cambios no registrados en dicho instrumento. </w:t>
      </w:r>
    </w:p>
    <w:p w:rsidR="004E1B99" w:rsidRDefault="004E1B99" w:rsidP="004E1B99">
      <w:pPr>
        <w:pStyle w:val="Textoindependiente"/>
        <w:rPr>
          <w:rFonts w:ascii="Calibri" w:hAnsi="Calibri" w:cs="Calibri"/>
          <w:color w:val="000000" w:themeColor="text1"/>
          <w:sz w:val="20"/>
          <w:szCs w:val="20"/>
          <w:lang w:val="es-MX"/>
        </w:rPr>
      </w:pPr>
    </w:p>
    <w:p w:rsidR="008074A6" w:rsidRDefault="00B05178" w:rsidP="008074A6">
      <w:pPr>
        <w:pStyle w:val="Textoindependiente"/>
        <w:rPr>
          <w:rFonts w:ascii="Calibri" w:hAnsi="Calibri" w:cs="Calibri"/>
          <w:color w:val="000000" w:themeColor="text1"/>
          <w:sz w:val="20"/>
          <w:szCs w:val="20"/>
          <w:lang w:val="es-MX"/>
        </w:rPr>
      </w:pPr>
      <w:r w:rsidRPr="00241D8A">
        <w:rPr>
          <w:rFonts w:ascii="Calibri" w:hAnsi="Calibri" w:cs="Calibri"/>
          <w:color w:val="000000" w:themeColor="text1"/>
          <w:sz w:val="20"/>
          <w:szCs w:val="20"/>
          <w:lang w:val="es-MX"/>
        </w:rPr>
        <w:lastRenderedPageBreak/>
        <w:t xml:space="preserve">En el análisis detallado de los </w:t>
      </w:r>
      <w:r w:rsidR="008074A6" w:rsidRPr="00241D8A">
        <w:rPr>
          <w:rFonts w:ascii="Calibri" w:hAnsi="Calibri" w:cs="Calibri"/>
          <w:color w:val="000000" w:themeColor="text1"/>
          <w:sz w:val="20"/>
          <w:szCs w:val="20"/>
          <w:lang w:val="es-MX"/>
        </w:rPr>
        <w:t>354 casos</w:t>
      </w:r>
      <w:r w:rsidRPr="00241D8A">
        <w:rPr>
          <w:rFonts w:ascii="Calibri" w:hAnsi="Calibri" w:cs="Calibri"/>
          <w:color w:val="000000" w:themeColor="text1"/>
          <w:sz w:val="20"/>
          <w:szCs w:val="20"/>
          <w:lang w:val="es-MX"/>
        </w:rPr>
        <w:t xml:space="preserve"> </w:t>
      </w:r>
      <w:r w:rsidRPr="00241D8A">
        <w:rPr>
          <w:rFonts w:ascii="Calibri" w:hAnsi="Calibri" w:cs="Calibri"/>
          <w:b/>
          <w:color w:val="000000" w:themeColor="text1"/>
          <w:sz w:val="20"/>
          <w:szCs w:val="20"/>
          <w:lang w:val="es-MX"/>
        </w:rPr>
        <w:t>(anexo 2</w:t>
      </w:r>
      <w:r w:rsidRPr="00241D8A">
        <w:rPr>
          <w:rFonts w:ascii="Calibri" w:hAnsi="Calibri" w:cs="Calibri"/>
          <w:color w:val="000000" w:themeColor="text1"/>
          <w:sz w:val="20"/>
          <w:szCs w:val="20"/>
          <w:lang w:val="es-MX"/>
        </w:rPr>
        <w:t>)</w:t>
      </w:r>
      <w:r w:rsidR="008074A6" w:rsidRPr="00241D8A">
        <w:rPr>
          <w:rFonts w:ascii="Calibri" w:hAnsi="Calibri" w:cs="Calibri"/>
          <w:color w:val="000000" w:themeColor="text1"/>
          <w:sz w:val="20"/>
          <w:szCs w:val="20"/>
          <w:lang w:val="es-MX"/>
        </w:rPr>
        <w:t xml:space="preserve">, se realizó una verificación de </w:t>
      </w:r>
      <w:r w:rsidRPr="00241D8A">
        <w:rPr>
          <w:rFonts w:ascii="Calibri" w:hAnsi="Calibri" w:cs="Calibri"/>
          <w:color w:val="000000" w:themeColor="text1"/>
          <w:sz w:val="20"/>
          <w:szCs w:val="20"/>
          <w:lang w:val="es-MX"/>
        </w:rPr>
        <w:t xml:space="preserve">cada caso a fin de </w:t>
      </w:r>
      <w:r w:rsidR="008074A6" w:rsidRPr="00241D8A">
        <w:rPr>
          <w:rFonts w:ascii="Calibri" w:hAnsi="Calibri" w:cs="Calibri"/>
          <w:color w:val="000000" w:themeColor="text1"/>
          <w:sz w:val="20"/>
          <w:szCs w:val="20"/>
          <w:lang w:val="es-MX"/>
        </w:rPr>
        <w:t xml:space="preserve">contar con información más precisa,  </w:t>
      </w:r>
      <w:r w:rsidRPr="00241D8A">
        <w:rPr>
          <w:rFonts w:ascii="Calibri" w:hAnsi="Calibri" w:cs="Calibri"/>
          <w:color w:val="000000" w:themeColor="text1"/>
          <w:sz w:val="20"/>
          <w:szCs w:val="20"/>
          <w:lang w:val="es-MX"/>
        </w:rPr>
        <w:t>dado que los 354 casos fueron producto del análisis manual de una importante cantidad inicial de 6.202 polígonos.  E</w:t>
      </w:r>
      <w:r w:rsidR="008074A6" w:rsidRPr="00241D8A">
        <w:rPr>
          <w:rFonts w:ascii="Calibri" w:hAnsi="Calibri" w:cs="Calibri"/>
          <w:color w:val="000000" w:themeColor="text1"/>
          <w:sz w:val="20"/>
          <w:szCs w:val="20"/>
          <w:lang w:val="es-MX"/>
        </w:rPr>
        <w:t>l proceso se detalla a continuación:</w:t>
      </w:r>
    </w:p>
    <w:p w:rsidR="008074A6" w:rsidRDefault="008074A6" w:rsidP="004E1B99">
      <w:pPr>
        <w:pStyle w:val="Textoindependiente"/>
        <w:rPr>
          <w:rFonts w:ascii="Calibri" w:hAnsi="Calibri" w:cs="Calibri"/>
          <w:color w:val="000000" w:themeColor="text1"/>
          <w:sz w:val="20"/>
          <w:szCs w:val="20"/>
          <w:lang w:val="es-MX"/>
        </w:rPr>
      </w:pPr>
    </w:p>
    <w:p w:rsidR="00CA1177" w:rsidRDefault="004E1B99" w:rsidP="004E1B99">
      <w:pPr>
        <w:pStyle w:val="Textoindependiente"/>
        <w:numPr>
          <w:ilvl w:val="0"/>
          <w:numId w:val="5"/>
        </w:numPr>
        <w:rPr>
          <w:rFonts w:ascii="Calibri" w:hAnsi="Calibri" w:cs="Calibri"/>
          <w:color w:val="000000" w:themeColor="text1"/>
          <w:sz w:val="20"/>
          <w:szCs w:val="20"/>
          <w:lang w:val="es-MX"/>
        </w:rPr>
      </w:pPr>
      <w:r w:rsidRPr="00807249">
        <w:rPr>
          <w:rFonts w:ascii="Calibri" w:hAnsi="Calibri" w:cs="Calibri"/>
          <w:color w:val="000000" w:themeColor="text1"/>
          <w:sz w:val="20"/>
          <w:szCs w:val="20"/>
          <w:lang w:val="es-MX"/>
        </w:rPr>
        <w:t>Luego de obtenidos los resultados</w:t>
      </w:r>
      <w:r w:rsidR="00CA1177">
        <w:rPr>
          <w:rFonts w:ascii="Calibri" w:hAnsi="Calibri" w:cs="Calibri"/>
          <w:color w:val="000000" w:themeColor="text1"/>
          <w:sz w:val="20"/>
          <w:szCs w:val="20"/>
          <w:lang w:val="es-MX"/>
        </w:rPr>
        <w:t xml:space="preserve"> de los cambios en función de los diferentes momentos de revisión del PUOS, </w:t>
      </w:r>
      <w:r w:rsidRPr="00807249">
        <w:rPr>
          <w:rFonts w:ascii="Calibri" w:hAnsi="Calibri" w:cs="Calibri"/>
          <w:color w:val="000000" w:themeColor="text1"/>
          <w:sz w:val="20"/>
          <w:szCs w:val="20"/>
          <w:lang w:val="es-MX"/>
        </w:rPr>
        <w:t xml:space="preserve"> se revis</w:t>
      </w:r>
      <w:r w:rsidR="00F3263C" w:rsidRPr="00807249">
        <w:rPr>
          <w:rFonts w:ascii="Calibri" w:hAnsi="Calibri" w:cs="Calibri"/>
          <w:color w:val="000000" w:themeColor="text1"/>
          <w:sz w:val="20"/>
          <w:szCs w:val="20"/>
          <w:lang w:val="es-MX"/>
        </w:rPr>
        <w:t xml:space="preserve">aron </w:t>
      </w:r>
      <w:r w:rsidRPr="00807249">
        <w:rPr>
          <w:rFonts w:ascii="Calibri" w:hAnsi="Calibri" w:cs="Calibri"/>
          <w:color w:val="000000" w:themeColor="text1"/>
          <w:sz w:val="20"/>
          <w:szCs w:val="20"/>
          <w:lang w:val="es-MX"/>
        </w:rPr>
        <w:t>las justificaciones</w:t>
      </w:r>
      <w:r w:rsidR="00CA1177">
        <w:rPr>
          <w:rFonts w:ascii="Calibri" w:hAnsi="Calibri" w:cs="Calibri"/>
          <w:color w:val="000000" w:themeColor="text1"/>
          <w:sz w:val="20"/>
          <w:szCs w:val="20"/>
          <w:lang w:val="es-MX"/>
        </w:rPr>
        <w:t xml:space="preserve"> a estos cambios</w:t>
      </w:r>
      <w:r w:rsidRPr="00807249">
        <w:rPr>
          <w:rFonts w:ascii="Calibri" w:hAnsi="Calibri" w:cs="Calibri"/>
          <w:color w:val="000000" w:themeColor="text1"/>
          <w:sz w:val="20"/>
          <w:szCs w:val="20"/>
          <w:lang w:val="es-MX"/>
        </w:rPr>
        <w:t xml:space="preserve"> bajo los </w:t>
      </w:r>
      <w:r w:rsidR="00F3263C" w:rsidRPr="00807249">
        <w:rPr>
          <w:rFonts w:ascii="Calibri" w:hAnsi="Calibri" w:cs="Calibri"/>
          <w:color w:val="000000" w:themeColor="text1"/>
          <w:sz w:val="20"/>
          <w:szCs w:val="20"/>
          <w:lang w:val="es-MX"/>
        </w:rPr>
        <w:t xml:space="preserve">siguientes </w:t>
      </w:r>
      <w:r w:rsidRPr="00807249">
        <w:rPr>
          <w:rFonts w:ascii="Calibri" w:hAnsi="Calibri" w:cs="Calibri"/>
          <w:color w:val="000000" w:themeColor="text1"/>
          <w:sz w:val="20"/>
          <w:szCs w:val="20"/>
          <w:lang w:val="es-MX"/>
        </w:rPr>
        <w:t>criterios</w:t>
      </w:r>
      <w:r w:rsidR="00F3263C" w:rsidRPr="00807249">
        <w:rPr>
          <w:rFonts w:ascii="Calibri" w:hAnsi="Calibri" w:cs="Calibri"/>
          <w:color w:val="000000" w:themeColor="text1"/>
          <w:sz w:val="20"/>
          <w:szCs w:val="20"/>
          <w:lang w:val="es-MX"/>
        </w:rPr>
        <w:t xml:space="preserve">: </w:t>
      </w:r>
      <w:r w:rsidRPr="00807249">
        <w:rPr>
          <w:rFonts w:ascii="Calibri" w:hAnsi="Calibri" w:cs="Calibri"/>
          <w:color w:val="000000" w:themeColor="text1"/>
          <w:sz w:val="20"/>
          <w:szCs w:val="20"/>
          <w:lang w:val="es-MX"/>
        </w:rPr>
        <w:t xml:space="preserve"> Ajuste cartográfico, Asignación de datos, Criterio Técnico, Dato perdido, En matriz de cambios 2016, Ordenanza, Zona de riesgo, Concesión minera y No determinado, </w:t>
      </w:r>
      <w:r w:rsidR="00F3263C" w:rsidRPr="00807249">
        <w:rPr>
          <w:rFonts w:ascii="Calibri" w:hAnsi="Calibri" w:cs="Calibri"/>
          <w:color w:val="000000" w:themeColor="text1"/>
          <w:sz w:val="20"/>
          <w:szCs w:val="20"/>
          <w:lang w:val="es-MX"/>
        </w:rPr>
        <w:t xml:space="preserve">que constan en la tabla No. 1 y </w:t>
      </w:r>
      <w:r w:rsidRPr="00807249">
        <w:rPr>
          <w:rFonts w:ascii="Calibri" w:hAnsi="Calibri" w:cs="Calibri"/>
          <w:color w:val="000000" w:themeColor="text1"/>
          <w:sz w:val="20"/>
          <w:szCs w:val="20"/>
          <w:lang w:val="es-MX"/>
        </w:rPr>
        <w:t>donde se obtuvieron los siguientes resultados</w:t>
      </w:r>
      <w:r w:rsidR="00CA1177">
        <w:rPr>
          <w:rFonts w:ascii="Calibri" w:hAnsi="Calibri" w:cs="Calibri"/>
          <w:color w:val="000000" w:themeColor="text1"/>
          <w:sz w:val="20"/>
          <w:szCs w:val="20"/>
          <w:lang w:val="es-MX"/>
        </w:rPr>
        <w:t>:</w:t>
      </w:r>
    </w:p>
    <w:p w:rsidR="002717EC" w:rsidRDefault="002717EC" w:rsidP="0094718C">
      <w:pPr>
        <w:pStyle w:val="Textoindependiente"/>
        <w:ind w:left="720"/>
        <w:rPr>
          <w:rFonts w:ascii="Calibri" w:hAnsi="Calibri" w:cs="Calibri"/>
          <w:color w:val="000000" w:themeColor="text1"/>
          <w:sz w:val="20"/>
          <w:szCs w:val="20"/>
          <w:lang w:val="es-MX"/>
        </w:rPr>
      </w:pPr>
    </w:p>
    <w:p w:rsidR="00CA1177" w:rsidRPr="00982618" w:rsidRDefault="002717EC" w:rsidP="002717EC">
      <w:pPr>
        <w:pStyle w:val="Textoindependiente"/>
        <w:numPr>
          <w:ilvl w:val="0"/>
          <w:numId w:val="14"/>
        </w:numPr>
        <w:ind w:left="1434" w:hanging="357"/>
        <w:rPr>
          <w:rFonts w:asciiTheme="minorHAnsi" w:hAnsiTheme="minorHAnsi" w:cs="Calibri"/>
          <w:color w:val="000000" w:themeColor="text1"/>
          <w:sz w:val="20"/>
          <w:szCs w:val="20"/>
          <w:lang w:val="es-MX"/>
        </w:rPr>
      </w:pPr>
      <w:r w:rsidRPr="00982618">
        <w:rPr>
          <w:rFonts w:asciiTheme="minorHAnsi" w:hAnsiTheme="minorHAnsi" w:cs="Calibri"/>
          <w:color w:val="000000" w:themeColor="text1"/>
          <w:sz w:val="20"/>
          <w:szCs w:val="20"/>
          <w:lang w:val="es-MX"/>
        </w:rPr>
        <w:t>Ajustes cartográficos: Correcciones de tipo gráfico que responden a la actualización o corrección de la delimitación de polígonos de acuerdo a la realidad del territorio,</w:t>
      </w:r>
    </w:p>
    <w:p w:rsidR="00CA1177" w:rsidRPr="00982618" w:rsidRDefault="002717EC" w:rsidP="002717EC">
      <w:pPr>
        <w:pStyle w:val="Textoindependiente"/>
        <w:numPr>
          <w:ilvl w:val="0"/>
          <w:numId w:val="14"/>
        </w:numPr>
        <w:ind w:left="1434" w:hanging="357"/>
        <w:rPr>
          <w:rFonts w:asciiTheme="minorHAnsi" w:hAnsiTheme="minorHAnsi" w:cs="Calibri"/>
          <w:color w:val="000000" w:themeColor="text1"/>
          <w:sz w:val="20"/>
          <w:szCs w:val="20"/>
          <w:lang w:val="es-MX"/>
        </w:rPr>
      </w:pPr>
      <w:r w:rsidRPr="00982618">
        <w:rPr>
          <w:rFonts w:asciiTheme="minorHAnsi" w:hAnsiTheme="minorHAnsi" w:cs="Calibri"/>
          <w:color w:val="000000" w:themeColor="text1"/>
          <w:sz w:val="20"/>
          <w:szCs w:val="20"/>
          <w:lang w:val="es-MX"/>
        </w:rPr>
        <w:t xml:space="preserve">Asignación de datos: Asignación de datos de </w:t>
      </w:r>
      <w:r w:rsidR="00982618" w:rsidRPr="00982618">
        <w:rPr>
          <w:rFonts w:asciiTheme="minorHAnsi" w:hAnsiTheme="minorHAnsi" w:cs="Calibri"/>
          <w:color w:val="000000" w:themeColor="text1"/>
          <w:sz w:val="20"/>
          <w:szCs w:val="20"/>
          <w:lang w:val="es-MX"/>
        </w:rPr>
        <w:t xml:space="preserve">uso y </w:t>
      </w:r>
      <w:r w:rsidRPr="00982618">
        <w:rPr>
          <w:rFonts w:asciiTheme="minorHAnsi" w:hAnsiTheme="minorHAnsi" w:cs="Calibri"/>
          <w:color w:val="000000" w:themeColor="text1"/>
          <w:sz w:val="20"/>
          <w:szCs w:val="20"/>
          <w:lang w:val="es-MX"/>
        </w:rPr>
        <w:t>zonificación realizado</w:t>
      </w:r>
      <w:r w:rsidR="005D0260" w:rsidRPr="00982618">
        <w:rPr>
          <w:rFonts w:asciiTheme="minorHAnsi" w:hAnsiTheme="minorHAnsi" w:cs="Calibri"/>
          <w:color w:val="000000" w:themeColor="text1"/>
          <w:sz w:val="20"/>
          <w:szCs w:val="20"/>
          <w:lang w:val="es-MX"/>
        </w:rPr>
        <w:t>s por la DMDU y DMGT de la STHV, amparados en la Ordenanza  Metropolitana</w:t>
      </w:r>
      <w:r w:rsidR="00F82DB8" w:rsidRPr="00982618">
        <w:rPr>
          <w:rFonts w:asciiTheme="minorHAnsi" w:hAnsiTheme="minorHAnsi" w:cs="Calibri"/>
          <w:color w:val="000000" w:themeColor="text1"/>
          <w:sz w:val="20"/>
          <w:szCs w:val="20"/>
          <w:lang w:val="es-MX"/>
        </w:rPr>
        <w:t xml:space="preserve"> 172, </w:t>
      </w:r>
      <w:r w:rsidR="00110935" w:rsidRPr="00982618">
        <w:rPr>
          <w:rFonts w:asciiTheme="minorHAnsi" w:hAnsiTheme="minorHAnsi" w:cs="Calibri"/>
          <w:color w:val="000000" w:themeColor="text1"/>
          <w:sz w:val="20"/>
          <w:szCs w:val="20"/>
          <w:lang w:val="es-MX"/>
        </w:rPr>
        <w:t>artículos 3</w:t>
      </w:r>
      <w:proofErr w:type="gramStart"/>
      <w:r w:rsidR="00110935" w:rsidRPr="00982618">
        <w:rPr>
          <w:rFonts w:asciiTheme="minorHAnsi" w:hAnsiTheme="minorHAnsi" w:cs="Calibri"/>
          <w:color w:val="000000" w:themeColor="text1"/>
          <w:sz w:val="20"/>
          <w:szCs w:val="20"/>
          <w:lang w:val="es-MX"/>
        </w:rPr>
        <w:t>,4,5</w:t>
      </w:r>
      <w:proofErr w:type="gramEnd"/>
      <w:r w:rsidR="00110935" w:rsidRPr="00982618">
        <w:rPr>
          <w:rFonts w:asciiTheme="minorHAnsi" w:hAnsiTheme="minorHAnsi" w:cs="Calibri"/>
          <w:color w:val="000000" w:themeColor="text1"/>
          <w:sz w:val="20"/>
          <w:szCs w:val="20"/>
          <w:lang w:val="es-MX"/>
        </w:rPr>
        <w:t xml:space="preserve"> y Disposición General Sexta.</w:t>
      </w:r>
    </w:p>
    <w:p w:rsidR="00A537A8" w:rsidRPr="00F82E2F" w:rsidRDefault="002717EC" w:rsidP="00A537A8">
      <w:pPr>
        <w:pStyle w:val="Textoindependiente"/>
        <w:numPr>
          <w:ilvl w:val="0"/>
          <w:numId w:val="14"/>
        </w:numPr>
        <w:rPr>
          <w:rFonts w:asciiTheme="minorHAnsi" w:hAnsiTheme="minorHAnsi" w:cs="Calibri"/>
          <w:color w:val="000000" w:themeColor="text1"/>
          <w:sz w:val="20"/>
          <w:szCs w:val="20"/>
          <w:lang w:val="es-MX"/>
        </w:rPr>
      </w:pPr>
      <w:r w:rsidRPr="00110935">
        <w:rPr>
          <w:rFonts w:asciiTheme="minorHAnsi" w:hAnsiTheme="minorHAnsi" w:cs="Calibri"/>
          <w:color w:val="000000" w:themeColor="text1"/>
          <w:sz w:val="20"/>
          <w:szCs w:val="20"/>
          <w:lang w:val="es-MX"/>
        </w:rPr>
        <w:t xml:space="preserve">Criterio técnico: </w:t>
      </w:r>
      <w:r w:rsidR="00110935" w:rsidRPr="00F82E2F">
        <w:rPr>
          <w:rFonts w:asciiTheme="minorHAnsi" w:hAnsiTheme="minorHAnsi" w:cs="Calibri"/>
          <w:color w:val="000000" w:themeColor="text1"/>
          <w:sz w:val="20"/>
          <w:szCs w:val="20"/>
          <w:lang w:val="es-MX"/>
        </w:rPr>
        <w:t>Argumentos  técnicos derivados de un análisis técnico realizado  por la  STHV durante el proceso de actualización del PUOS</w:t>
      </w:r>
      <w:r w:rsidR="00982618" w:rsidRPr="00F82E2F">
        <w:rPr>
          <w:rFonts w:asciiTheme="minorHAnsi" w:hAnsiTheme="minorHAnsi" w:cs="Calibri"/>
          <w:color w:val="000000" w:themeColor="text1"/>
          <w:sz w:val="20"/>
          <w:szCs w:val="20"/>
          <w:lang w:val="es-MX"/>
        </w:rPr>
        <w:t>,</w:t>
      </w:r>
      <w:r w:rsidR="00110935" w:rsidRPr="00F82E2F">
        <w:rPr>
          <w:rFonts w:asciiTheme="minorHAnsi" w:hAnsiTheme="minorHAnsi" w:cs="Calibri"/>
          <w:color w:val="000000" w:themeColor="text1"/>
          <w:sz w:val="20"/>
          <w:szCs w:val="20"/>
          <w:lang w:val="es-MX"/>
        </w:rPr>
        <w:t xml:space="preserve"> utilizando  un grupo de variables verificables en territorio, y apoyado en los recursos informáticos disponibles en la STHV.</w:t>
      </w:r>
    </w:p>
    <w:p w:rsidR="00A537A8" w:rsidRDefault="002717EC" w:rsidP="00A537A8">
      <w:pPr>
        <w:pStyle w:val="Textoindependiente"/>
        <w:numPr>
          <w:ilvl w:val="0"/>
          <w:numId w:val="14"/>
        </w:numPr>
        <w:rPr>
          <w:rFonts w:asciiTheme="minorHAnsi" w:hAnsiTheme="minorHAnsi" w:cs="Calibri"/>
          <w:color w:val="000000" w:themeColor="text1"/>
          <w:sz w:val="20"/>
          <w:szCs w:val="20"/>
          <w:lang w:val="es-MX"/>
        </w:rPr>
      </w:pPr>
      <w:r w:rsidRPr="00110935">
        <w:rPr>
          <w:rFonts w:asciiTheme="minorHAnsi" w:hAnsiTheme="minorHAnsi" w:cs="Calibri"/>
          <w:color w:val="000000" w:themeColor="text1"/>
          <w:sz w:val="20"/>
          <w:szCs w:val="20"/>
          <w:lang w:val="es-MX"/>
        </w:rPr>
        <w:t>Dato Perdido:</w:t>
      </w:r>
      <w:r w:rsidR="00A537A8" w:rsidRPr="00A537A8">
        <w:rPr>
          <w:rFonts w:cstheme="minorHAnsi"/>
          <w:color w:val="000000" w:themeColor="text1"/>
          <w:sz w:val="20"/>
          <w:szCs w:val="20"/>
        </w:rPr>
        <w:t xml:space="preserve"> </w:t>
      </w:r>
      <w:r w:rsidR="00A537A8" w:rsidRPr="00A537A8">
        <w:rPr>
          <w:rFonts w:asciiTheme="minorHAnsi" w:hAnsiTheme="minorHAnsi" w:cs="Calibri"/>
          <w:color w:val="000000" w:themeColor="text1"/>
          <w:sz w:val="20"/>
          <w:szCs w:val="20"/>
          <w:lang w:val="es-MX"/>
        </w:rPr>
        <w:t>Cambios realizados en la Ord. 041 por efecto de la dinámica del territorio,  que no fueron incorporados  en las 4 partes del PUOS que se estaban actualizando.</w:t>
      </w:r>
    </w:p>
    <w:p w:rsidR="00CA1177" w:rsidRPr="002717EC" w:rsidRDefault="002717EC" w:rsidP="002717EC">
      <w:pPr>
        <w:pStyle w:val="Textoindependiente"/>
        <w:numPr>
          <w:ilvl w:val="0"/>
          <w:numId w:val="14"/>
        </w:numPr>
        <w:ind w:left="1434" w:hanging="357"/>
        <w:rPr>
          <w:rFonts w:asciiTheme="minorHAnsi" w:hAnsiTheme="minorHAnsi" w:cs="Calibri"/>
          <w:color w:val="000000" w:themeColor="text1"/>
          <w:sz w:val="20"/>
          <w:szCs w:val="20"/>
          <w:lang w:val="es-MX"/>
        </w:rPr>
      </w:pPr>
      <w:r w:rsidRPr="002717EC">
        <w:rPr>
          <w:rFonts w:asciiTheme="minorHAnsi" w:hAnsiTheme="minorHAnsi" w:cs="Calibri"/>
          <w:color w:val="000000" w:themeColor="text1"/>
          <w:sz w:val="20"/>
          <w:szCs w:val="20"/>
          <w:lang w:val="es-MX"/>
        </w:rPr>
        <w:t>En matriz de cambios 2016: Cambios que constan en la matriz de cambios 2016 y que se encuentran duplicados en el registro de los 354 polígonos.</w:t>
      </w:r>
    </w:p>
    <w:p w:rsidR="002717EC" w:rsidRPr="00F82E2F" w:rsidRDefault="002717EC" w:rsidP="002717EC">
      <w:pPr>
        <w:pStyle w:val="Prrafodelista"/>
        <w:numPr>
          <w:ilvl w:val="0"/>
          <w:numId w:val="14"/>
        </w:numPr>
        <w:spacing w:after="0" w:line="240" w:lineRule="auto"/>
        <w:ind w:left="1434" w:hanging="357"/>
        <w:jc w:val="both"/>
        <w:rPr>
          <w:rFonts w:cs="Calibri"/>
          <w:color w:val="000000" w:themeColor="text1"/>
          <w:sz w:val="20"/>
          <w:szCs w:val="20"/>
          <w:lang w:val="es-MX" w:eastAsia="es-ES"/>
        </w:rPr>
      </w:pPr>
      <w:r w:rsidRPr="00F82E2F">
        <w:rPr>
          <w:rFonts w:cs="Calibri"/>
          <w:color w:val="000000" w:themeColor="text1"/>
          <w:sz w:val="20"/>
          <w:szCs w:val="20"/>
          <w:lang w:val="es-MX" w:eastAsia="es-ES"/>
        </w:rPr>
        <w:t xml:space="preserve">Ordenanza: Cambios motivados por una </w:t>
      </w:r>
      <w:r w:rsidR="000655DD" w:rsidRPr="00F82E2F">
        <w:rPr>
          <w:rFonts w:cs="Calibri"/>
          <w:color w:val="000000" w:themeColor="text1"/>
          <w:sz w:val="20"/>
          <w:szCs w:val="20"/>
          <w:lang w:val="es-MX" w:eastAsia="es-ES"/>
        </w:rPr>
        <w:t xml:space="preserve">Ordenanza Metropolitana vigente, anterior a la aprobación del PUOS 2016, </w:t>
      </w:r>
      <w:r w:rsidR="000655DD" w:rsidRPr="00F82E2F">
        <w:rPr>
          <w:rFonts w:cstheme="minorHAnsi"/>
          <w:color w:val="000000" w:themeColor="text1"/>
          <w:sz w:val="20"/>
          <w:szCs w:val="20"/>
        </w:rPr>
        <w:t xml:space="preserve">correspondiente a barrios, áreas de protección ecológica declaradas,  áreas </w:t>
      </w:r>
      <w:r w:rsidR="00F82E2F">
        <w:rPr>
          <w:rFonts w:cstheme="minorHAnsi"/>
          <w:color w:val="000000" w:themeColor="text1"/>
          <w:sz w:val="20"/>
          <w:szCs w:val="20"/>
        </w:rPr>
        <w:t xml:space="preserve">patrimoniales, planes </w:t>
      </w:r>
      <w:r w:rsidR="00241D8A">
        <w:rPr>
          <w:rFonts w:cstheme="minorHAnsi"/>
          <w:color w:val="000000" w:themeColor="text1"/>
          <w:sz w:val="20"/>
          <w:szCs w:val="20"/>
        </w:rPr>
        <w:t>especiales y parciales.</w:t>
      </w:r>
    </w:p>
    <w:p w:rsidR="00CA1177" w:rsidRPr="002717EC" w:rsidRDefault="00CA1177" w:rsidP="002717EC">
      <w:pPr>
        <w:pStyle w:val="Textoindependiente"/>
        <w:numPr>
          <w:ilvl w:val="0"/>
          <w:numId w:val="14"/>
        </w:numPr>
        <w:ind w:left="1434" w:hanging="357"/>
        <w:rPr>
          <w:rFonts w:asciiTheme="minorHAnsi" w:hAnsiTheme="minorHAnsi" w:cs="Calibri"/>
          <w:color w:val="000000" w:themeColor="text1"/>
          <w:sz w:val="20"/>
          <w:szCs w:val="20"/>
          <w:lang w:val="es-MX"/>
        </w:rPr>
      </w:pPr>
      <w:r w:rsidRPr="002717EC">
        <w:rPr>
          <w:rFonts w:asciiTheme="minorHAnsi" w:hAnsiTheme="minorHAnsi" w:cs="Calibri"/>
          <w:color w:val="000000" w:themeColor="text1"/>
          <w:sz w:val="20"/>
          <w:szCs w:val="20"/>
          <w:lang w:val="es-MX"/>
        </w:rPr>
        <w:t xml:space="preserve">Zona de Riesgo: </w:t>
      </w:r>
      <w:r w:rsidR="002717EC" w:rsidRPr="002717EC">
        <w:rPr>
          <w:rFonts w:asciiTheme="minorHAnsi" w:hAnsiTheme="minorHAnsi" w:cs="Calibri"/>
          <w:color w:val="000000" w:themeColor="text1"/>
          <w:sz w:val="20"/>
          <w:szCs w:val="20"/>
          <w:lang w:val="es-MX"/>
        </w:rPr>
        <w:t xml:space="preserve">Asignación de datos de zonificación a zonas que en la Ordenanza 041 constaban con zonificación </w:t>
      </w:r>
      <w:proofErr w:type="gramStart"/>
      <w:r w:rsidR="002717EC" w:rsidRPr="002717EC">
        <w:rPr>
          <w:rFonts w:asciiTheme="minorHAnsi" w:hAnsiTheme="minorHAnsi" w:cs="Calibri"/>
          <w:color w:val="000000" w:themeColor="text1"/>
          <w:sz w:val="20"/>
          <w:szCs w:val="20"/>
          <w:lang w:val="es-MX"/>
        </w:rPr>
        <w:t>ZR(</w:t>
      </w:r>
      <w:proofErr w:type="gramEnd"/>
      <w:r w:rsidR="002717EC" w:rsidRPr="002717EC">
        <w:rPr>
          <w:rFonts w:asciiTheme="minorHAnsi" w:hAnsiTheme="minorHAnsi" w:cs="Calibri"/>
          <w:color w:val="000000" w:themeColor="text1"/>
          <w:sz w:val="20"/>
          <w:szCs w:val="20"/>
          <w:lang w:val="es-MX"/>
        </w:rPr>
        <w:t>ZR1). Este criterio fue conocido por la Comisión de Uso de Suelo durante las mesas de trabajo</w:t>
      </w:r>
      <w:r w:rsidR="002717EC">
        <w:rPr>
          <w:rFonts w:asciiTheme="minorHAnsi" w:hAnsiTheme="minorHAnsi" w:cs="Calibri"/>
          <w:color w:val="000000" w:themeColor="text1"/>
          <w:sz w:val="20"/>
          <w:szCs w:val="20"/>
          <w:lang w:val="es-MX"/>
        </w:rPr>
        <w:t>.</w:t>
      </w:r>
    </w:p>
    <w:p w:rsidR="00CA1177" w:rsidRPr="002717EC" w:rsidRDefault="002717EC" w:rsidP="002717EC">
      <w:pPr>
        <w:pStyle w:val="Textoindependiente"/>
        <w:numPr>
          <w:ilvl w:val="0"/>
          <w:numId w:val="14"/>
        </w:numPr>
        <w:ind w:left="1434" w:hanging="357"/>
        <w:rPr>
          <w:rFonts w:asciiTheme="minorHAnsi" w:hAnsiTheme="minorHAnsi" w:cs="Calibri"/>
          <w:color w:val="000000" w:themeColor="text1"/>
          <w:sz w:val="20"/>
          <w:szCs w:val="20"/>
          <w:lang w:val="es-MX"/>
        </w:rPr>
      </w:pPr>
      <w:r w:rsidRPr="002717EC">
        <w:rPr>
          <w:rFonts w:asciiTheme="minorHAnsi" w:hAnsiTheme="minorHAnsi" w:cs="Calibri"/>
          <w:color w:val="000000" w:themeColor="text1"/>
          <w:sz w:val="20"/>
          <w:szCs w:val="20"/>
          <w:lang w:val="es-MX"/>
        </w:rPr>
        <w:t>Concesión Minera:</w:t>
      </w:r>
      <w:r w:rsidRPr="002717EC">
        <w:rPr>
          <w:rFonts w:asciiTheme="minorHAnsi" w:hAnsiTheme="minorHAnsi" w:cstheme="minorHAnsi"/>
          <w:color w:val="000000" w:themeColor="text1"/>
          <w:sz w:val="20"/>
          <w:szCs w:val="20"/>
        </w:rPr>
        <w:t xml:space="preserve"> Cambios producidos por actividad minera presente en el área y/o que se encuentran dentro de  los polígonos del catastro minero proporcionado por la Agencia de Regulación y Control Minero - ARCOM.</w:t>
      </w:r>
    </w:p>
    <w:p w:rsidR="00CA1177" w:rsidRPr="002717EC" w:rsidRDefault="002717EC" w:rsidP="002717EC">
      <w:pPr>
        <w:pStyle w:val="Textoindependiente"/>
        <w:numPr>
          <w:ilvl w:val="0"/>
          <w:numId w:val="14"/>
        </w:numPr>
        <w:ind w:left="1434" w:hanging="357"/>
        <w:rPr>
          <w:rFonts w:asciiTheme="minorHAnsi" w:hAnsiTheme="minorHAnsi" w:cs="Calibri"/>
          <w:color w:val="000000" w:themeColor="text1"/>
          <w:sz w:val="20"/>
          <w:szCs w:val="20"/>
          <w:lang w:val="es-MX"/>
        </w:rPr>
      </w:pPr>
      <w:r w:rsidRPr="002717EC">
        <w:rPr>
          <w:rFonts w:asciiTheme="minorHAnsi" w:hAnsiTheme="minorHAnsi" w:cs="Calibri"/>
          <w:color w:val="000000" w:themeColor="text1"/>
          <w:sz w:val="20"/>
          <w:szCs w:val="20"/>
          <w:lang w:val="es-MX"/>
        </w:rPr>
        <w:t>No determinado:</w:t>
      </w:r>
      <w:r w:rsidRPr="002717EC">
        <w:rPr>
          <w:rFonts w:asciiTheme="minorHAnsi" w:hAnsiTheme="minorHAnsi" w:cstheme="minorHAnsi"/>
          <w:color w:val="000000" w:themeColor="text1"/>
          <w:sz w:val="20"/>
          <w:szCs w:val="20"/>
        </w:rPr>
        <w:t xml:space="preserve"> Cambios que no</w:t>
      </w:r>
      <w:r w:rsidRPr="002717EC">
        <w:rPr>
          <w:rFonts w:asciiTheme="minorHAnsi" w:hAnsiTheme="minorHAnsi" w:cstheme="minorHAnsi"/>
          <w:b/>
          <w:color w:val="000000" w:themeColor="text1"/>
          <w:sz w:val="20"/>
          <w:szCs w:val="20"/>
        </w:rPr>
        <w:t xml:space="preserve"> </w:t>
      </w:r>
      <w:r w:rsidRPr="002717EC">
        <w:rPr>
          <w:rFonts w:asciiTheme="minorHAnsi" w:hAnsiTheme="minorHAnsi" w:cstheme="minorHAnsi"/>
          <w:color w:val="000000" w:themeColor="text1"/>
          <w:sz w:val="20"/>
          <w:szCs w:val="20"/>
        </w:rPr>
        <w:t>responden a ningún criterio técnico o  alguna de las motivaciones anteriormente explicadas</w:t>
      </w:r>
      <w:r>
        <w:rPr>
          <w:rFonts w:asciiTheme="minorHAnsi" w:hAnsiTheme="minorHAnsi" w:cstheme="minorHAnsi"/>
          <w:color w:val="000000" w:themeColor="text1"/>
          <w:sz w:val="20"/>
          <w:szCs w:val="20"/>
        </w:rPr>
        <w:t>.</w:t>
      </w:r>
    </w:p>
    <w:p w:rsidR="004E1B99" w:rsidRDefault="004E1B99" w:rsidP="00CA1177">
      <w:pPr>
        <w:pStyle w:val="Textoindependiente"/>
        <w:ind w:left="720"/>
        <w:rPr>
          <w:rFonts w:ascii="Calibri" w:hAnsi="Calibri" w:cs="Calibri"/>
          <w:color w:val="000000" w:themeColor="text1"/>
          <w:sz w:val="20"/>
          <w:szCs w:val="20"/>
          <w:lang w:val="es-MX"/>
        </w:rPr>
      </w:pPr>
      <w:r w:rsidRPr="00807249">
        <w:rPr>
          <w:rFonts w:ascii="Calibri" w:hAnsi="Calibri" w:cs="Calibri"/>
          <w:color w:val="000000" w:themeColor="text1"/>
          <w:sz w:val="20"/>
          <w:szCs w:val="20"/>
          <w:lang w:val="es-MX"/>
        </w:rPr>
        <w:t xml:space="preserve"> </w:t>
      </w:r>
    </w:p>
    <w:p w:rsidR="00445CB0" w:rsidRDefault="00445CB0" w:rsidP="00AE2357">
      <w:pPr>
        <w:pStyle w:val="Textoindependiente"/>
        <w:tabs>
          <w:tab w:val="left" w:pos="709"/>
        </w:tabs>
        <w:ind w:left="709"/>
        <w:jc w:val="center"/>
        <w:rPr>
          <w:rFonts w:ascii="Calibri" w:hAnsi="Calibri" w:cs="Calibri"/>
          <w:b/>
          <w:color w:val="000000" w:themeColor="text1"/>
          <w:sz w:val="20"/>
          <w:szCs w:val="20"/>
          <w:lang w:val="es-MX"/>
        </w:rPr>
      </w:pPr>
    </w:p>
    <w:p w:rsidR="00041E59" w:rsidRDefault="00C3262A" w:rsidP="00AE2357">
      <w:pPr>
        <w:pStyle w:val="Textoindependiente"/>
        <w:tabs>
          <w:tab w:val="left" w:pos="709"/>
        </w:tabs>
        <w:ind w:left="709"/>
        <w:jc w:val="center"/>
        <w:rPr>
          <w:noProof/>
          <w:lang w:val="es-EC" w:eastAsia="es-EC"/>
        </w:rPr>
      </w:pPr>
      <w:r w:rsidRPr="00C3262A">
        <w:rPr>
          <w:rFonts w:ascii="Calibri" w:hAnsi="Calibri" w:cs="Calibri"/>
          <w:b/>
          <w:color w:val="000000" w:themeColor="text1"/>
          <w:sz w:val="20"/>
          <w:szCs w:val="20"/>
          <w:lang w:val="es-MX"/>
        </w:rPr>
        <w:t xml:space="preserve">Tabla No. 1  </w:t>
      </w:r>
      <w:r>
        <w:rPr>
          <w:rFonts w:ascii="Calibri" w:hAnsi="Calibri" w:cs="Calibri"/>
          <w:b/>
          <w:color w:val="000000" w:themeColor="text1"/>
          <w:sz w:val="20"/>
          <w:szCs w:val="20"/>
          <w:lang w:val="es-MX"/>
        </w:rPr>
        <w:t xml:space="preserve"> </w:t>
      </w:r>
      <w:r w:rsidR="00051F63">
        <w:rPr>
          <w:rFonts w:ascii="Calibri" w:hAnsi="Calibri" w:cs="Calibri"/>
          <w:b/>
          <w:color w:val="000000" w:themeColor="text1"/>
          <w:sz w:val="20"/>
          <w:szCs w:val="20"/>
          <w:lang w:val="es-MX"/>
        </w:rPr>
        <w:t xml:space="preserve">RESUMEN DE LA </w:t>
      </w:r>
      <w:r w:rsidRPr="00C3262A">
        <w:rPr>
          <w:rFonts w:ascii="Calibri" w:hAnsi="Calibri" w:cs="Calibri"/>
          <w:b/>
          <w:color w:val="000000" w:themeColor="text1"/>
          <w:sz w:val="20"/>
          <w:szCs w:val="20"/>
          <w:lang w:val="es-MX"/>
        </w:rPr>
        <w:t xml:space="preserve">MATRIZ </w:t>
      </w:r>
      <w:r w:rsidR="00051F63">
        <w:rPr>
          <w:rFonts w:ascii="Calibri" w:hAnsi="Calibri" w:cs="Calibri"/>
          <w:b/>
          <w:color w:val="000000" w:themeColor="text1"/>
          <w:sz w:val="20"/>
          <w:szCs w:val="20"/>
          <w:lang w:val="es-MX"/>
        </w:rPr>
        <w:t xml:space="preserve"> DE MOTIVOS DE CAMBIOS NO REGISTRADOS </w:t>
      </w:r>
    </w:p>
    <w:tbl>
      <w:tblPr>
        <w:tblW w:w="5878" w:type="dxa"/>
        <w:jc w:val="center"/>
        <w:tblCellMar>
          <w:left w:w="70" w:type="dxa"/>
          <w:right w:w="70" w:type="dxa"/>
        </w:tblCellMar>
        <w:tblLook w:val="04A0" w:firstRow="1" w:lastRow="0" w:firstColumn="1" w:lastColumn="0" w:noHBand="0" w:noVBand="1"/>
      </w:tblPr>
      <w:tblGrid>
        <w:gridCol w:w="2869"/>
        <w:gridCol w:w="1408"/>
        <w:gridCol w:w="1601"/>
      </w:tblGrid>
      <w:tr w:rsidR="009434FA" w:rsidRPr="00A64A6F" w:rsidTr="00A05419">
        <w:trPr>
          <w:trHeight w:val="466"/>
          <w:jc w:val="center"/>
        </w:trPr>
        <w:tc>
          <w:tcPr>
            <w:tcW w:w="2869" w:type="dxa"/>
            <w:tcBorders>
              <w:top w:val="single" w:sz="4" w:space="0" w:color="auto"/>
              <w:left w:val="single" w:sz="4" w:space="0" w:color="auto"/>
              <w:bottom w:val="single" w:sz="4" w:space="0" w:color="95B3D7"/>
              <w:right w:val="nil"/>
            </w:tcBorders>
            <w:shd w:val="clear" w:color="000000" w:fill="4F81BD"/>
            <w:vAlign w:val="bottom"/>
            <w:hideMark/>
          </w:tcPr>
          <w:p w:rsidR="009434FA" w:rsidRPr="00913DEE" w:rsidRDefault="009434FA" w:rsidP="005C1556">
            <w:pPr>
              <w:spacing w:after="0" w:line="240" w:lineRule="auto"/>
              <w:jc w:val="center"/>
              <w:rPr>
                <w:rFonts w:ascii="Calibri" w:eastAsia="Times New Roman" w:hAnsi="Calibri" w:cs="Times New Roman"/>
                <w:b/>
                <w:bCs/>
                <w:color w:val="FFFFFF" w:themeColor="background1"/>
                <w:sz w:val="20"/>
                <w:szCs w:val="20"/>
                <w:lang w:eastAsia="es-EC"/>
              </w:rPr>
            </w:pPr>
            <w:r w:rsidRPr="00913DEE">
              <w:rPr>
                <w:rFonts w:ascii="Calibri" w:eastAsia="Times New Roman" w:hAnsi="Calibri" w:cs="Times New Roman"/>
                <w:b/>
                <w:bCs/>
                <w:color w:val="FFFFFF" w:themeColor="background1"/>
                <w:sz w:val="20"/>
                <w:szCs w:val="20"/>
                <w:lang w:eastAsia="es-EC"/>
              </w:rPr>
              <w:t>MOTIVO</w:t>
            </w:r>
          </w:p>
        </w:tc>
        <w:tc>
          <w:tcPr>
            <w:tcW w:w="1408" w:type="dxa"/>
            <w:tcBorders>
              <w:top w:val="single" w:sz="4" w:space="0" w:color="auto"/>
              <w:left w:val="nil"/>
              <w:bottom w:val="single" w:sz="4" w:space="0" w:color="95B3D7"/>
              <w:right w:val="nil"/>
            </w:tcBorders>
            <w:shd w:val="clear" w:color="000000" w:fill="4F81BD"/>
            <w:vAlign w:val="bottom"/>
            <w:hideMark/>
          </w:tcPr>
          <w:p w:rsidR="009434FA" w:rsidRPr="00913DEE" w:rsidRDefault="009434FA" w:rsidP="005C1556">
            <w:pPr>
              <w:spacing w:after="0" w:line="240" w:lineRule="auto"/>
              <w:jc w:val="center"/>
              <w:rPr>
                <w:rFonts w:ascii="Calibri" w:eastAsia="Times New Roman" w:hAnsi="Calibri" w:cs="Times New Roman"/>
                <w:b/>
                <w:bCs/>
                <w:color w:val="FFFFFF" w:themeColor="background1"/>
                <w:sz w:val="20"/>
                <w:szCs w:val="20"/>
                <w:lang w:eastAsia="es-EC"/>
              </w:rPr>
            </w:pPr>
            <w:r w:rsidRPr="00A64A6F">
              <w:rPr>
                <w:rFonts w:ascii="Calibri" w:eastAsia="Times New Roman" w:hAnsi="Calibri" w:cs="Times New Roman"/>
                <w:b/>
                <w:bCs/>
                <w:color w:val="FFFFFF" w:themeColor="background1"/>
                <w:sz w:val="20"/>
                <w:szCs w:val="20"/>
                <w:lang w:eastAsia="es-EC"/>
              </w:rPr>
              <w:t>N° de cambios</w:t>
            </w:r>
          </w:p>
        </w:tc>
        <w:tc>
          <w:tcPr>
            <w:tcW w:w="1601" w:type="dxa"/>
            <w:tcBorders>
              <w:top w:val="single" w:sz="4" w:space="0" w:color="auto"/>
              <w:left w:val="nil"/>
              <w:bottom w:val="single" w:sz="4" w:space="0" w:color="95B3D7"/>
              <w:right w:val="single" w:sz="4" w:space="0" w:color="auto"/>
            </w:tcBorders>
            <w:shd w:val="clear" w:color="000000" w:fill="4F81BD"/>
            <w:vAlign w:val="bottom"/>
            <w:hideMark/>
          </w:tcPr>
          <w:p w:rsidR="009434FA" w:rsidRPr="00913DEE" w:rsidRDefault="009434FA" w:rsidP="005C1556">
            <w:pPr>
              <w:spacing w:after="0" w:line="240" w:lineRule="auto"/>
              <w:jc w:val="center"/>
              <w:rPr>
                <w:rFonts w:ascii="Calibri" w:eastAsia="Times New Roman" w:hAnsi="Calibri" w:cs="Times New Roman"/>
                <w:b/>
                <w:bCs/>
                <w:color w:val="FFFFFF" w:themeColor="background1"/>
                <w:sz w:val="20"/>
                <w:szCs w:val="20"/>
                <w:lang w:eastAsia="es-EC"/>
              </w:rPr>
            </w:pPr>
            <w:r w:rsidRPr="00913DEE">
              <w:rPr>
                <w:rFonts w:ascii="Calibri" w:eastAsia="Times New Roman" w:hAnsi="Calibri" w:cs="Times New Roman"/>
                <w:b/>
                <w:bCs/>
                <w:color w:val="FFFFFF" w:themeColor="background1"/>
                <w:sz w:val="20"/>
                <w:szCs w:val="20"/>
                <w:lang w:eastAsia="es-EC"/>
              </w:rPr>
              <w:t>Porcentaje %</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Criterio Técnico</w:t>
            </w:r>
          </w:p>
        </w:tc>
        <w:tc>
          <w:tcPr>
            <w:tcW w:w="1408" w:type="dxa"/>
            <w:tcBorders>
              <w:top w:val="single" w:sz="4" w:space="0" w:color="95B3D7"/>
              <w:left w:val="nil"/>
              <w:bottom w:val="single" w:sz="4" w:space="0" w:color="95B3D7"/>
              <w:right w:val="nil"/>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170</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48%</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Ordenanza</w:t>
            </w:r>
          </w:p>
        </w:tc>
        <w:tc>
          <w:tcPr>
            <w:tcW w:w="1408" w:type="dxa"/>
            <w:tcBorders>
              <w:top w:val="single" w:sz="4" w:space="0" w:color="95B3D7"/>
              <w:left w:val="nil"/>
              <w:bottom w:val="single" w:sz="4" w:space="0" w:color="95B3D7"/>
              <w:right w:val="nil"/>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69</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19,5</w:t>
            </w:r>
            <w:r>
              <w:rPr>
                <w:rFonts w:ascii="Calibri" w:eastAsia="Times New Roman" w:hAnsi="Calibri" w:cs="Times New Roman"/>
                <w:color w:val="000000"/>
                <w:sz w:val="20"/>
                <w:szCs w:val="20"/>
                <w:lang w:eastAsia="es-EC"/>
              </w:rPr>
              <w:t>%</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Dato perdido</w:t>
            </w:r>
          </w:p>
        </w:tc>
        <w:tc>
          <w:tcPr>
            <w:tcW w:w="1408" w:type="dxa"/>
            <w:tcBorders>
              <w:top w:val="single" w:sz="4" w:space="0" w:color="95B3D7"/>
              <w:left w:val="nil"/>
              <w:bottom w:val="single" w:sz="4" w:space="0" w:color="95B3D7"/>
              <w:right w:val="nil"/>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40</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11,3%</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No determinado</w:t>
            </w:r>
          </w:p>
        </w:tc>
        <w:tc>
          <w:tcPr>
            <w:tcW w:w="1408" w:type="dxa"/>
            <w:tcBorders>
              <w:top w:val="single" w:sz="4" w:space="0" w:color="95B3D7"/>
              <w:left w:val="nil"/>
              <w:bottom w:val="single" w:sz="4" w:space="0" w:color="95B3D7"/>
              <w:right w:val="nil"/>
            </w:tcBorders>
            <w:shd w:val="clear" w:color="auto" w:fill="auto"/>
            <w:noWrap/>
            <w:vAlign w:val="bottom"/>
            <w:hideMark/>
          </w:tcPr>
          <w:p w:rsidR="009434FA" w:rsidRPr="00913DEE" w:rsidRDefault="009434FA" w:rsidP="005D0260">
            <w:pPr>
              <w:spacing w:after="0" w:line="240" w:lineRule="auto"/>
              <w:jc w:val="center"/>
              <w:rPr>
                <w:rFonts w:ascii="Calibri" w:eastAsia="Times New Roman" w:hAnsi="Calibri" w:cs="Times New Roman"/>
                <w:color w:val="000000"/>
                <w:sz w:val="20"/>
                <w:szCs w:val="20"/>
                <w:lang w:eastAsia="es-EC"/>
              </w:rPr>
            </w:pPr>
            <w:r w:rsidRPr="00A64A6F">
              <w:rPr>
                <w:rFonts w:ascii="Calibri" w:eastAsia="Times New Roman" w:hAnsi="Calibri" w:cs="Times New Roman"/>
                <w:color w:val="000000"/>
                <w:sz w:val="20"/>
                <w:szCs w:val="20"/>
                <w:lang w:eastAsia="es-EC"/>
              </w:rPr>
              <w:t>3</w:t>
            </w:r>
            <w:r w:rsidR="005D0260">
              <w:rPr>
                <w:rFonts w:ascii="Calibri" w:eastAsia="Times New Roman" w:hAnsi="Calibri" w:cs="Times New Roman"/>
                <w:color w:val="000000"/>
                <w:sz w:val="20"/>
                <w:szCs w:val="20"/>
                <w:lang w:eastAsia="es-EC"/>
              </w:rPr>
              <w:t>4</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9,6</w:t>
            </w:r>
            <w:r>
              <w:rPr>
                <w:rFonts w:ascii="Calibri" w:eastAsia="Times New Roman" w:hAnsi="Calibri" w:cs="Times New Roman"/>
                <w:color w:val="000000"/>
                <w:sz w:val="20"/>
                <w:szCs w:val="20"/>
                <w:lang w:eastAsia="es-EC"/>
              </w:rPr>
              <w:t>%</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Error de asignación de datos</w:t>
            </w:r>
          </w:p>
        </w:tc>
        <w:tc>
          <w:tcPr>
            <w:tcW w:w="1408" w:type="dxa"/>
            <w:tcBorders>
              <w:top w:val="single" w:sz="4" w:space="0" w:color="95B3D7"/>
              <w:left w:val="nil"/>
              <w:bottom w:val="single" w:sz="4" w:space="0" w:color="95B3D7"/>
              <w:right w:val="nil"/>
            </w:tcBorders>
            <w:shd w:val="clear" w:color="DCE6F1" w:fill="DCE6F1"/>
            <w:noWrap/>
            <w:vAlign w:val="bottom"/>
            <w:hideMark/>
          </w:tcPr>
          <w:p w:rsidR="009434FA" w:rsidRPr="00913DEE" w:rsidRDefault="005D0260" w:rsidP="005C1556">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11</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3,1</w:t>
            </w:r>
            <w:r>
              <w:rPr>
                <w:rFonts w:ascii="Calibri" w:eastAsia="Times New Roman" w:hAnsi="Calibri" w:cs="Times New Roman"/>
                <w:color w:val="000000"/>
                <w:sz w:val="20"/>
                <w:szCs w:val="20"/>
                <w:lang w:eastAsia="es-EC"/>
              </w:rPr>
              <w:t>%</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Concesión Minera</w:t>
            </w:r>
          </w:p>
        </w:tc>
        <w:tc>
          <w:tcPr>
            <w:tcW w:w="1408" w:type="dxa"/>
            <w:tcBorders>
              <w:top w:val="single" w:sz="4" w:space="0" w:color="95B3D7"/>
              <w:left w:val="nil"/>
              <w:bottom w:val="single" w:sz="4" w:space="0" w:color="95B3D7"/>
              <w:right w:val="nil"/>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9</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2,5</w:t>
            </w:r>
            <w:r>
              <w:rPr>
                <w:rFonts w:ascii="Calibri" w:eastAsia="Times New Roman" w:hAnsi="Calibri" w:cs="Times New Roman"/>
                <w:color w:val="000000"/>
                <w:sz w:val="20"/>
                <w:szCs w:val="20"/>
                <w:lang w:eastAsia="es-EC"/>
              </w:rPr>
              <w:t>%</w:t>
            </w:r>
          </w:p>
        </w:tc>
      </w:tr>
      <w:tr w:rsidR="009434FA" w:rsidRPr="00A64A6F" w:rsidTr="00A05419">
        <w:trPr>
          <w:trHeight w:val="241"/>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Asignación de datos</w:t>
            </w:r>
          </w:p>
        </w:tc>
        <w:tc>
          <w:tcPr>
            <w:tcW w:w="1408" w:type="dxa"/>
            <w:tcBorders>
              <w:top w:val="single" w:sz="4" w:space="0" w:color="95B3D7"/>
              <w:left w:val="nil"/>
              <w:bottom w:val="single" w:sz="4" w:space="0" w:color="95B3D7"/>
              <w:right w:val="nil"/>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8</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2,3</w:t>
            </w:r>
            <w:r>
              <w:rPr>
                <w:rFonts w:ascii="Calibri" w:eastAsia="Times New Roman" w:hAnsi="Calibri" w:cs="Times New Roman"/>
                <w:color w:val="000000"/>
                <w:sz w:val="20"/>
                <w:szCs w:val="20"/>
                <w:lang w:eastAsia="es-EC"/>
              </w:rPr>
              <w:t>%</w:t>
            </w:r>
          </w:p>
        </w:tc>
      </w:tr>
      <w:tr w:rsidR="009434FA" w:rsidRPr="00A64A6F" w:rsidTr="00A05419">
        <w:trPr>
          <w:trHeight w:val="241"/>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En matriz de cambios 2016</w:t>
            </w:r>
          </w:p>
        </w:tc>
        <w:tc>
          <w:tcPr>
            <w:tcW w:w="1408" w:type="dxa"/>
            <w:tcBorders>
              <w:top w:val="single" w:sz="4" w:space="0" w:color="95B3D7"/>
              <w:left w:val="nil"/>
              <w:bottom w:val="single" w:sz="4" w:space="0" w:color="95B3D7"/>
              <w:right w:val="nil"/>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7</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2,0</w:t>
            </w:r>
            <w:r>
              <w:rPr>
                <w:rFonts w:ascii="Calibri" w:eastAsia="Times New Roman" w:hAnsi="Calibri" w:cs="Times New Roman"/>
                <w:color w:val="000000"/>
                <w:sz w:val="20"/>
                <w:szCs w:val="20"/>
                <w:lang w:eastAsia="es-EC"/>
              </w:rPr>
              <w:t>%</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Ajuste cartográ</w:t>
            </w:r>
            <w:r w:rsidRPr="00913DEE">
              <w:rPr>
                <w:rFonts w:ascii="Calibri" w:eastAsia="Times New Roman" w:hAnsi="Calibri" w:cs="Times New Roman"/>
                <w:color w:val="000000"/>
                <w:sz w:val="20"/>
                <w:szCs w:val="20"/>
                <w:lang w:eastAsia="es-EC"/>
              </w:rPr>
              <w:t>fico</w:t>
            </w:r>
          </w:p>
        </w:tc>
        <w:tc>
          <w:tcPr>
            <w:tcW w:w="1408" w:type="dxa"/>
            <w:tcBorders>
              <w:top w:val="single" w:sz="4" w:space="0" w:color="95B3D7"/>
              <w:left w:val="nil"/>
              <w:bottom w:val="single" w:sz="4" w:space="0" w:color="95B3D7"/>
              <w:right w:val="nil"/>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5</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1,4</w:t>
            </w:r>
            <w:r>
              <w:rPr>
                <w:rFonts w:ascii="Calibri" w:eastAsia="Times New Roman" w:hAnsi="Calibri" w:cs="Times New Roman"/>
                <w:color w:val="000000"/>
                <w:sz w:val="20"/>
                <w:szCs w:val="20"/>
                <w:lang w:eastAsia="es-EC"/>
              </w:rPr>
              <w:t>%</w:t>
            </w:r>
          </w:p>
        </w:tc>
      </w:tr>
      <w:tr w:rsidR="009434FA" w:rsidRPr="00A64A6F" w:rsidTr="00A05419">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9434FA" w:rsidRPr="00913DEE" w:rsidRDefault="009434FA" w:rsidP="005C1556">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Zona de riesgo</w:t>
            </w:r>
          </w:p>
        </w:tc>
        <w:tc>
          <w:tcPr>
            <w:tcW w:w="1408" w:type="dxa"/>
            <w:tcBorders>
              <w:top w:val="single" w:sz="4" w:space="0" w:color="95B3D7"/>
              <w:left w:val="nil"/>
              <w:bottom w:val="single" w:sz="4" w:space="0" w:color="95B3D7"/>
              <w:right w:val="nil"/>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1</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9434FA" w:rsidRPr="00913DEE" w:rsidRDefault="009434FA" w:rsidP="005C1556">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0,3</w:t>
            </w:r>
            <w:r>
              <w:rPr>
                <w:rFonts w:ascii="Calibri" w:eastAsia="Times New Roman" w:hAnsi="Calibri" w:cs="Times New Roman"/>
                <w:color w:val="000000"/>
                <w:sz w:val="20"/>
                <w:szCs w:val="20"/>
                <w:lang w:eastAsia="es-EC"/>
              </w:rPr>
              <w:t>%</w:t>
            </w:r>
          </w:p>
        </w:tc>
      </w:tr>
      <w:tr w:rsidR="009434FA" w:rsidRPr="00A64A6F" w:rsidTr="00A05419">
        <w:trPr>
          <w:trHeight w:val="241"/>
          <w:jc w:val="center"/>
        </w:trPr>
        <w:tc>
          <w:tcPr>
            <w:tcW w:w="2869" w:type="dxa"/>
            <w:tcBorders>
              <w:top w:val="single" w:sz="4" w:space="0" w:color="95B3D7"/>
              <w:left w:val="single" w:sz="4" w:space="0" w:color="auto"/>
              <w:bottom w:val="single" w:sz="4" w:space="0" w:color="auto"/>
              <w:right w:val="nil"/>
            </w:tcBorders>
            <w:shd w:val="clear" w:color="DCE6F1" w:fill="DCE6F1"/>
            <w:noWrap/>
            <w:vAlign w:val="bottom"/>
            <w:hideMark/>
          </w:tcPr>
          <w:p w:rsidR="009434FA" w:rsidRPr="00913DEE" w:rsidRDefault="009434FA" w:rsidP="005C1556">
            <w:pPr>
              <w:spacing w:after="0" w:line="240" w:lineRule="auto"/>
              <w:rPr>
                <w:rFonts w:ascii="Calibri" w:eastAsia="Times New Roman" w:hAnsi="Calibri" w:cs="Times New Roman"/>
                <w:b/>
                <w:bCs/>
                <w:color w:val="000000"/>
                <w:sz w:val="20"/>
                <w:szCs w:val="20"/>
                <w:lang w:eastAsia="es-EC"/>
              </w:rPr>
            </w:pPr>
            <w:r w:rsidRPr="00913DEE">
              <w:rPr>
                <w:rFonts w:ascii="Calibri" w:eastAsia="Times New Roman" w:hAnsi="Calibri" w:cs="Times New Roman"/>
                <w:b/>
                <w:bCs/>
                <w:color w:val="000000"/>
                <w:sz w:val="20"/>
                <w:szCs w:val="20"/>
                <w:lang w:eastAsia="es-EC"/>
              </w:rPr>
              <w:t>Total general</w:t>
            </w:r>
          </w:p>
        </w:tc>
        <w:tc>
          <w:tcPr>
            <w:tcW w:w="1408" w:type="dxa"/>
            <w:tcBorders>
              <w:top w:val="single" w:sz="4" w:space="0" w:color="95B3D7"/>
              <w:left w:val="nil"/>
              <w:bottom w:val="single" w:sz="4" w:space="0" w:color="auto"/>
              <w:right w:val="nil"/>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b/>
                <w:bCs/>
                <w:color w:val="000000"/>
                <w:sz w:val="20"/>
                <w:szCs w:val="20"/>
                <w:lang w:eastAsia="es-EC"/>
              </w:rPr>
            </w:pPr>
            <w:r w:rsidRPr="00913DEE">
              <w:rPr>
                <w:rFonts w:ascii="Calibri" w:eastAsia="Times New Roman" w:hAnsi="Calibri" w:cs="Times New Roman"/>
                <w:b/>
                <w:bCs/>
                <w:color w:val="000000"/>
                <w:sz w:val="20"/>
                <w:szCs w:val="20"/>
                <w:lang w:eastAsia="es-EC"/>
              </w:rPr>
              <w:t>354</w:t>
            </w:r>
          </w:p>
        </w:tc>
        <w:tc>
          <w:tcPr>
            <w:tcW w:w="1601" w:type="dxa"/>
            <w:tcBorders>
              <w:top w:val="single" w:sz="4" w:space="0" w:color="95B3D7"/>
              <w:left w:val="nil"/>
              <w:bottom w:val="single" w:sz="4" w:space="0" w:color="auto"/>
              <w:right w:val="single" w:sz="4" w:space="0" w:color="auto"/>
            </w:tcBorders>
            <w:shd w:val="clear" w:color="DCE6F1" w:fill="DCE6F1"/>
            <w:noWrap/>
            <w:vAlign w:val="bottom"/>
            <w:hideMark/>
          </w:tcPr>
          <w:p w:rsidR="009434FA" w:rsidRPr="00913DEE" w:rsidRDefault="009434FA" w:rsidP="005C1556">
            <w:pPr>
              <w:spacing w:after="0" w:line="240" w:lineRule="auto"/>
              <w:jc w:val="center"/>
              <w:rPr>
                <w:rFonts w:ascii="Calibri" w:eastAsia="Times New Roman" w:hAnsi="Calibri" w:cs="Times New Roman"/>
                <w:b/>
                <w:bCs/>
                <w:color w:val="000000"/>
                <w:sz w:val="20"/>
                <w:szCs w:val="20"/>
                <w:lang w:eastAsia="es-EC"/>
              </w:rPr>
            </w:pPr>
            <w:r w:rsidRPr="00913DEE">
              <w:rPr>
                <w:rFonts w:ascii="Calibri" w:eastAsia="Times New Roman" w:hAnsi="Calibri" w:cs="Times New Roman"/>
                <w:b/>
                <w:bCs/>
                <w:color w:val="000000"/>
                <w:sz w:val="20"/>
                <w:szCs w:val="20"/>
                <w:lang w:eastAsia="es-EC"/>
              </w:rPr>
              <w:t>100</w:t>
            </w:r>
            <w:r>
              <w:rPr>
                <w:rFonts w:ascii="Calibri" w:eastAsia="Times New Roman" w:hAnsi="Calibri" w:cs="Times New Roman"/>
                <w:b/>
                <w:bCs/>
                <w:color w:val="000000"/>
                <w:sz w:val="20"/>
                <w:szCs w:val="20"/>
                <w:lang w:eastAsia="es-EC"/>
              </w:rPr>
              <w:t>%</w:t>
            </w:r>
          </w:p>
        </w:tc>
      </w:tr>
    </w:tbl>
    <w:p w:rsidR="007E0FB6" w:rsidRPr="002319A1" w:rsidRDefault="007E0FB6" w:rsidP="000B6A7F">
      <w:pPr>
        <w:spacing w:after="0" w:line="240" w:lineRule="auto"/>
        <w:ind w:left="708" w:firstLine="708"/>
        <w:jc w:val="both"/>
        <w:rPr>
          <w:rFonts w:cstheme="minorHAnsi"/>
          <w:sz w:val="18"/>
          <w:szCs w:val="18"/>
          <w:lang w:val="es-ES" w:eastAsia="es-ES"/>
        </w:rPr>
      </w:pPr>
      <w:r w:rsidRPr="002319A1">
        <w:rPr>
          <w:rFonts w:cstheme="minorHAnsi"/>
          <w:sz w:val="18"/>
          <w:szCs w:val="18"/>
          <w:lang w:val="es-ES" w:eastAsia="es-ES"/>
        </w:rPr>
        <w:t>Elaboración: STHV</w:t>
      </w:r>
    </w:p>
    <w:p w:rsidR="004E1B99" w:rsidRDefault="004E1B99" w:rsidP="004E1B99">
      <w:pPr>
        <w:pStyle w:val="Textoindependiente"/>
        <w:ind w:left="720"/>
        <w:jc w:val="center"/>
        <w:rPr>
          <w:rFonts w:ascii="Calibri" w:hAnsi="Calibri" w:cs="Calibri"/>
          <w:color w:val="000000" w:themeColor="text1"/>
          <w:sz w:val="20"/>
          <w:szCs w:val="20"/>
          <w:lang w:val="es-MX"/>
        </w:rPr>
      </w:pPr>
    </w:p>
    <w:p w:rsidR="00445CB0" w:rsidRDefault="00445CB0" w:rsidP="004E1B99">
      <w:pPr>
        <w:pStyle w:val="Textoindependiente"/>
        <w:ind w:left="720"/>
        <w:jc w:val="center"/>
        <w:rPr>
          <w:rFonts w:ascii="Calibri" w:hAnsi="Calibri" w:cs="Calibri"/>
          <w:color w:val="000000" w:themeColor="text1"/>
          <w:sz w:val="20"/>
          <w:szCs w:val="20"/>
          <w:lang w:val="es-MX"/>
        </w:rPr>
      </w:pPr>
    </w:p>
    <w:p w:rsidR="00807249" w:rsidRDefault="00E3655C" w:rsidP="00C3262A">
      <w:pPr>
        <w:pStyle w:val="Textoindependiente"/>
        <w:numPr>
          <w:ilvl w:val="0"/>
          <w:numId w:val="5"/>
        </w:numPr>
        <w:rPr>
          <w:rFonts w:ascii="Calibri" w:hAnsi="Calibri" w:cs="Calibri"/>
          <w:color w:val="000000" w:themeColor="text1"/>
          <w:sz w:val="20"/>
          <w:szCs w:val="20"/>
          <w:lang w:val="es-MX"/>
        </w:rPr>
      </w:pPr>
      <w:r>
        <w:rPr>
          <w:rFonts w:ascii="Calibri" w:hAnsi="Calibri" w:cs="Calibri"/>
          <w:color w:val="000000" w:themeColor="text1"/>
          <w:sz w:val="20"/>
          <w:szCs w:val="20"/>
          <w:lang w:val="es-MX"/>
        </w:rPr>
        <w:t>Adicionalmente</w:t>
      </w:r>
      <w:r w:rsidR="004E1B99" w:rsidRPr="00807249">
        <w:rPr>
          <w:rFonts w:ascii="Calibri" w:hAnsi="Calibri" w:cs="Calibri"/>
          <w:color w:val="000000" w:themeColor="text1"/>
          <w:sz w:val="20"/>
          <w:szCs w:val="20"/>
          <w:lang w:val="es-MX"/>
        </w:rPr>
        <w:t xml:space="preserve"> se realiz</w:t>
      </w:r>
      <w:r w:rsidR="00C3262A" w:rsidRPr="00807249">
        <w:rPr>
          <w:rFonts w:ascii="Calibri" w:hAnsi="Calibri" w:cs="Calibri"/>
          <w:color w:val="000000" w:themeColor="text1"/>
          <w:sz w:val="20"/>
          <w:szCs w:val="20"/>
          <w:lang w:val="es-MX"/>
        </w:rPr>
        <w:t>ó</w:t>
      </w:r>
      <w:r w:rsidR="004E1B99" w:rsidRPr="00807249">
        <w:rPr>
          <w:rFonts w:ascii="Calibri" w:hAnsi="Calibri" w:cs="Calibri"/>
          <w:color w:val="000000" w:themeColor="text1"/>
          <w:sz w:val="20"/>
          <w:szCs w:val="20"/>
          <w:lang w:val="es-MX"/>
        </w:rPr>
        <w:t xml:space="preserve"> un cruce entre los dos análisis detallados anteriormente para determinar la temporalidad de los motivos, el resultado dem</w:t>
      </w:r>
      <w:r w:rsidR="002140F3" w:rsidRPr="00807249">
        <w:rPr>
          <w:rFonts w:ascii="Calibri" w:hAnsi="Calibri" w:cs="Calibri"/>
          <w:color w:val="000000" w:themeColor="text1"/>
          <w:sz w:val="20"/>
          <w:szCs w:val="20"/>
          <w:lang w:val="es-MX"/>
        </w:rPr>
        <w:t xml:space="preserve">uestra </w:t>
      </w:r>
      <w:r w:rsidR="004E1B99" w:rsidRPr="00807249">
        <w:rPr>
          <w:rFonts w:ascii="Calibri" w:hAnsi="Calibri" w:cs="Calibri"/>
          <w:color w:val="000000" w:themeColor="text1"/>
          <w:sz w:val="20"/>
          <w:szCs w:val="20"/>
          <w:lang w:val="es-MX"/>
        </w:rPr>
        <w:t>en</w:t>
      </w:r>
      <w:r w:rsidR="000B6A7F">
        <w:rPr>
          <w:rFonts w:ascii="Calibri" w:hAnsi="Calibri" w:cs="Calibri"/>
          <w:color w:val="000000" w:themeColor="text1"/>
          <w:sz w:val="20"/>
          <w:szCs w:val="20"/>
          <w:lang w:val="es-MX"/>
        </w:rPr>
        <w:t xml:space="preserve"> qué</w:t>
      </w:r>
      <w:r w:rsidR="002140F3" w:rsidRPr="00807249">
        <w:rPr>
          <w:rFonts w:ascii="Calibri" w:hAnsi="Calibri" w:cs="Calibri"/>
          <w:color w:val="000000" w:themeColor="text1"/>
          <w:sz w:val="20"/>
          <w:szCs w:val="20"/>
          <w:lang w:val="es-MX"/>
        </w:rPr>
        <w:t xml:space="preserve"> momento</w:t>
      </w:r>
      <w:r w:rsidR="004E1B99" w:rsidRPr="00807249">
        <w:rPr>
          <w:rFonts w:ascii="Calibri" w:hAnsi="Calibri" w:cs="Calibri"/>
          <w:color w:val="000000" w:themeColor="text1"/>
          <w:sz w:val="20"/>
          <w:szCs w:val="20"/>
          <w:lang w:val="es-MX"/>
        </w:rPr>
        <w:t xml:space="preserve"> aparecen los cambios</w:t>
      </w:r>
      <w:r w:rsidR="000B6A7F">
        <w:rPr>
          <w:rFonts w:ascii="Calibri" w:hAnsi="Calibri" w:cs="Calibri"/>
          <w:color w:val="000000" w:themeColor="text1"/>
          <w:sz w:val="20"/>
          <w:szCs w:val="20"/>
          <w:lang w:val="es-MX"/>
        </w:rPr>
        <w:t>,</w:t>
      </w:r>
      <w:r w:rsidR="00241D8A">
        <w:rPr>
          <w:rFonts w:ascii="Calibri" w:hAnsi="Calibri" w:cs="Calibri"/>
          <w:color w:val="000000" w:themeColor="text1"/>
          <w:sz w:val="20"/>
          <w:szCs w:val="20"/>
          <w:lang w:val="es-MX"/>
        </w:rPr>
        <w:t xml:space="preserve"> </w:t>
      </w:r>
      <w:r w:rsidR="000B6A7F">
        <w:rPr>
          <w:rFonts w:ascii="Calibri" w:hAnsi="Calibri" w:cs="Calibri"/>
          <w:color w:val="000000" w:themeColor="text1"/>
          <w:sz w:val="20"/>
          <w:szCs w:val="20"/>
          <w:lang w:val="es-MX"/>
        </w:rPr>
        <w:t>co</w:t>
      </w:r>
      <w:r w:rsidR="004E1B99" w:rsidRPr="00807249">
        <w:rPr>
          <w:rFonts w:ascii="Calibri" w:hAnsi="Calibri" w:cs="Calibri"/>
          <w:color w:val="000000" w:themeColor="text1"/>
          <w:sz w:val="20"/>
          <w:szCs w:val="20"/>
          <w:lang w:val="es-MX"/>
        </w:rPr>
        <w:t>mo lo muestra la siguiente tabla</w:t>
      </w:r>
      <w:r w:rsidR="00C3262A" w:rsidRPr="00807249">
        <w:rPr>
          <w:rFonts w:ascii="Calibri" w:hAnsi="Calibri" w:cs="Calibri"/>
          <w:color w:val="000000" w:themeColor="text1"/>
          <w:sz w:val="20"/>
          <w:szCs w:val="20"/>
          <w:lang w:val="es-MX"/>
        </w:rPr>
        <w:t xml:space="preserve"> No. 2</w:t>
      </w:r>
      <w:r w:rsidR="00807249">
        <w:rPr>
          <w:rFonts w:ascii="Calibri" w:hAnsi="Calibri" w:cs="Calibri"/>
          <w:color w:val="000000" w:themeColor="text1"/>
          <w:sz w:val="20"/>
          <w:szCs w:val="20"/>
          <w:lang w:val="es-MX"/>
        </w:rPr>
        <w:t xml:space="preserve"> </w:t>
      </w:r>
    </w:p>
    <w:p w:rsidR="00807249" w:rsidRPr="00807249" w:rsidRDefault="00807249" w:rsidP="00807249">
      <w:pPr>
        <w:pStyle w:val="Textoindependiente"/>
        <w:ind w:left="720"/>
        <w:rPr>
          <w:rFonts w:ascii="Calibri" w:hAnsi="Calibri" w:cs="Calibri"/>
          <w:color w:val="000000" w:themeColor="text1"/>
          <w:sz w:val="20"/>
          <w:szCs w:val="20"/>
          <w:lang w:val="es-MX"/>
        </w:rPr>
      </w:pPr>
    </w:p>
    <w:p w:rsidR="00445CB0" w:rsidRDefault="00445CB0" w:rsidP="00C3262A">
      <w:pPr>
        <w:pStyle w:val="Textoindependiente"/>
        <w:ind w:left="720"/>
        <w:rPr>
          <w:rFonts w:ascii="Calibri" w:hAnsi="Calibri" w:cs="Calibri"/>
          <w:b/>
          <w:color w:val="000000" w:themeColor="text1"/>
          <w:sz w:val="20"/>
          <w:szCs w:val="20"/>
          <w:lang w:val="es-MX"/>
        </w:rPr>
      </w:pPr>
    </w:p>
    <w:p w:rsidR="00C3262A" w:rsidRPr="00C3262A" w:rsidRDefault="00C3262A" w:rsidP="000B6A7F">
      <w:pPr>
        <w:pStyle w:val="Textoindependiente"/>
        <w:jc w:val="center"/>
        <w:rPr>
          <w:rFonts w:ascii="Calibri" w:hAnsi="Calibri" w:cs="Calibri"/>
          <w:b/>
          <w:color w:val="000000" w:themeColor="text1"/>
          <w:sz w:val="20"/>
          <w:szCs w:val="20"/>
          <w:lang w:val="es-MX"/>
        </w:rPr>
      </w:pPr>
      <w:r w:rsidRPr="00C3262A">
        <w:rPr>
          <w:rFonts w:ascii="Calibri" w:hAnsi="Calibri" w:cs="Calibri"/>
          <w:b/>
          <w:color w:val="000000" w:themeColor="text1"/>
          <w:sz w:val="20"/>
          <w:szCs w:val="20"/>
          <w:lang w:val="es-MX"/>
        </w:rPr>
        <w:t xml:space="preserve">Tabla No. 2   </w:t>
      </w:r>
      <w:r w:rsidR="0034312D">
        <w:rPr>
          <w:rFonts w:ascii="Calibri" w:hAnsi="Calibri" w:cs="Calibri"/>
          <w:b/>
          <w:color w:val="000000" w:themeColor="text1"/>
          <w:sz w:val="20"/>
          <w:szCs w:val="20"/>
          <w:lang w:val="es-MX"/>
        </w:rPr>
        <w:t>RESUMEN  DE LA TEMPORALIDAD DE LOS CAMBIOS NO REGISTRADOS POR MOTIVO</w:t>
      </w:r>
      <w:r w:rsidRPr="00C3262A">
        <w:rPr>
          <w:rFonts w:ascii="Calibri" w:hAnsi="Calibri" w:cs="Calibri"/>
          <w:b/>
          <w:color w:val="000000" w:themeColor="text1"/>
          <w:sz w:val="20"/>
          <w:szCs w:val="20"/>
          <w:lang w:val="es-MX"/>
        </w:rPr>
        <w:t xml:space="preserve"> CON DATOS TOTALES Y PORCENTUALE</w:t>
      </w:r>
      <w:r>
        <w:rPr>
          <w:rFonts w:ascii="Calibri" w:hAnsi="Calibri" w:cs="Calibri"/>
          <w:b/>
          <w:color w:val="000000" w:themeColor="text1"/>
          <w:sz w:val="20"/>
          <w:szCs w:val="20"/>
          <w:lang w:val="es-MX"/>
        </w:rPr>
        <w:t xml:space="preserve">S ANTES Y DESPUÉS DE </w:t>
      </w:r>
      <w:r w:rsidR="0034312D">
        <w:rPr>
          <w:rFonts w:ascii="Calibri" w:hAnsi="Calibri" w:cs="Calibri"/>
          <w:b/>
          <w:color w:val="000000" w:themeColor="text1"/>
          <w:sz w:val="20"/>
          <w:szCs w:val="20"/>
          <w:lang w:val="es-MX"/>
        </w:rPr>
        <w:t>LA</w:t>
      </w:r>
      <w:r>
        <w:rPr>
          <w:rFonts w:ascii="Calibri" w:hAnsi="Calibri" w:cs="Calibri"/>
          <w:b/>
          <w:color w:val="000000" w:themeColor="text1"/>
          <w:sz w:val="20"/>
          <w:szCs w:val="20"/>
          <w:lang w:val="es-MX"/>
        </w:rPr>
        <w:t xml:space="preserve"> </w:t>
      </w:r>
      <w:r w:rsidR="00F62210">
        <w:rPr>
          <w:rFonts w:ascii="Calibri" w:hAnsi="Calibri" w:cs="Calibri"/>
          <w:b/>
          <w:color w:val="000000" w:themeColor="text1"/>
          <w:sz w:val="20"/>
          <w:szCs w:val="20"/>
          <w:lang w:val="es-MX"/>
        </w:rPr>
        <w:t>ORDENANZA METROPOLITANA Nº127.</w:t>
      </w:r>
    </w:p>
    <w:p w:rsidR="004E1B99" w:rsidRPr="00C3262A" w:rsidRDefault="004E1B99" w:rsidP="004E1B99">
      <w:pPr>
        <w:pStyle w:val="Textoindependiente"/>
        <w:ind w:left="720"/>
        <w:jc w:val="left"/>
        <w:rPr>
          <w:rFonts w:ascii="Calibri" w:hAnsi="Calibri" w:cs="Calibri"/>
          <w:b/>
          <w:color w:val="000000" w:themeColor="text1"/>
          <w:sz w:val="20"/>
          <w:szCs w:val="20"/>
          <w:lang w:val="es-MX"/>
        </w:rPr>
      </w:pPr>
    </w:p>
    <w:tbl>
      <w:tblPr>
        <w:tblStyle w:val="Sombreadomedio1-nfasis1"/>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4"/>
        <w:gridCol w:w="1023"/>
        <w:gridCol w:w="1119"/>
        <w:gridCol w:w="1023"/>
        <w:gridCol w:w="1118"/>
        <w:gridCol w:w="1023"/>
      </w:tblGrid>
      <w:tr w:rsidR="00E3655C" w:rsidRPr="00AE2357" w:rsidTr="000B6A7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vMerge w:val="restart"/>
            <w:tcBorders>
              <w:top w:val="none" w:sz="0" w:space="0" w:color="auto"/>
              <w:left w:val="none" w:sz="0" w:space="0" w:color="auto"/>
              <w:bottom w:val="none" w:sz="0" w:space="0" w:color="auto"/>
              <w:right w:val="none" w:sz="0" w:space="0" w:color="auto"/>
            </w:tcBorders>
            <w:noWrap/>
          </w:tcPr>
          <w:p w:rsidR="00E3655C" w:rsidRPr="00AE2357" w:rsidRDefault="00E3655C" w:rsidP="00066BDA">
            <w:pPr>
              <w:rPr>
                <w:rFonts w:ascii="Calibri" w:eastAsia="Times New Roman" w:hAnsi="Calibri" w:cs="Times New Roman"/>
                <w:sz w:val="18"/>
                <w:szCs w:val="18"/>
                <w:lang w:eastAsia="es-EC"/>
              </w:rPr>
            </w:pPr>
            <w:r w:rsidRPr="00AE2357">
              <w:rPr>
                <w:rFonts w:ascii="Calibri" w:eastAsia="Times New Roman" w:hAnsi="Calibri" w:cs="Times New Roman"/>
                <w:sz w:val="18"/>
                <w:szCs w:val="18"/>
                <w:lang w:eastAsia="es-EC"/>
              </w:rPr>
              <w:t>Motivos</w:t>
            </w:r>
          </w:p>
        </w:tc>
        <w:tc>
          <w:tcPr>
            <w:tcW w:w="2157" w:type="dxa"/>
            <w:gridSpan w:val="2"/>
            <w:tcBorders>
              <w:top w:val="none" w:sz="0" w:space="0" w:color="auto"/>
              <w:left w:val="none" w:sz="0" w:space="0" w:color="auto"/>
              <w:bottom w:val="none" w:sz="0" w:space="0" w:color="auto"/>
              <w:right w:val="none" w:sz="0" w:space="0" w:color="auto"/>
            </w:tcBorders>
            <w:noWrap/>
          </w:tcPr>
          <w:p w:rsidR="00E3655C" w:rsidRPr="00AE2357" w:rsidRDefault="00E3655C" w:rsidP="00066B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eastAsia="es-EC"/>
              </w:rPr>
            </w:pPr>
            <w:r w:rsidRPr="00AE2357">
              <w:rPr>
                <w:rFonts w:ascii="Calibri" w:eastAsia="Times New Roman" w:hAnsi="Calibri" w:cs="Times New Roman"/>
                <w:sz w:val="18"/>
                <w:szCs w:val="18"/>
                <w:lang w:eastAsia="es-EC"/>
              </w:rPr>
              <w:t>Antes de Ord.127</w:t>
            </w:r>
          </w:p>
        </w:tc>
        <w:tc>
          <w:tcPr>
            <w:tcW w:w="2142" w:type="dxa"/>
            <w:gridSpan w:val="2"/>
            <w:tcBorders>
              <w:top w:val="none" w:sz="0" w:space="0" w:color="auto"/>
              <w:left w:val="none" w:sz="0" w:space="0" w:color="auto"/>
              <w:bottom w:val="none" w:sz="0" w:space="0" w:color="auto"/>
              <w:right w:val="none" w:sz="0" w:space="0" w:color="auto"/>
            </w:tcBorders>
          </w:tcPr>
          <w:p w:rsidR="00E3655C" w:rsidRPr="00AE2357" w:rsidRDefault="00E3655C" w:rsidP="00066B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18"/>
                <w:szCs w:val="18"/>
                <w:lang w:eastAsia="es-EC"/>
              </w:rPr>
            </w:pPr>
            <w:r w:rsidRPr="00AE2357">
              <w:rPr>
                <w:rFonts w:ascii="Calibri" w:eastAsia="Times New Roman" w:hAnsi="Calibri" w:cs="Times New Roman"/>
                <w:sz w:val="18"/>
                <w:szCs w:val="18"/>
                <w:lang w:eastAsia="es-EC"/>
              </w:rPr>
              <w:t>Después de la Ord. 127</w:t>
            </w:r>
          </w:p>
        </w:tc>
        <w:tc>
          <w:tcPr>
            <w:tcW w:w="2141" w:type="dxa"/>
            <w:gridSpan w:val="2"/>
            <w:tcBorders>
              <w:top w:val="none" w:sz="0" w:space="0" w:color="auto"/>
              <w:left w:val="none" w:sz="0" w:space="0" w:color="auto"/>
              <w:bottom w:val="none" w:sz="0" w:space="0" w:color="auto"/>
              <w:right w:val="none" w:sz="0" w:space="0" w:color="auto"/>
            </w:tcBorders>
          </w:tcPr>
          <w:p w:rsidR="00E3655C" w:rsidRPr="00AE2357" w:rsidRDefault="00E3655C" w:rsidP="00066B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EC"/>
              </w:rPr>
            </w:pPr>
            <w:r w:rsidRPr="00AE2357">
              <w:rPr>
                <w:rFonts w:ascii="Calibri" w:eastAsia="Times New Roman" w:hAnsi="Calibri" w:cs="Times New Roman"/>
                <w:sz w:val="18"/>
                <w:szCs w:val="18"/>
                <w:lang w:eastAsia="es-EC"/>
              </w:rPr>
              <w:t>Total</w:t>
            </w:r>
          </w:p>
        </w:tc>
      </w:tr>
      <w:tr w:rsidR="00857DE9" w:rsidRPr="00AE2357" w:rsidTr="000B6A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vMerge/>
            <w:tcBorders>
              <w:right w:val="single" w:sz="4" w:space="0" w:color="auto"/>
            </w:tcBorders>
            <w:shd w:val="clear" w:color="auto" w:fill="5B9BD5" w:themeFill="accent1"/>
            <w:noWrap/>
            <w:hideMark/>
          </w:tcPr>
          <w:p w:rsidR="00713407" w:rsidRPr="00AE2357" w:rsidRDefault="00713407" w:rsidP="00066BDA">
            <w:pPr>
              <w:rPr>
                <w:rFonts w:ascii="Calibri" w:eastAsia="Times New Roman" w:hAnsi="Calibri" w:cs="Times New Roman"/>
                <w:color w:val="FFFFFF" w:themeColor="background1"/>
                <w:sz w:val="18"/>
                <w:szCs w:val="18"/>
                <w:lang w:eastAsia="es-EC"/>
              </w:rPr>
            </w:pPr>
          </w:p>
        </w:tc>
        <w:tc>
          <w:tcPr>
            <w:tcW w:w="1134" w:type="dxa"/>
            <w:tcBorders>
              <w:left w:val="single" w:sz="4" w:space="0" w:color="auto"/>
            </w:tcBorders>
            <w:shd w:val="clear" w:color="auto" w:fill="5B9BD5" w:themeFill="accent1"/>
            <w:noWrap/>
            <w:hideMark/>
          </w:tcPr>
          <w:p w:rsidR="00713407" w:rsidRPr="00AE2357" w:rsidRDefault="00713407" w:rsidP="00066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8"/>
                <w:szCs w:val="18"/>
                <w:lang w:eastAsia="es-EC"/>
              </w:rPr>
            </w:pPr>
            <w:r w:rsidRPr="00AE2357">
              <w:rPr>
                <w:rFonts w:ascii="Calibri" w:eastAsia="Times New Roman" w:hAnsi="Calibri" w:cs="Times New Roman"/>
                <w:b/>
                <w:color w:val="FFFFFF" w:themeColor="background1"/>
                <w:sz w:val="18"/>
                <w:szCs w:val="18"/>
                <w:lang w:eastAsia="es-EC"/>
              </w:rPr>
              <w:t>Nº cambios</w:t>
            </w:r>
          </w:p>
        </w:tc>
        <w:tc>
          <w:tcPr>
            <w:tcW w:w="1023" w:type="dxa"/>
            <w:tcBorders>
              <w:right w:val="single" w:sz="4" w:space="0" w:color="auto"/>
            </w:tcBorders>
            <w:shd w:val="clear" w:color="auto" w:fill="5B9BD5" w:themeFill="accent1"/>
            <w:noWrap/>
            <w:hideMark/>
          </w:tcPr>
          <w:p w:rsidR="00713407" w:rsidRPr="00AE2357" w:rsidRDefault="00713407" w:rsidP="00066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8"/>
                <w:szCs w:val="18"/>
                <w:lang w:eastAsia="es-EC"/>
              </w:rPr>
            </w:pPr>
            <w:r w:rsidRPr="00AE2357">
              <w:rPr>
                <w:rFonts w:ascii="Calibri" w:eastAsia="Times New Roman" w:hAnsi="Calibri" w:cs="Times New Roman"/>
                <w:b/>
                <w:color w:val="FFFFFF" w:themeColor="background1"/>
                <w:sz w:val="18"/>
                <w:szCs w:val="18"/>
                <w:lang w:eastAsia="es-EC"/>
              </w:rPr>
              <w:t>Porcentaje</w:t>
            </w:r>
          </w:p>
        </w:tc>
        <w:tc>
          <w:tcPr>
            <w:tcW w:w="1119" w:type="dxa"/>
            <w:tcBorders>
              <w:left w:val="single" w:sz="4" w:space="0" w:color="auto"/>
            </w:tcBorders>
            <w:shd w:val="clear" w:color="auto" w:fill="5B9BD5" w:themeFill="accent1"/>
          </w:tcPr>
          <w:p w:rsidR="00713407" w:rsidRPr="00AE2357" w:rsidRDefault="00713407" w:rsidP="00066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8"/>
                <w:szCs w:val="18"/>
                <w:lang w:eastAsia="es-EC"/>
              </w:rPr>
            </w:pPr>
            <w:r w:rsidRPr="00AE2357">
              <w:rPr>
                <w:rFonts w:ascii="Calibri" w:eastAsia="Times New Roman" w:hAnsi="Calibri" w:cs="Times New Roman"/>
                <w:b/>
                <w:color w:val="FFFFFF" w:themeColor="background1"/>
                <w:sz w:val="18"/>
                <w:szCs w:val="18"/>
                <w:lang w:eastAsia="es-EC"/>
              </w:rPr>
              <w:t>Nº cambios</w:t>
            </w:r>
          </w:p>
        </w:tc>
        <w:tc>
          <w:tcPr>
            <w:tcW w:w="1023" w:type="dxa"/>
            <w:tcBorders>
              <w:right w:val="single" w:sz="4" w:space="0" w:color="auto"/>
            </w:tcBorders>
            <w:shd w:val="clear" w:color="auto" w:fill="5B9BD5" w:themeFill="accent1"/>
            <w:noWrap/>
            <w:hideMark/>
          </w:tcPr>
          <w:p w:rsidR="00713407" w:rsidRPr="00AE2357" w:rsidRDefault="00713407" w:rsidP="00066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8"/>
                <w:szCs w:val="18"/>
                <w:lang w:eastAsia="es-EC"/>
              </w:rPr>
            </w:pPr>
            <w:r w:rsidRPr="00AE2357">
              <w:rPr>
                <w:rFonts w:ascii="Calibri" w:eastAsia="Times New Roman" w:hAnsi="Calibri" w:cs="Times New Roman"/>
                <w:b/>
                <w:color w:val="FFFFFF" w:themeColor="background1"/>
                <w:sz w:val="18"/>
                <w:szCs w:val="18"/>
                <w:lang w:eastAsia="es-EC"/>
              </w:rPr>
              <w:t>Porcentaje</w:t>
            </w:r>
          </w:p>
        </w:tc>
        <w:tc>
          <w:tcPr>
            <w:tcW w:w="1118" w:type="dxa"/>
            <w:tcBorders>
              <w:left w:val="single" w:sz="4" w:space="0" w:color="auto"/>
            </w:tcBorders>
            <w:shd w:val="clear" w:color="auto" w:fill="5B9BD5" w:themeFill="accent1"/>
            <w:noWrap/>
            <w:hideMark/>
          </w:tcPr>
          <w:p w:rsidR="00713407" w:rsidRPr="00AE2357" w:rsidRDefault="00713407" w:rsidP="00066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8"/>
                <w:szCs w:val="18"/>
                <w:lang w:eastAsia="es-EC"/>
              </w:rPr>
            </w:pPr>
            <w:r w:rsidRPr="00AE2357">
              <w:rPr>
                <w:rFonts w:ascii="Calibri" w:eastAsia="Times New Roman" w:hAnsi="Calibri" w:cs="Times New Roman"/>
                <w:b/>
                <w:color w:val="FFFFFF" w:themeColor="background1"/>
                <w:sz w:val="18"/>
                <w:szCs w:val="18"/>
                <w:lang w:eastAsia="es-EC"/>
              </w:rPr>
              <w:t>Nº cambios</w:t>
            </w:r>
          </w:p>
        </w:tc>
        <w:tc>
          <w:tcPr>
            <w:tcW w:w="1023" w:type="dxa"/>
            <w:shd w:val="clear" w:color="auto" w:fill="5B9BD5" w:themeFill="accent1"/>
            <w:noWrap/>
            <w:hideMark/>
          </w:tcPr>
          <w:p w:rsidR="00713407" w:rsidRPr="00AE2357" w:rsidRDefault="00713407" w:rsidP="00066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8"/>
                <w:szCs w:val="18"/>
                <w:lang w:eastAsia="es-EC"/>
              </w:rPr>
            </w:pPr>
            <w:r w:rsidRPr="00AE2357">
              <w:rPr>
                <w:rFonts w:ascii="Calibri" w:eastAsia="Times New Roman" w:hAnsi="Calibri" w:cs="Times New Roman"/>
                <w:b/>
                <w:color w:val="FFFFFF" w:themeColor="background1"/>
                <w:sz w:val="18"/>
                <w:szCs w:val="18"/>
                <w:lang w:eastAsia="es-EC"/>
              </w:rPr>
              <w:t>Porcentaje</w:t>
            </w:r>
          </w:p>
        </w:tc>
      </w:tr>
      <w:tr w:rsidR="00041E59" w:rsidRPr="00AE2357" w:rsidTr="000B6A7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Criterio Técnico</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16</w:t>
            </w:r>
            <w:r w:rsidR="001F32AB">
              <w:rPr>
                <w:color w:val="000000"/>
                <w:sz w:val="18"/>
                <w:szCs w:val="18"/>
              </w:rPr>
              <w:t>4</w:t>
            </w:r>
          </w:p>
        </w:tc>
        <w:tc>
          <w:tcPr>
            <w:tcW w:w="1023" w:type="dxa"/>
            <w:tcBorders>
              <w:left w:val="none" w:sz="0" w:space="0" w:color="auto"/>
              <w:right w:val="none" w:sz="0" w:space="0" w:color="auto"/>
            </w:tcBorders>
            <w:noWrap/>
            <w:vAlign w:val="center"/>
            <w:hideMark/>
          </w:tcPr>
          <w:p w:rsidR="00041E59" w:rsidRPr="00591526" w:rsidRDefault="00AA6A05"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Pr>
                <w:color w:val="000000"/>
                <w:sz w:val="18"/>
                <w:szCs w:val="18"/>
              </w:rPr>
              <w:t>46,3</w:t>
            </w:r>
            <w:r w:rsidR="00041E59" w:rsidRPr="00591526">
              <w:rPr>
                <w:color w:val="000000"/>
                <w:sz w:val="18"/>
                <w:szCs w:val="18"/>
              </w:rPr>
              <w:t>%</w:t>
            </w:r>
          </w:p>
        </w:tc>
        <w:tc>
          <w:tcPr>
            <w:tcW w:w="1119"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6</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1,70%</w:t>
            </w:r>
          </w:p>
        </w:tc>
        <w:tc>
          <w:tcPr>
            <w:tcW w:w="1118" w:type="dxa"/>
            <w:tcBorders>
              <w:left w:val="none" w:sz="0" w:space="0" w:color="auto"/>
              <w:right w:val="none" w:sz="0" w:space="0" w:color="auto"/>
            </w:tcBorders>
            <w:noWrap/>
            <w:vAlign w:val="center"/>
            <w:hideMark/>
          </w:tcPr>
          <w:p w:rsidR="00041E59" w:rsidRPr="00591526" w:rsidRDefault="0094718C"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Pr>
                <w:b/>
                <w:bCs/>
                <w:color w:val="000000"/>
                <w:sz w:val="18"/>
                <w:szCs w:val="18"/>
              </w:rPr>
              <w:t>170</w:t>
            </w:r>
          </w:p>
        </w:tc>
        <w:tc>
          <w:tcPr>
            <w:tcW w:w="1023" w:type="dxa"/>
            <w:tcBorders>
              <w:left w:val="none" w:sz="0" w:space="0" w:color="auto"/>
            </w:tcBorders>
            <w:noWrap/>
            <w:vAlign w:val="center"/>
            <w:hideMark/>
          </w:tcPr>
          <w:p w:rsidR="00041E59" w:rsidRPr="00591526" w:rsidRDefault="001F32AB"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Pr>
                <w:b/>
                <w:bCs/>
                <w:color w:val="000000"/>
                <w:sz w:val="18"/>
                <w:szCs w:val="18"/>
              </w:rPr>
              <w:t>48.0</w:t>
            </w:r>
            <w:r w:rsidR="00041E59" w:rsidRPr="00591526">
              <w:rPr>
                <w:b/>
                <w:bCs/>
                <w:color w:val="000000"/>
                <w:sz w:val="18"/>
                <w:szCs w:val="18"/>
              </w:rPr>
              <w:t>%</w:t>
            </w:r>
          </w:p>
        </w:tc>
      </w:tr>
      <w:tr w:rsidR="00041E59" w:rsidRPr="00AE2357" w:rsidTr="000B6A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Ordenanza</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62</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17,50%</w:t>
            </w:r>
          </w:p>
        </w:tc>
        <w:tc>
          <w:tcPr>
            <w:tcW w:w="1119"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7</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2,00%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69</w:t>
            </w:r>
          </w:p>
        </w:tc>
        <w:tc>
          <w:tcPr>
            <w:tcW w:w="1023" w:type="dxa"/>
            <w:tcBorders>
              <w:lef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19,50%</w:t>
            </w:r>
          </w:p>
        </w:tc>
      </w:tr>
      <w:tr w:rsidR="00041E59" w:rsidRPr="00AE2357" w:rsidTr="000B6A7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Dato perdido</w:t>
            </w:r>
          </w:p>
        </w:tc>
        <w:tc>
          <w:tcPr>
            <w:tcW w:w="1134" w:type="dxa"/>
            <w:tcBorders>
              <w:left w:val="none" w:sz="0" w:space="0" w:color="auto"/>
              <w:right w:val="none" w:sz="0" w:space="0" w:color="auto"/>
            </w:tcBorders>
            <w:noWrap/>
            <w:vAlign w:val="center"/>
            <w:hideMark/>
          </w:tcPr>
          <w:p w:rsidR="00041E59" w:rsidRPr="00591526" w:rsidRDefault="001F32AB"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Pr>
                <w:color w:val="000000"/>
                <w:sz w:val="18"/>
                <w:szCs w:val="18"/>
              </w:rPr>
              <w:t>39</w:t>
            </w:r>
          </w:p>
        </w:tc>
        <w:tc>
          <w:tcPr>
            <w:tcW w:w="1023" w:type="dxa"/>
            <w:tcBorders>
              <w:left w:val="none" w:sz="0" w:space="0" w:color="auto"/>
              <w:right w:val="none" w:sz="0" w:space="0" w:color="auto"/>
            </w:tcBorders>
            <w:noWrap/>
            <w:vAlign w:val="center"/>
            <w:hideMark/>
          </w:tcPr>
          <w:p w:rsidR="00041E59" w:rsidRPr="00591526" w:rsidRDefault="00AA6A05"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Pr>
                <w:color w:val="000000"/>
                <w:sz w:val="18"/>
                <w:szCs w:val="18"/>
              </w:rPr>
              <w:t>11,0</w:t>
            </w:r>
            <w:r w:rsidR="00041E59" w:rsidRPr="00591526">
              <w:rPr>
                <w:color w:val="000000"/>
                <w:sz w:val="18"/>
                <w:szCs w:val="18"/>
              </w:rPr>
              <w:t>%</w:t>
            </w:r>
          </w:p>
        </w:tc>
        <w:tc>
          <w:tcPr>
            <w:tcW w:w="1119"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1</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0,30%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4</w:t>
            </w:r>
            <w:r w:rsidR="0094718C">
              <w:rPr>
                <w:b/>
                <w:bCs/>
                <w:color w:val="000000"/>
                <w:sz w:val="18"/>
                <w:szCs w:val="18"/>
              </w:rPr>
              <w:t>0</w:t>
            </w:r>
          </w:p>
        </w:tc>
        <w:tc>
          <w:tcPr>
            <w:tcW w:w="1023" w:type="dxa"/>
            <w:tcBorders>
              <w:left w:val="none" w:sz="0" w:space="0" w:color="auto"/>
            </w:tcBorders>
            <w:noWrap/>
            <w:vAlign w:val="center"/>
            <w:hideMark/>
          </w:tcPr>
          <w:p w:rsidR="00041E59" w:rsidRPr="00591526" w:rsidRDefault="001F32AB"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Pr>
                <w:b/>
                <w:bCs/>
                <w:color w:val="000000"/>
                <w:sz w:val="18"/>
                <w:szCs w:val="18"/>
              </w:rPr>
              <w:t>11,3</w:t>
            </w:r>
            <w:r w:rsidR="00041E59" w:rsidRPr="00591526">
              <w:rPr>
                <w:b/>
                <w:bCs/>
                <w:color w:val="000000"/>
                <w:sz w:val="18"/>
                <w:szCs w:val="18"/>
              </w:rPr>
              <w:t>%</w:t>
            </w:r>
          </w:p>
        </w:tc>
      </w:tr>
      <w:tr w:rsidR="00041E59" w:rsidRPr="00AE2357" w:rsidTr="000B6A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No determinado</w:t>
            </w:r>
          </w:p>
        </w:tc>
        <w:tc>
          <w:tcPr>
            <w:tcW w:w="1134" w:type="dxa"/>
            <w:tcBorders>
              <w:left w:val="none" w:sz="0" w:space="0" w:color="auto"/>
              <w:right w:val="none" w:sz="0" w:space="0" w:color="auto"/>
            </w:tcBorders>
            <w:noWrap/>
            <w:vAlign w:val="center"/>
            <w:hideMark/>
          </w:tcPr>
          <w:p w:rsidR="00041E59" w:rsidRPr="00591526" w:rsidRDefault="001F32AB"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30</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8,50%</w:t>
            </w:r>
          </w:p>
        </w:tc>
        <w:tc>
          <w:tcPr>
            <w:tcW w:w="1119"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4</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1,10%</w:t>
            </w:r>
          </w:p>
        </w:tc>
        <w:tc>
          <w:tcPr>
            <w:tcW w:w="1118" w:type="dxa"/>
            <w:tcBorders>
              <w:left w:val="none" w:sz="0" w:space="0" w:color="auto"/>
              <w:right w:val="none" w:sz="0" w:space="0" w:color="auto"/>
            </w:tcBorders>
            <w:noWrap/>
            <w:vAlign w:val="center"/>
            <w:hideMark/>
          </w:tcPr>
          <w:p w:rsidR="00041E59" w:rsidRPr="00591526" w:rsidRDefault="0094718C"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3</w:t>
            </w:r>
            <w:r w:rsidR="000B6A7F">
              <w:rPr>
                <w:b/>
                <w:bCs/>
                <w:color w:val="000000"/>
                <w:sz w:val="18"/>
                <w:szCs w:val="18"/>
              </w:rPr>
              <w:t>4</w:t>
            </w:r>
          </w:p>
        </w:tc>
        <w:tc>
          <w:tcPr>
            <w:tcW w:w="1023" w:type="dxa"/>
            <w:tcBorders>
              <w:lef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9,60%</w:t>
            </w:r>
          </w:p>
        </w:tc>
      </w:tr>
      <w:tr w:rsidR="00041E59" w:rsidRPr="00AE2357" w:rsidTr="000B6A7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Error de asignación de datos</w:t>
            </w:r>
          </w:p>
        </w:tc>
        <w:tc>
          <w:tcPr>
            <w:tcW w:w="1134" w:type="dxa"/>
            <w:tcBorders>
              <w:left w:val="none" w:sz="0" w:space="0" w:color="auto"/>
              <w:right w:val="none" w:sz="0" w:space="0" w:color="auto"/>
            </w:tcBorders>
            <w:noWrap/>
            <w:vAlign w:val="center"/>
            <w:hideMark/>
          </w:tcPr>
          <w:p w:rsidR="00041E59" w:rsidRPr="00591526" w:rsidRDefault="001F32AB"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Pr>
                <w:color w:val="000000"/>
                <w:sz w:val="18"/>
                <w:szCs w:val="18"/>
              </w:rPr>
              <w:t>10</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2,80%</w:t>
            </w:r>
          </w:p>
        </w:tc>
        <w:tc>
          <w:tcPr>
            <w:tcW w:w="1119" w:type="dxa"/>
            <w:tcBorders>
              <w:left w:val="none" w:sz="0" w:space="0" w:color="auto"/>
              <w:right w:val="none" w:sz="0" w:space="0" w:color="auto"/>
            </w:tcBorders>
            <w:noWrap/>
            <w:vAlign w:val="center"/>
            <w:hideMark/>
          </w:tcPr>
          <w:p w:rsidR="00041E59" w:rsidRPr="00591526" w:rsidRDefault="001F32AB"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Pr>
                <w:color w:val="000000"/>
                <w:sz w:val="18"/>
                <w:szCs w:val="18"/>
              </w:rPr>
              <w:t>1</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0,30%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11</w:t>
            </w:r>
          </w:p>
        </w:tc>
        <w:tc>
          <w:tcPr>
            <w:tcW w:w="1023" w:type="dxa"/>
            <w:tcBorders>
              <w:lef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3,10%</w:t>
            </w:r>
          </w:p>
        </w:tc>
      </w:tr>
      <w:tr w:rsidR="00041E59" w:rsidRPr="00AE2357" w:rsidTr="000B6A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Concesión Minera</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9</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2,50%</w:t>
            </w:r>
          </w:p>
        </w:tc>
        <w:tc>
          <w:tcPr>
            <w:tcW w:w="1119" w:type="dxa"/>
            <w:tcBorders>
              <w:left w:val="none" w:sz="0" w:space="0" w:color="auto"/>
              <w:right w:val="none" w:sz="0" w:space="0" w:color="auto"/>
            </w:tcBorders>
            <w:noWrap/>
            <w:hideMark/>
          </w:tcPr>
          <w:p w:rsidR="00041E59" w:rsidRPr="00591526" w:rsidRDefault="001F32AB"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0,00%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9</w:t>
            </w:r>
          </w:p>
        </w:tc>
        <w:tc>
          <w:tcPr>
            <w:tcW w:w="1023" w:type="dxa"/>
            <w:tcBorders>
              <w:lef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2,50%</w:t>
            </w:r>
          </w:p>
        </w:tc>
      </w:tr>
      <w:tr w:rsidR="00041E59" w:rsidRPr="00AE2357" w:rsidTr="000B6A7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En matriz de cambios 2016</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7</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2,00%</w:t>
            </w:r>
          </w:p>
        </w:tc>
        <w:tc>
          <w:tcPr>
            <w:tcW w:w="1119" w:type="dxa"/>
            <w:tcBorders>
              <w:left w:val="none" w:sz="0" w:space="0" w:color="auto"/>
              <w:right w:val="none" w:sz="0" w:space="0" w:color="auto"/>
            </w:tcBorders>
            <w:noWrap/>
            <w:hideMark/>
          </w:tcPr>
          <w:p w:rsidR="00041E59" w:rsidRPr="00591526" w:rsidRDefault="00591526"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Pr>
                <w:color w:val="000000"/>
                <w:sz w:val="18"/>
                <w:szCs w:val="18"/>
              </w:rPr>
              <w:t>0</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0,00%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7</w:t>
            </w:r>
          </w:p>
        </w:tc>
        <w:tc>
          <w:tcPr>
            <w:tcW w:w="1023" w:type="dxa"/>
            <w:tcBorders>
              <w:lef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2,00%</w:t>
            </w:r>
          </w:p>
        </w:tc>
      </w:tr>
      <w:tr w:rsidR="00041E59" w:rsidRPr="00AE2357" w:rsidTr="000B6A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Asignación de datos</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6</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1,70%</w:t>
            </w:r>
          </w:p>
        </w:tc>
        <w:tc>
          <w:tcPr>
            <w:tcW w:w="1119"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2</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0,60%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8</w:t>
            </w:r>
          </w:p>
        </w:tc>
        <w:tc>
          <w:tcPr>
            <w:tcW w:w="1023" w:type="dxa"/>
            <w:tcBorders>
              <w:lef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2,30%</w:t>
            </w:r>
          </w:p>
        </w:tc>
      </w:tr>
      <w:tr w:rsidR="00041E59" w:rsidRPr="00AE2357" w:rsidTr="000B6A7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Ajuste cartográfico</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4</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1,10%</w:t>
            </w:r>
          </w:p>
        </w:tc>
        <w:tc>
          <w:tcPr>
            <w:tcW w:w="1119"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1</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color w:val="000000"/>
                <w:sz w:val="18"/>
                <w:szCs w:val="18"/>
              </w:rPr>
            </w:pPr>
            <w:r w:rsidRPr="00591526">
              <w:rPr>
                <w:color w:val="000000"/>
                <w:sz w:val="18"/>
                <w:szCs w:val="18"/>
              </w:rPr>
              <w:t>0,30%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5</w:t>
            </w:r>
          </w:p>
        </w:tc>
        <w:tc>
          <w:tcPr>
            <w:tcW w:w="1023" w:type="dxa"/>
            <w:tcBorders>
              <w:left w:val="none" w:sz="0" w:space="0" w:color="auto"/>
            </w:tcBorders>
            <w:noWrap/>
            <w:vAlign w:val="center"/>
            <w:hideMark/>
          </w:tcPr>
          <w:p w:rsidR="00041E59" w:rsidRPr="00591526" w:rsidRDefault="00041E59" w:rsidP="000B6A7F">
            <w:pPr>
              <w:jc w:val="center"/>
              <w:cnfStyle w:val="000000010000" w:firstRow="0" w:lastRow="0" w:firstColumn="0" w:lastColumn="0" w:oddVBand="0" w:evenVBand="0" w:oddHBand="0" w:evenHBand="1" w:firstRowFirstColumn="0" w:firstRowLastColumn="0" w:lastRowFirstColumn="0" w:lastRowLastColumn="0"/>
              <w:rPr>
                <w:b/>
                <w:bCs/>
                <w:color w:val="000000"/>
                <w:sz w:val="18"/>
                <w:szCs w:val="18"/>
              </w:rPr>
            </w:pPr>
            <w:r w:rsidRPr="00591526">
              <w:rPr>
                <w:b/>
                <w:bCs/>
                <w:color w:val="000000"/>
                <w:sz w:val="18"/>
                <w:szCs w:val="18"/>
              </w:rPr>
              <w:t>1,40%</w:t>
            </w:r>
          </w:p>
        </w:tc>
      </w:tr>
      <w:tr w:rsidR="00041E59" w:rsidRPr="00AE2357" w:rsidTr="000B6A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vAlign w:val="center"/>
            <w:hideMark/>
          </w:tcPr>
          <w:p w:rsidR="00041E59" w:rsidRPr="00041E59" w:rsidRDefault="00041E59">
            <w:pPr>
              <w:rPr>
                <w:rFonts w:ascii="Calibri" w:hAnsi="Calibri"/>
                <w:color w:val="000000"/>
                <w:sz w:val="18"/>
                <w:szCs w:val="18"/>
              </w:rPr>
            </w:pPr>
            <w:r w:rsidRPr="00041E59">
              <w:rPr>
                <w:rFonts w:ascii="Calibri" w:hAnsi="Calibri"/>
                <w:bCs w:val="0"/>
                <w:color w:val="000000"/>
                <w:sz w:val="18"/>
                <w:szCs w:val="18"/>
              </w:rPr>
              <w:t>Zona de riesgo</w:t>
            </w:r>
          </w:p>
        </w:tc>
        <w:tc>
          <w:tcPr>
            <w:tcW w:w="1134"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1</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0,30%</w:t>
            </w:r>
          </w:p>
        </w:tc>
        <w:tc>
          <w:tcPr>
            <w:tcW w:w="1119" w:type="dxa"/>
            <w:tcBorders>
              <w:left w:val="none" w:sz="0" w:space="0" w:color="auto"/>
              <w:right w:val="none" w:sz="0" w:space="0" w:color="auto"/>
            </w:tcBorders>
            <w:noWrap/>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0</w:t>
            </w:r>
          </w:p>
        </w:tc>
        <w:tc>
          <w:tcPr>
            <w:tcW w:w="1023"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91526">
              <w:rPr>
                <w:color w:val="000000"/>
                <w:sz w:val="18"/>
                <w:szCs w:val="18"/>
              </w:rPr>
              <w:t>0,00%</w:t>
            </w:r>
          </w:p>
        </w:tc>
        <w:tc>
          <w:tcPr>
            <w:tcW w:w="1118" w:type="dxa"/>
            <w:tcBorders>
              <w:left w:val="none" w:sz="0" w:space="0" w:color="auto"/>
              <w:righ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1</w:t>
            </w:r>
          </w:p>
        </w:tc>
        <w:tc>
          <w:tcPr>
            <w:tcW w:w="1023" w:type="dxa"/>
            <w:tcBorders>
              <w:left w:val="none" w:sz="0" w:space="0" w:color="auto"/>
            </w:tcBorders>
            <w:noWrap/>
            <w:vAlign w:val="center"/>
            <w:hideMark/>
          </w:tcPr>
          <w:p w:rsidR="00041E59" w:rsidRPr="00591526" w:rsidRDefault="00041E59" w:rsidP="000B6A7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591526">
              <w:rPr>
                <w:b/>
                <w:bCs/>
                <w:color w:val="000000"/>
                <w:sz w:val="18"/>
                <w:szCs w:val="18"/>
              </w:rPr>
              <w:t>0,30%</w:t>
            </w:r>
          </w:p>
        </w:tc>
      </w:tr>
      <w:tr w:rsidR="00713407" w:rsidRPr="00AE2357" w:rsidTr="000B6A7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8" w:type="dxa"/>
            <w:tcBorders>
              <w:right w:val="none" w:sz="0" w:space="0" w:color="auto"/>
            </w:tcBorders>
            <w:noWrap/>
            <w:hideMark/>
          </w:tcPr>
          <w:p w:rsidR="00713407" w:rsidRPr="00AE2357" w:rsidRDefault="00713407" w:rsidP="00066BDA">
            <w:pPr>
              <w:rPr>
                <w:rFonts w:ascii="Calibri" w:eastAsia="Times New Roman" w:hAnsi="Calibri" w:cs="Times New Roman"/>
                <w:color w:val="000000"/>
                <w:sz w:val="18"/>
                <w:szCs w:val="18"/>
                <w:lang w:eastAsia="es-EC"/>
              </w:rPr>
            </w:pPr>
            <w:r w:rsidRPr="00AE2357">
              <w:rPr>
                <w:rFonts w:ascii="Calibri" w:eastAsia="Times New Roman" w:hAnsi="Calibri" w:cs="Times New Roman"/>
                <w:color w:val="000000"/>
                <w:sz w:val="18"/>
                <w:szCs w:val="18"/>
                <w:lang w:eastAsia="es-EC"/>
              </w:rPr>
              <w:t>Total general</w:t>
            </w:r>
          </w:p>
        </w:tc>
        <w:tc>
          <w:tcPr>
            <w:tcW w:w="1134" w:type="dxa"/>
            <w:tcBorders>
              <w:left w:val="none" w:sz="0" w:space="0" w:color="auto"/>
              <w:right w:val="none" w:sz="0" w:space="0" w:color="auto"/>
            </w:tcBorders>
            <w:noWrap/>
            <w:hideMark/>
          </w:tcPr>
          <w:p w:rsidR="00713407" w:rsidRPr="00591526" w:rsidRDefault="00713407" w:rsidP="000B6A7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lang w:eastAsia="es-EC"/>
              </w:rPr>
            </w:pPr>
            <w:r w:rsidRPr="00591526">
              <w:rPr>
                <w:rFonts w:eastAsia="Times New Roman" w:cs="Times New Roman"/>
                <w:b/>
                <w:color w:val="000000"/>
                <w:sz w:val="18"/>
                <w:szCs w:val="18"/>
                <w:lang w:eastAsia="es-EC"/>
              </w:rPr>
              <w:t>332</w:t>
            </w:r>
          </w:p>
        </w:tc>
        <w:tc>
          <w:tcPr>
            <w:tcW w:w="1023" w:type="dxa"/>
            <w:tcBorders>
              <w:left w:val="none" w:sz="0" w:space="0" w:color="auto"/>
              <w:right w:val="none" w:sz="0" w:space="0" w:color="auto"/>
            </w:tcBorders>
            <w:noWrap/>
            <w:hideMark/>
          </w:tcPr>
          <w:p w:rsidR="00713407" w:rsidRPr="00591526" w:rsidRDefault="00713407" w:rsidP="000B6A7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lang w:eastAsia="es-EC"/>
              </w:rPr>
            </w:pPr>
            <w:r w:rsidRPr="00591526">
              <w:rPr>
                <w:rFonts w:eastAsia="Times New Roman" w:cs="Times New Roman"/>
                <w:b/>
                <w:color w:val="000000"/>
                <w:sz w:val="18"/>
                <w:szCs w:val="18"/>
                <w:lang w:eastAsia="es-EC"/>
              </w:rPr>
              <w:t>93.</w:t>
            </w:r>
            <w:r w:rsidR="00AA6A05">
              <w:rPr>
                <w:rFonts w:eastAsia="Times New Roman" w:cs="Times New Roman"/>
                <w:b/>
                <w:color w:val="000000"/>
                <w:sz w:val="18"/>
                <w:szCs w:val="18"/>
                <w:lang w:eastAsia="es-EC"/>
              </w:rPr>
              <w:t>8</w:t>
            </w:r>
            <w:r w:rsidRPr="00591526">
              <w:rPr>
                <w:rFonts w:eastAsia="Times New Roman" w:cs="Times New Roman"/>
                <w:b/>
                <w:color w:val="000000"/>
                <w:sz w:val="18"/>
                <w:szCs w:val="18"/>
                <w:lang w:eastAsia="es-EC"/>
              </w:rPr>
              <w:t>%</w:t>
            </w:r>
          </w:p>
        </w:tc>
        <w:tc>
          <w:tcPr>
            <w:tcW w:w="1119" w:type="dxa"/>
            <w:tcBorders>
              <w:left w:val="none" w:sz="0" w:space="0" w:color="auto"/>
              <w:right w:val="none" w:sz="0" w:space="0" w:color="auto"/>
            </w:tcBorders>
            <w:noWrap/>
            <w:hideMark/>
          </w:tcPr>
          <w:p w:rsidR="00713407" w:rsidRPr="00591526" w:rsidRDefault="00713407" w:rsidP="000B6A7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lang w:eastAsia="es-EC"/>
              </w:rPr>
            </w:pPr>
            <w:r w:rsidRPr="00591526">
              <w:rPr>
                <w:rFonts w:eastAsia="Times New Roman" w:cs="Times New Roman"/>
                <w:b/>
                <w:color w:val="000000"/>
                <w:sz w:val="18"/>
                <w:szCs w:val="18"/>
                <w:lang w:eastAsia="es-EC"/>
              </w:rPr>
              <w:t>22</w:t>
            </w:r>
          </w:p>
        </w:tc>
        <w:tc>
          <w:tcPr>
            <w:tcW w:w="1023" w:type="dxa"/>
            <w:tcBorders>
              <w:left w:val="none" w:sz="0" w:space="0" w:color="auto"/>
              <w:right w:val="none" w:sz="0" w:space="0" w:color="auto"/>
            </w:tcBorders>
            <w:noWrap/>
            <w:hideMark/>
          </w:tcPr>
          <w:p w:rsidR="00713407" w:rsidRPr="00591526" w:rsidRDefault="00713407" w:rsidP="000B6A7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lang w:eastAsia="es-EC"/>
              </w:rPr>
            </w:pPr>
            <w:r w:rsidRPr="00591526">
              <w:rPr>
                <w:rFonts w:eastAsia="Times New Roman" w:cs="Times New Roman"/>
                <w:b/>
                <w:color w:val="000000"/>
                <w:sz w:val="18"/>
                <w:szCs w:val="18"/>
                <w:lang w:eastAsia="es-EC"/>
              </w:rPr>
              <w:t>6.</w:t>
            </w:r>
            <w:r w:rsidR="00AA6A05">
              <w:rPr>
                <w:rFonts w:eastAsia="Times New Roman" w:cs="Times New Roman"/>
                <w:b/>
                <w:color w:val="000000"/>
                <w:sz w:val="18"/>
                <w:szCs w:val="18"/>
                <w:lang w:eastAsia="es-EC"/>
              </w:rPr>
              <w:t>2</w:t>
            </w:r>
            <w:r w:rsidRPr="00591526">
              <w:rPr>
                <w:rFonts w:eastAsia="Times New Roman" w:cs="Times New Roman"/>
                <w:b/>
                <w:color w:val="000000"/>
                <w:sz w:val="18"/>
                <w:szCs w:val="18"/>
                <w:lang w:eastAsia="es-EC"/>
              </w:rPr>
              <w:t>%</w:t>
            </w:r>
          </w:p>
        </w:tc>
        <w:tc>
          <w:tcPr>
            <w:tcW w:w="1118" w:type="dxa"/>
            <w:tcBorders>
              <w:left w:val="none" w:sz="0" w:space="0" w:color="auto"/>
              <w:right w:val="none" w:sz="0" w:space="0" w:color="auto"/>
            </w:tcBorders>
            <w:noWrap/>
            <w:hideMark/>
          </w:tcPr>
          <w:p w:rsidR="00713407" w:rsidRPr="00591526" w:rsidRDefault="00713407" w:rsidP="000B6A7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lang w:eastAsia="es-EC"/>
              </w:rPr>
            </w:pPr>
            <w:r w:rsidRPr="00591526">
              <w:rPr>
                <w:rFonts w:eastAsia="Times New Roman" w:cs="Times New Roman"/>
                <w:b/>
                <w:color w:val="000000"/>
                <w:sz w:val="18"/>
                <w:szCs w:val="18"/>
                <w:lang w:eastAsia="es-EC"/>
              </w:rPr>
              <w:t>354</w:t>
            </w:r>
          </w:p>
        </w:tc>
        <w:tc>
          <w:tcPr>
            <w:tcW w:w="1023" w:type="dxa"/>
            <w:tcBorders>
              <w:left w:val="none" w:sz="0" w:space="0" w:color="auto"/>
            </w:tcBorders>
            <w:noWrap/>
            <w:hideMark/>
          </w:tcPr>
          <w:p w:rsidR="00713407" w:rsidRPr="00591526" w:rsidRDefault="00713407" w:rsidP="000B6A7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lang w:eastAsia="es-EC"/>
              </w:rPr>
            </w:pPr>
            <w:r w:rsidRPr="00591526">
              <w:rPr>
                <w:rFonts w:eastAsia="Times New Roman" w:cs="Times New Roman"/>
                <w:b/>
                <w:color w:val="000000"/>
                <w:sz w:val="18"/>
                <w:szCs w:val="18"/>
                <w:lang w:eastAsia="es-EC"/>
              </w:rPr>
              <w:t>100,0%</w:t>
            </w:r>
          </w:p>
        </w:tc>
      </w:tr>
    </w:tbl>
    <w:p w:rsidR="000B6A7F" w:rsidRPr="002319A1" w:rsidRDefault="000B6A7F" w:rsidP="000B6A7F">
      <w:pPr>
        <w:spacing w:after="0" w:line="240" w:lineRule="auto"/>
        <w:ind w:left="708" w:firstLine="708"/>
        <w:jc w:val="both"/>
        <w:rPr>
          <w:rFonts w:cstheme="minorHAnsi"/>
          <w:sz w:val="18"/>
          <w:szCs w:val="18"/>
          <w:lang w:val="es-ES" w:eastAsia="es-ES"/>
        </w:rPr>
      </w:pPr>
      <w:r w:rsidRPr="002319A1">
        <w:rPr>
          <w:rFonts w:cstheme="minorHAnsi"/>
          <w:sz w:val="18"/>
          <w:szCs w:val="18"/>
          <w:lang w:val="es-ES" w:eastAsia="es-ES"/>
        </w:rPr>
        <w:t>Elaboración: STHV</w:t>
      </w:r>
    </w:p>
    <w:p w:rsidR="00445CB0" w:rsidRDefault="00445CB0" w:rsidP="00AE2357">
      <w:pPr>
        <w:pStyle w:val="Textoindependiente"/>
        <w:ind w:left="284"/>
        <w:jc w:val="left"/>
        <w:rPr>
          <w:rFonts w:ascii="Calibri" w:hAnsi="Calibri" w:cs="Calibri"/>
          <w:color w:val="000000" w:themeColor="text1"/>
          <w:sz w:val="20"/>
          <w:szCs w:val="20"/>
          <w:lang w:val="es-MX"/>
        </w:rPr>
      </w:pPr>
    </w:p>
    <w:p w:rsidR="009434FA" w:rsidRPr="00241D8A" w:rsidRDefault="00AA2F09" w:rsidP="005A5CB9">
      <w:pPr>
        <w:pStyle w:val="Textoindependiente"/>
        <w:numPr>
          <w:ilvl w:val="0"/>
          <w:numId w:val="5"/>
        </w:numPr>
        <w:rPr>
          <w:rFonts w:ascii="Calibri" w:hAnsi="Calibri" w:cs="Calibri"/>
          <w:color w:val="000000" w:themeColor="text1"/>
          <w:sz w:val="20"/>
          <w:szCs w:val="20"/>
          <w:lang w:val="es-MX"/>
        </w:rPr>
      </w:pPr>
      <w:r w:rsidRPr="00241D8A">
        <w:rPr>
          <w:rFonts w:ascii="Calibri" w:hAnsi="Calibri" w:cs="Calibri"/>
          <w:color w:val="000000" w:themeColor="text1"/>
          <w:sz w:val="20"/>
          <w:szCs w:val="20"/>
          <w:lang w:val="es-MX"/>
        </w:rPr>
        <w:t>A</w:t>
      </w:r>
      <w:r w:rsidR="0079056D">
        <w:rPr>
          <w:rFonts w:ascii="Calibri" w:hAnsi="Calibri" w:cs="Calibri"/>
          <w:color w:val="000000" w:themeColor="text1"/>
          <w:sz w:val="20"/>
          <w:szCs w:val="20"/>
          <w:lang w:val="es-MX"/>
        </w:rPr>
        <w:t>demás</w:t>
      </w:r>
      <w:r w:rsidR="00E3655C" w:rsidRPr="00241D8A">
        <w:rPr>
          <w:rFonts w:ascii="Calibri" w:hAnsi="Calibri" w:cs="Calibri"/>
          <w:color w:val="000000" w:themeColor="text1"/>
          <w:sz w:val="20"/>
          <w:szCs w:val="20"/>
          <w:lang w:val="es-MX"/>
        </w:rPr>
        <w:t xml:space="preserve"> se realizó un a</w:t>
      </w:r>
      <w:r w:rsidR="009434FA" w:rsidRPr="00241D8A">
        <w:rPr>
          <w:rFonts w:ascii="Calibri" w:hAnsi="Calibri" w:cs="Calibri"/>
          <w:color w:val="000000" w:themeColor="text1"/>
          <w:sz w:val="20"/>
          <w:szCs w:val="20"/>
          <w:lang w:val="es-MX"/>
        </w:rPr>
        <w:t>nálisis pormenorizado de los 170</w:t>
      </w:r>
      <w:r w:rsidR="00E3655C" w:rsidRPr="00241D8A">
        <w:rPr>
          <w:rFonts w:ascii="Calibri" w:hAnsi="Calibri" w:cs="Calibri"/>
          <w:color w:val="000000" w:themeColor="text1"/>
          <w:sz w:val="20"/>
          <w:szCs w:val="20"/>
          <w:lang w:val="es-MX"/>
        </w:rPr>
        <w:t xml:space="preserve"> </w:t>
      </w:r>
      <w:r w:rsidR="00056110" w:rsidRPr="00241D8A">
        <w:rPr>
          <w:rFonts w:ascii="Calibri" w:hAnsi="Calibri" w:cs="Calibri"/>
          <w:color w:val="000000" w:themeColor="text1"/>
          <w:sz w:val="20"/>
          <w:szCs w:val="20"/>
          <w:lang w:val="es-MX"/>
        </w:rPr>
        <w:t>casos ( 164 casos realizados antes de la Ordenanza</w:t>
      </w:r>
      <w:r w:rsidR="00241D8A">
        <w:rPr>
          <w:rFonts w:ascii="Calibri" w:hAnsi="Calibri" w:cs="Calibri"/>
          <w:color w:val="000000" w:themeColor="text1"/>
          <w:sz w:val="20"/>
          <w:szCs w:val="20"/>
          <w:lang w:val="es-MX"/>
        </w:rPr>
        <w:t xml:space="preserve"> nº127 </w:t>
      </w:r>
      <w:r w:rsidR="00056110" w:rsidRPr="00241D8A">
        <w:rPr>
          <w:rFonts w:ascii="Calibri" w:hAnsi="Calibri" w:cs="Calibri"/>
          <w:color w:val="000000" w:themeColor="text1"/>
          <w:sz w:val="20"/>
          <w:szCs w:val="20"/>
          <w:lang w:val="es-MX"/>
        </w:rPr>
        <w:t xml:space="preserve"> y 6 casos luego de la Ordenanza ), </w:t>
      </w:r>
      <w:r w:rsidR="00E3655C" w:rsidRPr="00241D8A">
        <w:rPr>
          <w:rFonts w:ascii="Calibri" w:hAnsi="Calibri" w:cs="Calibri"/>
          <w:color w:val="000000" w:themeColor="text1"/>
          <w:sz w:val="20"/>
          <w:szCs w:val="20"/>
          <w:lang w:val="es-MX"/>
        </w:rPr>
        <w:t>que constan como Criterio Técnico</w:t>
      </w:r>
      <w:r w:rsidR="00056110" w:rsidRPr="00241D8A">
        <w:rPr>
          <w:rFonts w:ascii="Calibri" w:hAnsi="Calibri" w:cs="Calibri"/>
          <w:color w:val="000000" w:themeColor="text1"/>
          <w:sz w:val="20"/>
          <w:szCs w:val="20"/>
          <w:lang w:val="es-MX"/>
        </w:rPr>
        <w:t xml:space="preserve">  </w:t>
      </w:r>
      <w:r w:rsidR="00B934B3" w:rsidRPr="00241D8A">
        <w:rPr>
          <w:rFonts w:ascii="Calibri" w:hAnsi="Calibri" w:cs="Calibri"/>
          <w:color w:val="000000" w:themeColor="text1"/>
          <w:sz w:val="20"/>
          <w:szCs w:val="20"/>
          <w:lang w:val="es-MX"/>
        </w:rPr>
        <w:t xml:space="preserve">de la STHV </w:t>
      </w:r>
      <w:r w:rsidR="00056110" w:rsidRPr="00241D8A">
        <w:rPr>
          <w:rFonts w:ascii="Calibri" w:hAnsi="Calibri" w:cs="Calibri"/>
          <w:color w:val="000000" w:themeColor="text1"/>
          <w:sz w:val="20"/>
          <w:szCs w:val="20"/>
          <w:lang w:val="es-MX"/>
        </w:rPr>
        <w:t>(Referencia Anexo 2E)</w:t>
      </w:r>
      <w:r w:rsidR="00E3655C" w:rsidRPr="00241D8A">
        <w:rPr>
          <w:rFonts w:ascii="Calibri" w:hAnsi="Calibri" w:cs="Calibri"/>
          <w:color w:val="000000" w:themeColor="text1"/>
          <w:sz w:val="20"/>
          <w:szCs w:val="20"/>
          <w:lang w:val="es-MX"/>
        </w:rPr>
        <w:t>, det</w:t>
      </w:r>
      <w:r w:rsidR="0037698E" w:rsidRPr="00241D8A">
        <w:rPr>
          <w:rFonts w:ascii="Calibri" w:hAnsi="Calibri" w:cs="Calibri"/>
          <w:color w:val="000000" w:themeColor="text1"/>
          <w:sz w:val="20"/>
          <w:szCs w:val="20"/>
          <w:lang w:val="es-MX"/>
        </w:rPr>
        <w:t xml:space="preserve">erminándose </w:t>
      </w:r>
      <w:r w:rsidR="00962388">
        <w:rPr>
          <w:rFonts w:ascii="Calibri" w:hAnsi="Calibri" w:cs="Calibri"/>
          <w:color w:val="000000" w:themeColor="text1"/>
          <w:sz w:val="20"/>
          <w:szCs w:val="20"/>
          <w:lang w:val="es-MX"/>
        </w:rPr>
        <w:t>que el 42.4</w:t>
      </w:r>
      <w:r w:rsidR="009434FA" w:rsidRPr="00241D8A">
        <w:rPr>
          <w:rFonts w:ascii="Calibri" w:hAnsi="Calibri" w:cs="Calibri"/>
          <w:color w:val="000000" w:themeColor="text1"/>
          <w:sz w:val="20"/>
          <w:szCs w:val="20"/>
          <w:lang w:val="es-MX"/>
        </w:rPr>
        <w:t>% de los casos responden a un</w:t>
      </w:r>
      <w:r w:rsidR="00962388">
        <w:rPr>
          <w:rFonts w:ascii="Calibri" w:hAnsi="Calibri" w:cs="Calibri"/>
          <w:color w:val="000000" w:themeColor="text1"/>
          <w:sz w:val="20"/>
          <w:szCs w:val="20"/>
          <w:lang w:val="es-MX"/>
        </w:rPr>
        <w:t xml:space="preserve"> criterio de consolidación; </w:t>
      </w:r>
      <w:r w:rsidR="00745DE2">
        <w:rPr>
          <w:rFonts w:ascii="Calibri" w:hAnsi="Calibri" w:cs="Calibri"/>
          <w:color w:val="000000" w:themeColor="text1"/>
          <w:sz w:val="20"/>
          <w:szCs w:val="20"/>
          <w:lang w:val="es-MX"/>
        </w:rPr>
        <w:t xml:space="preserve">también </w:t>
      </w:r>
      <w:r w:rsidR="00962388">
        <w:rPr>
          <w:rFonts w:ascii="Calibri" w:hAnsi="Calibri" w:cs="Calibri"/>
          <w:color w:val="000000" w:themeColor="text1"/>
          <w:sz w:val="20"/>
          <w:szCs w:val="20"/>
          <w:lang w:val="es-MX"/>
        </w:rPr>
        <w:t>42.4</w:t>
      </w:r>
      <w:r w:rsidR="009434FA" w:rsidRPr="00241D8A">
        <w:rPr>
          <w:rFonts w:ascii="Calibri" w:hAnsi="Calibri" w:cs="Calibri"/>
          <w:color w:val="000000" w:themeColor="text1"/>
          <w:sz w:val="20"/>
          <w:szCs w:val="20"/>
          <w:lang w:val="es-MX"/>
        </w:rPr>
        <w:t xml:space="preserve">% se realizaron por actividades económicas; 14.7% por encontrase en zonas de protección ecológica, establecidas por la Secretaría de Ambiente; </w:t>
      </w:r>
      <w:r w:rsidR="005A5CB9" w:rsidRPr="00241D8A">
        <w:rPr>
          <w:rFonts w:ascii="Calibri" w:hAnsi="Calibri" w:cs="Calibri"/>
          <w:color w:val="000000" w:themeColor="text1"/>
          <w:sz w:val="20"/>
          <w:szCs w:val="20"/>
          <w:lang w:val="es-MX"/>
        </w:rPr>
        <w:t xml:space="preserve">y 0.6% </w:t>
      </w:r>
      <w:r w:rsidR="00E34AD2" w:rsidRPr="00241D8A">
        <w:rPr>
          <w:rFonts w:ascii="Calibri" w:hAnsi="Calibri" w:cs="Calibri"/>
          <w:color w:val="000000" w:themeColor="text1"/>
          <w:sz w:val="20"/>
          <w:szCs w:val="20"/>
          <w:lang w:val="es-MX"/>
        </w:rPr>
        <w:t>se realizaron por una protección especial motivada por un informe de la EPMMAPS, que corresponde al ca</w:t>
      </w:r>
      <w:r w:rsidR="00056110" w:rsidRPr="00241D8A">
        <w:rPr>
          <w:rFonts w:ascii="Calibri" w:hAnsi="Calibri" w:cs="Calibri"/>
          <w:color w:val="000000" w:themeColor="text1"/>
          <w:sz w:val="20"/>
          <w:szCs w:val="20"/>
          <w:lang w:val="es-MX"/>
        </w:rPr>
        <w:t>s</w:t>
      </w:r>
      <w:r w:rsidR="00E34AD2" w:rsidRPr="00241D8A">
        <w:rPr>
          <w:rFonts w:ascii="Calibri" w:hAnsi="Calibri" w:cs="Calibri"/>
          <w:color w:val="000000" w:themeColor="text1"/>
          <w:sz w:val="20"/>
          <w:szCs w:val="20"/>
          <w:lang w:val="es-MX"/>
        </w:rPr>
        <w:t>o denominado “El Troje”.</w:t>
      </w:r>
      <w:r w:rsidR="00056110" w:rsidRPr="00241D8A">
        <w:rPr>
          <w:rFonts w:ascii="Calibri" w:hAnsi="Calibri" w:cs="Calibri"/>
          <w:color w:val="000000" w:themeColor="text1"/>
          <w:sz w:val="20"/>
          <w:szCs w:val="20"/>
          <w:lang w:val="es-MX"/>
        </w:rPr>
        <w:t xml:space="preserve"> Los resultados se resumen en la tabla nº 3:</w:t>
      </w:r>
    </w:p>
    <w:p w:rsidR="009434FA" w:rsidRPr="009434FA" w:rsidRDefault="009434FA" w:rsidP="005A5CB9">
      <w:pPr>
        <w:pStyle w:val="Textoindependiente"/>
        <w:rPr>
          <w:rFonts w:ascii="Calibri" w:hAnsi="Calibri" w:cs="Calibri"/>
          <w:color w:val="000000" w:themeColor="text1"/>
          <w:sz w:val="20"/>
          <w:szCs w:val="20"/>
          <w:highlight w:val="yellow"/>
          <w:lang w:val="es-MX"/>
        </w:rPr>
      </w:pPr>
    </w:p>
    <w:p w:rsidR="009434FA" w:rsidRPr="000D2D15" w:rsidRDefault="009434FA" w:rsidP="009434FA">
      <w:pPr>
        <w:pStyle w:val="Textoindependiente"/>
        <w:ind w:left="720"/>
        <w:rPr>
          <w:rFonts w:ascii="Calibri" w:hAnsi="Calibri" w:cs="Calibri"/>
          <w:b/>
          <w:color w:val="000000" w:themeColor="text1"/>
          <w:sz w:val="20"/>
          <w:szCs w:val="20"/>
          <w:lang w:val="es-MX"/>
        </w:rPr>
      </w:pPr>
      <w:r w:rsidRPr="000D2D15">
        <w:rPr>
          <w:rFonts w:ascii="Calibri" w:hAnsi="Calibri" w:cs="Calibri"/>
          <w:b/>
          <w:color w:val="000000" w:themeColor="text1"/>
          <w:sz w:val="20"/>
          <w:szCs w:val="20"/>
          <w:lang w:val="es-MX"/>
        </w:rPr>
        <w:t xml:space="preserve">Tabla No. 3   RESUMEN  DE </w:t>
      </w:r>
      <w:r w:rsidR="005A5CB9" w:rsidRPr="000D2D15">
        <w:rPr>
          <w:rFonts w:ascii="Calibri" w:hAnsi="Calibri" w:cs="Calibri"/>
          <w:b/>
          <w:color w:val="000000" w:themeColor="text1"/>
          <w:sz w:val="20"/>
          <w:szCs w:val="20"/>
          <w:lang w:val="es-MX"/>
        </w:rPr>
        <w:t>LOS CRITERIOS QUE SE UTILIZARON EN 170 CASOS</w:t>
      </w:r>
      <w:r w:rsidRPr="000D2D15">
        <w:rPr>
          <w:rFonts w:ascii="Calibri" w:hAnsi="Calibri" w:cs="Calibri"/>
          <w:b/>
          <w:color w:val="000000" w:themeColor="text1"/>
          <w:sz w:val="20"/>
          <w:szCs w:val="20"/>
          <w:lang w:val="es-MX"/>
        </w:rPr>
        <w:t>.</w:t>
      </w:r>
    </w:p>
    <w:p w:rsidR="009434FA" w:rsidRPr="000D2D15" w:rsidRDefault="009434FA" w:rsidP="009434FA">
      <w:pPr>
        <w:pStyle w:val="Textoindependiente"/>
        <w:jc w:val="left"/>
        <w:rPr>
          <w:rFonts w:ascii="Calibri" w:hAnsi="Calibri" w:cs="Calibri"/>
          <w:color w:val="000000" w:themeColor="text1"/>
          <w:sz w:val="20"/>
          <w:szCs w:val="20"/>
          <w:lang w:val="es-MX"/>
        </w:rPr>
      </w:pPr>
    </w:p>
    <w:tbl>
      <w:tblPr>
        <w:tblStyle w:val="Tabladecuadrcula4-nfasis11"/>
        <w:tblW w:w="5180" w:type="dxa"/>
        <w:jc w:val="center"/>
        <w:tblLook w:val="04A0" w:firstRow="1" w:lastRow="0" w:firstColumn="1" w:lastColumn="0" w:noHBand="0" w:noVBand="1"/>
      </w:tblPr>
      <w:tblGrid>
        <w:gridCol w:w="2480"/>
        <w:gridCol w:w="1380"/>
        <w:gridCol w:w="1320"/>
      </w:tblGrid>
      <w:tr w:rsidR="009434FA" w:rsidRPr="0001109A" w:rsidTr="005C1556">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434FA" w:rsidRPr="0001109A" w:rsidRDefault="009434FA" w:rsidP="005C1556">
            <w:pPr>
              <w:rPr>
                <w:rFonts w:ascii="Calibri" w:eastAsia="Times New Roman" w:hAnsi="Calibri" w:cs="Calibri"/>
                <w:sz w:val="20"/>
                <w:szCs w:val="20"/>
                <w:lang w:eastAsia="es-EC"/>
              </w:rPr>
            </w:pPr>
            <w:r w:rsidRPr="0001109A">
              <w:rPr>
                <w:rFonts w:ascii="Calibri" w:eastAsia="Times New Roman" w:hAnsi="Calibri" w:cs="Calibri"/>
                <w:sz w:val="20"/>
                <w:szCs w:val="20"/>
                <w:lang w:eastAsia="es-EC"/>
              </w:rPr>
              <w:t>Criterios</w:t>
            </w:r>
          </w:p>
        </w:tc>
        <w:tc>
          <w:tcPr>
            <w:tcW w:w="1380" w:type="dxa"/>
            <w:noWrap/>
            <w:hideMark/>
          </w:tcPr>
          <w:p w:rsidR="009434FA" w:rsidRPr="0001109A" w:rsidRDefault="009434FA" w:rsidP="005C15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C"/>
              </w:rPr>
            </w:pPr>
            <w:r w:rsidRPr="0001109A">
              <w:rPr>
                <w:rFonts w:ascii="Calibri" w:eastAsia="Times New Roman" w:hAnsi="Calibri" w:cs="Calibri"/>
                <w:sz w:val="20"/>
                <w:szCs w:val="20"/>
                <w:lang w:eastAsia="es-EC"/>
              </w:rPr>
              <w:t>Nº cambios</w:t>
            </w:r>
          </w:p>
        </w:tc>
        <w:tc>
          <w:tcPr>
            <w:tcW w:w="1320" w:type="dxa"/>
            <w:noWrap/>
            <w:hideMark/>
          </w:tcPr>
          <w:p w:rsidR="009434FA" w:rsidRPr="0001109A" w:rsidRDefault="009434FA" w:rsidP="005C15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C"/>
              </w:rPr>
            </w:pPr>
            <w:r w:rsidRPr="0001109A">
              <w:rPr>
                <w:rFonts w:ascii="Calibri" w:eastAsia="Times New Roman" w:hAnsi="Calibri" w:cs="Calibri"/>
                <w:sz w:val="20"/>
                <w:szCs w:val="20"/>
                <w:lang w:eastAsia="es-EC"/>
              </w:rPr>
              <w:t>Porcentaje</w:t>
            </w:r>
          </w:p>
        </w:tc>
      </w:tr>
      <w:tr w:rsidR="009434FA" w:rsidRPr="0001109A" w:rsidTr="005C155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434FA" w:rsidRPr="0001109A" w:rsidRDefault="009434FA" w:rsidP="005C1556">
            <w:pPr>
              <w:rPr>
                <w:rFonts w:ascii="Calibri" w:eastAsia="Times New Roman" w:hAnsi="Calibri" w:cs="Calibri"/>
                <w:b w:val="0"/>
                <w:color w:val="000000"/>
                <w:sz w:val="20"/>
                <w:szCs w:val="20"/>
                <w:lang w:eastAsia="es-EC"/>
              </w:rPr>
            </w:pPr>
            <w:r w:rsidRPr="0001109A">
              <w:rPr>
                <w:rFonts w:ascii="Calibri" w:eastAsia="Times New Roman" w:hAnsi="Calibri" w:cs="Calibri"/>
                <w:b w:val="0"/>
                <w:color w:val="000000"/>
                <w:sz w:val="20"/>
                <w:szCs w:val="20"/>
                <w:lang w:eastAsia="es-EC"/>
              </w:rPr>
              <w:t>Consolidación</w:t>
            </w:r>
          </w:p>
        </w:tc>
        <w:tc>
          <w:tcPr>
            <w:tcW w:w="1380" w:type="dxa"/>
            <w:noWrap/>
            <w:hideMark/>
          </w:tcPr>
          <w:p w:rsidR="009434FA" w:rsidRPr="0001109A" w:rsidRDefault="00962388" w:rsidP="005C15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72</w:t>
            </w:r>
          </w:p>
        </w:tc>
        <w:tc>
          <w:tcPr>
            <w:tcW w:w="1320" w:type="dxa"/>
            <w:noWrap/>
            <w:hideMark/>
          </w:tcPr>
          <w:p w:rsidR="009434FA" w:rsidRPr="0001109A" w:rsidRDefault="00962388" w:rsidP="005C15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42,4</w:t>
            </w:r>
            <w:r w:rsidR="009434FA" w:rsidRPr="0001109A">
              <w:rPr>
                <w:rFonts w:ascii="Calibri" w:eastAsia="Times New Roman" w:hAnsi="Calibri" w:cs="Calibri"/>
                <w:color w:val="000000"/>
                <w:sz w:val="20"/>
                <w:szCs w:val="20"/>
                <w:lang w:eastAsia="es-EC"/>
              </w:rPr>
              <w:t>%</w:t>
            </w:r>
          </w:p>
        </w:tc>
      </w:tr>
      <w:tr w:rsidR="009434FA" w:rsidRPr="0001109A" w:rsidTr="005C1556">
        <w:trPr>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434FA" w:rsidRPr="0001109A" w:rsidRDefault="009434FA" w:rsidP="005C1556">
            <w:pPr>
              <w:rPr>
                <w:rFonts w:ascii="Calibri" w:eastAsia="Times New Roman" w:hAnsi="Calibri" w:cs="Calibri"/>
                <w:b w:val="0"/>
                <w:color w:val="000000"/>
                <w:sz w:val="20"/>
                <w:szCs w:val="20"/>
                <w:lang w:eastAsia="es-EC"/>
              </w:rPr>
            </w:pPr>
            <w:r w:rsidRPr="0001109A">
              <w:rPr>
                <w:rFonts w:ascii="Calibri" w:eastAsia="Times New Roman" w:hAnsi="Calibri" w:cs="Calibri"/>
                <w:b w:val="0"/>
                <w:color w:val="000000"/>
                <w:sz w:val="20"/>
                <w:szCs w:val="20"/>
                <w:lang w:eastAsia="es-EC"/>
              </w:rPr>
              <w:t>Actividades económicas</w:t>
            </w:r>
          </w:p>
        </w:tc>
        <w:tc>
          <w:tcPr>
            <w:tcW w:w="1380" w:type="dxa"/>
            <w:noWrap/>
            <w:hideMark/>
          </w:tcPr>
          <w:p w:rsidR="009434FA" w:rsidRPr="0001109A" w:rsidRDefault="00962388" w:rsidP="005C15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72</w:t>
            </w:r>
          </w:p>
        </w:tc>
        <w:tc>
          <w:tcPr>
            <w:tcW w:w="1320" w:type="dxa"/>
            <w:noWrap/>
            <w:hideMark/>
          </w:tcPr>
          <w:p w:rsidR="009434FA" w:rsidRPr="0001109A" w:rsidRDefault="00962388" w:rsidP="005C15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42.4</w:t>
            </w:r>
            <w:r w:rsidR="009434FA" w:rsidRPr="0001109A">
              <w:rPr>
                <w:rFonts w:ascii="Calibri" w:eastAsia="Times New Roman" w:hAnsi="Calibri" w:cs="Calibri"/>
                <w:color w:val="000000"/>
                <w:sz w:val="20"/>
                <w:szCs w:val="20"/>
                <w:lang w:eastAsia="es-EC"/>
              </w:rPr>
              <w:t>%</w:t>
            </w:r>
          </w:p>
        </w:tc>
      </w:tr>
      <w:tr w:rsidR="009434FA" w:rsidRPr="0001109A" w:rsidTr="005C155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434FA" w:rsidRPr="0001109A" w:rsidRDefault="009434FA" w:rsidP="005C1556">
            <w:pPr>
              <w:rPr>
                <w:rFonts w:ascii="Calibri" w:eastAsia="Times New Roman" w:hAnsi="Calibri" w:cs="Calibri"/>
                <w:b w:val="0"/>
                <w:color w:val="000000"/>
                <w:sz w:val="20"/>
                <w:szCs w:val="20"/>
                <w:lang w:eastAsia="es-EC"/>
              </w:rPr>
            </w:pPr>
            <w:r w:rsidRPr="0001109A">
              <w:rPr>
                <w:rFonts w:ascii="Calibri" w:eastAsia="Times New Roman" w:hAnsi="Calibri" w:cs="Calibri"/>
                <w:b w:val="0"/>
                <w:color w:val="000000"/>
                <w:sz w:val="20"/>
                <w:szCs w:val="20"/>
                <w:lang w:eastAsia="es-EC"/>
              </w:rPr>
              <w:t>Protección ecológica</w:t>
            </w:r>
          </w:p>
        </w:tc>
        <w:tc>
          <w:tcPr>
            <w:tcW w:w="1380" w:type="dxa"/>
            <w:noWrap/>
            <w:hideMark/>
          </w:tcPr>
          <w:p w:rsidR="009434FA" w:rsidRPr="0001109A" w:rsidRDefault="009434FA" w:rsidP="005C15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01109A">
              <w:rPr>
                <w:rFonts w:ascii="Calibri" w:eastAsia="Times New Roman" w:hAnsi="Calibri" w:cs="Calibri"/>
                <w:color w:val="000000"/>
                <w:sz w:val="20"/>
                <w:szCs w:val="20"/>
                <w:lang w:eastAsia="es-EC"/>
              </w:rPr>
              <w:t>25</w:t>
            </w:r>
          </w:p>
        </w:tc>
        <w:tc>
          <w:tcPr>
            <w:tcW w:w="1320" w:type="dxa"/>
            <w:noWrap/>
            <w:hideMark/>
          </w:tcPr>
          <w:p w:rsidR="009434FA" w:rsidRPr="0001109A" w:rsidRDefault="009434FA" w:rsidP="005C15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01109A">
              <w:rPr>
                <w:rFonts w:ascii="Calibri" w:eastAsia="Times New Roman" w:hAnsi="Calibri" w:cs="Calibri"/>
                <w:color w:val="000000"/>
                <w:sz w:val="20"/>
                <w:szCs w:val="20"/>
                <w:lang w:eastAsia="es-EC"/>
              </w:rPr>
              <w:t>14,7%</w:t>
            </w:r>
          </w:p>
        </w:tc>
      </w:tr>
      <w:tr w:rsidR="009434FA" w:rsidRPr="0001109A" w:rsidTr="005C1556">
        <w:trPr>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434FA" w:rsidRPr="0001109A" w:rsidRDefault="009434FA" w:rsidP="005C1556">
            <w:pPr>
              <w:rPr>
                <w:rFonts w:ascii="Calibri" w:eastAsia="Times New Roman" w:hAnsi="Calibri" w:cs="Calibri"/>
                <w:b w:val="0"/>
                <w:color w:val="000000"/>
                <w:sz w:val="20"/>
                <w:szCs w:val="20"/>
                <w:lang w:eastAsia="es-EC"/>
              </w:rPr>
            </w:pPr>
            <w:r w:rsidRPr="0001109A">
              <w:rPr>
                <w:rFonts w:ascii="Calibri" w:eastAsia="Times New Roman" w:hAnsi="Calibri" w:cs="Calibri"/>
                <w:b w:val="0"/>
                <w:color w:val="000000"/>
                <w:sz w:val="20"/>
                <w:szCs w:val="20"/>
                <w:lang w:eastAsia="es-EC"/>
              </w:rPr>
              <w:t>Protección especial</w:t>
            </w:r>
          </w:p>
        </w:tc>
        <w:tc>
          <w:tcPr>
            <w:tcW w:w="1380" w:type="dxa"/>
            <w:noWrap/>
            <w:hideMark/>
          </w:tcPr>
          <w:p w:rsidR="009434FA" w:rsidRPr="0001109A" w:rsidRDefault="009434FA" w:rsidP="005C15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01109A">
              <w:rPr>
                <w:rFonts w:ascii="Calibri" w:eastAsia="Times New Roman" w:hAnsi="Calibri" w:cs="Calibri"/>
                <w:color w:val="000000"/>
                <w:sz w:val="20"/>
                <w:szCs w:val="20"/>
                <w:lang w:eastAsia="es-EC"/>
              </w:rPr>
              <w:t>1</w:t>
            </w:r>
          </w:p>
        </w:tc>
        <w:tc>
          <w:tcPr>
            <w:tcW w:w="1320" w:type="dxa"/>
            <w:noWrap/>
            <w:hideMark/>
          </w:tcPr>
          <w:p w:rsidR="009434FA" w:rsidRPr="0001109A" w:rsidRDefault="009434FA" w:rsidP="005C15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01109A">
              <w:rPr>
                <w:rFonts w:ascii="Calibri" w:eastAsia="Times New Roman" w:hAnsi="Calibri" w:cs="Calibri"/>
                <w:color w:val="000000"/>
                <w:sz w:val="20"/>
                <w:szCs w:val="20"/>
                <w:lang w:eastAsia="es-EC"/>
              </w:rPr>
              <w:t>0,6%</w:t>
            </w:r>
          </w:p>
        </w:tc>
      </w:tr>
      <w:tr w:rsidR="009434FA" w:rsidRPr="0001109A" w:rsidTr="005C155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434FA" w:rsidRPr="0001109A" w:rsidRDefault="009434FA" w:rsidP="00542BA6">
            <w:pPr>
              <w:rPr>
                <w:rFonts w:ascii="Calibri" w:eastAsia="Times New Roman" w:hAnsi="Calibri" w:cs="Calibri"/>
                <w:color w:val="000000"/>
                <w:sz w:val="20"/>
                <w:szCs w:val="20"/>
                <w:lang w:eastAsia="es-EC"/>
              </w:rPr>
            </w:pPr>
            <w:r w:rsidRPr="0001109A">
              <w:rPr>
                <w:rFonts w:ascii="Calibri" w:eastAsia="Times New Roman" w:hAnsi="Calibri" w:cs="Calibri"/>
                <w:color w:val="000000"/>
                <w:sz w:val="20"/>
                <w:szCs w:val="20"/>
                <w:lang w:eastAsia="es-EC"/>
              </w:rPr>
              <w:t>Total general</w:t>
            </w:r>
          </w:p>
        </w:tc>
        <w:tc>
          <w:tcPr>
            <w:tcW w:w="1380" w:type="dxa"/>
            <w:noWrap/>
            <w:hideMark/>
          </w:tcPr>
          <w:p w:rsidR="009434FA" w:rsidRPr="0001109A" w:rsidRDefault="009434FA" w:rsidP="00E332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EC"/>
              </w:rPr>
            </w:pPr>
            <w:r w:rsidRPr="0001109A">
              <w:rPr>
                <w:rFonts w:ascii="Calibri" w:eastAsia="Times New Roman" w:hAnsi="Calibri" w:cs="Calibri"/>
                <w:b/>
                <w:color w:val="000000"/>
                <w:sz w:val="20"/>
                <w:szCs w:val="20"/>
                <w:lang w:eastAsia="es-EC"/>
              </w:rPr>
              <w:t>170</w:t>
            </w:r>
          </w:p>
        </w:tc>
        <w:tc>
          <w:tcPr>
            <w:tcW w:w="1320" w:type="dxa"/>
            <w:noWrap/>
            <w:hideMark/>
          </w:tcPr>
          <w:p w:rsidR="009434FA" w:rsidRPr="0001109A" w:rsidRDefault="009434FA" w:rsidP="00E332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EC"/>
              </w:rPr>
            </w:pPr>
            <w:r w:rsidRPr="0001109A">
              <w:rPr>
                <w:rFonts w:ascii="Calibri" w:eastAsia="Times New Roman" w:hAnsi="Calibri" w:cs="Calibri"/>
                <w:b/>
                <w:color w:val="000000"/>
                <w:sz w:val="20"/>
                <w:szCs w:val="20"/>
                <w:lang w:eastAsia="es-EC"/>
              </w:rPr>
              <w:t>100,0%</w:t>
            </w:r>
          </w:p>
        </w:tc>
      </w:tr>
    </w:tbl>
    <w:p w:rsidR="00444021" w:rsidRPr="002319A1" w:rsidRDefault="00444021" w:rsidP="00444021">
      <w:pPr>
        <w:spacing w:after="0" w:line="240" w:lineRule="auto"/>
        <w:ind w:left="1416" w:firstLine="708"/>
        <w:jc w:val="both"/>
        <w:rPr>
          <w:rFonts w:cstheme="minorHAnsi"/>
          <w:sz w:val="18"/>
          <w:szCs w:val="18"/>
          <w:lang w:val="es-ES" w:eastAsia="es-ES"/>
        </w:rPr>
      </w:pPr>
      <w:r w:rsidRPr="002319A1">
        <w:rPr>
          <w:rFonts w:cstheme="minorHAnsi"/>
          <w:sz w:val="18"/>
          <w:szCs w:val="18"/>
          <w:lang w:val="es-ES" w:eastAsia="es-ES"/>
        </w:rPr>
        <w:t>Elaboración: STHV</w:t>
      </w:r>
    </w:p>
    <w:p w:rsidR="009434FA" w:rsidRPr="009434FA" w:rsidRDefault="009434FA" w:rsidP="009434FA">
      <w:pPr>
        <w:pStyle w:val="Textoindependiente"/>
        <w:jc w:val="left"/>
        <w:rPr>
          <w:rFonts w:ascii="Calibri" w:hAnsi="Calibri" w:cs="Calibri"/>
          <w:color w:val="000000" w:themeColor="text1"/>
          <w:sz w:val="20"/>
          <w:szCs w:val="20"/>
          <w:highlight w:val="yellow"/>
          <w:lang w:val="es-MX"/>
        </w:rPr>
      </w:pPr>
    </w:p>
    <w:p w:rsidR="004E1B99" w:rsidRDefault="009434FA" w:rsidP="009434FA">
      <w:pPr>
        <w:pStyle w:val="Textoindependiente"/>
        <w:ind w:left="720"/>
        <w:jc w:val="left"/>
        <w:rPr>
          <w:rFonts w:ascii="Calibri" w:hAnsi="Calibri" w:cs="Calibri"/>
          <w:color w:val="000000" w:themeColor="text1"/>
          <w:sz w:val="20"/>
          <w:szCs w:val="20"/>
          <w:lang w:val="es-MX"/>
        </w:rPr>
      </w:pPr>
      <w:r w:rsidRPr="00AB5042">
        <w:rPr>
          <w:rFonts w:ascii="Calibri" w:hAnsi="Calibri" w:cs="Calibri"/>
          <w:color w:val="000000" w:themeColor="text1"/>
          <w:sz w:val="20"/>
          <w:szCs w:val="20"/>
          <w:lang w:val="es-MX"/>
        </w:rPr>
        <w:t xml:space="preserve">Este análisis detallado, permitió </w:t>
      </w:r>
      <w:r w:rsidR="007769CB" w:rsidRPr="00AB5042">
        <w:rPr>
          <w:rFonts w:ascii="Calibri" w:hAnsi="Calibri" w:cs="Calibri"/>
          <w:color w:val="000000" w:themeColor="text1"/>
          <w:sz w:val="20"/>
          <w:szCs w:val="20"/>
          <w:lang w:val="es-MX"/>
        </w:rPr>
        <w:t xml:space="preserve">generar </w:t>
      </w:r>
      <w:r w:rsidR="0037698E" w:rsidRPr="00AB5042">
        <w:rPr>
          <w:rFonts w:ascii="Calibri" w:hAnsi="Calibri" w:cs="Calibri"/>
          <w:color w:val="000000" w:themeColor="text1"/>
          <w:sz w:val="20"/>
          <w:szCs w:val="20"/>
          <w:lang w:val="es-MX"/>
        </w:rPr>
        <w:t xml:space="preserve">la siguiente </w:t>
      </w:r>
      <w:r w:rsidR="00E3655C" w:rsidRPr="00AB5042">
        <w:rPr>
          <w:rFonts w:ascii="Calibri" w:hAnsi="Calibri" w:cs="Calibri"/>
          <w:color w:val="000000" w:themeColor="text1"/>
          <w:sz w:val="20"/>
          <w:szCs w:val="20"/>
          <w:lang w:val="es-MX"/>
        </w:rPr>
        <w:t>categorización</w:t>
      </w:r>
      <w:r w:rsidR="00E332C0">
        <w:rPr>
          <w:rFonts w:ascii="Calibri" w:hAnsi="Calibri" w:cs="Calibri"/>
          <w:color w:val="000000" w:themeColor="text1"/>
          <w:sz w:val="20"/>
          <w:szCs w:val="20"/>
          <w:lang w:val="es-MX"/>
        </w:rPr>
        <w:t xml:space="preserve"> y recomendaciones </w:t>
      </w:r>
      <w:r w:rsidR="006128BD">
        <w:rPr>
          <w:rFonts w:ascii="Calibri" w:hAnsi="Calibri" w:cs="Calibri"/>
          <w:color w:val="000000" w:themeColor="text1"/>
          <w:sz w:val="20"/>
          <w:szCs w:val="20"/>
          <w:lang w:val="es-MX"/>
        </w:rPr>
        <w:t>en el marco de una futura reforma al PUOS:</w:t>
      </w:r>
    </w:p>
    <w:p w:rsidR="00195C28" w:rsidRDefault="00195C28" w:rsidP="004E1B99">
      <w:pPr>
        <w:pStyle w:val="Textoindependiente"/>
        <w:ind w:left="720"/>
        <w:jc w:val="left"/>
        <w:rPr>
          <w:rFonts w:ascii="Calibri" w:hAnsi="Calibri" w:cs="Calibri"/>
          <w:b/>
          <w:color w:val="000000" w:themeColor="text1"/>
          <w:sz w:val="20"/>
          <w:szCs w:val="20"/>
          <w:lang w:val="es-MX"/>
        </w:rPr>
      </w:pPr>
    </w:p>
    <w:p w:rsidR="0037698E" w:rsidRDefault="0037698E" w:rsidP="004E1B99">
      <w:pPr>
        <w:pStyle w:val="Textoindependiente"/>
        <w:ind w:left="720"/>
        <w:jc w:val="left"/>
        <w:rPr>
          <w:rFonts w:ascii="Calibri" w:hAnsi="Calibri" w:cs="Calibri"/>
          <w:b/>
          <w:color w:val="000000" w:themeColor="text1"/>
          <w:sz w:val="20"/>
          <w:szCs w:val="20"/>
          <w:lang w:val="es-MX"/>
        </w:rPr>
      </w:pPr>
      <w:r>
        <w:rPr>
          <w:rFonts w:ascii="Calibri" w:hAnsi="Calibri" w:cs="Calibri"/>
          <w:b/>
          <w:color w:val="000000" w:themeColor="text1"/>
          <w:sz w:val="20"/>
          <w:szCs w:val="20"/>
          <w:lang w:val="es-MX"/>
        </w:rPr>
        <w:t xml:space="preserve">Tabla No. </w:t>
      </w:r>
      <w:r w:rsidR="009434FA">
        <w:rPr>
          <w:rFonts w:ascii="Calibri" w:hAnsi="Calibri" w:cs="Calibri"/>
          <w:b/>
          <w:color w:val="000000" w:themeColor="text1"/>
          <w:sz w:val="20"/>
          <w:szCs w:val="20"/>
          <w:lang w:val="es-MX"/>
        </w:rPr>
        <w:t>4</w:t>
      </w:r>
      <w:r w:rsidRPr="00C3262A">
        <w:rPr>
          <w:rFonts w:ascii="Calibri" w:hAnsi="Calibri" w:cs="Calibri"/>
          <w:b/>
          <w:color w:val="000000" w:themeColor="text1"/>
          <w:sz w:val="20"/>
          <w:szCs w:val="20"/>
          <w:lang w:val="es-MX"/>
        </w:rPr>
        <w:t xml:space="preserve">   </w:t>
      </w:r>
      <w:r w:rsidR="006128BD">
        <w:rPr>
          <w:rFonts w:ascii="Calibri" w:hAnsi="Calibri" w:cs="Calibri"/>
          <w:b/>
          <w:color w:val="000000" w:themeColor="text1"/>
          <w:sz w:val="20"/>
          <w:szCs w:val="20"/>
          <w:lang w:val="es-MX"/>
        </w:rPr>
        <w:t>CATEGORIZACIÓN DE LOS 170</w:t>
      </w:r>
      <w:r>
        <w:rPr>
          <w:rFonts w:ascii="Calibri" w:hAnsi="Calibri" w:cs="Calibri"/>
          <w:b/>
          <w:color w:val="000000" w:themeColor="text1"/>
          <w:sz w:val="20"/>
          <w:szCs w:val="20"/>
          <w:lang w:val="es-MX"/>
        </w:rPr>
        <w:t xml:space="preserve"> CAMBIOS POR CRITERIO TÉCNICO</w:t>
      </w:r>
    </w:p>
    <w:p w:rsidR="0037698E" w:rsidRDefault="0037698E" w:rsidP="004E1B99">
      <w:pPr>
        <w:pStyle w:val="Textoindependiente"/>
        <w:ind w:left="720"/>
        <w:jc w:val="left"/>
        <w:rPr>
          <w:rFonts w:ascii="Calibri" w:hAnsi="Calibri" w:cs="Calibri"/>
          <w:color w:val="000000" w:themeColor="text1"/>
          <w:sz w:val="20"/>
          <w:szCs w:val="20"/>
          <w:lang w:val="es-MX"/>
        </w:rPr>
      </w:pPr>
    </w:p>
    <w:tbl>
      <w:tblPr>
        <w:tblStyle w:val="Tabladecuadrcula4-nfasis11"/>
        <w:tblW w:w="4130" w:type="dxa"/>
        <w:jc w:val="center"/>
        <w:tblLook w:val="04A0" w:firstRow="1" w:lastRow="0" w:firstColumn="1" w:lastColumn="0" w:noHBand="0" w:noVBand="1"/>
      </w:tblPr>
      <w:tblGrid>
        <w:gridCol w:w="1600"/>
        <w:gridCol w:w="1327"/>
        <w:gridCol w:w="1203"/>
      </w:tblGrid>
      <w:tr w:rsidR="00591526" w:rsidRPr="009934CB" w:rsidTr="00542BA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591526" w:rsidRPr="00542BA6" w:rsidRDefault="00591526" w:rsidP="007770DC">
            <w:pPr>
              <w:rPr>
                <w:rFonts w:ascii="Calibri" w:eastAsia="Times New Roman" w:hAnsi="Calibri" w:cs="Times New Roman"/>
                <w:lang w:eastAsia="es-EC"/>
              </w:rPr>
            </w:pPr>
            <w:r w:rsidRPr="00542BA6">
              <w:rPr>
                <w:rFonts w:ascii="Calibri" w:eastAsia="Times New Roman" w:hAnsi="Calibri" w:cs="Times New Roman"/>
                <w:lang w:eastAsia="es-EC"/>
              </w:rPr>
              <w:t>Categoría</w:t>
            </w:r>
          </w:p>
        </w:tc>
        <w:tc>
          <w:tcPr>
            <w:tcW w:w="1327" w:type="dxa"/>
            <w:noWrap/>
            <w:hideMark/>
          </w:tcPr>
          <w:p w:rsidR="00591526" w:rsidRPr="00542BA6" w:rsidRDefault="00591526" w:rsidP="007770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542BA6">
              <w:rPr>
                <w:rFonts w:ascii="Calibri" w:eastAsia="Times New Roman" w:hAnsi="Calibri" w:cs="Times New Roman"/>
                <w:lang w:eastAsia="es-EC"/>
              </w:rPr>
              <w:t>Nº cambios</w:t>
            </w:r>
          </w:p>
        </w:tc>
        <w:tc>
          <w:tcPr>
            <w:tcW w:w="1203" w:type="dxa"/>
            <w:noWrap/>
            <w:hideMark/>
          </w:tcPr>
          <w:p w:rsidR="00591526" w:rsidRPr="00542BA6" w:rsidRDefault="00591526" w:rsidP="007770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542BA6">
              <w:rPr>
                <w:rFonts w:ascii="Calibri" w:eastAsia="Times New Roman" w:hAnsi="Calibri" w:cs="Times New Roman"/>
                <w:lang w:eastAsia="es-EC"/>
              </w:rPr>
              <w:t>Porcentaje</w:t>
            </w:r>
          </w:p>
        </w:tc>
      </w:tr>
      <w:tr w:rsidR="00591526" w:rsidRPr="009934CB" w:rsidTr="00542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591526" w:rsidRPr="009934CB" w:rsidRDefault="00591526" w:rsidP="007770DC">
            <w:pPr>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A</w:t>
            </w:r>
          </w:p>
        </w:tc>
        <w:tc>
          <w:tcPr>
            <w:tcW w:w="1327" w:type="dxa"/>
            <w:noWrap/>
            <w:hideMark/>
          </w:tcPr>
          <w:p w:rsidR="00591526" w:rsidRPr="009934CB" w:rsidRDefault="009434FA" w:rsidP="005915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Pr>
                <w:rFonts w:ascii="Calibri" w:eastAsia="Times New Roman" w:hAnsi="Calibri" w:cs="Times New Roman"/>
                <w:color w:val="000000"/>
                <w:lang w:eastAsia="es-EC"/>
              </w:rPr>
              <w:t>148</w:t>
            </w:r>
          </w:p>
        </w:tc>
        <w:tc>
          <w:tcPr>
            <w:tcW w:w="1203" w:type="dxa"/>
            <w:noWrap/>
            <w:hideMark/>
          </w:tcPr>
          <w:p w:rsidR="00591526" w:rsidRPr="009934CB" w:rsidRDefault="00591526" w:rsidP="005915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87%</w:t>
            </w:r>
          </w:p>
        </w:tc>
      </w:tr>
      <w:tr w:rsidR="00591526" w:rsidRPr="009934CB" w:rsidTr="00542BA6">
        <w:trPr>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591526" w:rsidRPr="009934CB" w:rsidRDefault="00591526" w:rsidP="007770DC">
            <w:pPr>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B</w:t>
            </w:r>
          </w:p>
        </w:tc>
        <w:tc>
          <w:tcPr>
            <w:tcW w:w="1327" w:type="dxa"/>
            <w:noWrap/>
            <w:hideMark/>
          </w:tcPr>
          <w:p w:rsidR="00591526" w:rsidRPr="009934CB" w:rsidRDefault="00591526" w:rsidP="005915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21</w:t>
            </w:r>
          </w:p>
        </w:tc>
        <w:tc>
          <w:tcPr>
            <w:tcW w:w="1203" w:type="dxa"/>
            <w:noWrap/>
            <w:hideMark/>
          </w:tcPr>
          <w:p w:rsidR="00591526" w:rsidRPr="009934CB" w:rsidRDefault="00591526" w:rsidP="005915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12.4%</w:t>
            </w:r>
          </w:p>
        </w:tc>
      </w:tr>
      <w:tr w:rsidR="00591526" w:rsidRPr="009934CB" w:rsidTr="00542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tcPr>
          <w:p w:rsidR="00591526" w:rsidRPr="009934CB" w:rsidRDefault="00591526" w:rsidP="007770DC">
            <w:pPr>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C</w:t>
            </w:r>
          </w:p>
        </w:tc>
        <w:tc>
          <w:tcPr>
            <w:tcW w:w="1327" w:type="dxa"/>
            <w:noWrap/>
          </w:tcPr>
          <w:p w:rsidR="00591526" w:rsidRPr="009934CB" w:rsidRDefault="00591526" w:rsidP="005915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1</w:t>
            </w:r>
          </w:p>
        </w:tc>
        <w:tc>
          <w:tcPr>
            <w:tcW w:w="1203" w:type="dxa"/>
            <w:noWrap/>
          </w:tcPr>
          <w:p w:rsidR="00591526" w:rsidRPr="009934CB" w:rsidRDefault="00591526" w:rsidP="005915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0,6%</w:t>
            </w:r>
          </w:p>
        </w:tc>
      </w:tr>
      <w:tr w:rsidR="00591526" w:rsidRPr="009934CB" w:rsidTr="00542BA6">
        <w:trPr>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591526" w:rsidRPr="006128BD" w:rsidRDefault="00591526" w:rsidP="007770DC">
            <w:pPr>
              <w:rPr>
                <w:rFonts w:ascii="Calibri" w:eastAsia="Times New Roman" w:hAnsi="Calibri" w:cs="Times New Roman"/>
                <w:color w:val="000000"/>
                <w:lang w:eastAsia="es-EC"/>
              </w:rPr>
            </w:pPr>
            <w:r w:rsidRPr="006128BD">
              <w:rPr>
                <w:rFonts w:ascii="Calibri" w:eastAsia="Times New Roman" w:hAnsi="Calibri" w:cs="Times New Roman"/>
                <w:color w:val="000000"/>
                <w:lang w:eastAsia="es-EC"/>
              </w:rPr>
              <w:t>Total general</w:t>
            </w:r>
          </w:p>
        </w:tc>
        <w:tc>
          <w:tcPr>
            <w:tcW w:w="1327" w:type="dxa"/>
            <w:noWrap/>
            <w:hideMark/>
          </w:tcPr>
          <w:p w:rsidR="00591526" w:rsidRPr="006128BD" w:rsidRDefault="006128BD" w:rsidP="005915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6128BD">
              <w:rPr>
                <w:rFonts w:ascii="Calibri" w:eastAsia="Times New Roman" w:hAnsi="Calibri" w:cs="Times New Roman"/>
                <w:b/>
                <w:color w:val="000000"/>
                <w:lang w:eastAsia="es-EC"/>
              </w:rPr>
              <w:t>170</w:t>
            </w:r>
          </w:p>
        </w:tc>
        <w:tc>
          <w:tcPr>
            <w:tcW w:w="1203" w:type="dxa"/>
            <w:noWrap/>
            <w:hideMark/>
          </w:tcPr>
          <w:p w:rsidR="00591526" w:rsidRPr="006128BD" w:rsidRDefault="00591526" w:rsidP="005915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6128BD">
              <w:rPr>
                <w:rFonts w:ascii="Calibri" w:eastAsia="Times New Roman" w:hAnsi="Calibri" w:cs="Times New Roman"/>
                <w:b/>
                <w:color w:val="000000"/>
                <w:lang w:eastAsia="es-EC"/>
              </w:rPr>
              <w:t>100%</w:t>
            </w:r>
          </w:p>
        </w:tc>
      </w:tr>
    </w:tbl>
    <w:p w:rsidR="00444021" w:rsidRPr="002319A1" w:rsidRDefault="00444021" w:rsidP="00444021">
      <w:pPr>
        <w:spacing w:after="0" w:line="240" w:lineRule="auto"/>
        <w:ind w:left="1416" w:firstLine="708"/>
        <w:jc w:val="both"/>
        <w:rPr>
          <w:rFonts w:cstheme="minorHAnsi"/>
          <w:sz w:val="18"/>
          <w:szCs w:val="18"/>
          <w:lang w:val="es-ES" w:eastAsia="es-ES"/>
        </w:rPr>
      </w:pPr>
      <w:r w:rsidRPr="002319A1">
        <w:rPr>
          <w:rFonts w:cstheme="minorHAnsi"/>
          <w:sz w:val="18"/>
          <w:szCs w:val="18"/>
          <w:lang w:val="es-ES" w:eastAsia="es-ES"/>
        </w:rPr>
        <w:t>Elaboración: STHV</w:t>
      </w:r>
    </w:p>
    <w:p w:rsidR="006128BD" w:rsidRPr="004206C9" w:rsidRDefault="006128BD" w:rsidP="006128BD">
      <w:pPr>
        <w:pStyle w:val="Prrafodelista"/>
        <w:numPr>
          <w:ilvl w:val="0"/>
          <w:numId w:val="9"/>
        </w:numPr>
        <w:spacing w:after="200" w:line="240" w:lineRule="auto"/>
        <w:jc w:val="both"/>
        <w:rPr>
          <w:rFonts w:cstheme="minorHAnsi"/>
        </w:rPr>
      </w:pPr>
      <w:r w:rsidRPr="004206C9">
        <w:rPr>
          <w:rFonts w:cstheme="minorHAnsi"/>
        </w:rPr>
        <w:lastRenderedPageBreak/>
        <w:t>Categoría A: Cambios en los que se evidencia un  criterio técnico que sustentó el cambio sobre la base de variables verificables en territorio, y apoyados en los recursos informáticos disponibles en la STHV.</w:t>
      </w:r>
    </w:p>
    <w:p w:rsidR="006128BD" w:rsidRPr="004206C9" w:rsidRDefault="006128BD" w:rsidP="006128BD">
      <w:pPr>
        <w:pStyle w:val="Prrafodelista"/>
        <w:numPr>
          <w:ilvl w:val="0"/>
          <w:numId w:val="9"/>
        </w:numPr>
        <w:spacing w:after="200" w:line="240" w:lineRule="auto"/>
        <w:jc w:val="both"/>
        <w:rPr>
          <w:rFonts w:cstheme="minorHAnsi"/>
        </w:rPr>
      </w:pPr>
      <w:r w:rsidRPr="004206C9">
        <w:rPr>
          <w:rFonts w:cstheme="minorHAnsi"/>
        </w:rPr>
        <w:t xml:space="preserve">Categoría B: Cambios en los que se sugiere una visita </w:t>
      </w:r>
      <w:r w:rsidR="004206C9" w:rsidRPr="004206C9">
        <w:rPr>
          <w:rFonts w:cstheme="minorHAnsi"/>
        </w:rPr>
        <w:t xml:space="preserve">de campo a fin de corroborar </w:t>
      </w:r>
      <w:r w:rsidRPr="004206C9">
        <w:rPr>
          <w:rFonts w:cstheme="minorHAnsi"/>
        </w:rPr>
        <w:t xml:space="preserve"> las variables territoriales utilizadas en el análisis que motivaron el cambio realizado por la STHV.</w:t>
      </w:r>
    </w:p>
    <w:p w:rsidR="006128BD" w:rsidRPr="004206C9" w:rsidRDefault="006128BD" w:rsidP="006128BD">
      <w:pPr>
        <w:pStyle w:val="Prrafodelista"/>
        <w:numPr>
          <w:ilvl w:val="0"/>
          <w:numId w:val="9"/>
        </w:numPr>
        <w:spacing w:after="200" w:line="240" w:lineRule="auto"/>
        <w:jc w:val="both"/>
        <w:rPr>
          <w:rFonts w:cstheme="minorHAnsi"/>
        </w:rPr>
      </w:pPr>
      <w:r w:rsidRPr="004206C9">
        <w:rPr>
          <w:rFonts w:cstheme="minorHAnsi"/>
        </w:rPr>
        <w:t>Categoría C: Cambio que podría requerir  de mesas de trabajo con la Comisión de Uso de Suelo, a fin de establecer las asignaciones de uso, zonificación y clasificación del suelo que esta zona tendrá.</w:t>
      </w:r>
    </w:p>
    <w:p w:rsidR="00EE6DFE" w:rsidRDefault="00AB5042" w:rsidP="00EE6DFE">
      <w:pPr>
        <w:jc w:val="both"/>
        <w:rPr>
          <w:rFonts w:ascii="Calibri" w:hAnsi="Calibri" w:cs="Calibri"/>
          <w:color w:val="000000" w:themeColor="text1"/>
          <w:sz w:val="20"/>
          <w:szCs w:val="20"/>
          <w:lang w:val="es-MX"/>
        </w:rPr>
      </w:pPr>
      <w:r w:rsidRPr="00AB5042">
        <w:rPr>
          <w:rFonts w:ascii="Calibri" w:hAnsi="Calibri" w:cs="Calibri"/>
          <w:sz w:val="20"/>
          <w:szCs w:val="20"/>
          <w:lang w:val="es-MX"/>
        </w:rPr>
        <w:t>Finalmente se realizó</w:t>
      </w:r>
      <w:r w:rsidR="00AA2F09" w:rsidRPr="00AB5042">
        <w:rPr>
          <w:rFonts w:ascii="Calibri" w:hAnsi="Calibri" w:cs="Calibri"/>
          <w:sz w:val="20"/>
          <w:szCs w:val="20"/>
          <w:lang w:val="es-MX"/>
        </w:rPr>
        <w:t xml:space="preserve"> un análisis de la temporalidad de los cambios con origen no determinado, donde se</w:t>
      </w:r>
      <w:r w:rsidRPr="00AB5042">
        <w:rPr>
          <w:rFonts w:ascii="Calibri" w:hAnsi="Calibri" w:cs="Calibri"/>
          <w:sz w:val="20"/>
          <w:szCs w:val="20"/>
          <w:lang w:val="es-MX"/>
        </w:rPr>
        <w:t xml:space="preserve"> determinó</w:t>
      </w:r>
      <w:r w:rsidR="00AA2F09" w:rsidRPr="00AB5042">
        <w:rPr>
          <w:rFonts w:ascii="Calibri" w:hAnsi="Calibri" w:cs="Calibri"/>
          <w:sz w:val="20"/>
          <w:szCs w:val="20"/>
          <w:lang w:val="es-MX"/>
        </w:rPr>
        <w:t xml:space="preserve"> que</w:t>
      </w:r>
      <w:r w:rsidR="00AA2F09" w:rsidRPr="00AB5042">
        <w:rPr>
          <w:rFonts w:ascii="Calibri" w:hAnsi="Calibri" w:cs="Calibri"/>
          <w:b/>
          <w:sz w:val="20"/>
          <w:szCs w:val="20"/>
          <w:lang w:val="es-MX"/>
        </w:rPr>
        <w:t xml:space="preserve"> </w:t>
      </w:r>
      <w:r w:rsidR="00AA2F09" w:rsidRPr="00AB5042">
        <w:rPr>
          <w:sz w:val="20"/>
          <w:szCs w:val="20"/>
        </w:rPr>
        <w:t>el 32% (11 cambios) de los cambios con origen no determinado, se encontraban en el PUOS en septiembre de 2015, es decir, previo a la separación del archivo en 4 partes para su actualización.</w:t>
      </w:r>
      <w:r w:rsidRPr="00AB5042">
        <w:rPr>
          <w:sz w:val="20"/>
          <w:szCs w:val="20"/>
        </w:rPr>
        <w:t xml:space="preserve"> Así mismo, se determinó</w:t>
      </w:r>
      <w:r w:rsidR="00AA2F09" w:rsidRPr="00AB5042">
        <w:rPr>
          <w:sz w:val="20"/>
          <w:szCs w:val="20"/>
        </w:rPr>
        <w:t xml:space="preserve"> que el 38% de lo</w:t>
      </w:r>
      <w:r w:rsidRPr="00AB5042">
        <w:rPr>
          <w:sz w:val="20"/>
          <w:szCs w:val="20"/>
        </w:rPr>
        <w:t>s cambios (13 casos) se realizaron</w:t>
      </w:r>
      <w:r w:rsidR="00AA2F09" w:rsidRPr="00AB5042">
        <w:rPr>
          <w:sz w:val="20"/>
          <w:szCs w:val="20"/>
        </w:rPr>
        <w:t xml:space="preserve"> entre septiembre de 2015 y febrero de 2016, cuan</w:t>
      </w:r>
      <w:r w:rsidRPr="00AB5042">
        <w:rPr>
          <w:sz w:val="20"/>
          <w:szCs w:val="20"/>
        </w:rPr>
        <w:t>do se unificó</w:t>
      </w:r>
      <w:r w:rsidR="00AA2F09" w:rsidRPr="00AB5042">
        <w:rPr>
          <w:sz w:val="20"/>
          <w:szCs w:val="20"/>
        </w:rPr>
        <w:t xml:space="preserve"> el PUOS. Por otra parte, el 18% de lo</w:t>
      </w:r>
      <w:r w:rsidRPr="00AB5042">
        <w:rPr>
          <w:sz w:val="20"/>
          <w:szCs w:val="20"/>
        </w:rPr>
        <w:t>s cambios (6 casos), se realizaron</w:t>
      </w:r>
      <w:r w:rsidR="00AA2F09" w:rsidRPr="00AB5042">
        <w:rPr>
          <w:sz w:val="20"/>
          <w:szCs w:val="20"/>
        </w:rPr>
        <w:t xml:space="preserve"> sobre la capa unificada del PUOS, previo a su sanción en julio del 2015. Finalmente, el 12% de los cambios (</w:t>
      </w:r>
      <w:r w:rsidRPr="00AB5042">
        <w:rPr>
          <w:sz w:val="20"/>
          <w:szCs w:val="20"/>
        </w:rPr>
        <w:t>4 casos), se realizaron</w:t>
      </w:r>
      <w:r w:rsidR="00AA2F09" w:rsidRPr="00AB5042">
        <w:rPr>
          <w:sz w:val="20"/>
          <w:szCs w:val="20"/>
        </w:rPr>
        <w:t xml:space="preserve"> posterior a la puesta en vigencia de la Ord. 127.</w:t>
      </w:r>
      <w:r w:rsidR="00EE6DFE">
        <w:rPr>
          <w:sz w:val="20"/>
          <w:szCs w:val="20"/>
        </w:rPr>
        <w:t xml:space="preserve">  </w:t>
      </w:r>
      <w:r w:rsidR="00EE6DFE">
        <w:rPr>
          <w:rFonts w:ascii="Calibri" w:hAnsi="Calibri" w:cs="Calibri"/>
          <w:color w:val="000000" w:themeColor="text1"/>
          <w:sz w:val="20"/>
          <w:szCs w:val="20"/>
          <w:lang w:val="es-MX"/>
        </w:rPr>
        <w:t>Los resultados se resumen en la tabla nº 5:</w:t>
      </w:r>
    </w:p>
    <w:p w:rsidR="007C7DC8" w:rsidRDefault="007C7DC8" w:rsidP="007C7DC8">
      <w:pPr>
        <w:pStyle w:val="Textoindependiente"/>
        <w:ind w:left="720"/>
        <w:jc w:val="center"/>
        <w:rPr>
          <w:rFonts w:ascii="Calibri" w:hAnsi="Calibri" w:cs="Calibri"/>
          <w:b/>
          <w:color w:val="000000" w:themeColor="text1"/>
          <w:sz w:val="20"/>
          <w:szCs w:val="20"/>
          <w:lang w:val="es-MX"/>
        </w:rPr>
      </w:pPr>
      <w:r>
        <w:rPr>
          <w:rFonts w:ascii="Calibri" w:hAnsi="Calibri" w:cs="Calibri"/>
          <w:b/>
          <w:color w:val="000000" w:themeColor="text1"/>
          <w:sz w:val="20"/>
          <w:szCs w:val="20"/>
          <w:lang w:val="es-MX"/>
        </w:rPr>
        <w:t>Tabla No. 5</w:t>
      </w:r>
      <w:r w:rsidRPr="00C3262A">
        <w:rPr>
          <w:rFonts w:ascii="Calibri" w:hAnsi="Calibri" w:cs="Calibri"/>
          <w:b/>
          <w:color w:val="000000" w:themeColor="text1"/>
          <w:sz w:val="20"/>
          <w:szCs w:val="20"/>
          <w:lang w:val="es-MX"/>
        </w:rPr>
        <w:t xml:space="preserve">   </w:t>
      </w:r>
      <w:r>
        <w:rPr>
          <w:rFonts w:ascii="Calibri" w:hAnsi="Calibri" w:cs="Calibri"/>
          <w:b/>
          <w:color w:val="000000" w:themeColor="text1"/>
          <w:sz w:val="20"/>
          <w:szCs w:val="20"/>
          <w:lang w:val="es-MX"/>
        </w:rPr>
        <w:t>TEMPORALIDAD DE LOS CAMBIOS CON ORIGEN NO DETERMINADO</w:t>
      </w:r>
    </w:p>
    <w:tbl>
      <w:tblPr>
        <w:tblStyle w:val="Tabladecuadrcula4-nfasis11"/>
        <w:tblW w:w="7105" w:type="dxa"/>
        <w:jc w:val="center"/>
        <w:tblLook w:val="04A0" w:firstRow="1" w:lastRow="0" w:firstColumn="1" w:lastColumn="0" w:noHBand="0" w:noVBand="1"/>
      </w:tblPr>
      <w:tblGrid>
        <w:gridCol w:w="2427"/>
        <w:gridCol w:w="1420"/>
        <w:gridCol w:w="1557"/>
        <w:gridCol w:w="1701"/>
      </w:tblGrid>
      <w:tr w:rsidR="00444021" w:rsidRPr="00A9307B" w:rsidTr="004206C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2F7F95" w:rsidRDefault="00444021" w:rsidP="004E177A">
            <w:pPr>
              <w:jc w:val="center"/>
              <w:rPr>
                <w:rFonts w:ascii="Calibri" w:eastAsia="Times New Roman" w:hAnsi="Calibri" w:cs="Times New Roman"/>
                <w:lang w:eastAsia="es-EC"/>
              </w:rPr>
            </w:pPr>
            <w:r w:rsidRPr="002F7F95">
              <w:rPr>
                <w:rFonts w:ascii="Calibri" w:eastAsia="Times New Roman" w:hAnsi="Calibri" w:cs="Times New Roman"/>
                <w:lang w:eastAsia="es-EC"/>
              </w:rPr>
              <w:t>Ubicación del archivo</w:t>
            </w:r>
          </w:p>
        </w:tc>
        <w:tc>
          <w:tcPr>
            <w:tcW w:w="1420" w:type="dxa"/>
            <w:noWrap/>
            <w:hideMark/>
          </w:tcPr>
          <w:p w:rsidR="00444021" w:rsidRPr="002F7F95" w:rsidRDefault="00444021" w:rsidP="004E17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2F7F95">
              <w:rPr>
                <w:rFonts w:ascii="Calibri" w:eastAsia="Times New Roman" w:hAnsi="Calibri" w:cs="Times New Roman"/>
                <w:lang w:eastAsia="es-EC"/>
              </w:rPr>
              <w:t>Nº cambios</w:t>
            </w:r>
          </w:p>
        </w:tc>
        <w:tc>
          <w:tcPr>
            <w:tcW w:w="1557" w:type="dxa"/>
            <w:noWrap/>
            <w:hideMark/>
          </w:tcPr>
          <w:p w:rsidR="00444021" w:rsidRPr="002F7F95" w:rsidRDefault="00444021" w:rsidP="004E17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2F7F95">
              <w:rPr>
                <w:rFonts w:ascii="Calibri" w:eastAsia="Times New Roman" w:hAnsi="Calibri" w:cs="Times New Roman"/>
                <w:lang w:eastAsia="es-EC"/>
              </w:rPr>
              <w:t>Porcentaje</w:t>
            </w:r>
          </w:p>
        </w:tc>
        <w:tc>
          <w:tcPr>
            <w:tcW w:w="1701" w:type="dxa"/>
            <w:hideMark/>
          </w:tcPr>
          <w:p w:rsidR="00444021" w:rsidRPr="007C7DC8" w:rsidRDefault="00444021" w:rsidP="004E17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7C7DC8">
              <w:rPr>
                <w:rFonts w:ascii="Calibri" w:eastAsia="Times New Roman" w:hAnsi="Calibri" w:cs="Times New Roman"/>
                <w:lang w:eastAsia="es-EC"/>
              </w:rPr>
              <w:t xml:space="preserve">Porcentaje </w:t>
            </w:r>
            <w:r w:rsidRPr="007C7DC8">
              <w:rPr>
                <w:rFonts w:ascii="Calibri" w:eastAsia="Times New Roman" w:hAnsi="Calibri" w:cs="Times New Roman"/>
                <w:lang w:eastAsia="es-EC"/>
              </w:rPr>
              <w:br/>
              <w:t>acumulado</w:t>
            </w:r>
          </w:p>
        </w:tc>
      </w:tr>
      <w:tr w:rsidR="00444021" w:rsidRPr="00A9307B" w:rsidTr="004206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A9307B" w:rsidRDefault="00444021" w:rsidP="004E177A">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 xml:space="preserve">Archivo madre </w:t>
            </w:r>
            <w:r w:rsidRPr="00A9307B">
              <w:rPr>
                <w:rFonts w:ascii="Calibri" w:eastAsia="Times New Roman" w:hAnsi="Calibri" w:cs="Times New Roman"/>
                <w:color w:val="000000"/>
                <w:lang w:eastAsia="es-EC"/>
              </w:rPr>
              <w:br/>
              <w:t>(febrero 2015)</w:t>
            </w:r>
          </w:p>
        </w:tc>
        <w:tc>
          <w:tcPr>
            <w:tcW w:w="1420" w:type="dxa"/>
            <w:noWrap/>
            <w:hideMark/>
          </w:tcPr>
          <w:p w:rsidR="00444021" w:rsidRPr="00A9307B"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5</w:t>
            </w:r>
          </w:p>
        </w:tc>
        <w:tc>
          <w:tcPr>
            <w:tcW w:w="1557" w:type="dxa"/>
            <w:noWrap/>
            <w:hideMark/>
          </w:tcPr>
          <w:p w:rsidR="00444021" w:rsidRPr="00A9307B"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15%</w:t>
            </w:r>
          </w:p>
        </w:tc>
        <w:tc>
          <w:tcPr>
            <w:tcW w:w="1701" w:type="dxa"/>
            <w:noWrap/>
            <w:hideMark/>
          </w:tcPr>
          <w:p w:rsidR="00444021" w:rsidRPr="007C7DC8"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C7DC8">
              <w:rPr>
                <w:rFonts w:ascii="Calibri" w:eastAsia="Times New Roman" w:hAnsi="Calibri" w:cs="Times New Roman"/>
                <w:b/>
                <w:color w:val="000000"/>
                <w:lang w:eastAsia="es-EC"/>
              </w:rPr>
              <w:t>15%</w:t>
            </w:r>
          </w:p>
        </w:tc>
      </w:tr>
      <w:tr w:rsidR="00444021" w:rsidRPr="00A9307B" w:rsidTr="004206C9">
        <w:trPr>
          <w:trHeight w:val="3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A9307B" w:rsidRDefault="00444021" w:rsidP="004E177A">
            <w:pPr>
              <w:rPr>
                <w:rFonts w:ascii="Calibri" w:eastAsia="Times New Roman" w:hAnsi="Calibri" w:cs="Times New Roman"/>
                <w:color w:val="000000"/>
                <w:lang w:eastAsia="es-EC"/>
              </w:rPr>
            </w:pPr>
            <w:proofErr w:type="spellStart"/>
            <w:r w:rsidRPr="00A9307B">
              <w:rPr>
                <w:rFonts w:ascii="Calibri" w:eastAsia="Times New Roman" w:hAnsi="Calibri" w:cs="Times New Roman"/>
                <w:color w:val="000000"/>
                <w:lang w:eastAsia="es-EC"/>
              </w:rPr>
              <w:t>Puos</w:t>
            </w:r>
            <w:proofErr w:type="spellEnd"/>
            <w:r w:rsidRPr="00A9307B">
              <w:rPr>
                <w:rFonts w:ascii="Calibri" w:eastAsia="Times New Roman" w:hAnsi="Calibri" w:cs="Times New Roman"/>
                <w:color w:val="000000"/>
                <w:lang w:eastAsia="es-EC"/>
              </w:rPr>
              <w:t xml:space="preserve"> septiembre 2015 </w:t>
            </w:r>
            <w:r w:rsidRPr="00A9307B">
              <w:rPr>
                <w:rFonts w:ascii="Calibri" w:eastAsia="Times New Roman" w:hAnsi="Calibri" w:cs="Times New Roman"/>
                <w:color w:val="000000"/>
                <w:lang w:eastAsia="es-EC"/>
              </w:rPr>
              <w:br/>
              <w:t>(antes de separar)</w:t>
            </w:r>
          </w:p>
        </w:tc>
        <w:tc>
          <w:tcPr>
            <w:tcW w:w="1420"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6</w:t>
            </w:r>
          </w:p>
        </w:tc>
        <w:tc>
          <w:tcPr>
            <w:tcW w:w="1557"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18%</w:t>
            </w:r>
          </w:p>
        </w:tc>
        <w:tc>
          <w:tcPr>
            <w:tcW w:w="1701" w:type="dxa"/>
            <w:noWrap/>
            <w:hideMark/>
          </w:tcPr>
          <w:p w:rsidR="00444021" w:rsidRPr="007C7DC8"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C7DC8">
              <w:rPr>
                <w:rFonts w:ascii="Calibri" w:eastAsia="Times New Roman" w:hAnsi="Calibri" w:cs="Times New Roman"/>
                <w:b/>
                <w:color w:val="000000"/>
                <w:lang w:eastAsia="es-EC"/>
              </w:rPr>
              <w:t>32%</w:t>
            </w:r>
          </w:p>
        </w:tc>
      </w:tr>
      <w:tr w:rsidR="00444021" w:rsidRPr="00A9307B" w:rsidTr="004206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A9307B" w:rsidRDefault="00444021" w:rsidP="004E177A">
            <w:pPr>
              <w:rPr>
                <w:rFonts w:ascii="Calibri" w:eastAsia="Times New Roman" w:hAnsi="Calibri" w:cs="Times New Roman"/>
                <w:color w:val="000000"/>
                <w:lang w:eastAsia="es-EC"/>
              </w:rPr>
            </w:pPr>
            <w:proofErr w:type="spellStart"/>
            <w:r w:rsidRPr="00A9307B">
              <w:rPr>
                <w:rFonts w:ascii="Calibri" w:eastAsia="Times New Roman" w:hAnsi="Calibri" w:cs="Times New Roman"/>
                <w:color w:val="000000"/>
                <w:lang w:eastAsia="es-EC"/>
              </w:rPr>
              <w:t>Puos</w:t>
            </w:r>
            <w:proofErr w:type="spellEnd"/>
            <w:r w:rsidRPr="00A9307B">
              <w:rPr>
                <w:rFonts w:ascii="Calibri" w:eastAsia="Times New Roman" w:hAnsi="Calibri" w:cs="Times New Roman"/>
                <w:color w:val="000000"/>
                <w:lang w:eastAsia="es-EC"/>
              </w:rPr>
              <w:t xml:space="preserve"> febrero 2016</w:t>
            </w:r>
            <w:r w:rsidRPr="00A9307B">
              <w:rPr>
                <w:rFonts w:ascii="Calibri" w:eastAsia="Times New Roman" w:hAnsi="Calibri" w:cs="Times New Roman"/>
                <w:color w:val="000000"/>
                <w:lang w:eastAsia="es-EC"/>
              </w:rPr>
              <w:br/>
              <w:t>( puos2016_inicial)</w:t>
            </w:r>
          </w:p>
        </w:tc>
        <w:tc>
          <w:tcPr>
            <w:tcW w:w="1420" w:type="dxa"/>
            <w:noWrap/>
            <w:hideMark/>
          </w:tcPr>
          <w:p w:rsidR="00444021" w:rsidRPr="00A9307B"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13</w:t>
            </w:r>
          </w:p>
        </w:tc>
        <w:tc>
          <w:tcPr>
            <w:tcW w:w="1557" w:type="dxa"/>
            <w:noWrap/>
            <w:hideMark/>
          </w:tcPr>
          <w:p w:rsidR="00444021" w:rsidRPr="00A9307B"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38%</w:t>
            </w:r>
          </w:p>
        </w:tc>
        <w:tc>
          <w:tcPr>
            <w:tcW w:w="1701" w:type="dxa"/>
            <w:noWrap/>
            <w:hideMark/>
          </w:tcPr>
          <w:p w:rsidR="00444021" w:rsidRPr="007C7DC8"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C7DC8">
              <w:rPr>
                <w:rFonts w:ascii="Calibri" w:eastAsia="Times New Roman" w:hAnsi="Calibri" w:cs="Times New Roman"/>
                <w:b/>
                <w:color w:val="000000"/>
                <w:lang w:eastAsia="es-EC"/>
              </w:rPr>
              <w:t>71%</w:t>
            </w:r>
          </w:p>
        </w:tc>
      </w:tr>
      <w:tr w:rsidR="00444021" w:rsidRPr="00A9307B" w:rsidTr="004206C9">
        <w:trPr>
          <w:trHeight w:val="3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A9307B" w:rsidRDefault="00444021" w:rsidP="004E177A">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 xml:space="preserve">Ord. 127 </w:t>
            </w:r>
            <w:r w:rsidRPr="00A9307B">
              <w:rPr>
                <w:rFonts w:ascii="Calibri" w:eastAsia="Times New Roman" w:hAnsi="Calibri" w:cs="Times New Roman"/>
                <w:color w:val="000000"/>
                <w:lang w:eastAsia="es-EC"/>
              </w:rPr>
              <w:br/>
              <w:t>(25 julio 2016)</w:t>
            </w:r>
          </w:p>
        </w:tc>
        <w:tc>
          <w:tcPr>
            <w:tcW w:w="1420"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6</w:t>
            </w:r>
          </w:p>
        </w:tc>
        <w:tc>
          <w:tcPr>
            <w:tcW w:w="1557"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18%</w:t>
            </w:r>
          </w:p>
        </w:tc>
        <w:tc>
          <w:tcPr>
            <w:tcW w:w="1701" w:type="dxa"/>
            <w:noWrap/>
            <w:hideMark/>
          </w:tcPr>
          <w:p w:rsidR="00444021" w:rsidRPr="007C7DC8"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C7DC8">
              <w:rPr>
                <w:rFonts w:ascii="Calibri" w:eastAsia="Times New Roman" w:hAnsi="Calibri" w:cs="Times New Roman"/>
                <w:b/>
                <w:color w:val="000000"/>
                <w:lang w:eastAsia="es-EC"/>
              </w:rPr>
              <w:t>88%</w:t>
            </w:r>
          </w:p>
        </w:tc>
      </w:tr>
      <w:tr w:rsidR="00444021" w:rsidRPr="00A9307B" w:rsidTr="004206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A9307B" w:rsidRDefault="00444021" w:rsidP="004E177A">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Posterior a Ord. 127</w:t>
            </w:r>
            <w:r w:rsidRPr="00A9307B">
              <w:rPr>
                <w:rFonts w:ascii="Calibri" w:eastAsia="Times New Roman" w:hAnsi="Calibri" w:cs="Times New Roman"/>
                <w:color w:val="000000"/>
                <w:lang w:eastAsia="es-EC"/>
              </w:rPr>
              <w:br/>
              <w:t xml:space="preserve">( </w:t>
            </w:r>
            <w:proofErr w:type="spellStart"/>
            <w:r w:rsidRPr="00A9307B">
              <w:rPr>
                <w:rFonts w:ascii="Calibri" w:eastAsia="Times New Roman" w:hAnsi="Calibri" w:cs="Times New Roman"/>
                <w:color w:val="000000"/>
                <w:lang w:eastAsia="es-EC"/>
              </w:rPr>
              <w:t>puos</w:t>
            </w:r>
            <w:proofErr w:type="spellEnd"/>
            <w:r w:rsidRPr="00A9307B">
              <w:rPr>
                <w:rFonts w:ascii="Calibri" w:eastAsia="Times New Roman" w:hAnsi="Calibri" w:cs="Times New Roman"/>
                <w:color w:val="000000"/>
                <w:lang w:eastAsia="es-EC"/>
              </w:rPr>
              <w:t xml:space="preserve"> 18 abril 2017)</w:t>
            </w:r>
          </w:p>
        </w:tc>
        <w:tc>
          <w:tcPr>
            <w:tcW w:w="1420" w:type="dxa"/>
            <w:noWrap/>
            <w:hideMark/>
          </w:tcPr>
          <w:p w:rsidR="00444021" w:rsidRPr="00A9307B"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4</w:t>
            </w:r>
          </w:p>
        </w:tc>
        <w:tc>
          <w:tcPr>
            <w:tcW w:w="1557" w:type="dxa"/>
            <w:noWrap/>
            <w:hideMark/>
          </w:tcPr>
          <w:p w:rsidR="00444021" w:rsidRPr="00A9307B"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12%</w:t>
            </w:r>
          </w:p>
        </w:tc>
        <w:tc>
          <w:tcPr>
            <w:tcW w:w="1701" w:type="dxa"/>
            <w:noWrap/>
            <w:hideMark/>
          </w:tcPr>
          <w:p w:rsidR="00444021" w:rsidRPr="007C7DC8" w:rsidRDefault="00444021" w:rsidP="004E17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C7DC8">
              <w:rPr>
                <w:rFonts w:ascii="Calibri" w:eastAsia="Times New Roman" w:hAnsi="Calibri" w:cs="Times New Roman"/>
                <w:b/>
                <w:color w:val="000000"/>
                <w:lang w:eastAsia="es-EC"/>
              </w:rPr>
              <w:t>100%</w:t>
            </w:r>
          </w:p>
        </w:tc>
      </w:tr>
      <w:tr w:rsidR="00444021" w:rsidRPr="00A9307B" w:rsidTr="004206C9">
        <w:trPr>
          <w:trHeight w:val="300"/>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444021" w:rsidRPr="00A9307B" w:rsidRDefault="00444021" w:rsidP="004E177A">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Total general</w:t>
            </w:r>
          </w:p>
        </w:tc>
        <w:tc>
          <w:tcPr>
            <w:tcW w:w="1420"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EC"/>
              </w:rPr>
            </w:pPr>
            <w:r w:rsidRPr="00A9307B">
              <w:rPr>
                <w:rFonts w:ascii="Calibri" w:eastAsia="Times New Roman" w:hAnsi="Calibri" w:cs="Times New Roman"/>
                <w:b/>
                <w:bCs/>
                <w:color w:val="000000"/>
                <w:lang w:eastAsia="es-EC"/>
              </w:rPr>
              <w:t>34</w:t>
            </w:r>
          </w:p>
        </w:tc>
        <w:tc>
          <w:tcPr>
            <w:tcW w:w="1557"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EC"/>
              </w:rPr>
            </w:pPr>
            <w:r w:rsidRPr="00A9307B">
              <w:rPr>
                <w:rFonts w:ascii="Calibri" w:eastAsia="Times New Roman" w:hAnsi="Calibri" w:cs="Times New Roman"/>
                <w:b/>
                <w:bCs/>
                <w:color w:val="000000"/>
                <w:lang w:eastAsia="es-EC"/>
              </w:rPr>
              <w:t>100%</w:t>
            </w:r>
          </w:p>
        </w:tc>
        <w:tc>
          <w:tcPr>
            <w:tcW w:w="1701" w:type="dxa"/>
            <w:noWrap/>
            <w:hideMark/>
          </w:tcPr>
          <w:p w:rsidR="00444021" w:rsidRPr="00A9307B" w:rsidRDefault="00444021" w:rsidP="004E17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p>
        </w:tc>
      </w:tr>
    </w:tbl>
    <w:p w:rsidR="00444021" w:rsidRPr="002319A1" w:rsidRDefault="00444021" w:rsidP="00444021">
      <w:pPr>
        <w:spacing w:after="0" w:line="240" w:lineRule="auto"/>
        <w:ind w:left="708" w:firstLine="708"/>
        <w:jc w:val="both"/>
        <w:rPr>
          <w:rFonts w:cstheme="minorHAnsi"/>
          <w:sz w:val="18"/>
          <w:szCs w:val="18"/>
          <w:lang w:val="es-ES" w:eastAsia="es-ES"/>
        </w:rPr>
      </w:pPr>
      <w:r w:rsidRPr="002319A1">
        <w:rPr>
          <w:rFonts w:cstheme="minorHAnsi"/>
          <w:sz w:val="18"/>
          <w:szCs w:val="18"/>
          <w:lang w:val="es-ES" w:eastAsia="es-ES"/>
        </w:rPr>
        <w:t>Elaboración: STHV</w:t>
      </w:r>
    </w:p>
    <w:p w:rsidR="00444021" w:rsidRDefault="00444021" w:rsidP="00AA2F09">
      <w:pPr>
        <w:pStyle w:val="Textoindependiente"/>
        <w:ind w:left="720"/>
        <w:rPr>
          <w:rFonts w:ascii="Calibri" w:hAnsi="Calibri" w:cs="Calibri"/>
          <w:b/>
          <w:sz w:val="20"/>
          <w:szCs w:val="20"/>
          <w:lang w:val="es-MX"/>
        </w:rPr>
      </w:pPr>
    </w:p>
    <w:p w:rsidR="00444021" w:rsidRDefault="00444021" w:rsidP="00AA2F09">
      <w:pPr>
        <w:pStyle w:val="Textoindependiente"/>
        <w:ind w:left="720"/>
        <w:rPr>
          <w:rFonts w:ascii="Calibri" w:hAnsi="Calibri" w:cs="Calibri"/>
          <w:b/>
          <w:sz w:val="20"/>
          <w:szCs w:val="20"/>
          <w:lang w:val="es-MX"/>
        </w:rPr>
      </w:pPr>
    </w:p>
    <w:p w:rsidR="004E1B99" w:rsidRDefault="004E1B99" w:rsidP="004E1B99">
      <w:pPr>
        <w:pStyle w:val="Textoindependiente"/>
        <w:rPr>
          <w:rFonts w:ascii="Calibri" w:hAnsi="Calibri" w:cs="Calibri"/>
          <w:b/>
          <w:sz w:val="20"/>
          <w:szCs w:val="20"/>
          <w:lang w:val="es-MX"/>
        </w:rPr>
      </w:pPr>
      <w:r>
        <w:rPr>
          <w:rFonts w:ascii="Calibri" w:hAnsi="Calibri" w:cs="Calibri"/>
          <w:b/>
          <w:sz w:val="20"/>
          <w:szCs w:val="20"/>
          <w:lang w:val="es-MX"/>
        </w:rPr>
        <w:t>Conclusiones</w:t>
      </w:r>
    </w:p>
    <w:p w:rsidR="004E1B99" w:rsidRDefault="004E1B99" w:rsidP="004E1B99">
      <w:pPr>
        <w:pStyle w:val="Textoindependiente"/>
        <w:rPr>
          <w:rFonts w:ascii="Calibri" w:hAnsi="Calibri" w:cs="Calibri"/>
          <w:b/>
          <w:sz w:val="20"/>
          <w:szCs w:val="20"/>
          <w:lang w:val="es-MX"/>
        </w:rPr>
      </w:pPr>
    </w:p>
    <w:p w:rsidR="004E1B99" w:rsidRDefault="004E1B99" w:rsidP="004E1B99">
      <w:pPr>
        <w:pStyle w:val="Textoindependiente"/>
        <w:rPr>
          <w:rFonts w:ascii="Calibri" w:hAnsi="Calibri" w:cs="Calibri"/>
          <w:b/>
          <w:sz w:val="20"/>
          <w:szCs w:val="20"/>
          <w:lang w:val="es-MX"/>
        </w:rPr>
      </w:pPr>
      <w:r w:rsidRPr="005C10A8">
        <w:rPr>
          <w:rFonts w:ascii="Calibri" w:hAnsi="Calibri" w:cs="Calibri"/>
          <w:color w:val="000000" w:themeColor="text1"/>
          <w:sz w:val="20"/>
          <w:szCs w:val="20"/>
          <w:lang w:val="es-MX"/>
        </w:rPr>
        <w:t>Una vez analizados cada uno de los casos se concluye que:</w:t>
      </w:r>
    </w:p>
    <w:p w:rsidR="004E1B99" w:rsidRDefault="004E1B99" w:rsidP="004E1B99">
      <w:pPr>
        <w:pStyle w:val="Textoindependiente"/>
        <w:rPr>
          <w:rFonts w:ascii="Calibri" w:hAnsi="Calibri" w:cs="Calibri"/>
          <w:b/>
          <w:sz w:val="20"/>
          <w:szCs w:val="20"/>
          <w:lang w:val="es-MX"/>
        </w:rPr>
      </w:pPr>
    </w:p>
    <w:p w:rsidR="004E1B99" w:rsidRPr="004206C9" w:rsidRDefault="004E1B99" w:rsidP="007C7DC8">
      <w:pPr>
        <w:pStyle w:val="Textoindependiente"/>
        <w:numPr>
          <w:ilvl w:val="0"/>
          <w:numId w:val="17"/>
        </w:numPr>
        <w:ind w:left="851"/>
        <w:rPr>
          <w:rFonts w:ascii="Calibri" w:hAnsi="Calibri" w:cs="Calibri"/>
          <w:color w:val="000000" w:themeColor="text1"/>
          <w:sz w:val="20"/>
          <w:szCs w:val="20"/>
          <w:lang w:val="es-MX"/>
        </w:rPr>
      </w:pPr>
      <w:r w:rsidRPr="004206C9">
        <w:rPr>
          <w:rFonts w:ascii="Calibri" w:hAnsi="Calibri" w:cs="Calibri"/>
          <w:color w:val="000000" w:themeColor="text1"/>
          <w:sz w:val="20"/>
          <w:szCs w:val="20"/>
          <w:lang w:val="es-MX"/>
        </w:rPr>
        <w:t xml:space="preserve">La mayor cantidad de los casos </w:t>
      </w:r>
      <w:r w:rsidR="0090067A" w:rsidRPr="004206C9">
        <w:rPr>
          <w:rFonts w:ascii="Calibri" w:hAnsi="Calibri" w:cs="Calibri"/>
          <w:color w:val="000000" w:themeColor="text1"/>
          <w:sz w:val="20"/>
          <w:szCs w:val="20"/>
          <w:lang w:val="es-MX"/>
        </w:rPr>
        <w:t xml:space="preserve">ya se habían ingresado por parte de la DMPPS de la Secretaría de Territorio, </w:t>
      </w:r>
      <w:r w:rsidRPr="004206C9">
        <w:rPr>
          <w:rFonts w:ascii="Calibri" w:hAnsi="Calibri" w:cs="Calibri"/>
          <w:color w:val="000000" w:themeColor="text1"/>
          <w:sz w:val="20"/>
          <w:szCs w:val="20"/>
          <w:lang w:val="es-MX"/>
        </w:rPr>
        <w:t xml:space="preserve">antes de la </w:t>
      </w:r>
      <w:r w:rsidR="004206C9" w:rsidRPr="004206C9">
        <w:rPr>
          <w:rFonts w:ascii="Calibri" w:hAnsi="Calibri" w:cs="Calibri"/>
          <w:color w:val="000000" w:themeColor="text1"/>
          <w:sz w:val="20"/>
          <w:szCs w:val="20"/>
          <w:lang w:val="es-MX"/>
        </w:rPr>
        <w:t xml:space="preserve">sanción de la </w:t>
      </w:r>
      <w:r w:rsidR="002140F3" w:rsidRPr="004206C9">
        <w:rPr>
          <w:rFonts w:ascii="Calibri" w:hAnsi="Calibri" w:cs="Calibri"/>
          <w:color w:val="000000" w:themeColor="text1"/>
          <w:sz w:val="20"/>
          <w:szCs w:val="20"/>
          <w:lang w:val="es-MX"/>
        </w:rPr>
        <w:t xml:space="preserve"> </w:t>
      </w:r>
      <w:r w:rsidR="005B3D14" w:rsidRPr="004206C9">
        <w:rPr>
          <w:rFonts w:ascii="Calibri" w:hAnsi="Calibri" w:cs="Calibri"/>
          <w:color w:val="000000" w:themeColor="text1"/>
          <w:sz w:val="20"/>
          <w:szCs w:val="20"/>
          <w:lang w:val="es-MX"/>
        </w:rPr>
        <w:t>Ordenanza nº 127</w:t>
      </w:r>
      <w:r w:rsidR="004206C9" w:rsidRPr="004206C9">
        <w:rPr>
          <w:rFonts w:ascii="Calibri" w:hAnsi="Calibri" w:cs="Calibri"/>
          <w:color w:val="000000" w:themeColor="text1"/>
          <w:sz w:val="20"/>
          <w:szCs w:val="20"/>
          <w:lang w:val="es-MX"/>
        </w:rPr>
        <w:t xml:space="preserve"> el 25 de julio de 2016 </w:t>
      </w:r>
      <w:r w:rsidR="005B3D14" w:rsidRPr="004206C9">
        <w:rPr>
          <w:rFonts w:ascii="Calibri" w:hAnsi="Calibri" w:cs="Calibri"/>
          <w:color w:val="000000" w:themeColor="text1"/>
          <w:sz w:val="20"/>
          <w:szCs w:val="20"/>
          <w:lang w:val="es-MX"/>
        </w:rPr>
        <w:t xml:space="preserve"> y representan el 93</w:t>
      </w:r>
      <w:r w:rsidRPr="004206C9">
        <w:rPr>
          <w:rFonts w:ascii="Calibri" w:hAnsi="Calibri" w:cs="Calibri"/>
          <w:color w:val="000000" w:themeColor="text1"/>
          <w:sz w:val="20"/>
          <w:szCs w:val="20"/>
          <w:lang w:val="es-MX"/>
        </w:rPr>
        <w:t>,</w:t>
      </w:r>
      <w:r w:rsidR="005B3D14" w:rsidRPr="004206C9">
        <w:rPr>
          <w:rFonts w:ascii="Calibri" w:hAnsi="Calibri" w:cs="Calibri"/>
          <w:color w:val="000000" w:themeColor="text1"/>
          <w:sz w:val="20"/>
          <w:szCs w:val="20"/>
          <w:lang w:val="es-MX"/>
        </w:rPr>
        <w:t>8</w:t>
      </w:r>
      <w:r w:rsidRPr="004206C9">
        <w:rPr>
          <w:rFonts w:ascii="Calibri" w:hAnsi="Calibri" w:cs="Calibri"/>
          <w:color w:val="000000" w:themeColor="text1"/>
          <w:sz w:val="20"/>
          <w:szCs w:val="20"/>
          <w:lang w:val="es-MX"/>
        </w:rPr>
        <w:t>% de la totalidad de los casos.</w:t>
      </w:r>
    </w:p>
    <w:p w:rsidR="004E1B99" w:rsidRPr="004206C9" w:rsidRDefault="004E1B99" w:rsidP="007C7DC8">
      <w:pPr>
        <w:pStyle w:val="Textoindependiente"/>
        <w:numPr>
          <w:ilvl w:val="0"/>
          <w:numId w:val="17"/>
        </w:numPr>
        <w:ind w:left="851"/>
        <w:rPr>
          <w:rFonts w:ascii="Calibri" w:hAnsi="Calibri" w:cs="Calibri"/>
          <w:sz w:val="20"/>
          <w:szCs w:val="20"/>
          <w:lang w:val="es-MX"/>
        </w:rPr>
      </w:pPr>
      <w:r w:rsidRPr="004206C9">
        <w:rPr>
          <w:rFonts w:ascii="Calibri" w:hAnsi="Calibri" w:cs="Calibri"/>
          <w:sz w:val="20"/>
          <w:szCs w:val="20"/>
          <w:lang w:val="es-MX"/>
        </w:rPr>
        <w:t>La mayor cantidad de cambios se producen por el motivo “Criterio técnico” lo cual corresponde a</w:t>
      </w:r>
      <w:r w:rsidR="0034312D" w:rsidRPr="004206C9">
        <w:rPr>
          <w:rFonts w:ascii="Calibri" w:hAnsi="Calibri" w:cs="Calibri"/>
          <w:sz w:val="20"/>
          <w:szCs w:val="20"/>
          <w:lang w:val="es-MX"/>
        </w:rPr>
        <w:t xml:space="preserve"> argumentos técnicos de</w:t>
      </w:r>
      <w:r w:rsidRPr="004206C9">
        <w:rPr>
          <w:rFonts w:ascii="Calibri" w:hAnsi="Calibri" w:cs="Calibri"/>
          <w:sz w:val="20"/>
          <w:szCs w:val="20"/>
          <w:lang w:val="es-MX"/>
        </w:rPr>
        <w:t xml:space="preserve"> la</w:t>
      </w:r>
      <w:r w:rsidR="0090067A" w:rsidRPr="004206C9">
        <w:rPr>
          <w:rFonts w:ascii="Calibri" w:hAnsi="Calibri" w:cs="Calibri"/>
          <w:sz w:val="20"/>
          <w:szCs w:val="20"/>
          <w:lang w:val="es-MX"/>
        </w:rPr>
        <w:t xml:space="preserve"> DMPPS de la</w:t>
      </w:r>
      <w:r w:rsidRPr="004206C9">
        <w:rPr>
          <w:rFonts w:ascii="Calibri" w:hAnsi="Calibri" w:cs="Calibri"/>
          <w:sz w:val="20"/>
          <w:szCs w:val="20"/>
          <w:lang w:val="es-MX"/>
        </w:rPr>
        <w:t xml:space="preserve"> STHV con el fin de acercar el PUOS a la realidad territorial del DMQ,</w:t>
      </w:r>
      <w:r w:rsidR="0034312D" w:rsidRPr="004206C9">
        <w:rPr>
          <w:rFonts w:ascii="Calibri" w:hAnsi="Calibri" w:cs="Calibri"/>
          <w:sz w:val="20"/>
          <w:szCs w:val="20"/>
          <w:lang w:val="es-MX"/>
        </w:rPr>
        <w:t xml:space="preserve"> lo </w:t>
      </w:r>
      <w:r w:rsidRPr="004206C9">
        <w:rPr>
          <w:rFonts w:ascii="Calibri" w:hAnsi="Calibri" w:cs="Calibri"/>
          <w:sz w:val="20"/>
          <w:szCs w:val="20"/>
          <w:lang w:val="es-MX"/>
        </w:rPr>
        <w:t xml:space="preserve">que </w:t>
      </w:r>
      <w:r w:rsidR="005B3D14" w:rsidRPr="004206C9">
        <w:rPr>
          <w:rFonts w:ascii="Calibri" w:hAnsi="Calibri" w:cs="Calibri"/>
          <w:sz w:val="20"/>
          <w:szCs w:val="20"/>
          <w:lang w:val="es-MX"/>
        </w:rPr>
        <w:t>representa el 48</w:t>
      </w:r>
      <w:r w:rsidRPr="004206C9">
        <w:rPr>
          <w:rFonts w:ascii="Calibri" w:hAnsi="Calibri" w:cs="Calibri"/>
          <w:sz w:val="20"/>
          <w:szCs w:val="20"/>
          <w:lang w:val="es-MX"/>
        </w:rPr>
        <w:t>% de los casos.</w:t>
      </w:r>
    </w:p>
    <w:p w:rsidR="004206C9" w:rsidRPr="00CF004B" w:rsidRDefault="004206C9" w:rsidP="004206C9">
      <w:pPr>
        <w:pStyle w:val="Textoindependiente"/>
        <w:numPr>
          <w:ilvl w:val="0"/>
          <w:numId w:val="17"/>
        </w:numPr>
        <w:ind w:left="851"/>
        <w:rPr>
          <w:rFonts w:ascii="Calibri" w:hAnsi="Calibri" w:cs="Calibri"/>
          <w:color w:val="000000" w:themeColor="text1"/>
          <w:sz w:val="20"/>
          <w:szCs w:val="20"/>
          <w:lang w:val="es-MX"/>
        </w:rPr>
      </w:pPr>
      <w:r w:rsidRPr="004206C9">
        <w:rPr>
          <w:rFonts w:ascii="Calibri" w:hAnsi="Calibri" w:cs="Calibri"/>
          <w:color w:val="000000" w:themeColor="text1"/>
          <w:sz w:val="20"/>
          <w:szCs w:val="20"/>
          <w:lang w:val="es-MX"/>
        </w:rPr>
        <w:t>De los 170 cambios que se realizan por un criterio técnico, se estab</w:t>
      </w:r>
      <w:r w:rsidR="00962388">
        <w:rPr>
          <w:rFonts w:ascii="Calibri" w:hAnsi="Calibri" w:cs="Calibri"/>
          <w:color w:val="000000" w:themeColor="text1"/>
          <w:sz w:val="20"/>
          <w:szCs w:val="20"/>
          <w:lang w:val="es-MX"/>
        </w:rPr>
        <w:t>lece que el 42.4</w:t>
      </w:r>
      <w:r w:rsidRPr="004206C9">
        <w:rPr>
          <w:rFonts w:ascii="Calibri" w:hAnsi="Calibri" w:cs="Calibri"/>
          <w:color w:val="000000" w:themeColor="text1"/>
          <w:sz w:val="20"/>
          <w:szCs w:val="20"/>
          <w:lang w:val="es-MX"/>
        </w:rPr>
        <w:t>% de los casos responden a un</w:t>
      </w:r>
      <w:r w:rsidR="00962388">
        <w:rPr>
          <w:rFonts w:ascii="Calibri" w:hAnsi="Calibri" w:cs="Calibri"/>
          <w:color w:val="000000" w:themeColor="text1"/>
          <w:sz w:val="20"/>
          <w:szCs w:val="20"/>
          <w:lang w:val="es-MX"/>
        </w:rPr>
        <w:t xml:space="preserve"> criterio de consolidación; </w:t>
      </w:r>
      <w:r w:rsidR="00A20A6B">
        <w:rPr>
          <w:rFonts w:ascii="Calibri" w:hAnsi="Calibri" w:cs="Calibri"/>
          <w:color w:val="000000" w:themeColor="text1"/>
          <w:sz w:val="20"/>
          <w:szCs w:val="20"/>
          <w:lang w:val="es-MX"/>
        </w:rPr>
        <w:t xml:space="preserve">y de igual manera </w:t>
      </w:r>
      <w:r w:rsidR="00962388">
        <w:rPr>
          <w:rFonts w:ascii="Calibri" w:hAnsi="Calibri" w:cs="Calibri"/>
          <w:color w:val="000000" w:themeColor="text1"/>
          <w:sz w:val="20"/>
          <w:szCs w:val="20"/>
          <w:lang w:val="es-MX"/>
        </w:rPr>
        <w:t>42.4</w:t>
      </w:r>
      <w:r w:rsidRPr="004206C9">
        <w:rPr>
          <w:rFonts w:ascii="Calibri" w:hAnsi="Calibri" w:cs="Calibri"/>
          <w:color w:val="000000" w:themeColor="text1"/>
          <w:sz w:val="20"/>
          <w:szCs w:val="20"/>
          <w:lang w:val="es-MX"/>
        </w:rPr>
        <w:t xml:space="preserve">% se realizaron por actividades económicas; 14.7% por encontrase en zonas de protección ecológica, establecidas por la Secretaría de Ambiente; y 0.6% se realizaron por una protección especial motivada por un informe de la EPMAPS, que </w:t>
      </w:r>
      <w:r w:rsidRPr="00CF004B">
        <w:rPr>
          <w:rFonts w:ascii="Calibri" w:hAnsi="Calibri" w:cs="Calibri"/>
          <w:color w:val="000000" w:themeColor="text1"/>
          <w:sz w:val="20"/>
          <w:szCs w:val="20"/>
          <w:lang w:val="es-MX"/>
        </w:rPr>
        <w:t>corresponde al caso denominado “El Troje”.</w:t>
      </w:r>
    </w:p>
    <w:p w:rsidR="004E1B99" w:rsidRPr="00CF004B" w:rsidRDefault="004E1B99" w:rsidP="007C7DC8">
      <w:pPr>
        <w:pStyle w:val="Textoindependiente"/>
        <w:numPr>
          <w:ilvl w:val="0"/>
          <w:numId w:val="17"/>
        </w:numPr>
        <w:ind w:left="851"/>
        <w:rPr>
          <w:rFonts w:ascii="Calibri" w:hAnsi="Calibri" w:cs="Calibri"/>
          <w:sz w:val="20"/>
          <w:szCs w:val="20"/>
          <w:lang w:val="es-MX"/>
        </w:rPr>
      </w:pPr>
      <w:r w:rsidRPr="00CF004B">
        <w:rPr>
          <w:rFonts w:ascii="Calibri" w:hAnsi="Calibri" w:cs="Calibri"/>
          <w:sz w:val="20"/>
          <w:szCs w:val="20"/>
          <w:lang w:val="es-MX"/>
        </w:rPr>
        <w:lastRenderedPageBreak/>
        <w:t xml:space="preserve">Los cambios </w:t>
      </w:r>
      <w:r w:rsidR="0034312D" w:rsidRPr="00CF004B">
        <w:rPr>
          <w:rFonts w:ascii="Calibri" w:hAnsi="Calibri" w:cs="Calibri"/>
          <w:sz w:val="20"/>
          <w:szCs w:val="20"/>
          <w:lang w:val="es-MX"/>
        </w:rPr>
        <w:t xml:space="preserve">sobre los </w:t>
      </w:r>
      <w:r w:rsidRPr="00CF004B">
        <w:rPr>
          <w:rFonts w:ascii="Calibri" w:hAnsi="Calibri" w:cs="Calibri"/>
          <w:sz w:val="20"/>
          <w:szCs w:val="20"/>
          <w:lang w:val="es-MX"/>
        </w:rPr>
        <w:t>que n</w:t>
      </w:r>
      <w:r w:rsidR="0034312D" w:rsidRPr="00CF004B">
        <w:rPr>
          <w:rFonts w:ascii="Calibri" w:hAnsi="Calibri" w:cs="Calibri"/>
          <w:sz w:val="20"/>
          <w:szCs w:val="20"/>
          <w:lang w:val="es-MX"/>
        </w:rPr>
        <w:t>o se pudo</w:t>
      </w:r>
      <w:r w:rsidRPr="00CF004B">
        <w:rPr>
          <w:rFonts w:ascii="Calibri" w:hAnsi="Calibri" w:cs="Calibri"/>
          <w:sz w:val="20"/>
          <w:szCs w:val="20"/>
          <w:lang w:val="es-MX"/>
        </w:rPr>
        <w:t xml:space="preserve"> deter</w:t>
      </w:r>
      <w:r w:rsidR="0034312D" w:rsidRPr="00CF004B">
        <w:rPr>
          <w:rFonts w:ascii="Calibri" w:hAnsi="Calibri" w:cs="Calibri"/>
          <w:sz w:val="20"/>
          <w:szCs w:val="20"/>
          <w:lang w:val="es-MX"/>
        </w:rPr>
        <w:t>minar su origen corresponden a 3</w:t>
      </w:r>
      <w:r w:rsidR="00A847CB" w:rsidRPr="00CF004B">
        <w:rPr>
          <w:rFonts w:ascii="Calibri" w:hAnsi="Calibri" w:cs="Calibri"/>
          <w:sz w:val="20"/>
          <w:szCs w:val="20"/>
          <w:lang w:val="es-MX"/>
        </w:rPr>
        <w:t>4</w:t>
      </w:r>
      <w:r w:rsidR="00A56518" w:rsidRPr="00CF004B">
        <w:rPr>
          <w:rFonts w:ascii="Calibri" w:hAnsi="Calibri" w:cs="Calibri"/>
          <w:sz w:val="20"/>
          <w:szCs w:val="20"/>
          <w:lang w:val="es-MX"/>
        </w:rPr>
        <w:t xml:space="preserve">  </w:t>
      </w:r>
      <w:r w:rsidR="00A847CB" w:rsidRPr="00CF004B">
        <w:rPr>
          <w:rFonts w:ascii="Calibri" w:hAnsi="Calibri" w:cs="Calibri"/>
          <w:sz w:val="20"/>
          <w:szCs w:val="20"/>
          <w:lang w:val="es-MX"/>
        </w:rPr>
        <w:t xml:space="preserve"> casos que representan el 9,6</w:t>
      </w:r>
      <w:r w:rsidRPr="00CF004B">
        <w:rPr>
          <w:rFonts w:ascii="Calibri" w:hAnsi="Calibri" w:cs="Calibri"/>
          <w:sz w:val="20"/>
          <w:szCs w:val="20"/>
          <w:lang w:val="es-MX"/>
        </w:rPr>
        <w:t>%</w:t>
      </w:r>
      <w:r w:rsidR="00A847CB" w:rsidRPr="00CF004B">
        <w:rPr>
          <w:rFonts w:ascii="Calibri" w:hAnsi="Calibri" w:cs="Calibri"/>
          <w:sz w:val="20"/>
          <w:szCs w:val="20"/>
          <w:lang w:val="es-MX"/>
        </w:rPr>
        <w:t xml:space="preserve"> del total</w:t>
      </w:r>
      <w:r w:rsidR="0034312D" w:rsidRPr="00CF004B">
        <w:rPr>
          <w:rFonts w:ascii="Calibri" w:hAnsi="Calibri" w:cs="Calibri"/>
          <w:sz w:val="20"/>
          <w:szCs w:val="20"/>
          <w:lang w:val="es-MX"/>
        </w:rPr>
        <w:t>.</w:t>
      </w:r>
      <w:r w:rsidR="00A847CB" w:rsidRPr="00CF004B">
        <w:rPr>
          <w:rFonts w:ascii="Calibri" w:hAnsi="Calibri" w:cs="Calibri"/>
          <w:sz w:val="20"/>
          <w:szCs w:val="20"/>
          <w:lang w:val="es-MX"/>
        </w:rPr>
        <w:t xml:space="preserve">  De los que 3</w:t>
      </w:r>
      <w:r w:rsidR="00046133" w:rsidRPr="00CF004B">
        <w:rPr>
          <w:rFonts w:ascii="Calibri" w:hAnsi="Calibri" w:cs="Calibri"/>
          <w:sz w:val="20"/>
          <w:szCs w:val="20"/>
          <w:lang w:val="es-MX"/>
        </w:rPr>
        <w:t>0</w:t>
      </w:r>
      <w:r w:rsidR="0090067A" w:rsidRPr="00CF004B">
        <w:rPr>
          <w:rFonts w:ascii="Calibri" w:hAnsi="Calibri" w:cs="Calibri"/>
          <w:sz w:val="20"/>
          <w:szCs w:val="20"/>
          <w:lang w:val="es-MX"/>
        </w:rPr>
        <w:t xml:space="preserve"> casos (8,8</w:t>
      </w:r>
      <w:r w:rsidR="00A56518" w:rsidRPr="00CF004B">
        <w:rPr>
          <w:rFonts w:ascii="Calibri" w:hAnsi="Calibri" w:cs="Calibri"/>
          <w:sz w:val="20"/>
          <w:szCs w:val="20"/>
          <w:lang w:val="es-MX"/>
        </w:rPr>
        <w:t>%</w:t>
      </w:r>
      <w:r w:rsidR="00A847CB" w:rsidRPr="00CF004B">
        <w:rPr>
          <w:rFonts w:ascii="Calibri" w:hAnsi="Calibri" w:cs="Calibri"/>
          <w:sz w:val="20"/>
          <w:szCs w:val="20"/>
          <w:lang w:val="es-MX"/>
        </w:rPr>
        <w:t xml:space="preserve"> del total</w:t>
      </w:r>
      <w:r w:rsidR="00A56518" w:rsidRPr="00CF004B">
        <w:rPr>
          <w:rFonts w:ascii="Calibri" w:hAnsi="Calibri" w:cs="Calibri"/>
          <w:sz w:val="20"/>
          <w:szCs w:val="20"/>
          <w:lang w:val="es-MX"/>
        </w:rPr>
        <w:t xml:space="preserve">)  se realizaron antes </w:t>
      </w:r>
      <w:r w:rsidR="00CF004B" w:rsidRPr="00CF004B">
        <w:rPr>
          <w:rFonts w:ascii="Calibri" w:hAnsi="Calibri" w:cs="Calibri"/>
          <w:sz w:val="20"/>
          <w:szCs w:val="20"/>
          <w:lang w:val="es-MX"/>
        </w:rPr>
        <w:t>y</w:t>
      </w:r>
      <w:r w:rsidR="005B3D14" w:rsidRPr="00CF004B">
        <w:rPr>
          <w:rFonts w:ascii="Calibri" w:hAnsi="Calibri" w:cs="Calibri"/>
          <w:sz w:val="20"/>
          <w:szCs w:val="20"/>
          <w:lang w:val="es-MX"/>
        </w:rPr>
        <w:t xml:space="preserve"> </w:t>
      </w:r>
      <w:r w:rsidR="00A847CB" w:rsidRPr="00CF004B">
        <w:rPr>
          <w:rFonts w:ascii="Calibri" w:hAnsi="Calibri" w:cs="Calibri"/>
          <w:sz w:val="20"/>
          <w:szCs w:val="20"/>
          <w:lang w:val="es-MX"/>
        </w:rPr>
        <w:t xml:space="preserve">  4</w:t>
      </w:r>
      <w:r w:rsidR="000010FB" w:rsidRPr="00CF004B">
        <w:rPr>
          <w:rFonts w:ascii="Calibri" w:hAnsi="Calibri" w:cs="Calibri"/>
          <w:sz w:val="20"/>
          <w:szCs w:val="20"/>
          <w:lang w:val="es-MX"/>
        </w:rPr>
        <w:t xml:space="preserve"> </w:t>
      </w:r>
      <w:r w:rsidR="005B3D14" w:rsidRPr="00CF004B">
        <w:rPr>
          <w:rFonts w:ascii="Calibri" w:hAnsi="Calibri" w:cs="Calibri"/>
          <w:sz w:val="20"/>
          <w:szCs w:val="20"/>
          <w:lang w:val="es-MX"/>
        </w:rPr>
        <w:t xml:space="preserve">cambios </w:t>
      </w:r>
      <w:r w:rsidR="000010FB" w:rsidRPr="00CF004B">
        <w:rPr>
          <w:rFonts w:ascii="Calibri" w:hAnsi="Calibri" w:cs="Calibri"/>
          <w:sz w:val="20"/>
          <w:szCs w:val="20"/>
          <w:lang w:val="es-MX"/>
        </w:rPr>
        <w:t>(1,1</w:t>
      </w:r>
      <w:r w:rsidR="00F06F8E" w:rsidRPr="00CF004B">
        <w:rPr>
          <w:rFonts w:ascii="Calibri" w:hAnsi="Calibri" w:cs="Calibri"/>
          <w:sz w:val="20"/>
          <w:szCs w:val="20"/>
          <w:lang w:val="es-MX"/>
        </w:rPr>
        <w:t>%</w:t>
      </w:r>
      <w:r w:rsidR="000010FB" w:rsidRPr="00CF004B">
        <w:rPr>
          <w:rFonts w:ascii="Calibri" w:hAnsi="Calibri" w:cs="Calibri"/>
          <w:sz w:val="20"/>
          <w:szCs w:val="20"/>
          <w:lang w:val="es-MX"/>
        </w:rPr>
        <w:t xml:space="preserve"> del total</w:t>
      </w:r>
      <w:r w:rsidR="00CF004B" w:rsidRPr="00CF004B">
        <w:rPr>
          <w:rFonts w:ascii="Calibri" w:hAnsi="Calibri" w:cs="Calibri"/>
          <w:sz w:val="20"/>
          <w:szCs w:val="20"/>
          <w:lang w:val="es-MX"/>
        </w:rPr>
        <w:t>)  después de la sanción de la Ordenanza nº 127.</w:t>
      </w:r>
    </w:p>
    <w:p w:rsidR="007F56AF" w:rsidRPr="003B0D48" w:rsidRDefault="007F56AF" w:rsidP="007C7DC8">
      <w:pPr>
        <w:pStyle w:val="Textoindependiente"/>
        <w:numPr>
          <w:ilvl w:val="0"/>
          <w:numId w:val="17"/>
        </w:numPr>
        <w:ind w:left="851"/>
        <w:rPr>
          <w:rFonts w:ascii="Calibri" w:hAnsi="Calibri" w:cs="Calibri"/>
          <w:color w:val="000000" w:themeColor="text1"/>
          <w:sz w:val="20"/>
          <w:szCs w:val="20"/>
          <w:lang w:val="es-MX"/>
        </w:rPr>
      </w:pPr>
      <w:r w:rsidRPr="003B0D48">
        <w:rPr>
          <w:rFonts w:ascii="Calibri" w:hAnsi="Calibri" w:cs="Calibri"/>
          <w:color w:val="000000" w:themeColor="text1"/>
          <w:sz w:val="20"/>
          <w:szCs w:val="20"/>
          <w:lang w:val="es-MX"/>
        </w:rPr>
        <w:t>De los cambios con origen no determinado el 32%  de los cambios con origen no determinado, se encontraban en el PUOS en septiembre de 2015, es decir, previo a la separación del archivo en 4 partes para su actualización. Así mismo, se deter</w:t>
      </w:r>
      <w:r w:rsidR="004E001D" w:rsidRPr="003B0D48">
        <w:rPr>
          <w:rFonts w:ascii="Calibri" w:hAnsi="Calibri" w:cs="Calibri"/>
          <w:color w:val="000000" w:themeColor="text1"/>
          <w:sz w:val="20"/>
          <w:szCs w:val="20"/>
          <w:lang w:val="es-MX"/>
        </w:rPr>
        <w:t xml:space="preserve">mina que el 38% de los cambios </w:t>
      </w:r>
      <w:r w:rsidR="00646D2C">
        <w:rPr>
          <w:rFonts w:ascii="Calibri" w:hAnsi="Calibri" w:cs="Calibri"/>
          <w:color w:val="000000" w:themeColor="text1"/>
          <w:sz w:val="20"/>
          <w:szCs w:val="20"/>
          <w:lang w:val="es-MX"/>
        </w:rPr>
        <w:t>se realizaron</w:t>
      </w:r>
      <w:r w:rsidRPr="003B0D48">
        <w:rPr>
          <w:rFonts w:ascii="Calibri" w:hAnsi="Calibri" w:cs="Calibri"/>
          <w:color w:val="000000" w:themeColor="text1"/>
          <w:sz w:val="20"/>
          <w:szCs w:val="20"/>
          <w:lang w:val="es-MX"/>
        </w:rPr>
        <w:t xml:space="preserve"> entre septiembre de 2015 y febrero de 2016, cuando </w:t>
      </w:r>
      <w:r w:rsidR="00646D2C">
        <w:rPr>
          <w:rFonts w:ascii="Calibri" w:hAnsi="Calibri" w:cs="Calibri"/>
          <w:color w:val="000000" w:themeColor="text1"/>
          <w:sz w:val="20"/>
          <w:szCs w:val="20"/>
          <w:lang w:val="es-MX"/>
        </w:rPr>
        <w:t>se unificó</w:t>
      </w:r>
      <w:r w:rsidRPr="003B0D48">
        <w:rPr>
          <w:rFonts w:ascii="Calibri" w:hAnsi="Calibri" w:cs="Calibri"/>
          <w:color w:val="000000" w:themeColor="text1"/>
          <w:sz w:val="20"/>
          <w:szCs w:val="20"/>
          <w:lang w:val="es-MX"/>
        </w:rPr>
        <w:t xml:space="preserve"> el PUOS. Por otra parte, el</w:t>
      </w:r>
      <w:r w:rsidR="00646D2C">
        <w:rPr>
          <w:rFonts w:ascii="Calibri" w:hAnsi="Calibri" w:cs="Calibri"/>
          <w:color w:val="000000" w:themeColor="text1"/>
          <w:sz w:val="20"/>
          <w:szCs w:val="20"/>
          <w:lang w:val="es-MX"/>
        </w:rPr>
        <w:t xml:space="preserve"> 18% de los cambios, se realizaron</w:t>
      </w:r>
      <w:r w:rsidRPr="003B0D48">
        <w:rPr>
          <w:rFonts w:ascii="Calibri" w:hAnsi="Calibri" w:cs="Calibri"/>
          <w:color w:val="000000" w:themeColor="text1"/>
          <w:sz w:val="20"/>
          <w:szCs w:val="20"/>
          <w:lang w:val="es-MX"/>
        </w:rPr>
        <w:t xml:space="preserve"> sobre la capa unificada del PUOS, previo a su sanción en julio del 2015. Fi</w:t>
      </w:r>
      <w:r w:rsidR="004E001D" w:rsidRPr="003B0D48">
        <w:rPr>
          <w:rFonts w:ascii="Calibri" w:hAnsi="Calibri" w:cs="Calibri"/>
          <w:color w:val="000000" w:themeColor="text1"/>
          <w:sz w:val="20"/>
          <w:szCs w:val="20"/>
          <w:lang w:val="es-MX"/>
        </w:rPr>
        <w:t>nalmente, el 12% de los cambios</w:t>
      </w:r>
      <w:r w:rsidR="00646D2C">
        <w:rPr>
          <w:rFonts w:ascii="Calibri" w:hAnsi="Calibri" w:cs="Calibri"/>
          <w:color w:val="000000" w:themeColor="text1"/>
          <w:sz w:val="20"/>
          <w:szCs w:val="20"/>
          <w:lang w:val="es-MX"/>
        </w:rPr>
        <w:t>, se realizaron</w:t>
      </w:r>
      <w:r w:rsidRPr="003B0D48">
        <w:rPr>
          <w:rFonts w:ascii="Calibri" w:hAnsi="Calibri" w:cs="Calibri"/>
          <w:color w:val="000000" w:themeColor="text1"/>
          <w:sz w:val="20"/>
          <w:szCs w:val="20"/>
          <w:lang w:val="es-MX"/>
        </w:rPr>
        <w:t xml:space="preserve"> posterior a la puesta en vigencia de la Ord. 127.</w:t>
      </w:r>
    </w:p>
    <w:p w:rsidR="009759C4" w:rsidRDefault="009759C4" w:rsidP="009759C4">
      <w:pPr>
        <w:pStyle w:val="Textoindependiente"/>
        <w:ind w:left="1068"/>
        <w:rPr>
          <w:rFonts w:ascii="Calibri" w:hAnsi="Calibri" w:cs="Calibri"/>
          <w:sz w:val="20"/>
          <w:szCs w:val="20"/>
          <w:lang w:val="es-MX"/>
        </w:rPr>
      </w:pPr>
    </w:p>
    <w:p w:rsidR="00F06F8E" w:rsidRDefault="00F06F8E" w:rsidP="00F06F8E">
      <w:pPr>
        <w:pStyle w:val="Textoindependiente"/>
        <w:rPr>
          <w:rFonts w:ascii="Calibri" w:hAnsi="Calibri" w:cs="Calibri"/>
          <w:sz w:val="20"/>
          <w:szCs w:val="20"/>
          <w:lang w:val="es-MX"/>
        </w:rPr>
      </w:pPr>
    </w:p>
    <w:p w:rsidR="00195C28" w:rsidRDefault="00F06F8E" w:rsidP="00195C28">
      <w:pPr>
        <w:pStyle w:val="Textoindependiente"/>
        <w:rPr>
          <w:rFonts w:ascii="Calibri" w:hAnsi="Calibri" w:cs="Calibri"/>
          <w:b/>
          <w:sz w:val="20"/>
          <w:szCs w:val="20"/>
          <w:lang w:val="es-MX"/>
        </w:rPr>
      </w:pPr>
      <w:r w:rsidRPr="00466735">
        <w:rPr>
          <w:rFonts w:ascii="Calibri" w:hAnsi="Calibri" w:cs="Calibri"/>
          <w:b/>
          <w:sz w:val="20"/>
          <w:szCs w:val="20"/>
          <w:lang w:val="es-MX"/>
        </w:rPr>
        <w:t>Recomendaciones</w:t>
      </w:r>
    </w:p>
    <w:p w:rsidR="00195C28" w:rsidRPr="00195C28" w:rsidRDefault="00195C28" w:rsidP="00195C28">
      <w:pPr>
        <w:pStyle w:val="Textoindependiente"/>
        <w:rPr>
          <w:rFonts w:ascii="Calibri" w:hAnsi="Calibri" w:cs="Calibri"/>
          <w:b/>
          <w:sz w:val="20"/>
          <w:szCs w:val="20"/>
          <w:lang w:val="es-MX"/>
        </w:rPr>
      </w:pPr>
    </w:p>
    <w:p w:rsidR="00F06F8E" w:rsidRPr="00556AEA" w:rsidRDefault="00F06F8E" w:rsidP="00675E46">
      <w:pPr>
        <w:pStyle w:val="Textoindependiente"/>
        <w:numPr>
          <w:ilvl w:val="0"/>
          <w:numId w:val="16"/>
        </w:numPr>
        <w:rPr>
          <w:rFonts w:ascii="Calibri" w:hAnsi="Calibri" w:cstheme="minorHAnsi"/>
          <w:sz w:val="20"/>
          <w:szCs w:val="20"/>
        </w:rPr>
      </w:pPr>
      <w:r w:rsidRPr="00195C28">
        <w:rPr>
          <w:rFonts w:ascii="Calibri" w:hAnsi="Calibri" w:cstheme="minorHAnsi"/>
          <w:sz w:val="20"/>
          <w:szCs w:val="20"/>
        </w:rPr>
        <w:t>Se recomienda que los casos cuyos motivos de cambio constan como: “Ajuste cartográfico</w:t>
      </w:r>
      <w:r w:rsidR="0090067A">
        <w:rPr>
          <w:rFonts w:ascii="Calibri" w:hAnsi="Calibri" w:cstheme="minorHAnsi"/>
          <w:sz w:val="20"/>
          <w:szCs w:val="20"/>
        </w:rPr>
        <w:t xml:space="preserve"> (5 casos)</w:t>
      </w:r>
      <w:r w:rsidRPr="00195C28">
        <w:rPr>
          <w:rFonts w:ascii="Calibri" w:hAnsi="Calibri" w:cstheme="minorHAnsi"/>
          <w:sz w:val="20"/>
          <w:szCs w:val="20"/>
        </w:rPr>
        <w:t>, Asignación de datos</w:t>
      </w:r>
      <w:r w:rsidR="0090067A">
        <w:rPr>
          <w:rFonts w:ascii="Calibri" w:hAnsi="Calibri" w:cstheme="minorHAnsi"/>
          <w:sz w:val="20"/>
          <w:szCs w:val="20"/>
        </w:rPr>
        <w:t xml:space="preserve"> (8 casos)</w:t>
      </w:r>
      <w:r w:rsidRPr="00195C28">
        <w:rPr>
          <w:rFonts w:ascii="Calibri" w:hAnsi="Calibri" w:cstheme="minorHAnsi"/>
          <w:sz w:val="20"/>
          <w:szCs w:val="20"/>
        </w:rPr>
        <w:t>, En matriz de cambios 2016</w:t>
      </w:r>
      <w:r w:rsidR="0090067A">
        <w:rPr>
          <w:rFonts w:ascii="Calibri" w:hAnsi="Calibri" w:cstheme="minorHAnsi"/>
          <w:sz w:val="20"/>
          <w:szCs w:val="20"/>
        </w:rPr>
        <w:t xml:space="preserve"> (7 casos)</w:t>
      </w:r>
      <w:r w:rsidRPr="00195C28">
        <w:rPr>
          <w:rFonts w:ascii="Calibri" w:hAnsi="Calibri" w:cstheme="minorHAnsi"/>
          <w:sz w:val="20"/>
          <w:szCs w:val="20"/>
        </w:rPr>
        <w:t>, Ordenanza</w:t>
      </w:r>
      <w:r w:rsidR="0090067A">
        <w:rPr>
          <w:rFonts w:ascii="Calibri" w:hAnsi="Calibri" w:cstheme="minorHAnsi"/>
          <w:sz w:val="20"/>
          <w:szCs w:val="20"/>
        </w:rPr>
        <w:t xml:space="preserve"> (69 casos)</w:t>
      </w:r>
      <w:r w:rsidRPr="00195C28">
        <w:rPr>
          <w:rFonts w:ascii="Calibri" w:hAnsi="Calibri" w:cstheme="minorHAnsi"/>
          <w:sz w:val="20"/>
          <w:szCs w:val="20"/>
        </w:rPr>
        <w:t>, Zona de Riesgo</w:t>
      </w:r>
      <w:r w:rsidR="0090067A">
        <w:rPr>
          <w:rFonts w:ascii="Calibri" w:hAnsi="Calibri" w:cstheme="minorHAnsi"/>
          <w:sz w:val="20"/>
          <w:szCs w:val="20"/>
        </w:rPr>
        <w:t xml:space="preserve"> (1 caso) y </w:t>
      </w:r>
      <w:r w:rsidRPr="00195C28">
        <w:rPr>
          <w:rFonts w:ascii="Calibri" w:hAnsi="Calibri" w:cstheme="minorHAnsi"/>
          <w:sz w:val="20"/>
          <w:szCs w:val="20"/>
        </w:rPr>
        <w:t xml:space="preserve"> Concesión minera</w:t>
      </w:r>
      <w:r w:rsidR="0090067A">
        <w:rPr>
          <w:rFonts w:ascii="Calibri" w:hAnsi="Calibri" w:cstheme="minorHAnsi"/>
          <w:sz w:val="20"/>
          <w:szCs w:val="20"/>
        </w:rPr>
        <w:t xml:space="preserve"> (9 casos)</w:t>
      </w:r>
      <w:r w:rsidRPr="00195C28">
        <w:rPr>
          <w:rFonts w:ascii="Calibri" w:hAnsi="Calibri" w:cstheme="minorHAnsi"/>
          <w:sz w:val="20"/>
          <w:szCs w:val="20"/>
        </w:rPr>
        <w:t>”,  se  integren en el Plan de Uso y Ocupación del Suelo, manteniendo las asignaciones de uso, zonificación y clasificación detalladas en el informe denominado “INFORME TÉCNICO SOBRE LOS CASOS NO REGISTRADOS EN LA MATRIZ DE CAMBIOS 2016” entregado a la Comisión de Uso de Suelo mediante oficio No.  STHV-DMPPS-32</w:t>
      </w:r>
      <w:r w:rsidR="00F8075E">
        <w:rPr>
          <w:rFonts w:ascii="Calibri" w:hAnsi="Calibri" w:cstheme="minorHAnsi"/>
          <w:sz w:val="20"/>
          <w:szCs w:val="20"/>
        </w:rPr>
        <w:t>93 el 2</w:t>
      </w:r>
      <w:r w:rsidR="00F8075E" w:rsidRPr="00556AEA">
        <w:rPr>
          <w:rFonts w:ascii="Calibri" w:hAnsi="Calibri" w:cstheme="minorHAnsi"/>
          <w:sz w:val="20"/>
          <w:szCs w:val="20"/>
        </w:rPr>
        <w:t>3 de junio de 2017</w:t>
      </w:r>
      <w:r w:rsidRPr="00556AEA">
        <w:rPr>
          <w:rFonts w:ascii="Calibri" w:hAnsi="Calibri" w:cstheme="minorHAnsi"/>
          <w:sz w:val="20"/>
          <w:szCs w:val="20"/>
        </w:rPr>
        <w:t>.</w:t>
      </w:r>
    </w:p>
    <w:p w:rsidR="00F06F8E" w:rsidRPr="00556AEA" w:rsidRDefault="00F06F8E" w:rsidP="00675E46">
      <w:pPr>
        <w:pStyle w:val="Prrafodelista"/>
        <w:numPr>
          <w:ilvl w:val="0"/>
          <w:numId w:val="16"/>
        </w:numPr>
        <w:spacing w:line="240" w:lineRule="auto"/>
        <w:jc w:val="both"/>
        <w:rPr>
          <w:rFonts w:ascii="Calibri" w:hAnsi="Calibri" w:cstheme="minorHAnsi"/>
          <w:sz w:val="20"/>
          <w:szCs w:val="20"/>
        </w:rPr>
      </w:pPr>
      <w:r w:rsidRPr="00556AEA">
        <w:rPr>
          <w:rFonts w:ascii="Calibri" w:hAnsi="Calibri" w:cstheme="minorHAnsi"/>
          <w:sz w:val="20"/>
          <w:szCs w:val="20"/>
        </w:rPr>
        <w:t>Se recomienda que  los cambios cuyo motivo fue establecido como “Origen no determinado”</w:t>
      </w:r>
      <w:r w:rsidR="0090067A" w:rsidRPr="00556AEA">
        <w:rPr>
          <w:rFonts w:ascii="Calibri" w:hAnsi="Calibri" w:cstheme="minorHAnsi"/>
          <w:sz w:val="20"/>
          <w:szCs w:val="20"/>
        </w:rPr>
        <w:t xml:space="preserve"> (3</w:t>
      </w:r>
      <w:r w:rsidR="005B4AA6" w:rsidRPr="00556AEA">
        <w:rPr>
          <w:rFonts w:ascii="Calibri" w:hAnsi="Calibri" w:cstheme="minorHAnsi"/>
          <w:sz w:val="20"/>
          <w:szCs w:val="20"/>
        </w:rPr>
        <w:t>4</w:t>
      </w:r>
      <w:r w:rsidR="0090067A" w:rsidRPr="00556AEA">
        <w:rPr>
          <w:rFonts w:ascii="Calibri" w:hAnsi="Calibri" w:cstheme="minorHAnsi"/>
          <w:sz w:val="20"/>
          <w:szCs w:val="20"/>
        </w:rPr>
        <w:t xml:space="preserve"> casos)</w:t>
      </w:r>
      <w:r w:rsidRPr="00556AEA">
        <w:rPr>
          <w:rFonts w:ascii="Calibri" w:hAnsi="Calibri" w:cstheme="minorHAnsi"/>
          <w:sz w:val="20"/>
          <w:szCs w:val="20"/>
        </w:rPr>
        <w:t xml:space="preserve"> mantengan las asignaciones de uso y zonificación que tenían en la Ordenanza 041 del 28 de julio de 2016</w:t>
      </w:r>
      <w:r w:rsidR="005B4AA6" w:rsidRPr="00556AEA">
        <w:rPr>
          <w:rFonts w:ascii="Calibri" w:hAnsi="Calibri" w:cstheme="minorHAnsi"/>
          <w:sz w:val="20"/>
          <w:szCs w:val="20"/>
        </w:rPr>
        <w:t xml:space="preserve"> (Carga a los IRM final de la Ordenanza 041)</w:t>
      </w:r>
      <w:r w:rsidR="00556AEA">
        <w:rPr>
          <w:rFonts w:ascii="Calibri" w:hAnsi="Calibri" w:cstheme="minorHAnsi"/>
          <w:sz w:val="20"/>
          <w:szCs w:val="20"/>
        </w:rPr>
        <w:t>.</w:t>
      </w:r>
    </w:p>
    <w:p w:rsidR="00F06F8E" w:rsidRPr="00675E46" w:rsidRDefault="00F06F8E" w:rsidP="00675E46">
      <w:pPr>
        <w:pStyle w:val="Prrafodelista"/>
        <w:numPr>
          <w:ilvl w:val="0"/>
          <w:numId w:val="16"/>
        </w:numPr>
        <w:spacing w:line="240" w:lineRule="auto"/>
        <w:jc w:val="both"/>
        <w:rPr>
          <w:rFonts w:ascii="Calibri" w:hAnsi="Calibri" w:cstheme="minorHAnsi"/>
          <w:sz w:val="20"/>
          <w:szCs w:val="20"/>
        </w:rPr>
      </w:pPr>
      <w:r w:rsidRPr="00675E46">
        <w:rPr>
          <w:rFonts w:ascii="Calibri" w:hAnsi="Calibri" w:cstheme="minorHAnsi"/>
          <w:sz w:val="20"/>
          <w:szCs w:val="20"/>
        </w:rPr>
        <w:t xml:space="preserve">Se recomienda que  los cambios cuyo motivo fue establecido como “Error de asignación de datos” </w:t>
      </w:r>
      <w:r w:rsidR="0090067A" w:rsidRPr="00675E46">
        <w:rPr>
          <w:rFonts w:ascii="Calibri" w:hAnsi="Calibri" w:cstheme="minorHAnsi"/>
          <w:sz w:val="20"/>
          <w:szCs w:val="20"/>
        </w:rPr>
        <w:t xml:space="preserve">(10 casos), y “Dato perdido” (41 casos), </w:t>
      </w:r>
      <w:r w:rsidRPr="00675E46">
        <w:rPr>
          <w:rFonts w:ascii="Calibri" w:hAnsi="Calibri" w:cstheme="minorHAnsi"/>
          <w:sz w:val="20"/>
          <w:szCs w:val="20"/>
        </w:rPr>
        <w:t>mantengan las asignaciones de uso, zonificación y clasificación que tenían en la Ordenanza 041, del 28 de julio de 2016.</w:t>
      </w:r>
      <w:r w:rsidR="00556AEA" w:rsidRPr="00556AEA">
        <w:rPr>
          <w:rFonts w:ascii="Calibri" w:hAnsi="Calibri" w:cstheme="minorHAnsi"/>
          <w:sz w:val="20"/>
          <w:szCs w:val="20"/>
        </w:rPr>
        <w:t xml:space="preserve"> (Carga a los IRM final de la Ordenanza 041)</w:t>
      </w:r>
      <w:r w:rsidR="00556AEA">
        <w:rPr>
          <w:rFonts w:ascii="Calibri" w:hAnsi="Calibri" w:cstheme="minorHAnsi"/>
          <w:sz w:val="20"/>
          <w:szCs w:val="20"/>
        </w:rPr>
        <w:t>.</w:t>
      </w:r>
    </w:p>
    <w:p w:rsidR="00F06F8E" w:rsidRPr="00675E46" w:rsidRDefault="00F06F8E" w:rsidP="00675E46">
      <w:pPr>
        <w:pStyle w:val="Prrafodelista"/>
        <w:numPr>
          <w:ilvl w:val="0"/>
          <w:numId w:val="16"/>
        </w:numPr>
        <w:spacing w:line="240" w:lineRule="auto"/>
        <w:jc w:val="both"/>
        <w:rPr>
          <w:rFonts w:ascii="Calibri" w:hAnsi="Calibri" w:cstheme="minorHAnsi"/>
          <w:sz w:val="20"/>
          <w:szCs w:val="20"/>
        </w:rPr>
      </w:pPr>
      <w:r w:rsidRPr="00675E46">
        <w:rPr>
          <w:rFonts w:ascii="Calibri" w:hAnsi="Calibri" w:cstheme="minorHAnsi"/>
          <w:sz w:val="20"/>
          <w:szCs w:val="20"/>
        </w:rPr>
        <w:t xml:space="preserve">Se recomienda que para los cambios cuyo motivo fue establecido como “Criterio Técnico” </w:t>
      </w:r>
      <w:r w:rsidR="00A97937">
        <w:rPr>
          <w:rFonts w:ascii="Calibri" w:hAnsi="Calibri" w:cstheme="minorHAnsi"/>
          <w:sz w:val="20"/>
          <w:szCs w:val="20"/>
        </w:rPr>
        <w:t>(170</w:t>
      </w:r>
      <w:r w:rsidR="0090067A" w:rsidRPr="00675E46">
        <w:rPr>
          <w:rFonts w:ascii="Calibri" w:hAnsi="Calibri" w:cstheme="minorHAnsi"/>
          <w:sz w:val="20"/>
          <w:szCs w:val="20"/>
        </w:rPr>
        <w:t xml:space="preserve"> casos) </w:t>
      </w:r>
      <w:r w:rsidRPr="00675E46">
        <w:rPr>
          <w:rFonts w:ascii="Calibri" w:hAnsi="Calibri" w:cstheme="minorHAnsi"/>
          <w:sz w:val="20"/>
          <w:szCs w:val="20"/>
        </w:rPr>
        <w:t>se proceda de la siguiente manera:</w:t>
      </w:r>
    </w:p>
    <w:p w:rsidR="001737E4" w:rsidRDefault="001737E4" w:rsidP="00F06F8E">
      <w:pPr>
        <w:pStyle w:val="Prrafodelista"/>
        <w:numPr>
          <w:ilvl w:val="0"/>
          <w:numId w:val="11"/>
        </w:numPr>
        <w:spacing w:after="200" w:line="240" w:lineRule="auto"/>
        <w:jc w:val="both"/>
        <w:rPr>
          <w:rFonts w:ascii="Calibri" w:hAnsi="Calibri" w:cstheme="minorHAnsi"/>
          <w:sz w:val="20"/>
          <w:szCs w:val="20"/>
        </w:rPr>
      </w:pPr>
      <w:r w:rsidRPr="001737E4">
        <w:rPr>
          <w:rFonts w:ascii="Calibri" w:hAnsi="Calibri" w:cstheme="minorHAnsi"/>
          <w:sz w:val="20"/>
          <w:szCs w:val="20"/>
        </w:rPr>
        <w:t xml:space="preserve">Categoría A: Se recomienda </w:t>
      </w:r>
      <w:r w:rsidR="00F06F8E" w:rsidRPr="001737E4">
        <w:rPr>
          <w:rFonts w:ascii="Calibri" w:hAnsi="Calibri" w:cstheme="minorHAnsi"/>
          <w:sz w:val="20"/>
          <w:szCs w:val="20"/>
        </w:rPr>
        <w:t xml:space="preserve"> </w:t>
      </w:r>
      <w:r w:rsidRPr="001737E4">
        <w:rPr>
          <w:rFonts w:ascii="Calibri" w:hAnsi="Calibri" w:cstheme="minorHAnsi"/>
          <w:sz w:val="20"/>
          <w:szCs w:val="20"/>
        </w:rPr>
        <w:t>que</w:t>
      </w:r>
      <w:r w:rsidR="00F06F8E" w:rsidRPr="001737E4">
        <w:rPr>
          <w:rFonts w:ascii="Calibri" w:hAnsi="Calibri" w:cstheme="minorHAnsi"/>
          <w:sz w:val="20"/>
          <w:szCs w:val="20"/>
        </w:rPr>
        <w:t xml:space="preserve"> </w:t>
      </w:r>
      <w:r w:rsidRPr="001737E4">
        <w:rPr>
          <w:rFonts w:ascii="Calibri" w:hAnsi="Calibri" w:cstheme="minorHAnsi"/>
          <w:sz w:val="20"/>
          <w:szCs w:val="20"/>
        </w:rPr>
        <w:t xml:space="preserve">previo a mesas de trabajo con la Comisión de Uso de Suelo, se </w:t>
      </w:r>
      <w:r w:rsidR="00F06F8E" w:rsidRPr="001737E4">
        <w:rPr>
          <w:rFonts w:ascii="Calibri" w:hAnsi="Calibri" w:cstheme="minorHAnsi"/>
          <w:sz w:val="20"/>
          <w:szCs w:val="20"/>
        </w:rPr>
        <w:t xml:space="preserve">integren en el Plan de Uso y Ocupación del Suelo, manteniendo las asignaciones de uso, zonificación y clasificación detalladas en el “INFORME TÉCNICO SOBRE LOS CASOS NO REGISTRADOS EN LA MATRIZ DE CAMBIOS 2016” entregado a la Comisión de Uso de Suelo mediante oficio No.  STHV-DMPPS-3293 el 23 de junio de 2017, </w:t>
      </w:r>
    </w:p>
    <w:p w:rsidR="00F06F8E" w:rsidRPr="001737E4" w:rsidRDefault="00F06F8E" w:rsidP="00F06F8E">
      <w:pPr>
        <w:pStyle w:val="Prrafodelista"/>
        <w:numPr>
          <w:ilvl w:val="0"/>
          <w:numId w:val="11"/>
        </w:numPr>
        <w:spacing w:after="200" w:line="240" w:lineRule="auto"/>
        <w:jc w:val="both"/>
        <w:rPr>
          <w:rFonts w:ascii="Calibri" w:hAnsi="Calibri" w:cstheme="minorHAnsi"/>
          <w:sz w:val="20"/>
          <w:szCs w:val="20"/>
        </w:rPr>
      </w:pPr>
      <w:r w:rsidRPr="001737E4">
        <w:rPr>
          <w:rFonts w:ascii="Calibri" w:hAnsi="Calibri" w:cstheme="minorHAnsi"/>
          <w:sz w:val="20"/>
          <w:szCs w:val="20"/>
        </w:rPr>
        <w:t xml:space="preserve">Categoría B: Se recomienda realizar una visita de campo </w:t>
      </w:r>
      <w:r w:rsidR="001737E4">
        <w:rPr>
          <w:rFonts w:ascii="Calibri" w:hAnsi="Calibri" w:cstheme="minorHAnsi"/>
          <w:sz w:val="20"/>
          <w:szCs w:val="20"/>
        </w:rPr>
        <w:t xml:space="preserve">y mantener mesas de trabajo con la Comisión de Uso de Suelo, </w:t>
      </w:r>
      <w:r w:rsidRPr="001737E4">
        <w:rPr>
          <w:rFonts w:ascii="Calibri" w:hAnsi="Calibri" w:cstheme="minorHAnsi"/>
          <w:sz w:val="20"/>
          <w:szCs w:val="20"/>
        </w:rPr>
        <w:t>a fin de analizar la factibilidad de mantener las asignaciones de uso, zonificación y clasificación  establecido en el “INFORME TÉCNICO SOBRE LOS CASOS NO REGISTRADOS EN LA MATRIZ DE CAMBIOS 2016” entregado a la Comisión de Uso de Suelo mediante oficio No.  STHV-DMPP</w:t>
      </w:r>
      <w:r w:rsidR="001737E4">
        <w:rPr>
          <w:rFonts w:ascii="Calibri" w:hAnsi="Calibri" w:cstheme="minorHAnsi"/>
          <w:sz w:val="20"/>
          <w:szCs w:val="20"/>
        </w:rPr>
        <w:t>S-3293 el 23 de junio de 2017.</w:t>
      </w:r>
    </w:p>
    <w:p w:rsidR="00F06F8E" w:rsidRPr="00195C28" w:rsidRDefault="00F06F8E" w:rsidP="00466735">
      <w:pPr>
        <w:pStyle w:val="Prrafodelista"/>
        <w:numPr>
          <w:ilvl w:val="0"/>
          <w:numId w:val="11"/>
        </w:numPr>
        <w:spacing w:after="200" w:line="240" w:lineRule="auto"/>
        <w:jc w:val="both"/>
        <w:rPr>
          <w:rFonts w:ascii="Calibri" w:hAnsi="Calibri" w:cstheme="minorHAnsi"/>
          <w:sz w:val="20"/>
          <w:szCs w:val="20"/>
        </w:rPr>
      </w:pPr>
      <w:r w:rsidRPr="00195C28">
        <w:rPr>
          <w:rFonts w:ascii="Calibri" w:hAnsi="Calibri" w:cstheme="minorHAnsi"/>
          <w:sz w:val="20"/>
          <w:szCs w:val="20"/>
        </w:rPr>
        <w:t>Categoría C: Se recomienda realizar  una visita de campo</w:t>
      </w:r>
      <w:r w:rsidR="00007D1B">
        <w:rPr>
          <w:rFonts w:ascii="Calibri" w:hAnsi="Calibri" w:cstheme="minorHAnsi"/>
          <w:sz w:val="20"/>
          <w:szCs w:val="20"/>
        </w:rPr>
        <w:t xml:space="preserve">, obtener los informes de las entidades competentes y realizar </w:t>
      </w:r>
      <w:r w:rsidRPr="00195C28">
        <w:rPr>
          <w:rFonts w:ascii="Calibri" w:hAnsi="Calibri" w:cstheme="minorHAnsi"/>
          <w:sz w:val="20"/>
          <w:szCs w:val="20"/>
        </w:rPr>
        <w:t xml:space="preserve"> mesas de trabajo con la Comisión de Uso de Suelo, a fin de determinar  las asignaciones de uso, zonificación y clasificación que tendrá esta zona.</w:t>
      </w:r>
    </w:p>
    <w:p w:rsidR="004E1B99" w:rsidRPr="00A97937" w:rsidRDefault="004E1B99" w:rsidP="00466735">
      <w:pPr>
        <w:pStyle w:val="Prrafodelista"/>
        <w:spacing w:after="200" w:line="240" w:lineRule="auto"/>
        <w:jc w:val="both"/>
        <w:rPr>
          <w:rFonts w:ascii="Calibri" w:hAnsi="Calibri" w:cs="Calibri"/>
          <w:sz w:val="20"/>
          <w:szCs w:val="20"/>
        </w:rPr>
      </w:pPr>
    </w:p>
    <w:p w:rsidR="007F0827" w:rsidRDefault="007F0827" w:rsidP="00AE2357">
      <w:pPr>
        <w:spacing w:after="0" w:line="240" w:lineRule="auto"/>
        <w:jc w:val="both"/>
        <w:rPr>
          <w:rFonts w:ascii="Calibri" w:hAnsi="Calibri" w:cstheme="minorHAnsi"/>
          <w:b/>
          <w:lang w:val="es-MX"/>
        </w:rPr>
      </w:pPr>
    </w:p>
    <w:p w:rsidR="00AE2357" w:rsidRPr="00184676" w:rsidRDefault="00AE2357" w:rsidP="00AE2357">
      <w:pPr>
        <w:spacing w:after="0" w:line="240" w:lineRule="auto"/>
        <w:jc w:val="both"/>
        <w:rPr>
          <w:rFonts w:ascii="Calibri" w:hAnsi="Calibri" w:cstheme="minorHAnsi"/>
          <w:b/>
          <w:lang w:val="es-MX"/>
        </w:rPr>
      </w:pPr>
      <w:r w:rsidRPr="00184676">
        <w:rPr>
          <w:rFonts w:ascii="Calibri" w:hAnsi="Calibri" w:cstheme="minorHAnsi"/>
          <w:b/>
          <w:lang w:val="es-MX"/>
        </w:rPr>
        <w:t xml:space="preserve">Arq. </w:t>
      </w:r>
      <w:r>
        <w:rPr>
          <w:rFonts w:ascii="Calibri" w:hAnsi="Calibri" w:cstheme="minorHAnsi"/>
          <w:b/>
          <w:lang w:val="es-MX"/>
        </w:rPr>
        <w:t>María González V</w:t>
      </w:r>
      <w:r w:rsidRPr="00184676">
        <w:rPr>
          <w:rFonts w:ascii="Calibri" w:hAnsi="Calibri" w:cstheme="minorHAnsi"/>
          <w:b/>
          <w:lang w:val="es-MX"/>
        </w:rPr>
        <w:t>.</w:t>
      </w:r>
    </w:p>
    <w:p w:rsidR="00AE2357" w:rsidRDefault="00AE2357" w:rsidP="00AE2357">
      <w:pPr>
        <w:spacing w:after="0" w:line="240" w:lineRule="auto"/>
        <w:jc w:val="both"/>
        <w:rPr>
          <w:rFonts w:ascii="Calibri" w:hAnsi="Calibri" w:cstheme="minorHAnsi"/>
          <w:b/>
        </w:rPr>
      </w:pPr>
      <w:r>
        <w:rPr>
          <w:rFonts w:ascii="Calibri" w:hAnsi="Calibri" w:cstheme="minorHAnsi"/>
          <w:b/>
          <w:lang w:val="es-MX"/>
        </w:rPr>
        <w:t>DIRECTORA METROPOLITANA DE POLÍTICAS Y PLANEAMIENTO DEL SUELO</w:t>
      </w:r>
    </w:p>
    <w:p w:rsidR="00AE2357" w:rsidRPr="00184676" w:rsidRDefault="00AE2357" w:rsidP="00AE2357">
      <w:pPr>
        <w:spacing w:after="0" w:line="240" w:lineRule="auto"/>
        <w:jc w:val="both"/>
        <w:rPr>
          <w:rFonts w:ascii="Calibri" w:hAnsi="Calibri" w:cstheme="minorHAnsi"/>
          <w:b/>
        </w:rPr>
      </w:pPr>
    </w:p>
    <w:tbl>
      <w:tblPr>
        <w:tblW w:w="59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5"/>
        <w:gridCol w:w="1403"/>
        <w:gridCol w:w="1701"/>
        <w:gridCol w:w="851"/>
        <w:gridCol w:w="850"/>
      </w:tblGrid>
      <w:tr w:rsidR="00AE2357" w:rsidRPr="00184676" w:rsidTr="007F0827">
        <w:trPr>
          <w:trHeight w:val="225"/>
        </w:trPr>
        <w:tc>
          <w:tcPr>
            <w:tcW w:w="1115" w:type="dxa"/>
            <w:shd w:val="clear" w:color="auto" w:fill="auto"/>
          </w:tcPr>
          <w:p w:rsidR="00AE2357" w:rsidRPr="00184676" w:rsidRDefault="00AE2357" w:rsidP="00066BDA">
            <w:pPr>
              <w:pStyle w:val="Prrafodelista"/>
              <w:autoSpaceDE w:val="0"/>
              <w:autoSpaceDN w:val="0"/>
              <w:adjustRightInd w:val="0"/>
              <w:spacing w:after="0" w:line="240" w:lineRule="auto"/>
              <w:ind w:left="0"/>
              <w:jc w:val="center"/>
              <w:rPr>
                <w:rFonts w:ascii="Calibri" w:hAnsi="Calibri" w:cs="Helvetica"/>
                <w:b/>
                <w:sz w:val="14"/>
                <w:szCs w:val="14"/>
              </w:rPr>
            </w:pPr>
            <w:r w:rsidRPr="00184676">
              <w:rPr>
                <w:rFonts w:ascii="Calibri" w:hAnsi="Calibri" w:cs="Helvetica"/>
                <w:b/>
                <w:sz w:val="14"/>
                <w:szCs w:val="14"/>
              </w:rPr>
              <w:t>ACCIÓN</w:t>
            </w:r>
          </w:p>
        </w:tc>
        <w:tc>
          <w:tcPr>
            <w:tcW w:w="1403" w:type="dxa"/>
            <w:shd w:val="clear" w:color="auto" w:fill="auto"/>
          </w:tcPr>
          <w:p w:rsidR="00AE2357" w:rsidRPr="00184676" w:rsidRDefault="00AE2357" w:rsidP="00066BDA">
            <w:pPr>
              <w:pStyle w:val="Prrafodelista"/>
              <w:autoSpaceDE w:val="0"/>
              <w:autoSpaceDN w:val="0"/>
              <w:adjustRightInd w:val="0"/>
              <w:spacing w:after="0" w:line="240" w:lineRule="auto"/>
              <w:ind w:left="0"/>
              <w:jc w:val="center"/>
              <w:rPr>
                <w:rFonts w:ascii="Calibri" w:hAnsi="Calibri" w:cs="Helvetica"/>
                <w:b/>
                <w:sz w:val="14"/>
                <w:szCs w:val="14"/>
              </w:rPr>
            </w:pPr>
            <w:r w:rsidRPr="00184676">
              <w:rPr>
                <w:rFonts w:ascii="Calibri" w:hAnsi="Calibri" w:cs="Helvetica"/>
                <w:b/>
                <w:sz w:val="14"/>
                <w:szCs w:val="14"/>
              </w:rPr>
              <w:t>RESPONSABLE</w:t>
            </w:r>
          </w:p>
        </w:tc>
        <w:tc>
          <w:tcPr>
            <w:tcW w:w="1701" w:type="dxa"/>
            <w:shd w:val="clear" w:color="auto" w:fill="auto"/>
          </w:tcPr>
          <w:p w:rsidR="00AE2357" w:rsidRPr="00184676" w:rsidRDefault="00AE2357" w:rsidP="00066BDA">
            <w:pPr>
              <w:pStyle w:val="Prrafodelista"/>
              <w:autoSpaceDE w:val="0"/>
              <w:autoSpaceDN w:val="0"/>
              <w:adjustRightInd w:val="0"/>
              <w:spacing w:after="0" w:line="240" w:lineRule="auto"/>
              <w:ind w:left="0"/>
              <w:jc w:val="center"/>
              <w:rPr>
                <w:rFonts w:ascii="Calibri" w:hAnsi="Calibri" w:cs="Helvetica"/>
                <w:b/>
                <w:sz w:val="14"/>
                <w:szCs w:val="14"/>
              </w:rPr>
            </w:pPr>
            <w:r w:rsidRPr="00184676">
              <w:rPr>
                <w:rFonts w:ascii="Calibri" w:hAnsi="Calibri" w:cs="Helvetica"/>
                <w:b/>
                <w:sz w:val="14"/>
                <w:szCs w:val="14"/>
              </w:rPr>
              <w:t>SIGLA UNIDAD</w:t>
            </w:r>
          </w:p>
        </w:tc>
        <w:tc>
          <w:tcPr>
            <w:tcW w:w="851" w:type="dxa"/>
            <w:shd w:val="clear" w:color="auto" w:fill="auto"/>
          </w:tcPr>
          <w:p w:rsidR="00AE2357" w:rsidRPr="00184676" w:rsidRDefault="00AE2357" w:rsidP="00066BDA">
            <w:pPr>
              <w:pStyle w:val="Prrafodelista"/>
              <w:autoSpaceDE w:val="0"/>
              <w:autoSpaceDN w:val="0"/>
              <w:adjustRightInd w:val="0"/>
              <w:spacing w:after="0" w:line="240" w:lineRule="auto"/>
              <w:ind w:left="0"/>
              <w:jc w:val="center"/>
              <w:rPr>
                <w:rFonts w:ascii="Calibri" w:hAnsi="Calibri" w:cs="Helvetica"/>
                <w:b/>
                <w:sz w:val="14"/>
                <w:szCs w:val="14"/>
              </w:rPr>
            </w:pPr>
            <w:r w:rsidRPr="00184676">
              <w:rPr>
                <w:rFonts w:ascii="Calibri" w:hAnsi="Calibri" w:cs="Helvetica"/>
                <w:b/>
                <w:sz w:val="14"/>
                <w:szCs w:val="14"/>
              </w:rPr>
              <w:t>FECHA</w:t>
            </w:r>
          </w:p>
        </w:tc>
        <w:tc>
          <w:tcPr>
            <w:tcW w:w="850" w:type="dxa"/>
            <w:shd w:val="clear" w:color="auto" w:fill="auto"/>
          </w:tcPr>
          <w:p w:rsidR="00AE2357" w:rsidRPr="00184676" w:rsidRDefault="00AE2357" w:rsidP="00066BDA">
            <w:pPr>
              <w:pStyle w:val="Prrafodelista"/>
              <w:autoSpaceDE w:val="0"/>
              <w:autoSpaceDN w:val="0"/>
              <w:adjustRightInd w:val="0"/>
              <w:spacing w:after="0" w:line="240" w:lineRule="auto"/>
              <w:ind w:left="0"/>
              <w:jc w:val="center"/>
              <w:rPr>
                <w:rFonts w:ascii="Calibri" w:hAnsi="Calibri" w:cs="Helvetica"/>
                <w:b/>
                <w:sz w:val="14"/>
                <w:szCs w:val="14"/>
              </w:rPr>
            </w:pPr>
            <w:r w:rsidRPr="00184676">
              <w:rPr>
                <w:rFonts w:ascii="Calibri" w:hAnsi="Calibri" w:cs="Helvetica"/>
                <w:b/>
                <w:sz w:val="14"/>
                <w:szCs w:val="14"/>
              </w:rPr>
              <w:t>SUMILLA</w:t>
            </w:r>
          </w:p>
        </w:tc>
      </w:tr>
      <w:tr w:rsidR="00AE2357" w:rsidRPr="00184676" w:rsidTr="007F0827">
        <w:trPr>
          <w:trHeight w:hRule="exact" w:val="227"/>
        </w:trPr>
        <w:tc>
          <w:tcPr>
            <w:tcW w:w="1115" w:type="dxa"/>
            <w:shd w:val="clear" w:color="auto" w:fill="auto"/>
          </w:tcPr>
          <w:p w:rsidR="00AE2357" w:rsidRPr="00184676" w:rsidRDefault="00AE2357" w:rsidP="00066BDA">
            <w:pPr>
              <w:pStyle w:val="Prrafodelista"/>
              <w:autoSpaceDE w:val="0"/>
              <w:autoSpaceDN w:val="0"/>
              <w:adjustRightInd w:val="0"/>
              <w:ind w:left="0"/>
              <w:jc w:val="both"/>
              <w:rPr>
                <w:rFonts w:ascii="Calibri" w:hAnsi="Calibri" w:cs="Helvetica"/>
                <w:b/>
                <w:sz w:val="14"/>
                <w:szCs w:val="14"/>
              </w:rPr>
            </w:pPr>
            <w:r w:rsidRPr="00184676">
              <w:rPr>
                <w:rFonts w:ascii="Calibri" w:hAnsi="Calibri" w:cs="Helvetica"/>
                <w:b/>
                <w:sz w:val="14"/>
                <w:szCs w:val="14"/>
              </w:rPr>
              <w:t xml:space="preserve">Elaboración: </w:t>
            </w:r>
          </w:p>
        </w:tc>
        <w:tc>
          <w:tcPr>
            <w:tcW w:w="1403" w:type="dxa"/>
            <w:shd w:val="clear" w:color="auto" w:fill="auto"/>
          </w:tcPr>
          <w:p w:rsidR="00AE2357" w:rsidRPr="00445CB0" w:rsidRDefault="00AE2357" w:rsidP="007F0827">
            <w:pPr>
              <w:pStyle w:val="Prrafodelista"/>
              <w:autoSpaceDE w:val="0"/>
              <w:autoSpaceDN w:val="0"/>
              <w:adjustRightInd w:val="0"/>
              <w:ind w:left="0"/>
              <w:jc w:val="both"/>
              <w:rPr>
                <w:rFonts w:ascii="Calibri" w:hAnsi="Calibri" w:cs="Helvetica"/>
                <w:sz w:val="14"/>
                <w:szCs w:val="14"/>
              </w:rPr>
            </w:pPr>
            <w:r w:rsidRPr="00445CB0">
              <w:rPr>
                <w:rFonts w:ascii="Calibri" w:hAnsi="Calibri" w:cs="Helvetica"/>
                <w:sz w:val="14"/>
                <w:szCs w:val="14"/>
              </w:rPr>
              <w:t>P. Cubillo</w:t>
            </w:r>
            <w:r w:rsidR="00445CB0" w:rsidRPr="00445CB0">
              <w:rPr>
                <w:rFonts w:ascii="Calibri" w:hAnsi="Calibri" w:cs="Helvetica"/>
                <w:sz w:val="14"/>
                <w:szCs w:val="14"/>
              </w:rPr>
              <w:t xml:space="preserve"> </w:t>
            </w:r>
          </w:p>
        </w:tc>
        <w:tc>
          <w:tcPr>
            <w:tcW w:w="1701" w:type="dxa"/>
            <w:shd w:val="clear" w:color="auto" w:fill="auto"/>
          </w:tcPr>
          <w:p w:rsidR="00AE2357" w:rsidRPr="00445CB0" w:rsidRDefault="00AE2357" w:rsidP="00066BDA">
            <w:pPr>
              <w:pStyle w:val="Prrafodelista"/>
              <w:autoSpaceDE w:val="0"/>
              <w:autoSpaceDN w:val="0"/>
              <w:adjustRightInd w:val="0"/>
              <w:ind w:left="0"/>
              <w:jc w:val="both"/>
              <w:rPr>
                <w:rFonts w:ascii="Calibri" w:hAnsi="Calibri" w:cs="Helvetica"/>
                <w:sz w:val="14"/>
                <w:szCs w:val="14"/>
              </w:rPr>
            </w:pPr>
            <w:r w:rsidRPr="00445CB0">
              <w:rPr>
                <w:rFonts w:ascii="Calibri" w:hAnsi="Calibri" w:cs="Helvetica"/>
                <w:sz w:val="14"/>
                <w:szCs w:val="14"/>
              </w:rPr>
              <w:t>DMPPS</w:t>
            </w:r>
          </w:p>
        </w:tc>
        <w:tc>
          <w:tcPr>
            <w:tcW w:w="851" w:type="dxa"/>
            <w:shd w:val="clear" w:color="auto" w:fill="auto"/>
          </w:tcPr>
          <w:p w:rsidR="00AE2357" w:rsidRPr="00184676" w:rsidRDefault="00AE2357" w:rsidP="00066BDA">
            <w:pPr>
              <w:pStyle w:val="Prrafodelista"/>
              <w:autoSpaceDE w:val="0"/>
              <w:autoSpaceDN w:val="0"/>
              <w:adjustRightInd w:val="0"/>
              <w:ind w:left="0"/>
              <w:jc w:val="both"/>
              <w:rPr>
                <w:rFonts w:ascii="Calibri" w:hAnsi="Calibri" w:cs="Helvetica"/>
                <w:sz w:val="14"/>
                <w:szCs w:val="14"/>
              </w:rPr>
            </w:pPr>
            <w:r w:rsidRPr="00184676">
              <w:rPr>
                <w:rFonts w:ascii="Calibri" w:hAnsi="Calibri" w:cs="Helvetica"/>
                <w:sz w:val="14"/>
                <w:szCs w:val="14"/>
              </w:rPr>
              <w:t xml:space="preserve">2017 </w:t>
            </w:r>
            <w:r w:rsidR="00995D8C">
              <w:rPr>
                <w:rFonts w:ascii="Calibri" w:hAnsi="Calibri" w:cs="Helvetica"/>
                <w:sz w:val="14"/>
                <w:szCs w:val="14"/>
              </w:rPr>
              <w:t>08 28</w:t>
            </w:r>
          </w:p>
        </w:tc>
        <w:tc>
          <w:tcPr>
            <w:tcW w:w="850" w:type="dxa"/>
            <w:shd w:val="clear" w:color="auto" w:fill="auto"/>
          </w:tcPr>
          <w:p w:rsidR="00AE2357" w:rsidRPr="00184676" w:rsidRDefault="00AE2357" w:rsidP="00066BDA">
            <w:pPr>
              <w:pStyle w:val="Prrafodelista"/>
              <w:autoSpaceDE w:val="0"/>
              <w:autoSpaceDN w:val="0"/>
              <w:adjustRightInd w:val="0"/>
              <w:ind w:left="0"/>
              <w:jc w:val="both"/>
              <w:rPr>
                <w:rFonts w:ascii="Calibri" w:hAnsi="Calibri" w:cs="Helvetica"/>
                <w:b/>
                <w:sz w:val="14"/>
                <w:szCs w:val="14"/>
              </w:rPr>
            </w:pPr>
          </w:p>
        </w:tc>
      </w:tr>
      <w:tr w:rsidR="007F0827" w:rsidRPr="00184676" w:rsidTr="007F0827">
        <w:trPr>
          <w:trHeight w:hRule="exact" w:val="227"/>
        </w:trPr>
        <w:tc>
          <w:tcPr>
            <w:tcW w:w="1115"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b/>
                <w:sz w:val="14"/>
                <w:szCs w:val="14"/>
              </w:rPr>
            </w:pPr>
          </w:p>
        </w:tc>
        <w:tc>
          <w:tcPr>
            <w:tcW w:w="1403" w:type="dxa"/>
            <w:shd w:val="clear" w:color="auto" w:fill="auto"/>
          </w:tcPr>
          <w:p w:rsidR="007F0827" w:rsidRPr="00445CB0" w:rsidRDefault="007F0827" w:rsidP="007F0827">
            <w:pPr>
              <w:pStyle w:val="Prrafodelista"/>
              <w:autoSpaceDE w:val="0"/>
              <w:autoSpaceDN w:val="0"/>
              <w:adjustRightInd w:val="0"/>
              <w:ind w:left="0" w:firstLine="19"/>
              <w:rPr>
                <w:rFonts w:ascii="Calibri" w:hAnsi="Calibri" w:cs="Helvetica"/>
                <w:sz w:val="14"/>
                <w:szCs w:val="14"/>
              </w:rPr>
            </w:pPr>
            <w:r>
              <w:rPr>
                <w:rFonts w:ascii="Calibri" w:hAnsi="Calibri" w:cs="Helvetica"/>
                <w:sz w:val="14"/>
                <w:szCs w:val="14"/>
              </w:rPr>
              <w:t>D. Maisincho</w:t>
            </w:r>
          </w:p>
        </w:tc>
        <w:tc>
          <w:tcPr>
            <w:tcW w:w="1701" w:type="dxa"/>
            <w:shd w:val="clear" w:color="auto" w:fill="auto"/>
          </w:tcPr>
          <w:p w:rsidR="007F0827" w:rsidRPr="00445CB0" w:rsidRDefault="007F0827" w:rsidP="00066BDA">
            <w:pPr>
              <w:pStyle w:val="Prrafodelista"/>
              <w:autoSpaceDE w:val="0"/>
              <w:autoSpaceDN w:val="0"/>
              <w:adjustRightInd w:val="0"/>
              <w:ind w:left="0"/>
              <w:jc w:val="both"/>
              <w:rPr>
                <w:rFonts w:ascii="Calibri" w:hAnsi="Calibri" w:cs="Helvetica"/>
                <w:sz w:val="14"/>
                <w:szCs w:val="14"/>
              </w:rPr>
            </w:pPr>
          </w:p>
        </w:tc>
        <w:tc>
          <w:tcPr>
            <w:tcW w:w="851"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sz w:val="14"/>
                <w:szCs w:val="14"/>
              </w:rPr>
            </w:pPr>
          </w:p>
        </w:tc>
        <w:tc>
          <w:tcPr>
            <w:tcW w:w="850"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b/>
                <w:sz w:val="14"/>
                <w:szCs w:val="14"/>
              </w:rPr>
            </w:pPr>
          </w:p>
        </w:tc>
      </w:tr>
      <w:tr w:rsidR="007F0827" w:rsidRPr="00184676" w:rsidTr="007F0827">
        <w:trPr>
          <w:trHeight w:hRule="exact" w:val="227"/>
        </w:trPr>
        <w:tc>
          <w:tcPr>
            <w:tcW w:w="1115"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b/>
                <w:sz w:val="14"/>
                <w:szCs w:val="14"/>
              </w:rPr>
            </w:pPr>
          </w:p>
        </w:tc>
        <w:tc>
          <w:tcPr>
            <w:tcW w:w="1403" w:type="dxa"/>
            <w:shd w:val="clear" w:color="auto" w:fill="auto"/>
          </w:tcPr>
          <w:p w:rsidR="007F0827" w:rsidRPr="00445CB0" w:rsidRDefault="007F0827" w:rsidP="00066BDA">
            <w:pPr>
              <w:pStyle w:val="Prrafodelista"/>
              <w:autoSpaceDE w:val="0"/>
              <w:autoSpaceDN w:val="0"/>
              <w:adjustRightInd w:val="0"/>
              <w:ind w:left="0"/>
              <w:jc w:val="both"/>
              <w:rPr>
                <w:rFonts w:ascii="Calibri" w:hAnsi="Calibri" w:cs="Helvetica"/>
                <w:sz w:val="14"/>
                <w:szCs w:val="14"/>
              </w:rPr>
            </w:pPr>
            <w:r>
              <w:rPr>
                <w:rFonts w:ascii="Calibri" w:hAnsi="Calibri" w:cs="Helvetica"/>
                <w:sz w:val="14"/>
                <w:szCs w:val="14"/>
              </w:rPr>
              <w:t>P. Aguilar</w:t>
            </w:r>
          </w:p>
        </w:tc>
        <w:tc>
          <w:tcPr>
            <w:tcW w:w="1701" w:type="dxa"/>
            <w:shd w:val="clear" w:color="auto" w:fill="auto"/>
          </w:tcPr>
          <w:p w:rsidR="007F0827" w:rsidRPr="00445CB0" w:rsidRDefault="007F0827" w:rsidP="00066BDA">
            <w:pPr>
              <w:pStyle w:val="Prrafodelista"/>
              <w:autoSpaceDE w:val="0"/>
              <w:autoSpaceDN w:val="0"/>
              <w:adjustRightInd w:val="0"/>
              <w:ind w:left="0"/>
              <w:jc w:val="both"/>
              <w:rPr>
                <w:rFonts w:ascii="Calibri" w:hAnsi="Calibri" w:cs="Helvetica"/>
                <w:sz w:val="14"/>
                <w:szCs w:val="14"/>
              </w:rPr>
            </w:pPr>
          </w:p>
        </w:tc>
        <w:tc>
          <w:tcPr>
            <w:tcW w:w="851"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sz w:val="14"/>
                <w:szCs w:val="14"/>
              </w:rPr>
            </w:pPr>
          </w:p>
        </w:tc>
        <w:tc>
          <w:tcPr>
            <w:tcW w:w="850"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b/>
                <w:sz w:val="14"/>
                <w:szCs w:val="14"/>
              </w:rPr>
            </w:pPr>
          </w:p>
        </w:tc>
      </w:tr>
      <w:tr w:rsidR="007F0827" w:rsidRPr="00184676" w:rsidTr="007F0827">
        <w:trPr>
          <w:trHeight w:hRule="exact" w:val="227"/>
        </w:trPr>
        <w:tc>
          <w:tcPr>
            <w:tcW w:w="1115"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b/>
                <w:sz w:val="14"/>
                <w:szCs w:val="14"/>
              </w:rPr>
            </w:pPr>
          </w:p>
        </w:tc>
        <w:tc>
          <w:tcPr>
            <w:tcW w:w="1403" w:type="dxa"/>
            <w:shd w:val="clear" w:color="auto" w:fill="auto"/>
          </w:tcPr>
          <w:p w:rsidR="007F0827" w:rsidRPr="00445CB0" w:rsidRDefault="007F0827" w:rsidP="00066BDA">
            <w:pPr>
              <w:pStyle w:val="Prrafodelista"/>
              <w:autoSpaceDE w:val="0"/>
              <w:autoSpaceDN w:val="0"/>
              <w:adjustRightInd w:val="0"/>
              <w:ind w:left="0"/>
              <w:jc w:val="both"/>
              <w:rPr>
                <w:rFonts w:ascii="Calibri" w:hAnsi="Calibri" w:cs="Helvetica"/>
                <w:sz w:val="14"/>
                <w:szCs w:val="14"/>
              </w:rPr>
            </w:pPr>
            <w:r>
              <w:rPr>
                <w:rFonts w:ascii="Calibri" w:hAnsi="Calibri" w:cs="Helvetica"/>
                <w:sz w:val="14"/>
                <w:szCs w:val="14"/>
              </w:rPr>
              <w:t>P. Ortega</w:t>
            </w:r>
          </w:p>
        </w:tc>
        <w:tc>
          <w:tcPr>
            <w:tcW w:w="1701" w:type="dxa"/>
            <w:shd w:val="clear" w:color="auto" w:fill="auto"/>
          </w:tcPr>
          <w:p w:rsidR="007F0827" w:rsidRPr="00445CB0" w:rsidRDefault="007F0827" w:rsidP="00066BDA">
            <w:pPr>
              <w:pStyle w:val="Prrafodelista"/>
              <w:autoSpaceDE w:val="0"/>
              <w:autoSpaceDN w:val="0"/>
              <w:adjustRightInd w:val="0"/>
              <w:ind w:left="0"/>
              <w:jc w:val="both"/>
              <w:rPr>
                <w:rFonts w:ascii="Calibri" w:hAnsi="Calibri" w:cs="Helvetica"/>
                <w:sz w:val="14"/>
                <w:szCs w:val="14"/>
              </w:rPr>
            </w:pPr>
          </w:p>
        </w:tc>
        <w:tc>
          <w:tcPr>
            <w:tcW w:w="851"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sz w:val="14"/>
                <w:szCs w:val="14"/>
              </w:rPr>
            </w:pPr>
          </w:p>
        </w:tc>
        <w:tc>
          <w:tcPr>
            <w:tcW w:w="850" w:type="dxa"/>
            <w:shd w:val="clear" w:color="auto" w:fill="auto"/>
          </w:tcPr>
          <w:p w:rsidR="007F0827" w:rsidRPr="00184676" w:rsidRDefault="007F0827" w:rsidP="00066BDA">
            <w:pPr>
              <w:pStyle w:val="Prrafodelista"/>
              <w:autoSpaceDE w:val="0"/>
              <w:autoSpaceDN w:val="0"/>
              <w:adjustRightInd w:val="0"/>
              <w:ind w:left="0"/>
              <w:jc w:val="both"/>
              <w:rPr>
                <w:rFonts w:ascii="Calibri" w:hAnsi="Calibri" w:cs="Helvetica"/>
                <w:b/>
                <w:sz w:val="14"/>
                <w:szCs w:val="14"/>
              </w:rPr>
            </w:pPr>
          </w:p>
        </w:tc>
      </w:tr>
    </w:tbl>
    <w:p w:rsidR="00E67F2A" w:rsidRDefault="00E67F2A" w:rsidP="007E0AFD">
      <w:pPr>
        <w:pStyle w:val="Textoindependiente"/>
        <w:rPr>
          <w:rFonts w:ascii="Calibri" w:hAnsi="Calibri" w:cs="Calibri"/>
          <w:color w:val="000000" w:themeColor="text1"/>
          <w:sz w:val="20"/>
          <w:szCs w:val="20"/>
          <w:lang w:val="es-MX"/>
        </w:rPr>
      </w:pPr>
      <w:bookmarkStart w:id="0" w:name="_GoBack"/>
      <w:bookmarkEnd w:id="0"/>
    </w:p>
    <w:sectPr w:rsidR="00E67F2A" w:rsidSect="001B3A63">
      <w:footerReference w:type="default" r:id="rId9"/>
      <w:pgSz w:w="11906" w:h="16838"/>
      <w:pgMar w:top="1701"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12" w:rsidRDefault="00E26112" w:rsidP="00713407">
      <w:pPr>
        <w:spacing w:after="0" w:line="240" w:lineRule="auto"/>
      </w:pPr>
      <w:r>
        <w:separator/>
      </w:r>
    </w:p>
  </w:endnote>
  <w:endnote w:type="continuationSeparator" w:id="0">
    <w:p w:rsidR="00E26112" w:rsidRDefault="00E26112" w:rsidP="0071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63230"/>
      <w:docPartObj>
        <w:docPartGallery w:val="Page Numbers (Bottom of Page)"/>
        <w:docPartUnique/>
      </w:docPartObj>
    </w:sdtPr>
    <w:sdtEndPr/>
    <w:sdtContent>
      <w:p w:rsidR="00C4625C" w:rsidRDefault="00C4625C">
        <w:pPr>
          <w:pStyle w:val="Piedepgina"/>
          <w:jc w:val="right"/>
        </w:pPr>
        <w:r>
          <w:fldChar w:fldCharType="begin"/>
        </w:r>
        <w:r>
          <w:instrText>PAGE   \* MERGEFORMAT</w:instrText>
        </w:r>
        <w:r>
          <w:fldChar w:fldCharType="separate"/>
        </w:r>
        <w:r w:rsidR="00957CC0" w:rsidRPr="00957CC0">
          <w:rPr>
            <w:noProof/>
            <w:lang w:val="es-ES"/>
          </w:rPr>
          <w:t>6</w:t>
        </w:r>
        <w:r>
          <w:fldChar w:fldCharType="end"/>
        </w:r>
      </w:p>
    </w:sdtContent>
  </w:sdt>
  <w:p w:rsidR="00C4625C" w:rsidRDefault="00C462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12" w:rsidRDefault="00E26112" w:rsidP="00713407">
      <w:pPr>
        <w:spacing w:after="0" w:line="240" w:lineRule="auto"/>
      </w:pPr>
      <w:r>
        <w:separator/>
      </w:r>
    </w:p>
  </w:footnote>
  <w:footnote w:type="continuationSeparator" w:id="0">
    <w:p w:rsidR="00E26112" w:rsidRDefault="00E26112" w:rsidP="00713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37"/>
    <w:multiLevelType w:val="hybridMultilevel"/>
    <w:tmpl w:val="0054F53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nsid w:val="02F516AE"/>
    <w:multiLevelType w:val="hybridMultilevel"/>
    <w:tmpl w:val="066490D6"/>
    <w:lvl w:ilvl="0" w:tplc="7BDE653C">
      <w:start w:val="1"/>
      <w:numFmt w:val="decimal"/>
      <w:lvlText w:val="%1."/>
      <w:lvlJc w:val="left"/>
      <w:pPr>
        <w:ind w:left="720" w:hanging="360"/>
      </w:pPr>
      <w:rPr>
        <w:rFonts w:ascii="Calibri" w:hAnsi="Calibri" w:cs="Calibri" w:hint="default"/>
        <w:color w:val="000000" w:themeColor="text1"/>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2FA6053"/>
    <w:multiLevelType w:val="hybridMultilevel"/>
    <w:tmpl w:val="37F633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3606D1"/>
    <w:multiLevelType w:val="hybridMultilevel"/>
    <w:tmpl w:val="78B2B0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5B66F0B"/>
    <w:multiLevelType w:val="hybridMultilevel"/>
    <w:tmpl w:val="BDB698DC"/>
    <w:lvl w:ilvl="0" w:tplc="AE6CFC04">
      <w:start w:val="1"/>
      <w:numFmt w:val="bullet"/>
      <w:lvlText w:val="-"/>
      <w:lvlJc w:val="left"/>
      <w:pPr>
        <w:ind w:left="1068" w:hanging="360"/>
      </w:pPr>
      <w:rPr>
        <w:rFonts w:ascii="Calibri" w:eastAsia="MS Mincho" w:hAnsi="Calibri" w:cs="Calibri"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nsid w:val="2BDA07CC"/>
    <w:multiLevelType w:val="multilevel"/>
    <w:tmpl w:val="258A689E"/>
    <w:lvl w:ilvl="0">
      <w:start w:val="1"/>
      <w:numFmt w:val="decimal"/>
      <w:lvlText w:val="%1"/>
      <w:lvlJc w:val="left"/>
      <w:pPr>
        <w:ind w:left="360" w:hanging="360"/>
      </w:pPr>
      <w:rPr>
        <w:rFonts w:hint="default"/>
        <w:i w:val="0"/>
      </w:rPr>
    </w:lvl>
    <w:lvl w:ilvl="1">
      <w:start w:val="1"/>
      <w:numFmt w:val="decimal"/>
      <w:lvlText w:val="%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6">
    <w:nsid w:val="2C87725C"/>
    <w:multiLevelType w:val="multilevel"/>
    <w:tmpl w:val="66900FAC"/>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F54630D"/>
    <w:multiLevelType w:val="hybridMultilevel"/>
    <w:tmpl w:val="587276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nsid w:val="304054EC"/>
    <w:multiLevelType w:val="hybridMultilevel"/>
    <w:tmpl w:val="92AA3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0F86272"/>
    <w:multiLevelType w:val="hybridMultilevel"/>
    <w:tmpl w:val="92AA3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4764B5B"/>
    <w:multiLevelType w:val="hybridMultilevel"/>
    <w:tmpl w:val="66F64CE2"/>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11">
    <w:nsid w:val="57A0604A"/>
    <w:multiLevelType w:val="hybridMultilevel"/>
    <w:tmpl w:val="931E57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BC60C69"/>
    <w:multiLevelType w:val="hybridMultilevel"/>
    <w:tmpl w:val="9ACAD2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C5E52DE"/>
    <w:multiLevelType w:val="hybridMultilevel"/>
    <w:tmpl w:val="862EFA5A"/>
    <w:lvl w:ilvl="0" w:tplc="300A000F">
      <w:start w:val="1"/>
      <w:numFmt w:val="decimal"/>
      <w:lvlText w:val="%1."/>
      <w:lvlJc w:val="left"/>
      <w:pPr>
        <w:ind w:left="1068" w:hanging="360"/>
      </w:pPr>
      <w:rPr>
        <w:rFont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4">
    <w:nsid w:val="6D2C7269"/>
    <w:multiLevelType w:val="hybridMultilevel"/>
    <w:tmpl w:val="AF306FFA"/>
    <w:lvl w:ilvl="0" w:tplc="6A3E2688">
      <w:start w:val="1"/>
      <w:numFmt w:val="bullet"/>
      <w:lvlText w:val="-"/>
      <w:lvlJc w:val="left"/>
      <w:pPr>
        <w:ind w:left="720" w:hanging="360"/>
      </w:pPr>
      <w:rPr>
        <w:rFonts w:ascii="Calibri" w:eastAsia="MS Mincho"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DC444F3"/>
    <w:multiLevelType w:val="hybridMultilevel"/>
    <w:tmpl w:val="E95E607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6">
    <w:nsid w:val="700B282B"/>
    <w:multiLevelType w:val="hybridMultilevel"/>
    <w:tmpl w:val="7602AD06"/>
    <w:lvl w:ilvl="0" w:tplc="300A0005">
      <w:start w:val="1"/>
      <w:numFmt w:val="bullet"/>
      <w:lvlText w:val=""/>
      <w:lvlJc w:val="left"/>
      <w:pPr>
        <w:ind w:left="1483" w:hanging="360"/>
      </w:pPr>
      <w:rPr>
        <w:rFonts w:ascii="Wingdings" w:hAnsi="Wingdings"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17">
    <w:nsid w:val="7492554D"/>
    <w:multiLevelType w:val="hybridMultilevel"/>
    <w:tmpl w:val="92AA3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98A6B79"/>
    <w:multiLevelType w:val="hybridMultilevel"/>
    <w:tmpl w:val="8C0C2DB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8"/>
  </w:num>
  <w:num w:numId="2">
    <w:abstractNumId w:val="14"/>
  </w:num>
  <w:num w:numId="3">
    <w:abstractNumId w:val="4"/>
  </w:num>
  <w:num w:numId="4">
    <w:abstractNumId w:val="1"/>
  </w:num>
  <w:num w:numId="5">
    <w:abstractNumId w:val="17"/>
  </w:num>
  <w:num w:numId="6">
    <w:abstractNumId w:val="10"/>
  </w:num>
  <w:num w:numId="7">
    <w:abstractNumId w:val="16"/>
  </w:num>
  <w:num w:numId="8">
    <w:abstractNumId w:val="7"/>
  </w:num>
  <w:num w:numId="9">
    <w:abstractNumId w:val="2"/>
  </w:num>
  <w:num w:numId="10">
    <w:abstractNumId w:val="6"/>
  </w:num>
  <w:num w:numId="11">
    <w:abstractNumId w:val="18"/>
  </w:num>
  <w:num w:numId="12">
    <w:abstractNumId w:val="3"/>
  </w:num>
  <w:num w:numId="13">
    <w:abstractNumId w:val="11"/>
  </w:num>
  <w:num w:numId="14">
    <w:abstractNumId w:val="15"/>
  </w:num>
  <w:num w:numId="15">
    <w:abstractNumId w:val="9"/>
  </w:num>
  <w:num w:numId="16">
    <w:abstractNumId w:val="12"/>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74"/>
    <w:rsid w:val="000010FB"/>
    <w:rsid w:val="00003AF2"/>
    <w:rsid w:val="00007D1B"/>
    <w:rsid w:val="0001109A"/>
    <w:rsid w:val="00041E59"/>
    <w:rsid w:val="00046133"/>
    <w:rsid w:val="00051F63"/>
    <w:rsid w:val="00056110"/>
    <w:rsid w:val="000655DD"/>
    <w:rsid w:val="000841BE"/>
    <w:rsid w:val="000B6A7F"/>
    <w:rsid w:val="000C218D"/>
    <w:rsid w:val="000D2D15"/>
    <w:rsid w:val="000E0DBA"/>
    <w:rsid w:val="00110935"/>
    <w:rsid w:val="00145A81"/>
    <w:rsid w:val="001737E4"/>
    <w:rsid w:val="00195C28"/>
    <w:rsid w:val="00195C85"/>
    <w:rsid w:val="00196C27"/>
    <w:rsid w:val="001B1BFE"/>
    <w:rsid w:val="001B3A63"/>
    <w:rsid w:val="001D654D"/>
    <w:rsid w:val="001F32AB"/>
    <w:rsid w:val="00203A14"/>
    <w:rsid w:val="0020481E"/>
    <w:rsid w:val="002140F3"/>
    <w:rsid w:val="00216F52"/>
    <w:rsid w:val="00241D8A"/>
    <w:rsid w:val="00256567"/>
    <w:rsid w:val="0025799A"/>
    <w:rsid w:val="002717EC"/>
    <w:rsid w:val="002A058D"/>
    <w:rsid w:val="002B0351"/>
    <w:rsid w:val="002D0A24"/>
    <w:rsid w:val="002E25B3"/>
    <w:rsid w:val="0034312D"/>
    <w:rsid w:val="00373AD7"/>
    <w:rsid w:val="0037698E"/>
    <w:rsid w:val="003B0D48"/>
    <w:rsid w:val="003C16FC"/>
    <w:rsid w:val="004206C9"/>
    <w:rsid w:val="004263C5"/>
    <w:rsid w:val="0043606A"/>
    <w:rsid w:val="00444021"/>
    <w:rsid w:val="00445CB0"/>
    <w:rsid w:val="00452E00"/>
    <w:rsid w:val="00457B5E"/>
    <w:rsid w:val="00466735"/>
    <w:rsid w:val="00474C48"/>
    <w:rsid w:val="004B1C26"/>
    <w:rsid w:val="004D4C93"/>
    <w:rsid w:val="004D7748"/>
    <w:rsid w:val="004E001D"/>
    <w:rsid w:val="004E1B99"/>
    <w:rsid w:val="004F1158"/>
    <w:rsid w:val="00504A8E"/>
    <w:rsid w:val="00512C52"/>
    <w:rsid w:val="00542934"/>
    <w:rsid w:val="00542BA6"/>
    <w:rsid w:val="00542E74"/>
    <w:rsid w:val="00556AEA"/>
    <w:rsid w:val="00566C6B"/>
    <w:rsid w:val="00576ED1"/>
    <w:rsid w:val="00591526"/>
    <w:rsid w:val="005977C1"/>
    <w:rsid w:val="005A5CB9"/>
    <w:rsid w:val="005B29D1"/>
    <w:rsid w:val="005B3D14"/>
    <w:rsid w:val="005B4AA6"/>
    <w:rsid w:val="005C10A8"/>
    <w:rsid w:val="005D0260"/>
    <w:rsid w:val="005D2221"/>
    <w:rsid w:val="005E70E2"/>
    <w:rsid w:val="005F2650"/>
    <w:rsid w:val="006128BD"/>
    <w:rsid w:val="006274DC"/>
    <w:rsid w:val="00646D2C"/>
    <w:rsid w:val="006569A9"/>
    <w:rsid w:val="00675E46"/>
    <w:rsid w:val="00696E1B"/>
    <w:rsid w:val="006A23D0"/>
    <w:rsid w:val="006B16A7"/>
    <w:rsid w:val="006B1FF2"/>
    <w:rsid w:val="006D247C"/>
    <w:rsid w:val="006D677C"/>
    <w:rsid w:val="00713407"/>
    <w:rsid w:val="00725D98"/>
    <w:rsid w:val="0073748A"/>
    <w:rsid w:val="007422B3"/>
    <w:rsid w:val="00745DE2"/>
    <w:rsid w:val="00746C76"/>
    <w:rsid w:val="007769CB"/>
    <w:rsid w:val="00790230"/>
    <w:rsid w:val="0079056D"/>
    <w:rsid w:val="007C7DC8"/>
    <w:rsid w:val="007D0AA8"/>
    <w:rsid w:val="007E0AFD"/>
    <w:rsid w:val="007E0FB6"/>
    <w:rsid w:val="007F0827"/>
    <w:rsid w:val="007F56AF"/>
    <w:rsid w:val="007F5998"/>
    <w:rsid w:val="00805301"/>
    <w:rsid w:val="00807249"/>
    <w:rsid w:val="008074A6"/>
    <w:rsid w:val="00846024"/>
    <w:rsid w:val="00857DE9"/>
    <w:rsid w:val="00892D95"/>
    <w:rsid w:val="0089587F"/>
    <w:rsid w:val="008E051E"/>
    <w:rsid w:val="008F4D59"/>
    <w:rsid w:val="0090067A"/>
    <w:rsid w:val="009012FD"/>
    <w:rsid w:val="0092792F"/>
    <w:rsid w:val="0093448C"/>
    <w:rsid w:val="009434FA"/>
    <w:rsid w:val="0094468F"/>
    <w:rsid w:val="0094718C"/>
    <w:rsid w:val="00957CC0"/>
    <w:rsid w:val="00962388"/>
    <w:rsid w:val="00966BEE"/>
    <w:rsid w:val="009759C4"/>
    <w:rsid w:val="00982618"/>
    <w:rsid w:val="00986D88"/>
    <w:rsid w:val="00995D8C"/>
    <w:rsid w:val="009B15B7"/>
    <w:rsid w:val="00A05419"/>
    <w:rsid w:val="00A20A6B"/>
    <w:rsid w:val="00A32A74"/>
    <w:rsid w:val="00A3581E"/>
    <w:rsid w:val="00A51497"/>
    <w:rsid w:val="00A537A8"/>
    <w:rsid w:val="00A54C16"/>
    <w:rsid w:val="00A56518"/>
    <w:rsid w:val="00A847CB"/>
    <w:rsid w:val="00A97937"/>
    <w:rsid w:val="00AA2F09"/>
    <w:rsid w:val="00AA6A05"/>
    <w:rsid w:val="00AB5042"/>
    <w:rsid w:val="00AE2357"/>
    <w:rsid w:val="00B05178"/>
    <w:rsid w:val="00B3202E"/>
    <w:rsid w:val="00B5211B"/>
    <w:rsid w:val="00B5626F"/>
    <w:rsid w:val="00B6162D"/>
    <w:rsid w:val="00B72DC3"/>
    <w:rsid w:val="00B934B3"/>
    <w:rsid w:val="00B9552F"/>
    <w:rsid w:val="00BB39C3"/>
    <w:rsid w:val="00C2165C"/>
    <w:rsid w:val="00C3262A"/>
    <w:rsid w:val="00C4625C"/>
    <w:rsid w:val="00C6705C"/>
    <w:rsid w:val="00C72F29"/>
    <w:rsid w:val="00C84443"/>
    <w:rsid w:val="00C93276"/>
    <w:rsid w:val="00C971B0"/>
    <w:rsid w:val="00CA1177"/>
    <w:rsid w:val="00CB51A1"/>
    <w:rsid w:val="00CD1421"/>
    <w:rsid w:val="00CD3EB0"/>
    <w:rsid w:val="00CE5E57"/>
    <w:rsid w:val="00CF004B"/>
    <w:rsid w:val="00D127AF"/>
    <w:rsid w:val="00D2517D"/>
    <w:rsid w:val="00D41881"/>
    <w:rsid w:val="00D57F77"/>
    <w:rsid w:val="00DA4BDA"/>
    <w:rsid w:val="00DD101E"/>
    <w:rsid w:val="00DE2C0E"/>
    <w:rsid w:val="00DE2F47"/>
    <w:rsid w:val="00E26112"/>
    <w:rsid w:val="00E332C0"/>
    <w:rsid w:val="00E34AD2"/>
    <w:rsid w:val="00E3655C"/>
    <w:rsid w:val="00E673EE"/>
    <w:rsid w:val="00E67F2A"/>
    <w:rsid w:val="00EB4F94"/>
    <w:rsid w:val="00EE6DFE"/>
    <w:rsid w:val="00F06F8E"/>
    <w:rsid w:val="00F3263C"/>
    <w:rsid w:val="00F62210"/>
    <w:rsid w:val="00F77360"/>
    <w:rsid w:val="00F8075E"/>
    <w:rsid w:val="00F82DB8"/>
    <w:rsid w:val="00F82E2F"/>
    <w:rsid w:val="00F84466"/>
    <w:rsid w:val="00F93F70"/>
    <w:rsid w:val="00F953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06F8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32A74"/>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32A74"/>
    <w:rPr>
      <w:rFonts w:ascii="Times New Roman" w:eastAsia="MS Mincho" w:hAnsi="Times New Roman" w:cs="Times New Roman"/>
      <w:sz w:val="24"/>
      <w:szCs w:val="24"/>
      <w:lang w:val="es-ES" w:eastAsia="es-ES"/>
    </w:rPr>
  </w:style>
  <w:style w:type="paragraph" w:styleId="Prrafodelista">
    <w:name w:val="List Paragraph"/>
    <w:aliases w:val="Párrafo de lista SUBCAPITULO,Párrafo de lista1,Colorful List - Accent 11,TIT 2 IND"/>
    <w:basedOn w:val="Normal"/>
    <w:link w:val="PrrafodelistaCar"/>
    <w:uiPriority w:val="34"/>
    <w:qFormat/>
    <w:rsid w:val="007E0AFD"/>
    <w:pPr>
      <w:ind w:left="720"/>
      <w:contextualSpacing/>
    </w:pPr>
  </w:style>
  <w:style w:type="paragraph" w:styleId="Textodeglobo">
    <w:name w:val="Balloon Text"/>
    <w:basedOn w:val="Normal"/>
    <w:link w:val="TextodegloboCar"/>
    <w:uiPriority w:val="99"/>
    <w:semiHidden/>
    <w:unhideWhenUsed/>
    <w:rsid w:val="005C10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0A8"/>
    <w:rPr>
      <w:rFonts w:ascii="Segoe UI" w:hAnsi="Segoe UI" w:cs="Segoe UI"/>
      <w:sz w:val="18"/>
      <w:szCs w:val="18"/>
    </w:rPr>
  </w:style>
  <w:style w:type="table" w:styleId="Sombreadomedio1-nfasis1">
    <w:name w:val="Medium Shading 1 Accent 1"/>
    <w:basedOn w:val="Tablanormal"/>
    <w:uiPriority w:val="63"/>
    <w:rsid w:val="007134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13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407"/>
  </w:style>
  <w:style w:type="paragraph" w:styleId="Piedepgina">
    <w:name w:val="footer"/>
    <w:basedOn w:val="Normal"/>
    <w:link w:val="PiedepginaCar"/>
    <w:uiPriority w:val="99"/>
    <w:unhideWhenUsed/>
    <w:rsid w:val="00713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407"/>
  </w:style>
  <w:style w:type="character" w:customStyle="1" w:styleId="Ttulo2Car">
    <w:name w:val="Título 2 Car"/>
    <w:basedOn w:val="Fuentedeprrafopredeter"/>
    <w:link w:val="Ttulo2"/>
    <w:uiPriority w:val="9"/>
    <w:rsid w:val="00F06F8E"/>
    <w:rPr>
      <w:rFonts w:asciiTheme="majorHAnsi" w:eastAsiaTheme="majorEastAsia" w:hAnsiTheme="majorHAnsi" w:cstheme="majorBidi"/>
      <w:b/>
      <w:bCs/>
      <w:color w:val="5B9BD5" w:themeColor="accent1"/>
      <w:sz w:val="26"/>
      <w:szCs w:val="26"/>
    </w:rPr>
  </w:style>
  <w:style w:type="character" w:customStyle="1" w:styleId="PrrafodelistaCar">
    <w:name w:val="Párrafo de lista Car"/>
    <w:aliases w:val="Párrafo de lista SUBCAPITULO Car,Párrafo de lista1 Car,Colorful List - Accent 11 Car,TIT 2 IND Car"/>
    <w:link w:val="Prrafodelista"/>
    <w:uiPriority w:val="34"/>
    <w:locked/>
    <w:rsid w:val="00AE2357"/>
  </w:style>
  <w:style w:type="table" w:styleId="Sombreadoclaro-nfasis1">
    <w:name w:val="Light Shading Accent 1"/>
    <w:basedOn w:val="Tablanormal"/>
    <w:uiPriority w:val="60"/>
    <w:rsid w:val="0059152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decuadrcula4-nfasis11">
    <w:name w:val="Tabla de cuadrícula 4 - Énfasis 11"/>
    <w:basedOn w:val="Tablanormal"/>
    <w:uiPriority w:val="49"/>
    <w:rsid w:val="009434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06F8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32A74"/>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32A74"/>
    <w:rPr>
      <w:rFonts w:ascii="Times New Roman" w:eastAsia="MS Mincho" w:hAnsi="Times New Roman" w:cs="Times New Roman"/>
      <w:sz w:val="24"/>
      <w:szCs w:val="24"/>
      <w:lang w:val="es-ES" w:eastAsia="es-ES"/>
    </w:rPr>
  </w:style>
  <w:style w:type="paragraph" w:styleId="Prrafodelista">
    <w:name w:val="List Paragraph"/>
    <w:aliases w:val="Párrafo de lista SUBCAPITULO,Párrafo de lista1,Colorful List - Accent 11,TIT 2 IND"/>
    <w:basedOn w:val="Normal"/>
    <w:link w:val="PrrafodelistaCar"/>
    <w:uiPriority w:val="34"/>
    <w:qFormat/>
    <w:rsid w:val="007E0AFD"/>
    <w:pPr>
      <w:ind w:left="720"/>
      <w:contextualSpacing/>
    </w:pPr>
  </w:style>
  <w:style w:type="paragraph" w:styleId="Textodeglobo">
    <w:name w:val="Balloon Text"/>
    <w:basedOn w:val="Normal"/>
    <w:link w:val="TextodegloboCar"/>
    <w:uiPriority w:val="99"/>
    <w:semiHidden/>
    <w:unhideWhenUsed/>
    <w:rsid w:val="005C10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0A8"/>
    <w:rPr>
      <w:rFonts w:ascii="Segoe UI" w:hAnsi="Segoe UI" w:cs="Segoe UI"/>
      <w:sz w:val="18"/>
      <w:szCs w:val="18"/>
    </w:rPr>
  </w:style>
  <w:style w:type="table" w:styleId="Sombreadomedio1-nfasis1">
    <w:name w:val="Medium Shading 1 Accent 1"/>
    <w:basedOn w:val="Tablanormal"/>
    <w:uiPriority w:val="63"/>
    <w:rsid w:val="007134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13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407"/>
  </w:style>
  <w:style w:type="paragraph" w:styleId="Piedepgina">
    <w:name w:val="footer"/>
    <w:basedOn w:val="Normal"/>
    <w:link w:val="PiedepginaCar"/>
    <w:uiPriority w:val="99"/>
    <w:unhideWhenUsed/>
    <w:rsid w:val="00713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407"/>
  </w:style>
  <w:style w:type="character" w:customStyle="1" w:styleId="Ttulo2Car">
    <w:name w:val="Título 2 Car"/>
    <w:basedOn w:val="Fuentedeprrafopredeter"/>
    <w:link w:val="Ttulo2"/>
    <w:uiPriority w:val="9"/>
    <w:rsid w:val="00F06F8E"/>
    <w:rPr>
      <w:rFonts w:asciiTheme="majorHAnsi" w:eastAsiaTheme="majorEastAsia" w:hAnsiTheme="majorHAnsi" w:cstheme="majorBidi"/>
      <w:b/>
      <w:bCs/>
      <w:color w:val="5B9BD5" w:themeColor="accent1"/>
      <w:sz w:val="26"/>
      <w:szCs w:val="26"/>
    </w:rPr>
  </w:style>
  <w:style w:type="character" w:customStyle="1" w:styleId="PrrafodelistaCar">
    <w:name w:val="Párrafo de lista Car"/>
    <w:aliases w:val="Párrafo de lista SUBCAPITULO Car,Párrafo de lista1 Car,Colorful List - Accent 11 Car,TIT 2 IND Car"/>
    <w:link w:val="Prrafodelista"/>
    <w:uiPriority w:val="34"/>
    <w:locked/>
    <w:rsid w:val="00AE2357"/>
  </w:style>
  <w:style w:type="table" w:styleId="Sombreadoclaro-nfasis1">
    <w:name w:val="Light Shading Accent 1"/>
    <w:basedOn w:val="Tablanormal"/>
    <w:uiPriority w:val="60"/>
    <w:rsid w:val="0059152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decuadrcula4-nfasis11">
    <w:name w:val="Tabla de cuadrícula 4 - Énfasis 11"/>
    <w:basedOn w:val="Tablanormal"/>
    <w:uiPriority w:val="49"/>
    <w:rsid w:val="009434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0959">
      <w:bodyDiv w:val="1"/>
      <w:marLeft w:val="0"/>
      <w:marRight w:val="0"/>
      <w:marTop w:val="0"/>
      <w:marBottom w:val="0"/>
      <w:divBdr>
        <w:top w:val="none" w:sz="0" w:space="0" w:color="auto"/>
        <w:left w:val="none" w:sz="0" w:space="0" w:color="auto"/>
        <w:bottom w:val="none" w:sz="0" w:space="0" w:color="auto"/>
        <w:right w:val="none" w:sz="0" w:space="0" w:color="auto"/>
      </w:divBdr>
    </w:div>
    <w:div w:id="469054451">
      <w:bodyDiv w:val="1"/>
      <w:marLeft w:val="0"/>
      <w:marRight w:val="0"/>
      <w:marTop w:val="0"/>
      <w:marBottom w:val="0"/>
      <w:divBdr>
        <w:top w:val="none" w:sz="0" w:space="0" w:color="auto"/>
        <w:left w:val="none" w:sz="0" w:space="0" w:color="auto"/>
        <w:bottom w:val="none" w:sz="0" w:space="0" w:color="auto"/>
        <w:right w:val="none" w:sz="0" w:space="0" w:color="auto"/>
      </w:divBdr>
    </w:div>
    <w:div w:id="1912500923">
      <w:bodyDiv w:val="1"/>
      <w:marLeft w:val="0"/>
      <w:marRight w:val="0"/>
      <w:marTop w:val="0"/>
      <w:marBottom w:val="0"/>
      <w:divBdr>
        <w:top w:val="none" w:sz="0" w:space="0" w:color="auto"/>
        <w:left w:val="none" w:sz="0" w:space="0" w:color="auto"/>
        <w:bottom w:val="none" w:sz="0" w:space="0" w:color="auto"/>
        <w:right w:val="none" w:sz="0" w:space="0" w:color="auto"/>
      </w:divBdr>
    </w:div>
    <w:div w:id="1923635697">
      <w:bodyDiv w:val="1"/>
      <w:marLeft w:val="0"/>
      <w:marRight w:val="0"/>
      <w:marTop w:val="0"/>
      <w:marBottom w:val="0"/>
      <w:divBdr>
        <w:top w:val="none" w:sz="0" w:space="0" w:color="auto"/>
        <w:left w:val="none" w:sz="0" w:space="0" w:color="auto"/>
        <w:bottom w:val="none" w:sz="0" w:space="0" w:color="auto"/>
        <w:right w:val="none" w:sz="0" w:space="0" w:color="auto"/>
      </w:divBdr>
    </w:div>
    <w:div w:id="2120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BE38-C921-4A8B-8067-B3A54469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2968</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Rashid Aguilar Meneses</dc:creator>
  <cp:lastModifiedBy>Paulina Elizabeth Cubillo Betancourt</cp:lastModifiedBy>
  <cp:revision>5</cp:revision>
  <cp:lastPrinted>2017-08-30T21:18:00Z</cp:lastPrinted>
  <dcterms:created xsi:type="dcterms:W3CDTF">2017-09-04T13:17:00Z</dcterms:created>
  <dcterms:modified xsi:type="dcterms:W3CDTF">2017-09-04T13:21:00Z</dcterms:modified>
</cp:coreProperties>
</file>