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7E" w:rsidRPr="002319A1" w:rsidRDefault="00AC0BDE" w:rsidP="00D86EFC">
      <w:pPr>
        <w:pStyle w:val="Ttulo2"/>
        <w:spacing w:before="0" w:line="240" w:lineRule="auto"/>
        <w:jc w:val="center"/>
        <w:rPr>
          <w:rFonts w:asciiTheme="minorHAnsi" w:hAnsiTheme="minorHAnsi" w:cstheme="minorHAnsi"/>
          <w:color w:val="365F91" w:themeColor="accent1" w:themeShade="BF"/>
        </w:rPr>
      </w:pPr>
      <w:bookmarkStart w:id="0" w:name="_GoBack"/>
      <w:bookmarkEnd w:id="0"/>
      <w:r>
        <w:rPr>
          <w:rFonts w:asciiTheme="minorHAnsi" w:hAnsiTheme="minorHAnsi" w:cstheme="minorHAnsi"/>
          <w:color w:val="365F91" w:themeColor="accent1" w:themeShade="BF"/>
        </w:rPr>
        <w:t xml:space="preserve">ANEXO NO. </w:t>
      </w:r>
      <w:r w:rsidR="00B959C3">
        <w:rPr>
          <w:rFonts w:asciiTheme="minorHAnsi" w:hAnsiTheme="minorHAnsi" w:cstheme="minorHAnsi"/>
          <w:color w:val="365F91" w:themeColor="accent1" w:themeShade="BF"/>
        </w:rPr>
        <w:t>2</w:t>
      </w:r>
      <w:r w:rsidR="00915E66" w:rsidRPr="002319A1">
        <w:rPr>
          <w:rFonts w:asciiTheme="minorHAnsi" w:hAnsiTheme="minorHAnsi" w:cstheme="minorHAnsi"/>
          <w:color w:val="365F91" w:themeColor="accent1" w:themeShade="BF"/>
        </w:rPr>
        <w:t xml:space="preserve"> </w:t>
      </w:r>
    </w:p>
    <w:p w:rsidR="00891293" w:rsidRDefault="00915E66" w:rsidP="00620FE1">
      <w:pPr>
        <w:pStyle w:val="Ttulo2"/>
        <w:spacing w:before="0" w:line="240" w:lineRule="auto"/>
        <w:jc w:val="center"/>
        <w:rPr>
          <w:rFonts w:asciiTheme="minorHAnsi" w:hAnsiTheme="minorHAnsi" w:cstheme="minorHAnsi"/>
          <w:color w:val="365F91" w:themeColor="accent1" w:themeShade="BF"/>
        </w:rPr>
      </w:pPr>
      <w:r w:rsidRPr="002319A1">
        <w:rPr>
          <w:rFonts w:asciiTheme="minorHAnsi" w:hAnsiTheme="minorHAnsi" w:cstheme="minorHAnsi"/>
          <w:color w:val="365F91" w:themeColor="accent1" w:themeShade="BF"/>
        </w:rPr>
        <w:t xml:space="preserve">ANALISIS DETALLADO DE 354 </w:t>
      </w:r>
      <w:r w:rsidR="00991E60">
        <w:rPr>
          <w:rFonts w:asciiTheme="minorHAnsi" w:hAnsiTheme="minorHAnsi" w:cstheme="minorHAnsi"/>
          <w:color w:val="365F91" w:themeColor="accent1" w:themeShade="BF"/>
        </w:rPr>
        <w:t>CAMB</w:t>
      </w:r>
      <w:r w:rsidR="00891293">
        <w:rPr>
          <w:rFonts w:asciiTheme="minorHAnsi" w:hAnsiTheme="minorHAnsi" w:cstheme="minorHAnsi"/>
          <w:color w:val="365F91" w:themeColor="accent1" w:themeShade="BF"/>
        </w:rPr>
        <w:t>IOS</w:t>
      </w:r>
    </w:p>
    <w:p w:rsidR="00620FE1" w:rsidRPr="002319A1" w:rsidRDefault="00915E66" w:rsidP="00620FE1">
      <w:pPr>
        <w:pStyle w:val="Ttulo2"/>
        <w:spacing w:before="0" w:line="240" w:lineRule="auto"/>
        <w:jc w:val="center"/>
        <w:rPr>
          <w:rFonts w:asciiTheme="minorHAnsi" w:hAnsiTheme="minorHAnsi" w:cstheme="minorHAnsi"/>
          <w:color w:val="365F91" w:themeColor="accent1" w:themeShade="BF"/>
        </w:rPr>
      </w:pPr>
      <w:r w:rsidRPr="002319A1">
        <w:rPr>
          <w:rFonts w:asciiTheme="minorHAnsi" w:hAnsiTheme="minorHAnsi" w:cstheme="minorHAnsi"/>
          <w:color w:val="365F91" w:themeColor="accent1" w:themeShade="BF"/>
        </w:rPr>
        <w:t xml:space="preserve"> NO REGISTRADOS EN LA MATRIZ DE CAMBIOS 2016</w:t>
      </w:r>
    </w:p>
    <w:p w:rsidR="00154A08" w:rsidRPr="00620FE1" w:rsidRDefault="00154A08" w:rsidP="000C328D">
      <w:pPr>
        <w:jc w:val="right"/>
        <w:rPr>
          <w:color w:val="365F91" w:themeColor="accent1" w:themeShade="BF"/>
        </w:rPr>
      </w:pPr>
    </w:p>
    <w:p w:rsidR="00B27C53" w:rsidRPr="00620FE1" w:rsidRDefault="00082A8A" w:rsidP="005F288B">
      <w:pPr>
        <w:pStyle w:val="Ttulo2"/>
        <w:numPr>
          <w:ilvl w:val="0"/>
          <w:numId w:val="15"/>
        </w:numPr>
        <w:spacing w:before="0" w:line="240" w:lineRule="auto"/>
        <w:rPr>
          <w:rFonts w:asciiTheme="minorHAnsi" w:hAnsiTheme="minorHAnsi" w:cstheme="minorHAnsi"/>
          <w:color w:val="365F91" w:themeColor="accent1" w:themeShade="BF"/>
          <w:sz w:val="22"/>
          <w:szCs w:val="22"/>
        </w:rPr>
      </w:pPr>
      <w:r w:rsidRPr="00620FE1">
        <w:rPr>
          <w:rFonts w:asciiTheme="minorHAnsi" w:hAnsiTheme="minorHAnsi" w:cstheme="minorHAnsi"/>
          <w:color w:val="365F91" w:themeColor="accent1" w:themeShade="BF"/>
          <w:sz w:val="22"/>
          <w:szCs w:val="22"/>
        </w:rPr>
        <w:t>METODOLOGÍ</w:t>
      </w:r>
      <w:r w:rsidR="003B7ADA" w:rsidRPr="00620FE1">
        <w:rPr>
          <w:rFonts w:asciiTheme="minorHAnsi" w:hAnsiTheme="minorHAnsi" w:cstheme="minorHAnsi"/>
          <w:color w:val="365F91" w:themeColor="accent1" w:themeShade="BF"/>
          <w:sz w:val="22"/>
          <w:szCs w:val="22"/>
        </w:rPr>
        <w:t>A DE TRABAJO</w:t>
      </w:r>
    </w:p>
    <w:p w:rsidR="00D86EFC" w:rsidRDefault="00D86EFC" w:rsidP="00D86EFC"/>
    <w:p w:rsidR="00154A08" w:rsidRDefault="00154A08" w:rsidP="00154A08">
      <w:pPr>
        <w:spacing w:after="0" w:line="240" w:lineRule="auto"/>
        <w:jc w:val="both"/>
        <w:rPr>
          <w:rFonts w:cstheme="minorHAnsi"/>
        </w:rPr>
      </w:pPr>
      <w:r>
        <w:rPr>
          <w:rFonts w:cstheme="minorHAnsi"/>
        </w:rPr>
        <w:t>Sobre la base del denominado  “</w:t>
      </w:r>
      <w:r w:rsidRPr="00112134">
        <w:rPr>
          <w:rFonts w:cstheme="minorHAnsi"/>
        </w:rPr>
        <w:t>INFORME TÉCNICO SOBRE LOS CASOS NO REGISTRADOS EN LA MATRIZ DE CAMBIOS 2016</w:t>
      </w:r>
      <w:r>
        <w:rPr>
          <w:rFonts w:cstheme="minorHAnsi"/>
        </w:rPr>
        <w:t xml:space="preserve">” entregado a la Comisión de Uso de Suelo mediante oficio </w:t>
      </w:r>
      <w:r w:rsidR="000F7519">
        <w:rPr>
          <w:rFonts w:cstheme="minorHAnsi"/>
        </w:rPr>
        <w:t>No.</w:t>
      </w:r>
      <w:r>
        <w:rPr>
          <w:rFonts w:cstheme="minorHAnsi"/>
        </w:rPr>
        <w:t xml:space="preserve">  STHV-DMPPS-32</w:t>
      </w:r>
      <w:r w:rsidR="005D1186">
        <w:rPr>
          <w:rFonts w:cstheme="minorHAnsi"/>
        </w:rPr>
        <w:t>93 el 23 de junio de 201</w:t>
      </w:r>
      <w:r w:rsidR="00B15ACE">
        <w:rPr>
          <w:rFonts w:cstheme="minorHAnsi"/>
        </w:rPr>
        <w:t>7</w:t>
      </w:r>
      <w:r w:rsidR="005D1186">
        <w:rPr>
          <w:rFonts w:cstheme="minorHAnsi"/>
        </w:rPr>
        <w:t>, en el que se evidenciaron</w:t>
      </w:r>
      <w:r>
        <w:rPr>
          <w:rFonts w:cstheme="minorHAnsi"/>
        </w:rPr>
        <w:t xml:space="preserve"> 354 polígonos no registrados en la matriz de cambios 2016, se realiza un análisis pormenorizado caso por caso a fin de establecer la temporalidad del cambio</w:t>
      </w:r>
      <w:r w:rsidR="00FA2306">
        <w:rPr>
          <w:rFonts w:cstheme="minorHAnsi"/>
        </w:rPr>
        <w:t>, el motivo del mismo</w:t>
      </w:r>
      <w:r>
        <w:rPr>
          <w:rFonts w:cstheme="minorHAnsi"/>
        </w:rPr>
        <w:t xml:space="preserve"> y determinar posibles errores en</w:t>
      </w:r>
      <w:r w:rsidR="00FA2306">
        <w:rPr>
          <w:rFonts w:cstheme="minorHAnsi"/>
        </w:rPr>
        <w:t xml:space="preserve"> los mismos.</w:t>
      </w:r>
    </w:p>
    <w:p w:rsidR="00154A08" w:rsidRDefault="00154A08" w:rsidP="00154A08">
      <w:pPr>
        <w:spacing w:after="0" w:line="240" w:lineRule="auto"/>
        <w:jc w:val="both"/>
        <w:rPr>
          <w:rFonts w:cstheme="minorHAnsi"/>
        </w:rPr>
      </w:pPr>
    </w:p>
    <w:p w:rsidR="00FA2306" w:rsidRDefault="00FA2306" w:rsidP="00154A08">
      <w:pPr>
        <w:spacing w:after="0" w:line="240" w:lineRule="auto"/>
        <w:jc w:val="both"/>
        <w:rPr>
          <w:rFonts w:cstheme="minorHAnsi"/>
        </w:rPr>
      </w:pPr>
      <w:r>
        <w:rPr>
          <w:rFonts w:cstheme="minorHAnsi"/>
        </w:rPr>
        <w:t>De forma general,  la metodología  se divide en dos fases: una primera fase en la que se determina la temporalidad del cambio y una segunda, que establece el motivo del cambio.</w:t>
      </w:r>
    </w:p>
    <w:p w:rsidR="00FA2306" w:rsidRDefault="00FA2306" w:rsidP="00154A08">
      <w:pPr>
        <w:spacing w:after="0" w:line="240" w:lineRule="auto"/>
        <w:jc w:val="both"/>
        <w:rPr>
          <w:rFonts w:cstheme="minorHAnsi"/>
        </w:rPr>
      </w:pPr>
      <w:r>
        <w:rPr>
          <w:rFonts w:cstheme="minorHAnsi"/>
        </w:rPr>
        <w:t xml:space="preserve"> </w:t>
      </w:r>
    </w:p>
    <w:p w:rsidR="00FA2306" w:rsidRPr="00620FE1" w:rsidRDefault="00FA2306" w:rsidP="00620FE1">
      <w:pPr>
        <w:pStyle w:val="Ttulo2"/>
        <w:numPr>
          <w:ilvl w:val="1"/>
          <w:numId w:val="15"/>
        </w:numPr>
        <w:spacing w:before="0" w:line="240" w:lineRule="auto"/>
        <w:rPr>
          <w:rFonts w:asciiTheme="minorHAnsi" w:hAnsiTheme="minorHAnsi" w:cstheme="minorHAnsi"/>
          <w:color w:val="365F91" w:themeColor="accent1" w:themeShade="BF"/>
          <w:sz w:val="22"/>
          <w:szCs w:val="22"/>
        </w:rPr>
      </w:pPr>
      <w:r w:rsidRPr="00620FE1">
        <w:rPr>
          <w:rFonts w:asciiTheme="minorHAnsi" w:hAnsiTheme="minorHAnsi" w:cstheme="minorHAnsi"/>
          <w:color w:val="365F91" w:themeColor="accent1" w:themeShade="BF"/>
          <w:sz w:val="22"/>
          <w:szCs w:val="22"/>
        </w:rPr>
        <w:t>Temporalidad del cambio</w:t>
      </w:r>
    </w:p>
    <w:p w:rsidR="00FA2306" w:rsidRDefault="00FA2306" w:rsidP="00154A08">
      <w:pPr>
        <w:spacing w:after="0" w:line="240" w:lineRule="auto"/>
        <w:jc w:val="both"/>
        <w:rPr>
          <w:rFonts w:cstheme="minorHAnsi"/>
        </w:rPr>
      </w:pPr>
    </w:p>
    <w:p w:rsidR="00154A08" w:rsidRDefault="00FA2306" w:rsidP="00154A08">
      <w:pPr>
        <w:spacing w:after="0" w:line="240" w:lineRule="auto"/>
        <w:jc w:val="both"/>
        <w:rPr>
          <w:rFonts w:cstheme="minorHAnsi"/>
        </w:rPr>
      </w:pPr>
      <w:r>
        <w:rPr>
          <w:rFonts w:cstheme="minorHAnsi"/>
        </w:rPr>
        <w:t>Para determinar la temporalidad del cambio,  se utilizaron</w:t>
      </w:r>
      <w:r w:rsidR="00154A08">
        <w:rPr>
          <w:rFonts w:cstheme="minorHAnsi"/>
        </w:rPr>
        <w:t xml:space="preserve"> como insumos las siguientes </w:t>
      </w:r>
      <w:r w:rsidR="00EE5BD2">
        <w:rPr>
          <w:rFonts w:cstheme="minorHAnsi"/>
        </w:rPr>
        <w:t>capas:</w:t>
      </w:r>
    </w:p>
    <w:p w:rsidR="00154A08" w:rsidRDefault="00154A08" w:rsidP="00154A08">
      <w:pPr>
        <w:spacing w:after="0" w:line="240" w:lineRule="auto"/>
        <w:jc w:val="both"/>
        <w:rPr>
          <w:rFonts w:cstheme="minorHAnsi"/>
        </w:rPr>
      </w:pPr>
    </w:p>
    <w:p w:rsidR="00154A08" w:rsidRPr="00EE5BD2" w:rsidRDefault="00154A08" w:rsidP="00154A08">
      <w:pPr>
        <w:pStyle w:val="Textoindependiente"/>
        <w:numPr>
          <w:ilvl w:val="0"/>
          <w:numId w:val="31"/>
        </w:numPr>
        <w:rPr>
          <w:rFonts w:asciiTheme="minorHAnsi" w:hAnsiTheme="minorHAnsi" w:cstheme="minorHAnsi"/>
          <w:sz w:val="22"/>
          <w:szCs w:val="22"/>
          <w:lang w:val="es-EC" w:eastAsia="en-US"/>
        </w:rPr>
      </w:pPr>
      <w:r w:rsidRPr="00EE5BD2">
        <w:rPr>
          <w:rFonts w:asciiTheme="minorHAnsi" w:hAnsiTheme="minorHAnsi" w:cstheme="minorHAnsi"/>
          <w:b/>
          <w:sz w:val="22"/>
          <w:szCs w:val="22"/>
          <w:lang w:val="es-EC" w:eastAsia="en-US"/>
        </w:rPr>
        <w:t>Ord. 041</w:t>
      </w:r>
      <w:r w:rsidR="005B69C5">
        <w:rPr>
          <w:rFonts w:asciiTheme="minorHAnsi" w:hAnsiTheme="minorHAnsi" w:cstheme="minorHAnsi"/>
          <w:b/>
          <w:sz w:val="22"/>
          <w:szCs w:val="22"/>
          <w:lang w:val="es-EC" w:eastAsia="en-US"/>
        </w:rPr>
        <w:t xml:space="preserve"> inicial 26_02_</w:t>
      </w:r>
      <w:r w:rsidR="005B69C5" w:rsidRPr="005B69C5">
        <w:rPr>
          <w:rFonts w:asciiTheme="minorHAnsi" w:hAnsiTheme="minorHAnsi" w:cstheme="minorHAnsi"/>
          <w:b/>
          <w:sz w:val="22"/>
          <w:szCs w:val="22"/>
          <w:lang w:val="es-EC" w:eastAsia="en-US"/>
        </w:rPr>
        <w:t xml:space="preserve">2015 - </w:t>
      </w:r>
      <w:r w:rsidRPr="005B69C5">
        <w:rPr>
          <w:rFonts w:asciiTheme="minorHAnsi" w:hAnsiTheme="minorHAnsi" w:cstheme="minorHAnsi"/>
          <w:b/>
          <w:sz w:val="22"/>
          <w:szCs w:val="22"/>
          <w:lang w:val="es-EC" w:eastAsia="en-US"/>
        </w:rPr>
        <w:t>Archivo Madre</w:t>
      </w:r>
      <w:r w:rsidR="005B69C5">
        <w:rPr>
          <w:rFonts w:asciiTheme="minorHAnsi" w:hAnsiTheme="minorHAnsi" w:cstheme="minorHAnsi"/>
          <w:b/>
          <w:sz w:val="22"/>
          <w:szCs w:val="22"/>
          <w:lang w:val="es-EC" w:eastAsia="en-US"/>
        </w:rPr>
        <w:t>,</w:t>
      </w:r>
      <w:r w:rsidRPr="00EE5BD2">
        <w:rPr>
          <w:rFonts w:asciiTheme="minorHAnsi" w:hAnsiTheme="minorHAnsi" w:cstheme="minorHAnsi"/>
          <w:sz w:val="22"/>
          <w:szCs w:val="22"/>
          <w:lang w:val="es-EC" w:eastAsia="en-US"/>
        </w:rPr>
        <w:t xml:space="preserve"> que corresponde al archivo del PUOS del cual se desprende la división en 4 partes para </w:t>
      </w:r>
      <w:r w:rsidR="00EE5BD2" w:rsidRPr="00EE5BD2">
        <w:rPr>
          <w:rFonts w:asciiTheme="minorHAnsi" w:hAnsiTheme="minorHAnsi" w:cstheme="minorHAnsi"/>
          <w:sz w:val="22"/>
          <w:szCs w:val="22"/>
          <w:lang w:val="es-EC" w:eastAsia="en-US"/>
        </w:rPr>
        <w:t xml:space="preserve">el proceso de actualización, su fecha de última </w:t>
      </w:r>
      <w:r w:rsidR="00EE5BD2">
        <w:rPr>
          <w:rFonts w:asciiTheme="minorHAnsi" w:hAnsiTheme="minorHAnsi" w:cstheme="minorHAnsi"/>
          <w:sz w:val="22"/>
          <w:szCs w:val="22"/>
          <w:lang w:val="es-EC" w:eastAsia="en-US"/>
        </w:rPr>
        <w:t>modificación</w:t>
      </w:r>
      <w:r w:rsidR="00EE5BD2" w:rsidRPr="00EE5BD2">
        <w:rPr>
          <w:rFonts w:asciiTheme="minorHAnsi" w:hAnsiTheme="minorHAnsi" w:cstheme="minorHAnsi"/>
          <w:sz w:val="22"/>
          <w:szCs w:val="22"/>
          <w:lang w:val="es-EC" w:eastAsia="en-US"/>
        </w:rPr>
        <w:t xml:space="preserve"> es el </w:t>
      </w:r>
      <w:r w:rsidR="005B69C5">
        <w:rPr>
          <w:rFonts w:asciiTheme="minorHAnsi" w:hAnsiTheme="minorHAnsi" w:cstheme="minorHAnsi"/>
          <w:sz w:val="22"/>
          <w:szCs w:val="22"/>
          <w:lang w:val="es-EC" w:eastAsia="en-US"/>
        </w:rPr>
        <w:t>26/</w:t>
      </w:r>
      <w:r w:rsidR="00EE5BD2" w:rsidRPr="00EE5BD2">
        <w:rPr>
          <w:rFonts w:asciiTheme="minorHAnsi" w:hAnsiTheme="minorHAnsi" w:cstheme="minorHAnsi"/>
          <w:sz w:val="22"/>
          <w:szCs w:val="22"/>
          <w:lang w:val="es-EC" w:eastAsia="en-US"/>
        </w:rPr>
        <w:t>02/2015</w:t>
      </w:r>
      <w:r w:rsidR="00EE5BD2">
        <w:rPr>
          <w:rFonts w:asciiTheme="minorHAnsi" w:hAnsiTheme="minorHAnsi" w:cstheme="minorHAnsi"/>
          <w:sz w:val="22"/>
          <w:szCs w:val="22"/>
          <w:lang w:val="es-EC" w:eastAsia="en-US"/>
        </w:rPr>
        <w:t>.</w:t>
      </w:r>
      <w:r w:rsidR="00EE5BD2" w:rsidRPr="00EE5BD2">
        <w:rPr>
          <w:rFonts w:asciiTheme="minorHAnsi" w:hAnsiTheme="minorHAnsi" w:cstheme="minorHAnsi"/>
          <w:sz w:val="22"/>
          <w:szCs w:val="22"/>
          <w:lang w:val="es-EC" w:eastAsia="en-US"/>
        </w:rPr>
        <w:t xml:space="preserve">  </w:t>
      </w:r>
    </w:p>
    <w:p w:rsidR="00154A08" w:rsidRDefault="00154A08" w:rsidP="00154A08">
      <w:pPr>
        <w:pStyle w:val="Prrafodelista"/>
        <w:numPr>
          <w:ilvl w:val="0"/>
          <w:numId w:val="28"/>
        </w:numPr>
        <w:spacing w:after="0" w:line="240" w:lineRule="auto"/>
        <w:jc w:val="both"/>
        <w:rPr>
          <w:rFonts w:cstheme="minorHAnsi"/>
        </w:rPr>
      </w:pPr>
      <w:r w:rsidRPr="00EE5BD2">
        <w:rPr>
          <w:rFonts w:cstheme="minorHAnsi"/>
          <w:b/>
        </w:rPr>
        <w:t>PUOS</w:t>
      </w:r>
      <w:r w:rsidR="005B69C5">
        <w:rPr>
          <w:rFonts w:cstheme="minorHAnsi"/>
          <w:b/>
        </w:rPr>
        <w:t>_01_09_2015_A</w:t>
      </w:r>
      <w:r w:rsidRPr="00EE5BD2">
        <w:rPr>
          <w:rFonts w:cstheme="minorHAnsi"/>
          <w:b/>
        </w:rPr>
        <w:t>ntes de separar</w:t>
      </w:r>
      <w:r>
        <w:rPr>
          <w:rFonts w:cstheme="minorHAnsi"/>
        </w:rPr>
        <w:t xml:space="preserve">, </w:t>
      </w:r>
      <w:r w:rsidR="00EE2635">
        <w:rPr>
          <w:rFonts w:cstheme="minorHAnsi"/>
        </w:rPr>
        <w:t>que corresponde a la última capa del PUOS unificado previo a su separación para afectos de actualización, su fecha de última modificación es el 01/09/2015.</w:t>
      </w:r>
    </w:p>
    <w:p w:rsidR="0016665D" w:rsidRDefault="00154A08" w:rsidP="00154A08">
      <w:pPr>
        <w:pStyle w:val="Prrafodelista"/>
        <w:numPr>
          <w:ilvl w:val="0"/>
          <w:numId w:val="28"/>
        </w:numPr>
        <w:spacing w:after="0" w:line="240" w:lineRule="auto"/>
        <w:jc w:val="both"/>
        <w:rPr>
          <w:rFonts w:cstheme="minorHAnsi"/>
        </w:rPr>
      </w:pPr>
      <w:r w:rsidRPr="00EE5BD2">
        <w:rPr>
          <w:rFonts w:cstheme="minorHAnsi"/>
          <w:b/>
        </w:rPr>
        <w:t>PUOS</w:t>
      </w:r>
      <w:r w:rsidR="005B69C5">
        <w:rPr>
          <w:rFonts w:cstheme="minorHAnsi"/>
          <w:b/>
        </w:rPr>
        <w:t xml:space="preserve"> 2016 unificado febrero</w:t>
      </w:r>
      <w:r w:rsidR="00EE5BD2">
        <w:rPr>
          <w:rFonts w:cstheme="minorHAnsi"/>
        </w:rPr>
        <w:t xml:space="preserve">, que corresponde al  archivo que unifica las 4 partes en las que se dividió el PUOS </w:t>
      </w:r>
      <w:r w:rsidR="0016665D">
        <w:rPr>
          <w:rFonts w:cstheme="minorHAnsi"/>
        </w:rPr>
        <w:t xml:space="preserve"> compilándolo en una única capa, cuya fecha de creación es 24 de febrero de 2016.</w:t>
      </w:r>
    </w:p>
    <w:p w:rsidR="0016665D" w:rsidRDefault="00154A08" w:rsidP="00154A08">
      <w:pPr>
        <w:pStyle w:val="Prrafodelista"/>
        <w:numPr>
          <w:ilvl w:val="0"/>
          <w:numId w:val="28"/>
        </w:numPr>
        <w:spacing w:after="0" w:line="240" w:lineRule="auto"/>
        <w:jc w:val="both"/>
        <w:rPr>
          <w:rFonts w:cstheme="minorHAnsi"/>
        </w:rPr>
      </w:pPr>
      <w:r w:rsidRPr="0016665D">
        <w:rPr>
          <w:rFonts w:cstheme="minorHAnsi"/>
          <w:b/>
        </w:rPr>
        <w:t>Ord. 041</w:t>
      </w:r>
      <w:r w:rsidR="005B69C5">
        <w:rPr>
          <w:rFonts w:cstheme="minorHAnsi"/>
          <w:b/>
        </w:rPr>
        <w:t xml:space="preserve"> final 28-07-2016</w:t>
      </w:r>
      <w:r w:rsidR="0016665D" w:rsidRPr="0016665D">
        <w:rPr>
          <w:rFonts w:cstheme="minorHAnsi"/>
          <w:b/>
        </w:rPr>
        <w:t xml:space="preserve"> </w:t>
      </w:r>
      <w:r w:rsidR="0016665D" w:rsidRPr="0016665D">
        <w:rPr>
          <w:rFonts w:cstheme="minorHAnsi"/>
        </w:rPr>
        <w:t xml:space="preserve">que corresponde al último archivo del PUOS de la Ordenanza 041, que fue subido </w:t>
      </w:r>
      <w:r w:rsidR="0016665D">
        <w:rPr>
          <w:rFonts w:cstheme="minorHAnsi"/>
        </w:rPr>
        <w:t>al sistema IRM, su fecha de creación y subida al sistema es el 28 de julio de 2016.</w:t>
      </w:r>
    </w:p>
    <w:p w:rsidR="005B69C5" w:rsidRDefault="00633F90" w:rsidP="00154A08">
      <w:pPr>
        <w:pStyle w:val="Prrafodelista"/>
        <w:numPr>
          <w:ilvl w:val="0"/>
          <w:numId w:val="28"/>
        </w:numPr>
        <w:spacing w:after="0" w:line="240" w:lineRule="auto"/>
        <w:jc w:val="both"/>
        <w:rPr>
          <w:rFonts w:cstheme="minorHAnsi"/>
        </w:rPr>
      </w:pPr>
      <w:r>
        <w:rPr>
          <w:rFonts w:cstheme="minorHAnsi"/>
          <w:b/>
        </w:rPr>
        <w:t xml:space="preserve">Ord. 127 </w:t>
      </w:r>
      <w:proofErr w:type="gramStart"/>
      <w:r>
        <w:rPr>
          <w:rFonts w:cstheme="minorHAnsi"/>
          <w:b/>
        </w:rPr>
        <w:t>inicial</w:t>
      </w:r>
      <w:proofErr w:type="gramEnd"/>
      <w:r>
        <w:rPr>
          <w:rFonts w:cstheme="minorHAnsi"/>
          <w:b/>
        </w:rPr>
        <w:t xml:space="preserve"> 10 de agosto 2016: </w:t>
      </w:r>
      <w:r w:rsidRPr="00633F90">
        <w:rPr>
          <w:rFonts w:cstheme="minorHAnsi"/>
        </w:rPr>
        <w:t>que corresponde a la primera carga del PUOS de la Ordenanza 127 al sistema IRM, cu</w:t>
      </w:r>
      <w:r>
        <w:rPr>
          <w:rFonts w:cstheme="minorHAnsi"/>
        </w:rPr>
        <w:t>y</w:t>
      </w:r>
      <w:r w:rsidRPr="00633F90">
        <w:rPr>
          <w:rFonts w:cstheme="minorHAnsi"/>
        </w:rPr>
        <w:t>a fecha de creación es 10 de agosto de 2016.</w:t>
      </w:r>
    </w:p>
    <w:p w:rsidR="00633F90" w:rsidRDefault="00633F90" w:rsidP="00633F90">
      <w:pPr>
        <w:pStyle w:val="Prrafodelista"/>
        <w:numPr>
          <w:ilvl w:val="0"/>
          <w:numId w:val="28"/>
        </w:numPr>
        <w:spacing w:after="0" w:line="240" w:lineRule="auto"/>
        <w:jc w:val="both"/>
        <w:rPr>
          <w:rFonts w:cstheme="minorHAnsi"/>
        </w:rPr>
      </w:pPr>
      <w:r>
        <w:rPr>
          <w:rFonts w:cstheme="minorHAnsi"/>
          <w:b/>
        </w:rPr>
        <w:t xml:space="preserve">Ord. 127 PUOS 18 de abril de 2017: </w:t>
      </w:r>
      <w:r w:rsidRPr="00633F90">
        <w:rPr>
          <w:rFonts w:cstheme="minorHAnsi"/>
        </w:rPr>
        <w:t xml:space="preserve">que corresponde a la </w:t>
      </w:r>
      <w:r>
        <w:rPr>
          <w:rFonts w:cstheme="minorHAnsi"/>
        </w:rPr>
        <w:t xml:space="preserve">carga del PUOS de la Ordenanza </w:t>
      </w:r>
      <w:r w:rsidR="00AD7D1D">
        <w:rPr>
          <w:rFonts w:cstheme="minorHAnsi"/>
        </w:rPr>
        <w:t>No.</w:t>
      </w:r>
      <w:r>
        <w:rPr>
          <w:rFonts w:cstheme="minorHAnsi"/>
        </w:rPr>
        <w:t xml:space="preserve"> 127 que se hace al sistema IRM, que contiene las 12 omisiones.</w:t>
      </w:r>
    </w:p>
    <w:p w:rsidR="00633F90" w:rsidRDefault="00633F90" w:rsidP="00633F90">
      <w:pPr>
        <w:pStyle w:val="Prrafodelista"/>
        <w:numPr>
          <w:ilvl w:val="0"/>
          <w:numId w:val="28"/>
        </w:numPr>
        <w:spacing w:after="0" w:line="240" w:lineRule="auto"/>
        <w:jc w:val="both"/>
        <w:rPr>
          <w:rFonts w:cstheme="minorHAnsi"/>
        </w:rPr>
      </w:pPr>
      <w:r>
        <w:rPr>
          <w:rFonts w:cstheme="minorHAnsi"/>
          <w:b/>
        </w:rPr>
        <w:t xml:space="preserve">73_cambios_final: </w:t>
      </w:r>
      <w:r>
        <w:rPr>
          <w:rFonts w:cstheme="minorHAnsi"/>
        </w:rPr>
        <w:t>Que contiene los 73 cambios que no constan en la matriz de cambios 2016, conforme al análisis realizado por el Ing. Marcelo Yánez.</w:t>
      </w:r>
    </w:p>
    <w:p w:rsidR="00633F90" w:rsidRPr="00A6256B" w:rsidRDefault="00633F90" w:rsidP="00633F90">
      <w:pPr>
        <w:pStyle w:val="Prrafodelista"/>
        <w:numPr>
          <w:ilvl w:val="0"/>
          <w:numId w:val="28"/>
        </w:numPr>
        <w:spacing w:after="0" w:line="240" w:lineRule="auto"/>
        <w:jc w:val="both"/>
        <w:rPr>
          <w:rFonts w:cstheme="minorHAnsi"/>
        </w:rPr>
      </w:pPr>
      <w:r w:rsidRPr="00A6256B">
        <w:rPr>
          <w:rFonts w:cstheme="minorHAnsi"/>
          <w:b/>
        </w:rPr>
        <w:t xml:space="preserve">281_cambios_final: </w:t>
      </w:r>
      <w:r w:rsidR="001E3863" w:rsidRPr="00A6256B">
        <w:rPr>
          <w:rFonts w:cstheme="minorHAnsi"/>
        </w:rPr>
        <w:t>Que contiene los 281 cambios que no constan en la matriz de cambios 2016, conforme al análisis realizado por la STHV, entregado a la Comisión de Uso de Suelo el 23 de junio de 2017.</w:t>
      </w:r>
    </w:p>
    <w:p w:rsidR="00154A08" w:rsidRPr="001E3863" w:rsidRDefault="00154A08" w:rsidP="00154A08">
      <w:pPr>
        <w:pStyle w:val="Textoindependiente"/>
        <w:ind w:left="1080"/>
        <w:rPr>
          <w:rFonts w:asciiTheme="minorHAnsi" w:hAnsiTheme="minorHAnsi" w:cstheme="minorHAnsi"/>
          <w:lang w:val="es-EC"/>
        </w:rPr>
      </w:pPr>
    </w:p>
    <w:p w:rsidR="00FA2306" w:rsidRPr="00D4111F" w:rsidRDefault="00FA2306" w:rsidP="00FA2306">
      <w:pPr>
        <w:spacing w:after="0" w:line="240" w:lineRule="auto"/>
        <w:jc w:val="both"/>
        <w:rPr>
          <w:rFonts w:cstheme="minorHAnsi"/>
          <w:lang w:val="es-ES" w:eastAsia="es-ES"/>
        </w:rPr>
      </w:pPr>
      <w:r w:rsidRPr="00D4111F">
        <w:rPr>
          <w:rFonts w:cstheme="minorHAnsi"/>
        </w:rPr>
        <w:t>El análisis parte de la asignación de</w:t>
      </w:r>
      <w:r w:rsidRPr="00D4111F">
        <w:rPr>
          <w:rFonts w:cstheme="minorHAnsi"/>
          <w:lang w:val="es-ES" w:eastAsia="es-ES"/>
        </w:rPr>
        <w:t xml:space="preserve"> un color diferente a cada capa,  a fin de establecer de forma visual la capa donde se realiza el cambio; posteriormente - y dado que cada capa tiene </w:t>
      </w:r>
      <w:proofErr w:type="gramStart"/>
      <w:r w:rsidRPr="00D4111F">
        <w:rPr>
          <w:rFonts w:cstheme="minorHAnsi"/>
          <w:lang w:val="es-ES" w:eastAsia="es-ES"/>
        </w:rPr>
        <w:t>una</w:t>
      </w:r>
      <w:proofErr w:type="gramEnd"/>
      <w:r w:rsidRPr="00D4111F">
        <w:rPr>
          <w:rFonts w:cstheme="minorHAnsi"/>
          <w:lang w:val="es-ES" w:eastAsia="es-ES"/>
        </w:rPr>
        <w:t xml:space="preserve"> fecha de modificación</w:t>
      </w:r>
      <w:r w:rsidR="00685553" w:rsidRPr="00D4111F">
        <w:rPr>
          <w:rFonts w:cstheme="minorHAnsi"/>
          <w:lang w:val="es-ES" w:eastAsia="es-ES"/>
        </w:rPr>
        <w:t>-  se logra establecer el</w:t>
      </w:r>
      <w:r w:rsidRPr="00D4111F">
        <w:rPr>
          <w:rFonts w:cstheme="minorHAnsi"/>
          <w:lang w:val="es-ES" w:eastAsia="es-ES"/>
        </w:rPr>
        <w:t xml:space="preserve"> período de tiempo </w:t>
      </w:r>
      <w:r w:rsidR="00685553" w:rsidRPr="00D4111F">
        <w:rPr>
          <w:rFonts w:cstheme="minorHAnsi"/>
          <w:lang w:val="es-ES" w:eastAsia="es-ES"/>
        </w:rPr>
        <w:t>en el cual</w:t>
      </w:r>
      <w:r w:rsidRPr="00D4111F">
        <w:rPr>
          <w:rFonts w:cstheme="minorHAnsi"/>
          <w:lang w:val="es-ES" w:eastAsia="es-ES"/>
        </w:rPr>
        <w:t xml:space="preserve"> se generó el cambio</w:t>
      </w:r>
      <w:r w:rsidR="00F26CBF" w:rsidRPr="00D4111F">
        <w:rPr>
          <w:rFonts w:cstheme="minorHAnsi"/>
          <w:lang w:val="es-ES" w:eastAsia="es-ES"/>
        </w:rPr>
        <w:t>, los períodos identificado</w:t>
      </w:r>
      <w:r w:rsidR="00915E66" w:rsidRPr="00D4111F">
        <w:rPr>
          <w:rFonts w:cstheme="minorHAnsi"/>
          <w:lang w:val="es-ES" w:eastAsia="es-ES"/>
        </w:rPr>
        <w:t>s</w:t>
      </w:r>
      <w:r w:rsidR="00F26CBF" w:rsidRPr="00D4111F">
        <w:rPr>
          <w:rFonts w:cstheme="minorHAnsi"/>
          <w:lang w:val="es-ES" w:eastAsia="es-ES"/>
        </w:rPr>
        <w:t xml:space="preserve"> son los siguientes: </w:t>
      </w:r>
    </w:p>
    <w:p w:rsidR="00B73CF5" w:rsidRPr="00D4111F" w:rsidRDefault="00B73CF5" w:rsidP="00FA2306">
      <w:pPr>
        <w:spacing w:after="0" w:line="240" w:lineRule="auto"/>
        <w:jc w:val="both"/>
        <w:rPr>
          <w:rFonts w:cstheme="minorHAnsi"/>
          <w:lang w:val="es-ES" w:eastAsia="es-ES"/>
        </w:rPr>
      </w:pPr>
    </w:p>
    <w:p w:rsidR="00B73CF5" w:rsidRPr="00620FE1" w:rsidRDefault="00B73CF5" w:rsidP="00B73CF5">
      <w:pPr>
        <w:pStyle w:val="Prrafodelista"/>
        <w:numPr>
          <w:ilvl w:val="0"/>
          <w:numId w:val="31"/>
        </w:numPr>
        <w:spacing w:after="0" w:line="240" w:lineRule="auto"/>
        <w:jc w:val="both"/>
        <w:rPr>
          <w:rFonts w:cstheme="minorHAnsi"/>
          <w:lang w:val="es-ES" w:eastAsia="es-ES"/>
        </w:rPr>
      </w:pPr>
      <w:r w:rsidRPr="00620FE1">
        <w:rPr>
          <w:rFonts w:cstheme="minorHAnsi"/>
          <w:b/>
          <w:lang w:val="es-ES" w:eastAsia="es-ES"/>
        </w:rPr>
        <w:lastRenderedPageBreak/>
        <w:t>Período 1:</w:t>
      </w:r>
      <w:r w:rsidRPr="00620FE1">
        <w:rPr>
          <w:rFonts w:cstheme="minorHAnsi"/>
          <w:lang w:val="es-ES" w:eastAsia="es-ES"/>
        </w:rPr>
        <w:t xml:space="preserve"> Entre </w:t>
      </w:r>
      <w:r w:rsidR="00620FE1">
        <w:rPr>
          <w:rFonts w:cstheme="minorHAnsi"/>
          <w:lang w:val="es-ES" w:eastAsia="es-ES"/>
        </w:rPr>
        <w:t xml:space="preserve">26 de </w:t>
      </w:r>
      <w:r w:rsidRPr="00620FE1">
        <w:rPr>
          <w:rFonts w:cstheme="minorHAnsi"/>
          <w:lang w:val="es-ES" w:eastAsia="es-ES"/>
        </w:rPr>
        <w:t xml:space="preserve">febrero de 2015 y </w:t>
      </w:r>
      <w:r w:rsidR="00620FE1">
        <w:rPr>
          <w:rFonts w:cstheme="minorHAnsi"/>
          <w:lang w:val="es-ES" w:eastAsia="es-ES"/>
        </w:rPr>
        <w:t xml:space="preserve">01 de </w:t>
      </w:r>
      <w:r w:rsidRPr="00620FE1">
        <w:rPr>
          <w:rFonts w:cstheme="minorHAnsi"/>
          <w:lang w:val="es-ES" w:eastAsia="es-ES"/>
        </w:rPr>
        <w:t>septiembre de 2015, que corresponde al período entre la puesta en vigencia de la Ordenanza 041 y la división del PUOS en 4 parte</w:t>
      </w:r>
      <w:r w:rsidR="00620FE1">
        <w:rPr>
          <w:rFonts w:cstheme="minorHAnsi"/>
          <w:lang w:val="es-ES" w:eastAsia="es-ES"/>
        </w:rPr>
        <w:t>s para efectos de actualización, respectivamente.</w:t>
      </w:r>
    </w:p>
    <w:p w:rsidR="001012ED" w:rsidRPr="00620FE1" w:rsidRDefault="001012ED" w:rsidP="00B73CF5">
      <w:pPr>
        <w:pStyle w:val="Prrafodelista"/>
        <w:numPr>
          <w:ilvl w:val="0"/>
          <w:numId w:val="31"/>
        </w:numPr>
        <w:spacing w:after="0" w:line="240" w:lineRule="auto"/>
        <w:jc w:val="both"/>
        <w:rPr>
          <w:rFonts w:cstheme="minorHAnsi"/>
          <w:lang w:val="es-ES" w:eastAsia="es-ES"/>
        </w:rPr>
      </w:pPr>
      <w:r w:rsidRPr="00620FE1">
        <w:rPr>
          <w:rFonts w:cstheme="minorHAnsi"/>
          <w:b/>
          <w:lang w:val="es-ES" w:eastAsia="es-ES"/>
        </w:rPr>
        <w:t>Período 2:</w:t>
      </w:r>
      <w:r w:rsidRPr="00620FE1">
        <w:rPr>
          <w:rFonts w:cstheme="minorHAnsi"/>
          <w:lang w:val="es-ES" w:eastAsia="es-ES"/>
        </w:rPr>
        <w:t xml:space="preserve"> Entre </w:t>
      </w:r>
      <w:r w:rsidR="00620FE1">
        <w:rPr>
          <w:rFonts w:cstheme="minorHAnsi"/>
          <w:lang w:val="es-ES" w:eastAsia="es-ES"/>
        </w:rPr>
        <w:t xml:space="preserve">el 02 </w:t>
      </w:r>
      <w:r w:rsidRPr="00620FE1">
        <w:rPr>
          <w:rFonts w:cstheme="minorHAnsi"/>
          <w:lang w:val="es-ES" w:eastAsia="es-ES"/>
        </w:rPr>
        <w:t xml:space="preserve">septiembre de 2015 y </w:t>
      </w:r>
      <w:r w:rsidR="00620FE1">
        <w:rPr>
          <w:rFonts w:cstheme="minorHAnsi"/>
          <w:lang w:val="es-ES" w:eastAsia="es-ES"/>
        </w:rPr>
        <w:t xml:space="preserve">24 de </w:t>
      </w:r>
      <w:r w:rsidRPr="00620FE1">
        <w:rPr>
          <w:rFonts w:cstheme="minorHAnsi"/>
          <w:lang w:val="es-ES" w:eastAsia="es-ES"/>
        </w:rPr>
        <w:t xml:space="preserve">febrero de 2016, que corresponde al período entre la separación </w:t>
      </w:r>
      <w:r w:rsidR="00620FE1">
        <w:rPr>
          <w:rFonts w:cstheme="minorHAnsi"/>
          <w:lang w:val="es-ES" w:eastAsia="es-ES"/>
        </w:rPr>
        <w:t xml:space="preserve">del PUOS que contiene la </w:t>
      </w:r>
      <w:r w:rsidRPr="00620FE1">
        <w:rPr>
          <w:rFonts w:cstheme="minorHAnsi"/>
          <w:lang w:val="es-ES" w:eastAsia="es-ES"/>
        </w:rPr>
        <w:t xml:space="preserve">Ordenanza 041 y la unificación de las 4 partes </w:t>
      </w:r>
      <w:r w:rsidR="00620FE1">
        <w:rPr>
          <w:rFonts w:cstheme="minorHAnsi"/>
          <w:lang w:val="es-ES" w:eastAsia="es-ES"/>
        </w:rPr>
        <w:t xml:space="preserve">del mismo </w:t>
      </w:r>
      <w:r w:rsidRPr="00620FE1">
        <w:rPr>
          <w:rFonts w:cstheme="minorHAnsi"/>
          <w:lang w:val="es-ES" w:eastAsia="es-ES"/>
        </w:rPr>
        <w:t xml:space="preserve"> en un único archivo PUOS</w:t>
      </w:r>
      <w:r w:rsidR="00620FE1">
        <w:rPr>
          <w:rFonts w:cstheme="minorHAnsi"/>
          <w:lang w:val="es-ES" w:eastAsia="es-ES"/>
        </w:rPr>
        <w:t>,</w:t>
      </w:r>
      <w:r w:rsidRPr="00620FE1">
        <w:rPr>
          <w:rFonts w:cstheme="minorHAnsi"/>
          <w:lang w:val="es-ES" w:eastAsia="es-ES"/>
        </w:rPr>
        <w:t xml:space="preserve"> realizada para enviarse a la Comisión de Uso de Suelo para su revisión.</w:t>
      </w:r>
    </w:p>
    <w:p w:rsidR="00620FE1" w:rsidRDefault="001012ED" w:rsidP="00B73CF5">
      <w:pPr>
        <w:pStyle w:val="Prrafodelista"/>
        <w:numPr>
          <w:ilvl w:val="0"/>
          <w:numId w:val="31"/>
        </w:numPr>
        <w:spacing w:after="0" w:line="240" w:lineRule="auto"/>
        <w:jc w:val="both"/>
        <w:rPr>
          <w:rFonts w:cstheme="minorHAnsi"/>
          <w:lang w:val="es-ES" w:eastAsia="es-ES"/>
        </w:rPr>
      </w:pPr>
      <w:r w:rsidRPr="00620FE1">
        <w:rPr>
          <w:rFonts w:cstheme="minorHAnsi"/>
          <w:b/>
          <w:lang w:val="es-ES" w:eastAsia="es-ES"/>
        </w:rPr>
        <w:t>Período 3:</w:t>
      </w:r>
      <w:r w:rsidRPr="00620FE1">
        <w:rPr>
          <w:rFonts w:cstheme="minorHAnsi"/>
          <w:lang w:val="es-ES" w:eastAsia="es-ES"/>
        </w:rPr>
        <w:t xml:space="preserve"> </w:t>
      </w:r>
      <w:r w:rsidR="00620FE1" w:rsidRPr="00620FE1">
        <w:rPr>
          <w:rFonts w:cstheme="minorHAnsi"/>
          <w:lang w:val="es-ES" w:eastAsia="es-ES"/>
        </w:rPr>
        <w:t xml:space="preserve">Entre 25 de febrero de 2016 y 25 de julio de </w:t>
      </w:r>
      <w:r w:rsidRPr="00620FE1">
        <w:rPr>
          <w:rFonts w:cstheme="minorHAnsi"/>
          <w:lang w:val="es-ES" w:eastAsia="es-ES"/>
        </w:rPr>
        <w:t xml:space="preserve"> </w:t>
      </w:r>
      <w:r w:rsidR="00620FE1" w:rsidRPr="00620FE1">
        <w:rPr>
          <w:rFonts w:cstheme="minorHAnsi"/>
          <w:lang w:val="es-ES" w:eastAsia="es-ES"/>
        </w:rPr>
        <w:t>2016, que corresponde al período posterior a la unificación del PUOS y l</w:t>
      </w:r>
      <w:r w:rsidR="00620FE1">
        <w:rPr>
          <w:rFonts w:cstheme="minorHAnsi"/>
          <w:lang w:val="es-ES" w:eastAsia="es-ES"/>
        </w:rPr>
        <w:t>a sanción de la Ordenanza nº 12</w:t>
      </w:r>
      <w:r w:rsidR="00F26CBF">
        <w:rPr>
          <w:rFonts w:cstheme="minorHAnsi"/>
          <w:lang w:val="es-ES" w:eastAsia="es-ES"/>
        </w:rPr>
        <w:t>7</w:t>
      </w:r>
      <w:r w:rsidR="00620FE1">
        <w:rPr>
          <w:rFonts w:cstheme="minorHAnsi"/>
          <w:lang w:val="es-ES" w:eastAsia="es-ES"/>
        </w:rPr>
        <w:t>, respectivamente.</w:t>
      </w:r>
    </w:p>
    <w:p w:rsidR="00620FE1" w:rsidRPr="00620FE1" w:rsidRDefault="00620FE1" w:rsidP="00B73CF5">
      <w:pPr>
        <w:pStyle w:val="Prrafodelista"/>
        <w:numPr>
          <w:ilvl w:val="0"/>
          <w:numId w:val="31"/>
        </w:numPr>
        <w:spacing w:after="0" w:line="240" w:lineRule="auto"/>
        <w:jc w:val="both"/>
        <w:rPr>
          <w:rFonts w:cstheme="minorHAnsi"/>
          <w:lang w:val="es-ES" w:eastAsia="es-ES"/>
        </w:rPr>
      </w:pPr>
      <w:r w:rsidRPr="00620FE1">
        <w:rPr>
          <w:rFonts w:cstheme="minorHAnsi"/>
          <w:lang w:val="es-ES" w:eastAsia="es-ES"/>
        </w:rPr>
        <w:t xml:space="preserve"> </w:t>
      </w:r>
      <w:r w:rsidRPr="00620FE1">
        <w:rPr>
          <w:rFonts w:cstheme="minorHAnsi"/>
          <w:b/>
          <w:lang w:val="es-ES" w:eastAsia="es-ES"/>
        </w:rPr>
        <w:t>Período 4:</w:t>
      </w:r>
      <w:r w:rsidRPr="00620FE1">
        <w:rPr>
          <w:rFonts w:cstheme="minorHAnsi"/>
          <w:lang w:val="es-ES" w:eastAsia="es-ES"/>
        </w:rPr>
        <w:t xml:space="preserve"> Entre el 25 de julio de 2016 y 18 de abril de 2017</w:t>
      </w:r>
      <w:r>
        <w:rPr>
          <w:rFonts w:cstheme="minorHAnsi"/>
          <w:lang w:val="es-ES" w:eastAsia="es-ES"/>
        </w:rPr>
        <w:t>, que corresponde al período posterior a la pu</w:t>
      </w:r>
      <w:r w:rsidR="00F26CBF">
        <w:rPr>
          <w:rFonts w:cstheme="minorHAnsi"/>
          <w:lang w:val="es-ES" w:eastAsia="es-ES"/>
        </w:rPr>
        <w:t xml:space="preserve">esta en vigencia de la Ord. 127,  </w:t>
      </w:r>
      <w:r w:rsidR="00915E66">
        <w:rPr>
          <w:rFonts w:cstheme="minorHAnsi"/>
          <w:lang w:val="es-ES" w:eastAsia="es-ES"/>
        </w:rPr>
        <w:t xml:space="preserve">donde se produce </w:t>
      </w:r>
      <w:r w:rsidR="00F26CBF">
        <w:rPr>
          <w:rFonts w:cstheme="minorHAnsi"/>
          <w:lang w:val="es-ES" w:eastAsia="es-ES"/>
        </w:rPr>
        <w:t>la carga de las 12 omisiones al sistema IRM</w:t>
      </w:r>
      <w:r w:rsidR="007D79AC">
        <w:rPr>
          <w:rFonts w:cstheme="minorHAnsi"/>
          <w:lang w:val="es-ES" w:eastAsia="es-ES"/>
        </w:rPr>
        <w:t xml:space="preserve"> (18/04/2017)</w:t>
      </w:r>
      <w:r w:rsidR="00F26CBF">
        <w:rPr>
          <w:rFonts w:cstheme="minorHAnsi"/>
          <w:lang w:val="es-ES" w:eastAsia="es-ES"/>
        </w:rPr>
        <w:t xml:space="preserve"> y </w:t>
      </w:r>
      <w:r w:rsidR="00915E66">
        <w:rPr>
          <w:rFonts w:cstheme="minorHAnsi"/>
          <w:lang w:val="es-ES" w:eastAsia="es-ES"/>
        </w:rPr>
        <w:t xml:space="preserve">que contiene </w:t>
      </w:r>
      <w:r w:rsidR="00F26CBF">
        <w:rPr>
          <w:rFonts w:cstheme="minorHAnsi"/>
          <w:lang w:val="es-ES" w:eastAsia="es-ES"/>
        </w:rPr>
        <w:t xml:space="preserve">los cambios producidos por efectos de la dinámica del territorio contempladas en la Ordenanza 172, </w:t>
      </w:r>
      <w:r w:rsidR="00500026">
        <w:rPr>
          <w:rFonts w:cstheme="minorHAnsi"/>
          <w:lang w:val="es-ES" w:eastAsia="es-ES"/>
        </w:rPr>
        <w:t>art. 4 y 5 y la Disposición General  Sexta.</w:t>
      </w:r>
    </w:p>
    <w:p w:rsidR="00B73CF5" w:rsidRPr="00620FE1" w:rsidRDefault="00B73CF5" w:rsidP="00FA2306">
      <w:pPr>
        <w:spacing w:after="0" w:line="240" w:lineRule="auto"/>
        <w:jc w:val="both"/>
        <w:rPr>
          <w:rFonts w:cstheme="minorHAnsi"/>
          <w:lang w:val="es-ES" w:eastAsia="es-ES"/>
        </w:rPr>
      </w:pPr>
    </w:p>
    <w:p w:rsidR="00FA2306" w:rsidRPr="00620FE1" w:rsidRDefault="00FA2306" w:rsidP="00FA2306">
      <w:pPr>
        <w:spacing w:after="0" w:line="240" w:lineRule="auto"/>
        <w:jc w:val="both"/>
        <w:rPr>
          <w:rFonts w:cstheme="minorHAnsi"/>
        </w:rPr>
      </w:pPr>
      <w:r w:rsidRPr="00620FE1">
        <w:rPr>
          <w:rFonts w:cstheme="minorHAnsi"/>
        </w:rPr>
        <w:t xml:space="preserve">En el gráfico siguiente, se muestra </w:t>
      </w:r>
      <w:r w:rsidR="00685553">
        <w:rPr>
          <w:rFonts w:cstheme="minorHAnsi"/>
        </w:rPr>
        <w:t xml:space="preserve">a manera de ejemplo, </w:t>
      </w:r>
      <w:r w:rsidRPr="00620FE1">
        <w:rPr>
          <w:rFonts w:cstheme="minorHAnsi"/>
        </w:rPr>
        <w:t>un cambio no registrado donde se sobreponen las distintas capas del PUOS:</w:t>
      </w:r>
    </w:p>
    <w:p w:rsidR="00FA2306" w:rsidRDefault="00FA2306" w:rsidP="00FA2306">
      <w:pPr>
        <w:spacing w:after="0" w:line="240" w:lineRule="auto"/>
        <w:jc w:val="both"/>
        <w:rPr>
          <w:rFonts w:cstheme="minorHAnsi"/>
        </w:rPr>
      </w:pPr>
    </w:p>
    <w:p w:rsidR="00FA2306" w:rsidRPr="0010573F" w:rsidRDefault="00FA2306" w:rsidP="00FA2306">
      <w:pPr>
        <w:pStyle w:val="Epgrafe"/>
        <w:jc w:val="center"/>
      </w:pPr>
      <w:r>
        <w:t xml:space="preserve">Gráfico </w:t>
      </w:r>
      <w:r w:rsidR="000C0EAD">
        <w:fldChar w:fldCharType="begin"/>
      </w:r>
      <w:r w:rsidR="000C0EAD">
        <w:instrText xml:space="preserve"> SEQ Gráfico \* ARABIC </w:instrText>
      </w:r>
      <w:r w:rsidR="000C0EAD">
        <w:fldChar w:fldCharType="separate"/>
      </w:r>
      <w:r w:rsidR="00CA401D">
        <w:rPr>
          <w:noProof/>
        </w:rPr>
        <w:t>1</w:t>
      </w:r>
      <w:r w:rsidR="000C0EAD">
        <w:rPr>
          <w:noProof/>
        </w:rPr>
        <w:fldChar w:fldCharType="end"/>
      </w:r>
      <w:r>
        <w:t xml:space="preserve"> Análisis visual del cambio</w:t>
      </w:r>
    </w:p>
    <w:p w:rsidR="00FA2306" w:rsidRDefault="00FA2306" w:rsidP="00FA2306">
      <w:pPr>
        <w:spacing w:after="0" w:line="240" w:lineRule="auto"/>
        <w:jc w:val="center"/>
        <w:rPr>
          <w:rFonts w:cstheme="minorHAnsi"/>
        </w:rPr>
      </w:pPr>
      <w:r>
        <w:rPr>
          <w:noProof/>
          <w:lang w:eastAsia="es-EC"/>
        </w:rPr>
        <w:drawing>
          <wp:inline distT="0" distB="0" distL="0" distR="0" wp14:anchorId="10A0D490" wp14:editId="05074280">
            <wp:extent cx="4410075" cy="304384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2198" cy="3072914"/>
                    </a:xfrm>
                    <a:prstGeom prst="rect">
                      <a:avLst/>
                    </a:prstGeom>
                  </pic:spPr>
                </pic:pic>
              </a:graphicData>
            </a:graphic>
          </wp:inline>
        </w:drawing>
      </w:r>
    </w:p>
    <w:p w:rsidR="00685553" w:rsidRDefault="00685553" w:rsidP="00FA2306">
      <w:pPr>
        <w:spacing w:after="0" w:line="240" w:lineRule="auto"/>
        <w:jc w:val="center"/>
        <w:rPr>
          <w:rFonts w:cstheme="minorHAnsi"/>
        </w:rPr>
      </w:pPr>
    </w:p>
    <w:p w:rsidR="00FA2306" w:rsidRDefault="00685553" w:rsidP="00685553">
      <w:pPr>
        <w:spacing w:after="0" w:line="240" w:lineRule="auto"/>
        <w:jc w:val="center"/>
        <w:rPr>
          <w:rFonts w:cstheme="minorHAnsi"/>
        </w:rPr>
      </w:pPr>
      <w:r w:rsidRPr="00685553">
        <w:rPr>
          <w:rFonts w:cstheme="minorHAnsi"/>
          <w:b/>
        </w:rPr>
        <w:t>Leyenda</w:t>
      </w:r>
    </w:p>
    <w:p w:rsidR="00FA2306" w:rsidRPr="00112134" w:rsidRDefault="00FA2306" w:rsidP="00FA2306">
      <w:pPr>
        <w:pStyle w:val="Textoindependiente"/>
        <w:jc w:val="center"/>
        <w:rPr>
          <w:rFonts w:asciiTheme="minorHAnsi" w:hAnsiTheme="minorHAnsi" w:cstheme="minorHAnsi"/>
        </w:rPr>
      </w:pPr>
      <w:r>
        <w:rPr>
          <w:noProof/>
          <w:lang w:val="es-EC" w:eastAsia="es-EC"/>
        </w:rPr>
        <w:drawing>
          <wp:inline distT="0" distB="0" distL="0" distR="0" wp14:anchorId="028EE618" wp14:editId="3F1DE609">
            <wp:extent cx="2062715" cy="1628775"/>
            <wp:effectExtent l="19050" t="19050" r="139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8691" cy="1641390"/>
                    </a:xfrm>
                    <a:prstGeom prst="rect">
                      <a:avLst/>
                    </a:prstGeom>
                    <a:ln>
                      <a:solidFill>
                        <a:schemeClr val="tx1"/>
                      </a:solidFill>
                    </a:ln>
                  </pic:spPr>
                </pic:pic>
              </a:graphicData>
            </a:graphic>
          </wp:inline>
        </w:drawing>
      </w:r>
    </w:p>
    <w:p w:rsidR="00FA2306" w:rsidRDefault="00FA2306" w:rsidP="00154A08">
      <w:pPr>
        <w:spacing w:after="0" w:line="240" w:lineRule="auto"/>
        <w:jc w:val="both"/>
        <w:rPr>
          <w:rFonts w:cstheme="minorHAnsi"/>
          <w:sz w:val="24"/>
          <w:szCs w:val="24"/>
          <w:lang w:val="es-ES" w:eastAsia="es-ES"/>
        </w:rPr>
      </w:pPr>
    </w:p>
    <w:p w:rsidR="00C95C63" w:rsidRPr="00B14914" w:rsidRDefault="00C95C63" w:rsidP="00C95C63">
      <w:pPr>
        <w:spacing w:after="0" w:line="240" w:lineRule="auto"/>
        <w:jc w:val="both"/>
        <w:rPr>
          <w:rFonts w:ascii="Arial" w:hAnsi="Arial" w:cs="Arial"/>
          <w:b/>
        </w:rPr>
      </w:pPr>
      <w:r>
        <w:rPr>
          <w:rFonts w:cstheme="minorHAnsi"/>
          <w:sz w:val="24"/>
          <w:szCs w:val="24"/>
          <w:lang w:val="es-ES" w:eastAsia="es-ES"/>
        </w:rPr>
        <w:lastRenderedPageBreak/>
        <w:t xml:space="preserve">El análisis realizado establece </w:t>
      </w:r>
      <w:r>
        <w:rPr>
          <w:rFonts w:cstheme="minorHAnsi"/>
        </w:rPr>
        <w:t xml:space="preserve">que </w:t>
      </w:r>
      <w:r w:rsidR="00E164A0">
        <w:rPr>
          <w:rFonts w:cstheme="minorHAnsi"/>
          <w:b/>
        </w:rPr>
        <w:t>40</w:t>
      </w:r>
      <w:r w:rsidRPr="00393E9E">
        <w:rPr>
          <w:rFonts w:cstheme="minorHAnsi"/>
          <w:b/>
        </w:rPr>
        <w:t xml:space="preserve"> cambios se encontraban presentes en el archivo madre,</w:t>
      </w:r>
      <w:r>
        <w:rPr>
          <w:rFonts w:cstheme="minorHAnsi"/>
        </w:rPr>
        <w:t xml:space="preserve"> es decir, ya constaban </w:t>
      </w:r>
      <w:r w:rsidR="00B14914">
        <w:rPr>
          <w:rFonts w:cstheme="minorHAnsi"/>
        </w:rPr>
        <w:t xml:space="preserve">en la Ordenanza 041 a febrero del 2015; así mismo  se determina que </w:t>
      </w:r>
      <w:r w:rsidR="00B14914" w:rsidRPr="00D54042">
        <w:rPr>
          <w:rFonts w:cstheme="minorHAnsi"/>
          <w:b/>
        </w:rPr>
        <w:t>60 cambios, se encontraban en la capa del PUOS del 01 de septiembre de 2015,</w:t>
      </w:r>
      <w:r w:rsidR="00B14914">
        <w:rPr>
          <w:rFonts w:cstheme="minorHAnsi"/>
        </w:rPr>
        <w:t xml:space="preserve"> es decir previo a la separación del PUOS  en 4 partes para su unificación, lo que determina que en el </w:t>
      </w:r>
      <w:r w:rsidR="00D54042">
        <w:rPr>
          <w:rFonts w:cstheme="minorHAnsi"/>
          <w:b/>
        </w:rPr>
        <w:t>28</w:t>
      </w:r>
      <w:r w:rsidR="00E164A0">
        <w:rPr>
          <w:rFonts w:cstheme="minorHAnsi"/>
          <w:b/>
        </w:rPr>
        <w:t>.2</w:t>
      </w:r>
      <w:r w:rsidR="00B14914">
        <w:rPr>
          <w:rFonts w:cstheme="minorHAnsi"/>
          <w:b/>
        </w:rPr>
        <w:t xml:space="preserve">% de los cambios </w:t>
      </w:r>
      <w:r w:rsidR="00E164A0">
        <w:rPr>
          <w:rFonts w:cstheme="minorHAnsi"/>
          <w:b/>
        </w:rPr>
        <w:t>(100</w:t>
      </w:r>
      <w:r w:rsidR="00DC340D">
        <w:rPr>
          <w:rFonts w:cstheme="minorHAnsi"/>
          <w:b/>
        </w:rPr>
        <w:t xml:space="preserve"> casos) </w:t>
      </w:r>
      <w:r w:rsidR="00B14914">
        <w:rPr>
          <w:rFonts w:cstheme="minorHAnsi"/>
          <w:b/>
        </w:rPr>
        <w:t>se encontraban presentes en el Período 1.</w:t>
      </w:r>
    </w:p>
    <w:p w:rsidR="00C95C63" w:rsidRDefault="00C95C63" w:rsidP="00C95C63">
      <w:pPr>
        <w:spacing w:after="0" w:line="240" w:lineRule="auto"/>
        <w:jc w:val="both"/>
        <w:rPr>
          <w:rFonts w:cstheme="minorHAnsi"/>
        </w:rPr>
      </w:pPr>
    </w:p>
    <w:p w:rsidR="00393E9E" w:rsidRPr="00393E9E" w:rsidRDefault="008F6951" w:rsidP="00C95C63">
      <w:pPr>
        <w:spacing w:after="0" w:line="240" w:lineRule="auto"/>
        <w:jc w:val="both"/>
        <w:rPr>
          <w:rFonts w:cstheme="minorHAnsi"/>
        </w:rPr>
      </w:pPr>
      <w:r>
        <w:rPr>
          <w:rFonts w:cstheme="minorHAnsi"/>
        </w:rPr>
        <w:t>Se eviden</w:t>
      </w:r>
      <w:r w:rsidR="00393E9E">
        <w:rPr>
          <w:rFonts w:cstheme="minorHAnsi"/>
        </w:rPr>
        <w:t xml:space="preserve">cia además que  139 cambios  que representan el </w:t>
      </w:r>
      <w:r w:rsidR="00393E9E" w:rsidRPr="00393E9E">
        <w:rPr>
          <w:rFonts w:cstheme="minorHAnsi"/>
          <w:b/>
        </w:rPr>
        <w:t>39.3%</w:t>
      </w:r>
      <w:r w:rsidR="00393E9E">
        <w:rPr>
          <w:rFonts w:cstheme="minorHAnsi"/>
        </w:rPr>
        <w:t xml:space="preserve"> se realizan en el </w:t>
      </w:r>
      <w:r w:rsidR="00393E9E">
        <w:rPr>
          <w:rFonts w:cstheme="minorHAnsi"/>
          <w:b/>
        </w:rPr>
        <w:t xml:space="preserve">Período 2, </w:t>
      </w:r>
      <w:r w:rsidR="00393E9E">
        <w:rPr>
          <w:rFonts w:cstheme="minorHAnsi"/>
        </w:rPr>
        <w:t>es decir en el período comprendido entre la separación de la Ordenanza 041 y su unificación en febrero del 2016.</w:t>
      </w:r>
    </w:p>
    <w:p w:rsidR="008F6951" w:rsidRDefault="008F6951" w:rsidP="00C95C63">
      <w:pPr>
        <w:spacing w:after="0" w:line="240" w:lineRule="auto"/>
        <w:jc w:val="both"/>
        <w:rPr>
          <w:rFonts w:cstheme="minorHAnsi"/>
        </w:rPr>
      </w:pPr>
    </w:p>
    <w:p w:rsidR="00393E9E" w:rsidRDefault="00393E9E" w:rsidP="00C95C63">
      <w:pPr>
        <w:spacing w:after="0" w:line="240" w:lineRule="auto"/>
        <w:jc w:val="both"/>
        <w:rPr>
          <w:rFonts w:cstheme="minorHAnsi"/>
        </w:rPr>
      </w:pPr>
      <w:r>
        <w:rPr>
          <w:rFonts w:cstheme="minorHAnsi"/>
        </w:rPr>
        <w:t xml:space="preserve">Por otra parte, </w:t>
      </w:r>
      <w:r w:rsidR="00C95C63" w:rsidRPr="00E164A0">
        <w:rPr>
          <w:rFonts w:cstheme="minorHAnsi"/>
          <w:b/>
        </w:rPr>
        <w:t>9</w:t>
      </w:r>
      <w:r w:rsidR="00DC340D" w:rsidRPr="00E164A0">
        <w:rPr>
          <w:rFonts w:cstheme="minorHAnsi"/>
          <w:b/>
        </w:rPr>
        <w:t>3</w:t>
      </w:r>
      <w:r w:rsidR="00C95C63" w:rsidRPr="00E164A0">
        <w:rPr>
          <w:rFonts w:cstheme="minorHAnsi"/>
          <w:b/>
        </w:rPr>
        <w:t xml:space="preserve"> casos</w:t>
      </w:r>
      <w:r w:rsidR="00C95C63">
        <w:rPr>
          <w:rFonts w:cstheme="minorHAnsi"/>
        </w:rPr>
        <w:t xml:space="preserve"> que representan </w:t>
      </w:r>
      <w:r w:rsidR="00C95C63" w:rsidRPr="00393E9E">
        <w:rPr>
          <w:rFonts w:cstheme="minorHAnsi"/>
          <w:b/>
        </w:rPr>
        <w:t>el 26.</w:t>
      </w:r>
      <w:r w:rsidR="00D54042">
        <w:rPr>
          <w:rFonts w:cstheme="minorHAnsi"/>
          <w:b/>
        </w:rPr>
        <w:t>6</w:t>
      </w:r>
      <w:r w:rsidR="00C95C63" w:rsidRPr="00393E9E">
        <w:rPr>
          <w:rFonts w:cstheme="minorHAnsi"/>
          <w:b/>
        </w:rPr>
        <w:t xml:space="preserve">% se identifican </w:t>
      </w:r>
      <w:r w:rsidRPr="00393E9E">
        <w:rPr>
          <w:rFonts w:cstheme="minorHAnsi"/>
          <w:b/>
        </w:rPr>
        <w:t>en el Período 3</w:t>
      </w:r>
      <w:r>
        <w:rPr>
          <w:rFonts w:cstheme="minorHAnsi"/>
          <w:b/>
        </w:rPr>
        <w:t xml:space="preserve">, </w:t>
      </w:r>
      <w:r>
        <w:rPr>
          <w:rFonts w:cstheme="minorHAnsi"/>
        </w:rPr>
        <w:t>es decir entre la  unificación del PUOS y la sanción de la Ordenanza nº 127.</w:t>
      </w:r>
    </w:p>
    <w:p w:rsidR="00E76735" w:rsidRPr="00393E9E" w:rsidRDefault="00E76735" w:rsidP="00C95C63">
      <w:pPr>
        <w:spacing w:after="0" w:line="240" w:lineRule="auto"/>
        <w:jc w:val="both"/>
        <w:rPr>
          <w:rFonts w:cstheme="minorHAnsi"/>
        </w:rPr>
      </w:pPr>
    </w:p>
    <w:p w:rsidR="00C95C63" w:rsidRDefault="00E76735" w:rsidP="00C95C63">
      <w:pPr>
        <w:spacing w:after="0" w:line="240" w:lineRule="auto"/>
        <w:jc w:val="both"/>
        <w:rPr>
          <w:rFonts w:cstheme="minorHAnsi"/>
        </w:rPr>
      </w:pPr>
      <w:r>
        <w:rPr>
          <w:rFonts w:cstheme="minorHAnsi"/>
        </w:rPr>
        <w:t>F</w:t>
      </w:r>
      <w:r w:rsidR="00C95C63">
        <w:rPr>
          <w:rFonts w:cstheme="minorHAnsi"/>
        </w:rPr>
        <w:t>inal</w:t>
      </w:r>
      <w:r>
        <w:rPr>
          <w:rFonts w:cstheme="minorHAnsi"/>
        </w:rPr>
        <w:t xml:space="preserve">mente, </w:t>
      </w:r>
      <w:r w:rsidRPr="00E164A0">
        <w:rPr>
          <w:rFonts w:cstheme="minorHAnsi"/>
          <w:b/>
        </w:rPr>
        <w:t>22 cambios</w:t>
      </w:r>
      <w:r>
        <w:rPr>
          <w:rFonts w:cstheme="minorHAnsi"/>
        </w:rPr>
        <w:t xml:space="preserve"> que son el 6,2% se producen en el </w:t>
      </w:r>
      <w:r w:rsidRPr="00E76735">
        <w:rPr>
          <w:rFonts w:cstheme="minorHAnsi"/>
          <w:b/>
        </w:rPr>
        <w:t>Período 4</w:t>
      </w:r>
      <w:r>
        <w:rPr>
          <w:rFonts w:cstheme="minorHAnsi"/>
        </w:rPr>
        <w:t xml:space="preserve">, es decir posterior a la puesta en vigencia de la Ordenanza nº127  hasta el </w:t>
      </w:r>
      <w:r w:rsidR="00C95C63">
        <w:rPr>
          <w:rFonts w:cstheme="minorHAnsi"/>
        </w:rPr>
        <w:t>18 de abril del 2017</w:t>
      </w:r>
      <w:r>
        <w:rPr>
          <w:rFonts w:cstheme="minorHAnsi"/>
        </w:rPr>
        <w:t xml:space="preserve">, fecha que se </w:t>
      </w:r>
      <w:r w:rsidR="002319A1">
        <w:rPr>
          <w:rFonts w:cstheme="minorHAnsi"/>
        </w:rPr>
        <w:t xml:space="preserve">cargan al PUOS las 12 omisiones. Los resultados se </w:t>
      </w:r>
      <w:r w:rsidR="00E164A0">
        <w:rPr>
          <w:rFonts w:cstheme="minorHAnsi"/>
        </w:rPr>
        <w:t>re</w:t>
      </w:r>
      <w:r w:rsidR="002319A1">
        <w:rPr>
          <w:rFonts w:cstheme="minorHAnsi"/>
        </w:rPr>
        <w:t>producen en la siguiente tabla:</w:t>
      </w:r>
      <w:r w:rsidR="00C95C63">
        <w:rPr>
          <w:rFonts w:cstheme="minorHAnsi"/>
        </w:rPr>
        <w:t xml:space="preserve"> </w:t>
      </w:r>
    </w:p>
    <w:p w:rsidR="00C95C63" w:rsidRDefault="00C95C63" w:rsidP="00154A08">
      <w:pPr>
        <w:spacing w:after="0" w:line="240" w:lineRule="auto"/>
        <w:jc w:val="both"/>
        <w:rPr>
          <w:rFonts w:cstheme="minorHAnsi"/>
          <w:sz w:val="24"/>
          <w:szCs w:val="24"/>
          <w:lang w:eastAsia="es-ES"/>
        </w:rPr>
      </w:pPr>
    </w:p>
    <w:p w:rsidR="002319A1" w:rsidRPr="00942F96" w:rsidRDefault="002319A1" w:rsidP="002319A1">
      <w:pPr>
        <w:pStyle w:val="Epgrafe"/>
        <w:jc w:val="center"/>
      </w:pPr>
      <w:r>
        <w:t xml:space="preserve">Tabla </w:t>
      </w:r>
      <w:r w:rsidR="000C0EAD">
        <w:fldChar w:fldCharType="begin"/>
      </w:r>
      <w:r w:rsidR="000C0EAD">
        <w:instrText xml:space="preserve"> SEQ Tabla \* ARABIC </w:instrText>
      </w:r>
      <w:r w:rsidR="000C0EAD">
        <w:fldChar w:fldCharType="separate"/>
      </w:r>
      <w:r w:rsidR="00CA401D">
        <w:rPr>
          <w:noProof/>
        </w:rPr>
        <w:t>1</w:t>
      </w:r>
      <w:r w:rsidR="000C0EAD">
        <w:rPr>
          <w:noProof/>
        </w:rPr>
        <w:fldChar w:fldCharType="end"/>
      </w:r>
      <w:r>
        <w:t xml:space="preserve"> </w:t>
      </w:r>
      <w:r w:rsidRPr="00942F96">
        <w:t xml:space="preserve">  </w:t>
      </w:r>
      <w:r>
        <w:t>Temporalidad de los cambios</w:t>
      </w:r>
    </w:p>
    <w:tbl>
      <w:tblPr>
        <w:tblStyle w:val="Sombreadoclaro-nfasis1"/>
        <w:tblW w:w="3510" w:type="dxa"/>
        <w:jc w:val="center"/>
        <w:tblLook w:val="04A0" w:firstRow="1" w:lastRow="0" w:firstColumn="1" w:lastColumn="0" w:noHBand="0" w:noVBand="1"/>
      </w:tblPr>
      <w:tblGrid>
        <w:gridCol w:w="1242"/>
        <w:gridCol w:w="1134"/>
        <w:gridCol w:w="1134"/>
      </w:tblGrid>
      <w:tr w:rsidR="00EA5796" w:rsidRPr="00EA5796" w:rsidTr="009366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E76735" w:rsidRPr="00EA5796" w:rsidRDefault="00E76735" w:rsidP="00393E9E">
            <w:pPr>
              <w:jc w:val="center"/>
              <w:rPr>
                <w:rFonts w:cstheme="minorHAnsi"/>
                <w:b w:val="0"/>
                <w:color w:val="000000" w:themeColor="text1"/>
                <w:sz w:val="20"/>
                <w:szCs w:val="20"/>
                <w:lang w:val="es-ES" w:eastAsia="es-ES"/>
              </w:rPr>
            </w:pPr>
            <w:r w:rsidRPr="00EA5796">
              <w:rPr>
                <w:rFonts w:cstheme="minorHAnsi"/>
                <w:b w:val="0"/>
                <w:color w:val="000000" w:themeColor="text1"/>
                <w:sz w:val="20"/>
                <w:szCs w:val="20"/>
                <w:lang w:val="es-ES" w:eastAsia="es-ES"/>
              </w:rPr>
              <w:t>PERÍODO</w:t>
            </w:r>
          </w:p>
        </w:tc>
        <w:tc>
          <w:tcPr>
            <w:tcW w:w="1134" w:type="dxa"/>
          </w:tcPr>
          <w:p w:rsidR="00E76735" w:rsidRPr="00EA5796" w:rsidRDefault="00E76735" w:rsidP="00393E9E">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s-ES" w:eastAsia="es-ES"/>
              </w:rPr>
            </w:pPr>
            <w:r w:rsidRPr="00EA5796">
              <w:rPr>
                <w:rFonts w:cstheme="minorHAnsi"/>
                <w:b w:val="0"/>
                <w:color w:val="000000" w:themeColor="text1"/>
                <w:sz w:val="20"/>
                <w:szCs w:val="20"/>
                <w:lang w:val="es-ES" w:eastAsia="es-ES"/>
              </w:rPr>
              <w:t>Nº cambios</w:t>
            </w:r>
          </w:p>
        </w:tc>
        <w:tc>
          <w:tcPr>
            <w:tcW w:w="1134" w:type="dxa"/>
          </w:tcPr>
          <w:p w:rsidR="00E76735" w:rsidRPr="00EA5796" w:rsidRDefault="00E76735" w:rsidP="00393E9E">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s-ES" w:eastAsia="es-ES"/>
              </w:rPr>
            </w:pPr>
            <w:r w:rsidRPr="00EA5796">
              <w:rPr>
                <w:rFonts w:cstheme="minorHAnsi"/>
                <w:b w:val="0"/>
                <w:color w:val="000000" w:themeColor="text1"/>
                <w:sz w:val="20"/>
                <w:szCs w:val="20"/>
                <w:lang w:val="es-ES" w:eastAsia="es-ES"/>
              </w:rPr>
              <w:t>Porcentaje</w:t>
            </w:r>
          </w:p>
          <w:p w:rsidR="00E76735" w:rsidRPr="00EA5796" w:rsidRDefault="00E76735" w:rsidP="00393E9E">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s-ES" w:eastAsia="es-ES"/>
              </w:rPr>
            </w:pPr>
            <w:r w:rsidRPr="00EA5796">
              <w:rPr>
                <w:rFonts w:cstheme="minorHAnsi"/>
                <w:b w:val="0"/>
                <w:color w:val="000000" w:themeColor="text1"/>
                <w:sz w:val="20"/>
                <w:szCs w:val="20"/>
                <w:lang w:val="es-ES" w:eastAsia="es-ES"/>
              </w:rPr>
              <w:t>%</w:t>
            </w:r>
          </w:p>
        </w:tc>
      </w:tr>
      <w:tr w:rsidR="00EA5796" w:rsidRPr="00EA5796" w:rsidTr="00936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E76735" w:rsidRPr="00EA5796" w:rsidRDefault="00E76735" w:rsidP="00393E9E">
            <w:pPr>
              <w:jc w:val="center"/>
              <w:rPr>
                <w:rFonts w:cstheme="minorHAnsi"/>
                <w:color w:val="000000" w:themeColor="text1"/>
                <w:sz w:val="20"/>
                <w:szCs w:val="20"/>
                <w:lang w:val="es-ES" w:eastAsia="es-ES"/>
              </w:rPr>
            </w:pPr>
            <w:r w:rsidRPr="00EA5796">
              <w:rPr>
                <w:rFonts w:cstheme="minorHAnsi"/>
                <w:color w:val="000000" w:themeColor="text1"/>
                <w:sz w:val="20"/>
                <w:szCs w:val="20"/>
              </w:rPr>
              <w:t>Período1</w:t>
            </w:r>
          </w:p>
        </w:tc>
        <w:tc>
          <w:tcPr>
            <w:tcW w:w="1134" w:type="dxa"/>
          </w:tcPr>
          <w:p w:rsidR="00E76735" w:rsidRPr="00EA5796" w:rsidRDefault="00E76735" w:rsidP="00393E9E">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100</w:t>
            </w:r>
          </w:p>
        </w:tc>
        <w:tc>
          <w:tcPr>
            <w:tcW w:w="1134" w:type="dxa"/>
          </w:tcPr>
          <w:p w:rsidR="00E76735" w:rsidRPr="00EA5796" w:rsidRDefault="002319A1" w:rsidP="00393E9E">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28.2</w:t>
            </w:r>
            <w:r w:rsidR="004877A3" w:rsidRPr="00EA5796">
              <w:rPr>
                <w:rFonts w:cstheme="minorHAnsi"/>
                <w:color w:val="000000" w:themeColor="text1"/>
                <w:sz w:val="20"/>
                <w:szCs w:val="20"/>
                <w:lang w:val="es-ES" w:eastAsia="es-ES"/>
              </w:rPr>
              <w:t>%</w:t>
            </w:r>
          </w:p>
        </w:tc>
      </w:tr>
      <w:tr w:rsidR="00EA5796" w:rsidRPr="00EA5796" w:rsidTr="009366CB">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E76735" w:rsidRPr="00EA5796" w:rsidRDefault="00E76735" w:rsidP="00393E9E">
            <w:pPr>
              <w:jc w:val="center"/>
              <w:rPr>
                <w:rFonts w:cstheme="minorHAnsi"/>
                <w:color w:val="000000" w:themeColor="text1"/>
                <w:sz w:val="20"/>
                <w:szCs w:val="20"/>
                <w:lang w:val="es-ES" w:eastAsia="es-ES"/>
              </w:rPr>
            </w:pPr>
            <w:r w:rsidRPr="00EA5796">
              <w:rPr>
                <w:rFonts w:cstheme="minorHAnsi"/>
                <w:color w:val="000000" w:themeColor="text1"/>
                <w:sz w:val="20"/>
                <w:szCs w:val="20"/>
              </w:rPr>
              <w:t>Período 2</w:t>
            </w:r>
          </w:p>
        </w:tc>
        <w:tc>
          <w:tcPr>
            <w:tcW w:w="1134" w:type="dxa"/>
          </w:tcPr>
          <w:p w:rsidR="00E76735" w:rsidRPr="00EA5796" w:rsidRDefault="00E76735" w:rsidP="00393E9E">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139</w:t>
            </w:r>
          </w:p>
        </w:tc>
        <w:tc>
          <w:tcPr>
            <w:tcW w:w="1134" w:type="dxa"/>
          </w:tcPr>
          <w:p w:rsidR="00E76735" w:rsidRPr="00EA5796" w:rsidRDefault="002319A1" w:rsidP="00393E9E">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39.3</w:t>
            </w:r>
            <w:r w:rsidR="004877A3" w:rsidRPr="00EA5796">
              <w:rPr>
                <w:rFonts w:cstheme="minorHAnsi"/>
                <w:color w:val="000000" w:themeColor="text1"/>
                <w:sz w:val="20"/>
                <w:szCs w:val="20"/>
                <w:lang w:val="es-ES" w:eastAsia="es-ES"/>
              </w:rPr>
              <w:t>%</w:t>
            </w:r>
          </w:p>
        </w:tc>
      </w:tr>
      <w:tr w:rsidR="00EA5796" w:rsidRPr="00EA5796" w:rsidTr="00936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E76735" w:rsidRPr="00EA5796" w:rsidRDefault="00E76735" w:rsidP="00393E9E">
            <w:pPr>
              <w:jc w:val="center"/>
              <w:rPr>
                <w:rFonts w:cstheme="minorHAnsi"/>
                <w:color w:val="000000" w:themeColor="text1"/>
                <w:sz w:val="20"/>
                <w:szCs w:val="20"/>
              </w:rPr>
            </w:pPr>
            <w:r w:rsidRPr="00EA5796">
              <w:rPr>
                <w:rFonts w:cstheme="minorHAnsi"/>
                <w:color w:val="000000" w:themeColor="text1"/>
                <w:sz w:val="20"/>
                <w:szCs w:val="20"/>
              </w:rPr>
              <w:t>Período 3</w:t>
            </w:r>
          </w:p>
        </w:tc>
        <w:tc>
          <w:tcPr>
            <w:tcW w:w="1134" w:type="dxa"/>
          </w:tcPr>
          <w:p w:rsidR="00E76735" w:rsidRPr="00EA5796" w:rsidRDefault="00E76735" w:rsidP="00393E9E">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93</w:t>
            </w:r>
          </w:p>
        </w:tc>
        <w:tc>
          <w:tcPr>
            <w:tcW w:w="1134" w:type="dxa"/>
          </w:tcPr>
          <w:p w:rsidR="00E76735" w:rsidRPr="00EA5796" w:rsidRDefault="002319A1" w:rsidP="00393E9E">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26.3</w:t>
            </w:r>
            <w:r w:rsidR="004877A3" w:rsidRPr="00EA5796">
              <w:rPr>
                <w:rFonts w:cstheme="minorHAnsi"/>
                <w:color w:val="000000" w:themeColor="text1"/>
                <w:sz w:val="20"/>
                <w:szCs w:val="20"/>
                <w:lang w:val="es-ES" w:eastAsia="es-ES"/>
              </w:rPr>
              <w:t>%</w:t>
            </w:r>
          </w:p>
        </w:tc>
      </w:tr>
      <w:tr w:rsidR="00EA5796" w:rsidRPr="00EA5796" w:rsidTr="009366CB">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E76735" w:rsidRPr="00EA5796" w:rsidRDefault="00E76735" w:rsidP="00393E9E">
            <w:pPr>
              <w:jc w:val="center"/>
              <w:rPr>
                <w:rFonts w:cstheme="minorHAnsi"/>
                <w:color w:val="000000" w:themeColor="text1"/>
                <w:sz w:val="20"/>
                <w:szCs w:val="20"/>
              </w:rPr>
            </w:pPr>
            <w:r w:rsidRPr="00EA5796">
              <w:rPr>
                <w:rFonts w:cstheme="minorHAnsi"/>
                <w:color w:val="000000" w:themeColor="text1"/>
                <w:sz w:val="20"/>
                <w:szCs w:val="20"/>
              </w:rPr>
              <w:t>Período 4</w:t>
            </w:r>
          </w:p>
        </w:tc>
        <w:tc>
          <w:tcPr>
            <w:tcW w:w="1134" w:type="dxa"/>
          </w:tcPr>
          <w:p w:rsidR="00E76735" w:rsidRPr="00EA5796" w:rsidRDefault="00E76735" w:rsidP="00393E9E">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22</w:t>
            </w:r>
          </w:p>
        </w:tc>
        <w:tc>
          <w:tcPr>
            <w:tcW w:w="1134" w:type="dxa"/>
          </w:tcPr>
          <w:p w:rsidR="00E76735" w:rsidRPr="00EA5796" w:rsidRDefault="002319A1" w:rsidP="00393E9E">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 w:eastAsia="es-ES"/>
              </w:rPr>
            </w:pPr>
            <w:r w:rsidRPr="00EA5796">
              <w:rPr>
                <w:rFonts w:cstheme="minorHAnsi"/>
                <w:color w:val="000000" w:themeColor="text1"/>
                <w:sz w:val="20"/>
                <w:szCs w:val="20"/>
                <w:lang w:val="es-ES" w:eastAsia="es-ES"/>
              </w:rPr>
              <w:t>6.2</w:t>
            </w:r>
            <w:r w:rsidR="004877A3" w:rsidRPr="00EA5796">
              <w:rPr>
                <w:rFonts w:cstheme="minorHAnsi"/>
                <w:color w:val="000000" w:themeColor="text1"/>
                <w:sz w:val="20"/>
                <w:szCs w:val="20"/>
                <w:lang w:val="es-ES" w:eastAsia="es-ES"/>
              </w:rPr>
              <w:t>%</w:t>
            </w:r>
          </w:p>
        </w:tc>
      </w:tr>
    </w:tbl>
    <w:p w:rsidR="00C95C63" w:rsidRPr="002319A1" w:rsidRDefault="002319A1" w:rsidP="002319A1">
      <w:pPr>
        <w:spacing w:after="0" w:line="240" w:lineRule="auto"/>
        <w:ind w:left="2832"/>
        <w:jc w:val="both"/>
        <w:rPr>
          <w:rFonts w:cstheme="minorHAnsi"/>
          <w:sz w:val="18"/>
          <w:szCs w:val="18"/>
          <w:lang w:val="es-ES" w:eastAsia="es-ES"/>
        </w:rPr>
      </w:pPr>
      <w:r w:rsidRPr="002319A1">
        <w:rPr>
          <w:rFonts w:cstheme="minorHAnsi"/>
          <w:sz w:val="18"/>
          <w:szCs w:val="18"/>
          <w:lang w:val="es-ES" w:eastAsia="es-ES"/>
        </w:rPr>
        <w:t>Elaboración: STHV</w:t>
      </w:r>
    </w:p>
    <w:p w:rsidR="003576C2" w:rsidRDefault="003576C2" w:rsidP="00154A08">
      <w:pPr>
        <w:spacing w:after="0" w:line="240" w:lineRule="auto"/>
        <w:jc w:val="both"/>
        <w:rPr>
          <w:rFonts w:cstheme="minorHAnsi"/>
          <w:sz w:val="24"/>
          <w:szCs w:val="24"/>
          <w:lang w:val="es-ES" w:eastAsia="es-ES"/>
        </w:rPr>
      </w:pPr>
    </w:p>
    <w:p w:rsidR="00AD0281" w:rsidRDefault="003576C2" w:rsidP="00154A08">
      <w:pPr>
        <w:spacing w:after="0" w:line="240" w:lineRule="auto"/>
        <w:jc w:val="both"/>
        <w:rPr>
          <w:rFonts w:cstheme="minorHAnsi"/>
          <w:sz w:val="24"/>
          <w:szCs w:val="24"/>
          <w:lang w:val="es-ES" w:eastAsia="es-ES"/>
        </w:rPr>
      </w:pPr>
      <w:r>
        <w:rPr>
          <w:rFonts w:cstheme="minorHAnsi"/>
          <w:sz w:val="24"/>
          <w:szCs w:val="24"/>
          <w:lang w:val="es-ES" w:eastAsia="es-ES"/>
        </w:rPr>
        <w:t>Concretamente, los cambios se sitúan en las siguientes capas:</w:t>
      </w:r>
    </w:p>
    <w:p w:rsidR="003576C2" w:rsidRDefault="003576C2" w:rsidP="00154A08">
      <w:pPr>
        <w:spacing w:after="0" w:line="240" w:lineRule="auto"/>
        <w:jc w:val="both"/>
        <w:rPr>
          <w:rFonts w:cstheme="minorHAnsi"/>
          <w:sz w:val="24"/>
          <w:szCs w:val="24"/>
          <w:lang w:val="es-ES" w:eastAsia="es-ES"/>
        </w:rPr>
      </w:pPr>
    </w:p>
    <w:p w:rsidR="003576C2" w:rsidRPr="00942F96" w:rsidRDefault="003576C2" w:rsidP="003576C2">
      <w:pPr>
        <w:pStyle w:val="Epgrafe"/>
        <w:jc w:val="center"/>
      </w:pPr>
      <w:r>
        <w:t xml:space="preserve">Tabla </w:t>
      </w:r>
      <w:r w:rsidR="000C0EAD">
        <w:fldChar w:fldCharType="begin"/>
      </w:r>
      <w:r w:rsidR="000C0EAD">
        <w:instrText xml:space="preserve"> SEQ Tabla \* ARABIC </w:instrText>
      </w:r>
      <w:r w:rsidR="000C0EAD">
        <w:fldChar w:fldCharType="separate"/>
      </w:r>
      <w:r w:rsidR="00CA401D">
        <w:rPr>
          <w:noProof/>
        </w:rPr>
        <w:t>2</w:t>
      </w:r>
      <w:r w:rsidR="000C0EAD">
        <w:rPr>
          <w:noProof/>
        </w:rPr>
        <w:fldChar w:fldCharType="end"/>
      </w:r>
      <w:r>
        <w:t xml:space="preserve"> </w:t>
      </w:r>
      <w:r w:rsidRPr="00942F96">
        <w:t xml:space="preserve">  </w:t>
      </w:r>
      <w:r>
        <w:t>Archivos donde se localizan los cambios</w:t>
      </w:r>
    </w:p>
    <w:tbl>
      <w:tblPr>
        <w:tblStyle w:val="Sombreadomedio1-nfasis1"/>
        <w:tblW w:w="6002" w:type="dxa"/>
        <w:jc w:val="center"/>
        <w:tblLook w:val="04A0" w:firstRow="1" w:lastRow="0" w:firstColumn="1" w:lastColumn="0" w:noHBand="0" w:noVBand="1"/>
      </w:tblPr>
      <w:tblGrid>
        <w:gridCol w:w="2368"/>
        <w:gridCol w:w="1200"/>
        <w:gridCol w:w="1203"/>
        <w:gridCol w:w="1231"/>
      </w:tblGrid>
      <w:tr w:rsidR="003060B8" w:rsidRPr="00D4111F" w:rsidTr="003060B8">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368" w:type="dxa"/>
            <w:hideMark/>
          </w:tcPr>
          <w:p w:rsidR="003060B8" w:rsidRPr="00D4111F" w:rsidRDefault="003060B8" w:rsidP="003060B8">
            <w:pPr>
              <w:jc w:val="center"/>
              <w:rPr>
                <w:rFonts w:ascii="Calibri" w:eastAsia="Times New Roman" w:hAnsi="Calibri" w:cs="Times New Roman"/>
                <w:lang w:eastAsia="es-EC"/>
              </w:rPr>
            </w:pPr>
            <w:r w:rsidRPr="00D4111F">
              <w:rPr>
                <w:rFonts w:ascii="Calibri" w:eastAsia="Times New Roman" w:hAnsi="Calibri" w:cs="Times New Roman"/>
                <w:lang w:eastAsia="es-EC"/>
              </w:rPr>
              <w:t>Archivo de cambio</w:t>
            </w:r>
          </w:p>
        </w:tc>
        <w:tc>
          <w:tcPr>
            <w:tcW w:w="1200" w:type="dxa"/>
            <w:hideMark/>
          </w:tcPr>
          <w:p w:rsidR="003060B8" w:rsidRPr="00D4111F" w:rsidRDefault="003060B8" w:rsidP="003060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D4111F">
              <w:rPr>
                <w:rFonts w:ascii="Calibri" w:eastAsia="Times New Roman" w:hAnsi="Calibri" w:cs="Times New Roman"/>
                <w:lang w:eastAsia="es-EC"/>
              </w:rPr>
              <w:t>Nº cambios</w:t>
            </w:r>
          </w:p>
        </w:tc>
        <w:tc>
          <w:tcPr>
            <w:tcW w:w="1203" w:type="dxa"/>
            <w:hideMark/>
          </w:tcPr>
          <w:p w:rsidR="003060B8" w:rsidRPr="00D4111F" w:rsidRDefault="003060B8" w:rsidP="003060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D4111F">
              <w:rPr>
                <w:rFonts w:ascii="Calibri" w:eastAsia="Times New Roman" w:hAnsi="Calibri" w:cs="Times New Roman"/>
                <w:lang w:eastAsia="es-EC"/>
              </w:rPr>
              <w:t>Porcentaje</w:t>
            </w:r>
          </w:p>
          <w:p w:rsidR="003060B8" w:rsidRPr="00D4111F" w:rsidRDefault="003060B8" w:rsidP="003060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D4111F">
              <w:rPr>
                <w:rFonts w:ascii="Calibri" w:eastAsia="Times New Roman" w:hAnsi="Calibri" w:cs="Times New Roman"/>
                <w:lang w:eastAsia="es-EC"/>
              </w:rPr>
              <w:t>parcial</w:t>
            </w:r>
          </w:p>
        </w:tc>
        <w:tc>
          <w:tcPr>
            <w:tcW w:w="1231" w:type="dxa"/>
            <w:hideMark/>
          </w:tcPr>
          <w:p w:rsidR="003060B8" w:rsidRPr="00D4111F" w:rsidRDefault="003060B8" w:rsidP="003060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D4111F">
              <w:rPr>
                <w:rFonts w:ascii="Calibri" w:eastAsia="Times New Roman" w:hAnsi="Calibri" w:cs="Times New Roman"/>
                <w:lang w:eastAsia="es-EC"/>
              </w:rPr>
              <w:t>Porcentaje acumulado</w:t>
            </w:r>
          </w:p>
        </w:tc>
      </w:tr>
      <w:tr w:rsidR="003060B8" w:rsidRPr="00D4111F" w:rsidTr="003060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68" w:type="dxa"/>
            <w:noWrap/>
            <w:hideMark/>
          </w:tcPr>
          <w:p w:rsidR="003060B8" w:rsidRPr="00D4111F" w:rsidRDefault="003060B8" w:rsidP="003060B8">
            <w:pPr>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 xml:space="preserve">Archivo madre </w:t>
            </w:r>
            <w:r w:rsidRPr="00D4111F">
              <w:rPr>
                <w:rFonts w:ascii="Calibri" w:eastAsia="Times New Roman" w:hAnsi="Calibri" w:cs="Times New Roman"/>
                <w:color w:val="000000"/>
                <w:sz w:val="20"/>
                <w:szCs w:val="20"/>
                <w:lang w:eastAsia="es-EC"/>
              </w:rPr>
              <w:br/>
              <w:t>(febrero 2015)</w:t>
            </w:r>
          </w:p>
        </w:tc>
        <w:tc>
          <w:tcPr>
            <w:tcW w:w="1200" w:type="dxa"/>
            <w:noWrap/>
            <w:hideMark/>
          </w:tcPr>
          <w:p w:rsidR="003060B8" w:rsidRPr="00D4111F" w:rsidRDefault="00D4111F"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40</w:t>
            </w:r>
          </w:p>
        </w:tc>
        <w:tc>
          <w:tcPr>
            <w:tcW w:w="1203"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11,0%</w:t>
            </w:r>
          </w:p>
        </w:tc>
        <w:tc>
          <w:tcPr>
            <w:tcW w:w="1231"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11,0%</w:t>
            </w:r>
          </w:p>
        </w:tc>
      </w:tr>
      <w:tr w:rsidR="003060B8" w:rsidRPr="00D4111F" w:rsidTr="003060B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68" w:type="dxa"/>
            <w:noWrap/>
            <w:hideMark/>
          </w:tcPr>
          <w:p w:rsidR="003060B8" w:rsidRPr="00D4111F" w:rsidRDefault="003060B8" w:rsidP="003060B8">
            <w:pPr>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 xml:space="preserve">PUOS septiembre 2015 </w:t>
            </w:r>
          </w:p>
          <w:p w:rsidR="003060B8" w:rsidRPr="00D4111F" w:rsidRDefault="003060B8" w:rsidP="003060B8">
            <w:pPr>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(antes de separar)</w:t>
            </w:r>
          </w:p>
        </w:tc>
        <w:tc>
          <w:tcPr>
            <w:tcW w:w="1200" w:type="dxa"/>
            <w:noWrap/>
            <w:hideMark/>
          </w:tcPr>
          <w:p w:rsidR="003060B8" w:rsidRPr="00D4111F" w:rsidRDefault="003060B8" w:rsidP="003060B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60</w:t>
            </w:r>
          </w:p>
        </w:tc>
        <w:tc>
          <w:tcPr>
            <w:tcW w:w="1203" w:type="dxa"/>
            <w:noWrap/>
            <w:hideMark/>
          </w:tcPr>
          <w:p w:rsidR="003060B8" w:rsidRPr="00D4111F" w:rsidRDefault="003060B8" w:rsidP="003060B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16,9%</w:t>
            </w:r>
          </w:p>
        </w:tc>
        <w:tc>
          <w:tcPr>
            <w:tcW w:w="1231" w:type="dxa"/>
            <w:noWrap/>
            <w:hideMark/>
          </w:tcPr>
          <w:p w:rsidR="003060B8" w:rsidRPr="00D4111F" w:rsidRDefault="003060B8" w:rsidP="003060B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28,0%</w:t>
            </w:r>
          </w:p>
        </w:tc>
      </w:tr>
      <w:tr w:rsidR="003060B8" w:rsidRPr="00D4111F" w:rsidTr="003060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68" w:type="dxa"/>
            <w:noWrap/>
            <w:hideMark/>
          </w:tcPr>
          <w:p w:rsidR="003060B8" w:rsidRPr="00D4111F" w:rsidRDefault="003060B8" w:rsidP="003060B8">
            <w:pPr>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PUOS febrero 2016</w:t>
            </w:r>
            <w:r w:rsidRPr="00D4111F">
              <w:rPr>
                <w:rFonts w:ascii="Calibri" w:eastAsia="Times New Roman" w:hAnsi="Calibri" w:cs="Times New Roman"/>
                <w:color w:val="000000"/>
                <w:sz w:val="20"/>
                <w:szCs w:val="20"/>
                <w:lang w:eastAsia="es-EC"/>
              </w:rPr>
              <w:br/>
              <w:t>( puos2016_inicial)</w:t>
            </w:r>
          </w:p>
        </w:tc>
        <w:tc>
          <w:tcPr>
            <w:tcW w:w="1200"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139</w:t>
            </w:r>
          </w:p>
        </w:tc>
        <w:tc>
          <w:tcPr>
            <w:tcW w:w="1203"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39,3%</w:t>
            </w:r>
          </w:p>
        </w:tc>
        <w:tc>
          <w:tcPr>
            <w:tcW w:w="1231"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67,2%</w:t>
            </w:r>
          </w:p>
        </w:tc>
      </w:tr>
      <w:tr w:rsidR="003060B8" w:rsidRPr="00D4111F" w:rsidTr="003060B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68" w:type="dxa"/>
            <w:noWrap/>
            <w:hideMark/>
          </w:tcPr>
          <w:p w:rsidR="003060B8" w:rsidRPr="00D4111F" w:rsidRDefault="003060B8" w:rsidP="003060B8">
            <w:pPr>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 xml:space="preserve">Ord. 127 </w:t>
            </w:r>
            <w:r w:rsidRPr="00D4111F">
              <w:rPr>
                <w:rFonts w:ascii="Calibri" w:eastAsia="Times New Roman" w:hAnsi="Calibri" w:cs="Times New Roman"/>
                <w:color w:val="000000"/>
                <w:sz w:val="20"/>
                <w:szCs w:val="20"/>
                <w:lang w:eastAsia="es-EC"/>
              </w:rPr>
              <w:br/>
              <w:t>(25 julio 2016)</w:t>
            </w:r>
          </w:p>
        </w:tc>
        <w:tc>
          <w:tcPr>
            <w:tcW w:w="1200" w:type="dxa"/>
            <w:noWrap/>
            <w:hideMark/>
          </w:tcPr>
          <w:p w:rsidR="003060B8" w:rsidRPr="00D4111F" w:rsidRDefault="00D4111F" w:rsidP="003060B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93</w:t>
            </w:r>
          </w:p>
        </w:tc>
        <w:tc>
          <w:tcPr>
            <w:tcW w:w="1203" w:type="dxa"/>
            <w:noWrap/>
            <w:hideMark/>
          </w:tcPr>
          <w:p w:rsidR="003060B8" w:rsidRPr="00D4111F" w:rsidRDefault="003060B8" w:rsidP="003060B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26,6%</w:t>
            </w:r>
          </w:p>
        </w:tc>
        <w:tc>
          <w:tcPr>
            <w:tcW w:w="1231" w:type="dxa"/>
            <w:noWrap/>
            <w:hideMark/>
          </w:tcPr>
          <w:p w:rsidR="003060B8" w:rsidRPr="00D4111F" w:rsidRDefault="003060B8" w:rsidP="003060B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93,8%</w:t>
            </w:r>
          </w:p>
        </w:tc>
      </w:tr>
      <w:tr w:rsidR="003060B8" w:rsidRPr="003060B8" w:rsidTr="003060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68" w:type="dxa"/>
            <w:noWrap/>
            <w:hideMark/>
          </w:tcPr>
          <w:p w:rsidR="003060B8" w:rsidRPr="00D4111F" w:rsidRDefault="003060B8" w:rsidP="003060B8">
            <w:pPr>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Posterior a Ord. 127</w:t>
            </w:r>
            <w:r w:rsidRPr="00D4111F">
              <w:rPr>
                <w:rFonts w:ascii="Calibri" w:eastAsia="Times New Roman" w:hAnsi="Calibri" w:cs="Times New Roman"/>
                <w:color w:val="000000"/>
                <w:sz w:val="20"/>
                <w:szCs w:val="20"/>
                <w:lang w:eastAsia="es-EC"/>
              </w:rPr>
              <w:br/>
              <w:t xml:space="preserve">( </w:t>
            </w:r>
            <w:proofErr w:type="spellStart"/>
            <w:r w:rsidRPr="00D4111F">
              <w:rPr>
                <w:rFonts w:ascii="Calibri" w:eastAsia="Times New Roman" w:hAnsi="Calibri" w:cs="Times New Roman"/>
                <w:color w:val="000000"/>
                <w:sz w:val="20"/>
                <w:szCs w:val="20"/>
                <w:lang w:eastAsia="es-EC"/>
              </w:rPr>
              <w:t>puos</w:t>
            </w:r>
            <w:proofErr w:type="spellEnd"/>
            <w:r w:rsidRPr="00D4111F">
              <w:rPr>
                <w:rFonts w:ascii="Calibri" w:eastAsia="Times New Roman" w:hAnsi="Calibri" w:cs="Times New Roman"/>
                <w:color w:val="000000"/>
                <w:sz w:val="20"/>
                <w:szCs w:val="20"/>
                <w:lang w:eastAsia="es-EC"/>
              </w:rPr>
              <w:t xml:space="preserve"> 18 abril 2017)</w:t>
            </w:r>
          </w:p>
        </w:tc>
        <w:tc>
          <w:tcPr>
            <w:tcW w:w="1200"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22</w:t>
            </w:r>
          </w:p>
        </w:tc>
        <w:tc>
          <w:tcPr>
            <w:tcW w:w="1203" w:type="dxa"/>
            <w:noWrap/>
            <w:hideMark/>
          </w:tcPr>
          <w:p w:rsidR="003060B8" w:rsidRPr="00D4111F"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6,2%</w:t>
            </w:r>
          </w:p>
        </w:tc>
        <w:tc>
          <w:tcPr>
            <w:tcW w:w="1231" w:type="dxa"/>
            <w:noWrap/>
            <w:hideMark/>
          </w:tcPr>
          <w:p w:rsidR="003060B8" w:rsidRPr="003060B8" w:rsidRDefault="003060B8" w:rsidP="003060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EC"/>
              </w:rPr>
            </w:pPr>
            <w:r w:rsidRPr="00D4111F">
              <w:rPr>
                <w:rFonts w:ascii="Calibri" w:eastAsia="Times New Roman" w:hAnsi="Calibri" w:cs="Times New Roman"/>
                <w:color w:val="000000"/>
                <w:sz w:val="20"/>
                <w:szCs w:val="20"/>
                <w:lang w:eastAsia="es-EC"/>
              </w:rPr>
              <w:t>100,0%</w:t>
            </w:r>
          </w:p>
        </w:tc>
      </w:tr>
    </w:tbl>
    <w:p w:rsidR="003060B8" w:rsidRDefault="003060B8" w:rsidP="003576C2">
      <w:pPr>
        <w:spacing w:after="0" w:line="240" w:lineRule="auto"/>
        <w:ind w:left="2832"/>
        <w:jc w:val="both"/>
        <w:rPr>
          <w:rFonts w:cstheme="minorHAnsi"/>
          <w:sz w:val="18"/>
          <w:szCs w:val="18"/>
          <w:lang w:val="es-ES" w:eastAsia="es-ES"/>
        </w:rPr>
      </w:pPr>
    </w:p>
    <w:p w:rsidR="003576C2" w:rsidRPr="002319A1" w:rsidRDefault="003576C2" w:rsidP="003576C2">
      <w:pPr>
        <w:spacing w:after="0" w:line="240" w:lineRule="auto"/>
        <w:ind w:left="2832"/>
        <w:jc w:val="both"/>
        <w:rPr>
          <w:rFonts w:cstheme="minorHAnsi"/>
          <w:sz w:val="18"/>
          <w:szCs w:val="18"/>
          <w:lang w:val="es-ES" w:eastAsia="es-ES"/>
        </w:rPr>
      </w:pPr>
      <w:r w:rsidRPr="002319A1">
        <w:rPr>
          <w:rFonts w:cstheme="minorHAnsi"/>
          <w:sz w:val="18"/>
          <w:szCs w:val="18"/>
          <w:lang w:val="es-ES" w:eastAsia="es-ES"/>
        </w:rPr>
        <w:t>Elaboración: STHV</w:t>
      </w:r>
    </w:p>
    <w:p w:rsidR="00860061" w:rsidRDefault="00860061" w:rsidP="00154A08">
      <w:pPr>
        <w:spacing w:after="0" w:line="240" w:lineRule="auto"/>
        <w:jc w:val="both"/>
        <w:rPr>
          <w:rFonts w:cstheme="minorHAnsi"/>
          <w:sz w:val="24"/>
          <w:szCs w:val="24"/>
          <w:lang w:val="es-ES" w:eastAsia="es-ES"/>
        </w:rPr>
      </w:pPr>
    </w:p>
    <w:p w:rsidR="00C95C63" w:rsidRPr="008F6951" w:rsidRDefault="008F6951" w:rsidP="008F6951">
      <w:pPr>
        <w:pStyle w:val="Ttulo2"/>
        <w:numPr>
          <w:ilvl w:val="1"/>
          <w:numId w:val="15"/>
        </w:numPr>
        <w:spacing w:before="0" w:line="240" w:lineRule="auto"/>
        <w:rPr>
          <w:rFonts w:asciiTheme="minorHAnsi" w:hAnsiTheme="minorHAnsi" w:cstheme="minorHAnsi"/>
          <w:color w:val="365F91" w:themeColor="accent1" w:themeShade="BF"/>
          <w:sz w:val="22"/>
          <w:szCs w:val="22"/>
        </w:rPr>
      </w:pPr>
      <w:r w:rsidRPr="008F6951">
        <w:rPr>
          <w:rFonts w:asciiTheme="minorHAnsi" w:hAnsiTheme="minorHAnsi" w:cstheme="minorHAnsi"/>
          <w:color w:val="365F91" w:themeColor="accent1" w:themeShade="BF"/>
          <w:sz w:val="22"/>
          <w:szCs w:val="22"/>
        </w:rPr>
        <w:t>Motivo del cambio</w:t>
      </w:r>
    </w:p>
    <w:p w:rsidR="008F6951" w:rsidRDefault="008F6951" w:rsidP="00154A08">
      <w:pPr>
        <w:spacing w:after="0" w:line="240" w:lineRule="auto"/>
        <w:jc w:val="both"/>
        <w:rPr>
          <w:rFonts w:cstheme="minorHAnsi"/>
          <w:sz w:val="24"/>
          <w:szCs w:val="24"/>
          <w:lang w:val="es-ES" w:eastAsia="es-ES"/>
        </w:rPr>
      </w:pPr>
    </w:p>
    <w:p w:rsidR="002319A1" w:rsidRDefault="002319A1" w:rsidP="00154A08">
      <w:pPr>
        <w:spacing w:after="0" w:line="240" w:lineRule="auto"/>
        <w:jc w:val="both"/>
        <w:rPr>
          <w:rFonts w:cstheme="minorHAnsi"/>
          <w:sz w:val="24"/>
          <w:szCs w:val="24"/>
          <w:lang w:val="es-ES" w:eastAsia="es-ES"/>
        </w:rPr>
      </w:pPr>
      <w:r>
        <w:rPr>
          <w:rFonts w:cstheme="minorHAnsi"/>
          <w:sz w:val="24"/>
          <w:szCs w:val="24"/>
          <w:lang w:val="es-ES" w:eastAsia="es-ES"/>
        </w:rPr>
        <w:t>Para determinar los motivos por los cuales se realizó el cambio, se utilizaron variables que permitieron categorizar y agrupar los cambios conforme al siguiente listado:</w:t>
      </w:r>
    </w:p>
    <w:p w:rsidR="00834D2C" w:rsidRDefault="00834D2C" w:rsidP="00154A08">
      <w:pPr>
        <w:spacing w:after="0" w:line="240" w:lineRule="auto"/>
        <w:jc w:val="both"/>
        <w:rPr>
          <w:rFonts w:cstheme="minorHAnsi"/>
          <w:sz w:val="24"/>
          <w:szCs w:val="24"/>
          <w:lang w:val="es-ES" w:eastAsia="es-ES"/>
        </w:rPr>
      </w:pPr>
    </w:p>
    <w:p w:rsidR="00F36541" w:rsidRDefault="00F36541" w:rsidP="00154A08">
      <w:pPr>
        <w:spacing w:after="0" w:line="240" w:lineRule="auto"/>
        <w:jc w:val="both"/>
        <w:rPr>
          <w:rFonts w:cstheme="minorHAnsi"/>
          <w:sz w:val="24"/>
          <w:szCs w:val="24"/>
          <w:lang w:val="es-ES" w:eastAsia="es-ES"/>
        </w:rPr>
      </w:pPr>
    </w:p>
    <w:p w:rsidR="00A50BD1" w:rsidRDefault="00A50BD1" w:rsidP="00154A08">
      <w:pPr>
        <w:spacing w:after="0" w:line="240" w:lineRule="auto"/>
        <w:jc w:val="both"/>
        <w:rPr>
          <w:rFonts w:cstheme="minorHAnsi"/>
          <w:sz w:val="24"/>
          <w:szCs w:val="24"/>
          <w:lang w:val="es-ES" w:eastAsia="es-ES"/>
        </w:rPr>
      </w:pPr>
    </w:p>
    <w:p w:rsidR="002319A1" w:rsidRPr="00942F96" w:rsidRDefault="002319A1" w:rsidP="002319A1">
      <w:pPr>
        <w:pStyle w:val="Epgrafe"/>
        <w:jc w:val="center"/>
      </w:pPr>
      <w:r>
        <w:t xml:space="preserve">Tabla </w:t>
      </w:r>
      <w:r w:rsidR="000C0EAD">
        <w:fldChar w:fldCharType="begin"/>
      </w:r>
      <w:r w:rsidR="000C0EAD">
        <w:instrText xml:space="preserve"> SEQ Tabla \* ARABIC </w:instrText>
      </w:r>
      <w:r w:rsidR="000C0EAD">
        <w:fldChar w:fldCharType="separate"/>
      </w:r>
      <w:r w:rsidR="00CA401D">
        <w:rPr>
          <w:noProof/>
        </w:rPr>
        <w:t>3</w:t>
      </w:r>
      <w:r w:rsidR="000C0EAD">
        <w:rPr>
          <w:noProof/>
        </w:rPr>
        <w:fldChar w:fldCharType="end"/>
      </w:r>
      <w:r>
        <w:t xml:space="preserve">  Variables de análisis</w:t>
      </w:r>
    </w:p>
    <w:tbl>
      <w:tblPr>
        <w:tblStyle w:val="Sombreadoclaro-nfasis1"/>
        <w:tblW w:w="0" w:type="auto"/>
        <w:tblLook w:val="04A0" w:firstRow="1" w:lastRow="0" w:firstColumn="1" w:lastColumn="0" w:noHBand="0" w:noVBand="1"/>
      </w:tblPr>
      <w:tblGrid>
        <w:gridCol w:w="2660"/>
        <w:gridCol w:w="5953"/>
      </w:tblGrid>
      <w:tr w:rsidR="00431486" w:rsidRPr="00431486" w:rsidTr="00936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543EB4">
            <w:pPr>
              <w:jc w:val="center"/>
              <w:rPr>
                <w:rFonts w:cstheme="minorHAnsi"/>
                <w:color w:val="000000" w:themeColor="text1"/>
                <w:sz w:val="20"/>
                <w:szCs w:val="20"/>
                <w:lang w:val="es-ES" w:eastAsia="es-ES"/>
              </w:rPr>
            </w:pPr>
            <w:r w:rsidRPr="00431486">
              <w:rPr>
                <w:rFonts w:cstheme="minorHAnsi"/>
                <w:color w:val="000000" w:themeColor="text1"/>
                <w:sz w:val="20"/>
                <w:szCs w:val="20"/>
                <w:lang w:val="es-ES" w:eastAsia="es-ES"/>
              </w:rPr>
              <w:t>Variable</w:t>
            </w:r>
          </w:p>
        </w:tc>
        <w:tc>
          <w:tcPr>
            <w:tcW w:w="5953" w:type="dxa"/>
          </w:tcPr>
          <w:p w:rsidR="00AD0281" w:rsidRPr="00431486" w:rsidRDefault="00AD0281" w:rsidP="00543EB4">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es-ES" w:eastAsia="es-ES"/>
              </w:rPr>
            </w:pPr>
            <w:r w:rsidRPr="00431486">
              <w:rPr>
                <w:rFonts w:cstheme="minorHAnsi"/>
                <w:color w:val="000000" w:themeColor="text1"/>
                <w:sz w:val="20"/>
                <w:szCs w:val="20"/>
                <w:lang w:val="es-ES" w:eastAsia="es-ES"/>
              </w:rPr>
              <w:t>Definición</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154A08">
            <w:pPr>
              <w:jc w:val="both"/>
              <w:rPr>
                <w:rFonts w:cstheme="minorHAnsi"/>
                <w:color w:val="000000" w:themeColor="text1"/>
                <w:sz w:val="20"/>
                <w:szCs w:val="20"/>
                <w:lang w:val="es-ES" w:eastAsia="es-ES"/>
              </w:rPr>
            </w:pPr>
            <w:r w:rsidRPr="00431486">
              <w:rPr>
                <w:rFonts w:cstheme="minorHAnsi"/>
                <w:color w:val="000000" w:themeColor="text1"/>
                <w:sz w:val="20"/>
                <w:szCs w:val="20"/>
              </w:rPr>
              <w:t>Matriz de 985</w:t>
            </w:r>
            <w:r w:rsidR="00252958">
              <w:rPr>
                <w:rFonts w:cstheme="minorHAnsi"/>
                <w:color w:val="000000" w:themeColor="text1"/>
                <w:sz w:val="20"/>
                <w:szCs w:val="20"/>
              </w:rPr>
              <w:t xml:space="preserve"> polígonos</w:t>
            </w:r>
          </w:p>
        </w:tc>
        <w:tc>
          <w:tcPr>
            <w:tcW w:w="5953" w:type="dxa"/>
          </w:tcPr>
          <w:p w:rsidR="00AD0281" w:rsidRPr="00431486" w:rsidRDefault="00AD0281" w:rsidP="00AD0281">
            <w:pPr>
              <w:ind w:left="33"/>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S"/>
              </w:rPr>
            </w:pPr>
            <w:r w:rsidRPr="00431486">
              <w:rPr>
                <w:rFonts w:cstheme="minorHAnsi"/>
                <w:color w:val="000000" w:themeColor="text1"/>
                <w:sz w:val="20"/>
                <w:szCs w:val="20"/>
              </w:rPr>
              <w:t>Herramienta de registro</w:t>
            </w:r>
            <w:r w:rsidR="00834D2C">
              <w:rPr>
                <w:rFonts w:cstheme="minorHAnsi"/>
                <w:color w:val="000000" w:themeColor="text1"/>
                <w:sz w:val="20"/>
                <w:szCs w:val="20"/>
              </w:rPr>
              <w:t xml:space="preserve"> interno</w:t>
            </w:r>
            <w:r w:rsidRPr="00431486">
              <w:rPr>
                <w:rFonts w:cstheme="minorHAnsi"/>
                <w:color w:val="000000" w:themeColor="text1"/>
                <w:sz w:val="20"/>
                <w:szCs w:val="20"/>
              </w:rPr>
              <w:t xml:space="preserve"> de cambios realizados en el proceso de actualización del PUOS.</w:t>
            </w:r>
            <w:r w:rsidR="00252958">
              <w:rPr>
                <w:rFonts w:cstheme="minorHAnsi"/>
                <w:color w:val="000000" w:themeColor="text1"/>
                <w:sz w:val="20"/>
                <w:szCs w:val="20"/>
              </w:rPr>
              <w:t xml:space="preserve"> Utilizada a partir de</w:t>
            </w:r>
            <w:r w:rsidR="00834D2C">
              <w:rPr>
                <w:rFonts w:cstheme="minorHAnsi"/>
                <w:color w:val="000000" w:themeColor="text1"/>
                <w:sz w:val="20"/>
                <w:szCs w:val="20"/>
              </w:rPr>
              <w:t xml:space="preserve"> febrero de 2016.</w:t>
            </w:r>
            <w:r w:rsidR="00252958">
              <w:rPr>
                <w:rFonts w:cstheme="minorHAnsi"/>
                <w:color w:val="000000" w:themeColor="text1"/>
                <w:sz w:val="20"/>
                <w:szCs w:val="20"/>
              </w:rPr>
              <w:t xml:space="preserve"> </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154A08">
            <w:pPr>
              <w:jc w:val="both"/>
              <w:rPr>
                <w:rFonts w:cstheme="minorHAnsi"/>
                <w:color w:val="000000" w:themeColor="text1"/>
                <w:sz w:val="20"/>
                <w:szCs w:val="20"/>
                <w:lang w:val="es-ES" w:eastAsia="es-ES"/>
              </w:rPr>
            </w:pPr>
            <w:r w:rsidRPr="00431486">
              <w:rPr>
                <w:rFonts w:cstheme="minorHAnsi"/>
                <w:color w:val="000000" w:themeColor="text1"/>
                <w:sz w:val="20"/>
                <w:szCs w:val="20"/>
              </w:rPr>
              <w:t>Matriz de omisiones</w:t>
            </w:r>
          </w:p>
        </w:tc>
        <w:tc>
          <w:tcPr>
            <w:tcW w:w="5953" w:type="dxa"/>
          </w:tcPr>
          <w:p w:rsidR="00AD0281" w:rsidRPr="00431486" w:rsidRDefault="00AD0281" w:rsidP="00AD0281">
            <w:pPr>
              <w:ind w:left="3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eastAsia="es-ES"/>
              </w:rPr>
            </w:pPr>
            <w:r w:rsidRPr="00431486">
              <w:rPr>
                <w:rFonts w:cstheme="minorHAnsi"/>
                <w:color w:val="000000" w:themeColor="text1"/>
                <w:sz w:val="20"/>
                <w:szCs w:val="20"/>
              </w:rPr>
              <w:t>Lista de cambios omitidos en la aprobación de la Ordenanza 127.</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154A08">
            <w:pPr>
              <w:jc w:val="both"/>
              <w:rPr>
                <w:rFonts w:cstheme="minorHAnsi"/>
                <w:color w:val="000000" w:themeColor="text1"/>
                <w:sz w:val="20"/>
                <w:szCs w:val="20"/>
                <w:lang w:val="es-ES" w:eastAsia="es-ES"/>
              </w:rPr>
            </w:pPr>
            <w:r w:rsidRPr="00431486">
              <w:rPr>
                <w:rFonts w:cstheme="minorHAnsi"/>
                <w:color w:val="000000" w:themeColor="text1"/>
                <w:sz w:val="20"/>
                <w:szCs w:val="20"/>
              </w:rPr>
              <w:t>ARCOM:</w:t>
            </w:r>
          </w:p>
        </w:tc>
        <w:tc>
          <w:tcPr>
            <w:tcW w:w="5953" w:type="dxa"/>
          </w:tcPr>
          <w:p w:rsidR="00AD0281" w:rsidRPr="00431486" w:rsidRDefault="000C0EAD" w:rsidP="00834D2C">
            <w:pPr>
              <w:ind w:left="34"/>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S"/>
              </w:rPr>
            </w:pPr>
            <w:hyperlink r:id="rId11" w:history="1">
              <w:r w:rsidR="00AD0281" w:rsidRPr="00431486">
                <w:rPr>
                  <w:rFonts w:cstheme="minorHAnsi"/>
                  <w:color w:val="000000" w:themeColor="text1"/>
                  <w:sz w:val="20"/>
                  <w:szCs w:val="20"/>
                </w:rPr>
                <w:t>Agencia de Regulación y Control Minero</w:t>
              </w:r>
            </w:hyperlink>
            <w:r w:rsidR="00AD0281" w:rsidRPr="00431486">
              <w:rPr>
                <w:rFonts w:cstheme="minorHAnsi"/>
                <w:color w:val="000000" w:themeColor="text1"/>
                <w:sz w:val="20"/>
                <w:szCs w:val="20"/>
              </w:rPr>
              <w:t>, polígonos de concesión minera.</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660"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Urbanizaciones</w:t>
            </w:r>
          </w:p>
        </w:tc>
        <w:tc>
          <w:tcPr>
            <w:tcW w:w="5953" w:type="dxa"/>
          </w:tcPr>
          <w:p w:rsidR="000B0CFE" w:rsidRPr="00431486" w:rsidRDefault="000B0CFE" w:rsidP="000B0CF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31486">
              <w:rPr>
                <w:rFonts w:cstheme="minorHAnsi"/>
                <w:color w:val="000000" w:themeColor="text1"/>
                <w:sz w:val="20"/>
                <w:szCs w:val="20"/>
              </w:rPr>
              <w:t>Polígonos de urbanizaciones aprobadas.</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154A08">
            <w:pPr>
              <w:jc w:val="both"/>
              <w:rPr>
                <w:rFonts w:cstheme="minorHAnsi"/>
                <w:b w:val="0"/>
                <w:color w:val="000000" w:themeColor="text1"/>
                <w:sz w:val="20"/>
                <w:szCs w:val="20"/>
              </w:rPr>
            </w:pPr>
            <w:r w:rsidRPr="00431486">
              <w:rPr>
                <w:rFonts w:cstheme="minorHAnsi"/>
                <w:color w:val="000000" w:themeColor="text1"/>
                <w:sz w:val="20"/>
                <w:szCs w:val="20"/>
              </w:rPr>
              <w:t>Barrios URB:</w:t>
            </w:r>
          </w:p>
        </w:tc>
        <w:tc>
          <w:tcPr>
            <w:tcW w:w="5953" w:type="dxa"/>
          </w:tcPr>
          <w:p w:rsidR="00AD0281" w:rsidRPr="00431486" w:rsidRDefault="00AD0281" w:rsidP="00AD0281">
            <w:pPr>
              <w:ind w:left="34"/>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31486">
              <w:rPr>
                <w:rFonts w:cstheme="minorHAnsi"/>
                <w:color w:val="000000" w:themeColor="text1"/>
                <w:sz w:val="20"/>
                <w:szCs w:val="20"/>
              </w:rPr>
              <w:t>Polígonos correspondientes a la aprobación de barrios por parte de la “Unidad Especial Regula tu Barrio”.</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AD0281">
            <w:pPr>
              <w:jc w:val="both"/>
              <w:rPr>
                <w:rFonts w:cstheme="minorHAnsi"/>
                <w:b w:val="0"/>
                <w:color w:val="000000" w:themeColor="text1"/>
                <w:sz w:val="20"/>
                <w:szCs w:val="20"/>
              </w:rPr>
            </w:pPr>
            <w:r w:rsidRPr="00431486">
              <w:rPr>
                <w:rFonts w:cstheme="minorHAnsi"/>
                <w:color w:val="000000" w:themeColor="text1"/>
                <w:sz w:val="20"/>
                <w:szCs w:val="20"/>
              </w:rPr>
              <w:t>Capa de evolución de PUOS</w:t>
            </w:r>
          </w:p>
        </w:tc>
        <w:tc>
          <w:tcPr>
            <w:tcW w:w="5953" w:type="dxa"/>
          </w:tcPr>
          <w:p w:rsidR="00AD0281" w:rsidRPr="00431486" w:rsidRDefault="00AD0281" w:rsidP="00834D2C">
            <w:pPr>
              <w:ind w:left="3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31486">
              <w:rPr>
                <w:rFonts w:cstheme="minorHAnsi"/>
                <w:color w:val="000000" w:themeColor="text1"/>
                <w:sz w:val="20"/>
                <w:szCs w:val="20"/>
              </w:rPr>
              <w:t>Contiene ajustes y solicitudes de cambio</w:t>
            </w:r>
            <w:r w:rsidR="00834D2C">
              <w:rPr>
                <w:rFonts w:cstheme="minorHAnsi"/>
                <w:color w:val="000000" w:themeColor="text1"/>
                <w:sz w:val="20"/>
                <w:szCs w:val="20"/>
              </w:rPr>
              <w:t xml:space="preserve"> incorporados en el PUOS </w:t>
            </w:r>
            <w:r w:rsidRPr="00431486">
              <w:rPr>
                <w:rFonts w:cstheme="minorHAnsi"/>
                <w:color w:val="000000" w:themeColor="text1"/>
                <w:sz w:val="20"/>
                <w:szCs w:val="20"/>
              </w:rPr>
              <w:t xml:space="preserve"> por  la DMGT, DMDU o amparados en la Ordenanza 172</w:t>
            </w:r>
            <w:proofErr w:type="gramStart"/>
            <w:r w:rsidRPr="00431486">
              <w:rPr>
                <w:rFonts w:cstheme="minorHAnsi"/>
                <w:color w:val="000000" w:themeColor="text1"/>
                <w:sz w:val="20"/>
                <w:szCs w:val="20"/>
              </w:rPr>
              <w:t>.</w:t>
            </w:r>
            <w:r w:rsidR="00834D2C">
              <w:rPr>
                <w:rFonts w:cstheme="minorHAnsi"/>
                <w:color w:val="000000" w:themeColor="text1"/>
                <w:sz w:val="20"/>
                <w:szCs w:val="20"/>
              </w:rPr>
              <w:t>(</w:t>
            </w:r>
            <w:proofErr w:type="gramEnd"/>
            <w:r w:rsidR="00834D2C">
              <w:rPr>
                <w:rFonts w:cstheme="minorHAnsi"/>
                <w:color w:val="000000" w:themeColor="text1"/>
                <w:sz w:val="20"/>
                <w:szCs w:val="20"/>
              </w:rPr>
              <w:t xml:space="preserve"> Artículos 3,4,5 y Disposición General Sexta).</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AD0281">
            <w:pPr>
              <w:jc w:val="both"/>
              <w:rPr>
                <w:rFonts w:cstheme="minorHAnsi"/>
                <w:b w:val="0"/>
                <w:color w:val="000000" w:themeColor="text1"/>
                <w:sz w:val="20"/>
                <w:szCs w:val="20"/>
              </w:rPr>
            </w:pPr>
            <w:r w:rsidRPr="00431486">
              <w:rPr>
                <w:rFonts w:cstheme="minorHAnsi"/>
                <w:color w:val="000000" w:themeColor="text1"/>
                <w:sz w:val="20"/>
                <w:szCs w:val="20"/>
              </w:rPr>
              <w:t>IRM inicial Ord. 041, Archivo Madre (26/02/2015)</w:t>
            </w:r>
          </w:p>
        </w:tc>
        <w:tc>
          <w:tcPr>
            <w:tcW w:w="5953" w:type="dxa"/>
          </w:tcPr>
          <w:p w:rsidR="00AD0281" w:rsidRPr="00431486" w:rsidRDefault="00AD0281" w:rsidP="00AD028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Corresponde al PUOS cargado al sistema IRM en la fecha 26/02/2015.</w:t>
            </w:r>
          </w:p>
          <w:p w:rsidR="00AD0281" w:rsidRPr="00431486" w:rsidRDefault="00AD0281" w:rsidP="00AD0281">
            <w:pPr>
              <w:ind w:left="34"/>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154A08">
            <w:pPr>
              <w:jc w:val="both"/>
              <w:rPr>
                <w:rFonts w:cstheme="minorHAnsi"/>
                <w:b w:val="0"/>
                <w:color w:val="000000" w:themeColor="text1"/>
                <w:sz w:val="20"/>
                <w:szCs w:val="20"/>
              </w:rPr>
            </w:pPr>
            <w:r w:rsidRPr="00431486">
              <w:rPr>
                <w:rFonts w:cstheme="minorHAnsi"/>
                <w:color w:val="000000" w:themeColor="text1"/>
                <w:sz w:val="20"/>
                <w:szCs w:val="20"/>
              </w:rPr>
              <w:t>Antes de separar el PUOS (01/09/2015):</w:t>
            </w:r>
          </w:p>
        </w:tc>
        <w:tc>
          <w:tcPr>
            <w:tcW w:w="5953" w:type="dxa"/>
          </w:tcPr>
          <w:p w:rsidR="00AD0281" w:rsidRPr="00431486" w:rsidRDefault="009B37C1" w:rsidP="009B37C1">
            <w:pPr>
              <w:pStyle w:val="Textoindependiente"/>
              <w:ind w:left="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31486">
              <w:rPr>
                <w:rFonts w:asciiTheme="minorHAnsi" w:hAnsiTheme="minorHAnsi" w:cstheme="minorHAnsi"/>
                <w:color w:val="000000" w:themeColor="text1"/>
                <w:sz w:val="20"/>
                <w:szCs w:val="20"/>
              </w:rPr>
              <w:t>C</w:t>
            </w:r>
            <w:r w:rsidR="00AD0281" w:rsidRPr="00431486">
              <w:rPr>
                <w:rFonts w:asciiTheme="minorHAnsi" w:hAnsiTheme="minorHAnsi" w:cstheme="minorHAnsi"/>
                <w:color w:val="000000" w:themeColor="text1"/>
                <w:sz w:val="20"/>
                <w:szCs w:val="20"/>
              </w:rPr>
              <w:t>orresponde al archivo del PUOS del cual se desprende la división en 4 partes para el proceso de actualización.</w:t>
            </w:r>
          </w:p>
          <w:p w:rsidR="00AD0281" w:rsidRPr="00431486" w:rsidRDefault="00AD0281" w:rsidP="009B37C1">
            <w:pPr>
              <w:ind w:left="3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
              </w:rPr>
            </w:pP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AD0281" w:rsidP="00154A08">
            <w:pPr>
              <w:jc w:val="both"/>
              <w:rPr>
                <w:rFonts w:cstheme="minorHAnsi"/>
                <w:b w:val="0"/>
                <w:color w:val="000000" w:themeColor="text1"/>
                <w:sz w:val="20"/>
                <w:szCs w:val="20"/>
              </w:rPr>
            </w:pPr>
            <w:r w:rsidRPr="00431486">
              <w:rPr>
                <w:rFonts w:cstheme="minorHAnsi"/>
                <w:color w:val="000000" w:themeColor="text1"/>
                <w:sz w:val="20"/>
                <w:szCs w:val="20"/>
              </w:rPr>
              <w:t>Integración del PUOS (24/02/2016/):</w:t>
            </w:r>
          </w:p>
        </w:tc>
        <w:tc>
          <w:tcPr>
            <w:tcW w:w="5953" w:type="dxa"/>
          </w:tcPr>
          <w:p w:rsidR="009B37C1" w:rsidRPr="00431486" w:rsidRDefault="009B37C1" w:rsidP="009B37C1">
            <w:pPr>
              <w:ind w:left="34"/>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Corresponde al archivo resultante de la unión de las 4 partes del PUOS divididas para su actualización.</w:t>
            </w:r>
          </w:p>
          <w:p w:rsidR="00AD0281" w:rsidRPr="00431486" w:rsidRDefault="00AD0281" w:rsidP="009B37C1">
            <w:pPr>
              <w:ind w:left="34"/>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9B37C1" w:rsidP="00154A08">
            <w:pPr>
              <w:jc w:val="both"/>
              <w:rPr>
                <w:rFonts w:cstheme="minorHAnsi"/>
                <w:b w:val="0"/>
                <w:color w:val="000000" w:themeColor="text1"/>
                <w:sz w:val="20"/>
                <w:szCs w:val="20"/>
              </w:rPr>
            </w:pPr>
            <w:r w:rsidRPr="00431486">
              <w:rPr>
                <w:rFonts w:cstheme="minorHAnsi"/>
                <w:color w:val="000000" w:themeColor="text1"/>
                <w:sz w:val="20"/>
                <w:szCs w:val="20"/>
              </w:rPr>
              <w:t>Carga IRM final Ord. 041 (28/07/2016):</w:t>
            </w:r>
          </w:p>
        </w:tc>
        <w:tc>
          <w:tcPr>
            <w:tcW w:w="5953" w:type="dxa"/>
          </w:tcPr>
          <w:p w:rsidR="009B37C1" w:rsidRPr="00431486" w:rsidRDefault="009B37C1" w:rsidP="009B37C1">
            <w:pPr>
              <w:ind w:left="3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Corresponde a la última vez que el PUOS es cargado al sistema IRM con la Ordenanza 041.</w:t>
            </w:r>
          </w:p>
          <w:p w:rsidR="00AD0281" w:rsidRPr="00431486" w:rsidRDefault="00AD0281" w:rsidP="009B37C1">
            <w:pPr>
              <w:ind w:left="3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9B37C1" w:rsidP="00154A08">
            <w:pPr>
              <w:jc w:val="both"/>
              <w:rPr>
                <w:rFonts w:cstheme="minorHAnsi"/>
                <w:b w:val="0"/>
                <w:color w:val="000000" w:themeColor="text1"/>
                <w:sz w:val="20"/>
                <w:szCs w:val="20"/>
              </w:rPr>
            </w:pPr>
            <w:r w:rsidRPr="00431486">
              <w:rPr>
                <w:rFonts w:cstheme="minorHAnsi"/>
                <w:color w:val="000000" w:themeColor="text1"/>
                <w:sz w:val="20"/>
                <w:szCs w:val="20"/>
              </w:rPr>
              <w:t>Ord. 127 modificatoria de Ord. 041 (25/07/2016):</w:t>
            </w:r>
          </w:p>
        </w:tc>
        <w:tc>
          <w:tcPr>
            <w:tcW w:w="5953" w:type="dxa"/>
          </w:tcPr>
          <w:p w:rsidR="009B37C1" w:rsidRPr="00431486" w:rsidRDefault="009B37C1" w:rsidP="009B37C1">
            <w:pPr>
              <w:ind w:left="34"/>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Archivo que responde a la Ordenanza 127 sancionada el 25/07/2016.</w:t>
            </w:r>
          </w:p>
          <w:p w:rsidR="00AD0281" w:rsidRPr="00431486" w:rsidRDefault="00AD0281" w:rsidP="009B37C1">
            <w:pPr>
              <w:ind w:left="34"/>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660" w:type="dxa"/>
          </w:tcPr>
          <w:p w:rsidR="00AD0281" w:rsidRPr="00431486" w:rsidRDefault="009B37C1" w:rsidP="00154A08">
            <w:pPr>
              <w:jc w:val="both"/>
              <w:rPr>
                <w:rFonts w:cstheme="minorHAnsi"/>
                <w:b w:val="0"/>
                <w:color w:val="000000" w:themeColor="text1"/>
                <w:sz w:val="20"/>
                <w:szCs w:val="20"/>
              </w:rPr>
            </w:pPr>
            <w:r w:rsidRPr="00431486">
              <w:rPr>
                <w:rFonts w:cstheme="minorHAnsi"/>
                <w:color w:val="000000" w:themeColor="text1"/>
                <w:sz w:val="20"/>
                <w:szCs w:val="20"/>
              </w:rPr>
              <w:t>Carga IRM omisiones 127 (19/04/2017):</w:t>
            </w:r>
          </w:p>
        </w:tc>
        <w:tc>
          <w:tcPr>
            <w:tcW w:w="5953" w:type="dxa"/>
          </w:tcPr>
          <w:p w:rsidR="009B37C1" w:rsidRPr="00431486" w:rsidRDefault="000F7519" w:rsidP="009B37C1">
            <w:pPr>
              <w:ind w:left="3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E</w:t>
            </w:r>
            <w:r w:rsidR="009B37C1" w:rsidRPr="00431486">
              <w:rPr>
                <w:rFonts w:cstheme="minorHAnsi"/>
                <w:color w:val="000000" w:themeColor="text1"/>
                <w:sz w:val="20"/>
                <w:szCs w:val="20"/>
              </w:rPr>
              <w:t>s el PUOS cargado al sistema IRM el cual contiene las omisiones detectadas por la Comisión de Uso del Suelo.</w:t>
            </w:r>
          </w:p>
          <w:p w:rsidR="00AD0281" w:rsidRPr="00431486" w:rsidRDefault="00AD0281" w:rsidP="009B37C1">
            <w:pPr>
              <w:ind w:left="3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bl>
    <w:p w:rsidR="002319A1" w:rsidRPr="002319A1" w:rsidRDefault="002319A1" w:rsidP="002319A1">
      <w:pPr>
        <w:spacing w:after="0" w:line="240" w:lineRule="auto"/>
        <w:jc w:val="both"/>
        <w:rPr>
          <w:rFonts w:cstheme="minorHAnsi"/>
          <w:sz w:val="18"/>
          <w:szCs w:val="18"/>
          <w:lang w:val="es-ES" w:eastAsia="es-ES"/>
        </w:rPr>
      </w:pPr>
      <w:r w:rsidRPr="002319A1">
        <w:rPr>
          <w:rFonts w:cstheme="minorHAnsi"/>
          <w:sz w:val="18"/>
          <w:szCs w:val="18"/>
          <w:lang w:val="es-ES" w:eastAsia="es-ES"/>
        </w:rPr>
        <w:t>Elaboración: STHV</w:t>
      </w:r>
    </w:p>
    <w:p w:rsidR="00AD0281" w:rsidRDefault="00AD0281" w:rsidP="00154A08">
      <w:pPr>
        <w:spacing w:after="0" w:line="240" w:lineRule="auto"/>
        <w:jc w:val="both"/>
        <w:rPr>
          <w:rFonts w:cstheme="minorHAnsi"/>
          <w:sz w:val="24"/>
          <w:szCs w:val="24"/>
          <w:lang w:val="es-ES" w:eastAsia="es-ES"/>
        </w:rPr>
      </w:pPr>
    </w:p>
    <w:p w:rsidR="000B0CFE" w:rsidRDefault="000B0CFE" w:rsidP="00154A08">
      <w:pPr>
        <w:spacing w:after="0" w:line="240" w:lineRule="auto"/>
        <w:jc w:val="both"/>
        <w:rPr>
          <w:rFonts w:cstheme="minorHAnsi"/>
          <w:sz w:val="24"/>
          <w:szCs w:val="24"/>
          <w:lang w:val="es-ES" w:eastAsia="es-ES"/>
        </w:rPr>
      </w:pPr>
      <w:r>
        <w:rPr>
          <w:rFonts w:cstheme="minorHAnsi"/>
          <w:sz w:val="24"/>
          <w:szCs w:val="24"/>
          <w:lang w:val="es-ES" w:eastAsia="es-ES"/>
        </w:rPr>
        <w:t>Una vez establecida la variable que determinó el origen del cambio, se procedió a agrupar los tipos de cambio conforme al siguiente listado:</w:t>
      </w:r>
    </w:p>
    <w:p w:rsidR="000B0CFE" w:rsidRDefault="000B0CFE" w:rsidP="00154A08">
      <w:pPr>
        <w:spacing w:after="0" w:line="240" w:lineRule="auto"/>
        <w:jc w:val="both"/>
        <w:rPr>
          <w:rFonts w:cstheme="minorHAnsi"/>
          <w:sz w:val="24"/>
          <w:szCs w:val="24"/>
          <w:lang w:val="es-ES" w:eastAsia="es-ES"/>
        </w:rPr>
      </w:pPr>
    </w:p>
    <w:p w:rsidR="00653C43" w:rsidRDefault="00653C43" w:rsidP="00154A08">
      <w:pPr>
        <w:spacing w:after="0" w:line="240" w:lineRule="auto"/>
        <w:jc w:val="both"/>
        <w:rPr>
          <w:rFonts w:cstheme="minorHAnsi"/>
          <w:sz w:val="24"/>
          <w:szCs w:val="24"/>
          <w:lang w:val="es-ES" w:eastAsia="es-ES"/>
        </w:rPr>
      </w:pPr>
    </w:p>
    <w:p w:rsidR="002319A1" w:rsidRPr="00942F96" w:rsidRDefault="002319A1" w:rsidP="002319A1">
      <w:pPr>
        <w:pStyle w:val="Epgrafe"/>
        <w:jc w:val="center"/>
      </w:pPr>
      <w:r>
        <w:t xml:space="preserve">Tabla </w:t>
      </w:r>
      <w:r w:rsidR="000C0EAD">
        <w:fldChar w:fldCharType="begin"/>
      </w:r>
      <w:r w:rsidR="000C0EAD">
        <w:instrText xml:space="preserve"> SEQ Tabla \* ARABIC </w:instrText>
      </w:r>
      <w:r w:rsidR="000C0EAD">
        <w:fldChar w:fldCharType="separate"/>
      </w:r>
      <w:r w:rsidR="00CA401D">
        <w:rPr>
          <w:noProof/>
        </w:rPr>
        <w:t>4</w:t>
      </w:r>
      <w:r w:rsidR="000C0EAD">
        <w:rPr>
          <w:noProof/>
        </w:rPr>
        <w:fldChar w:fldCharType="end"/>
      </w:r>
      <w:r>
        <w:t xml:space="preserve">  Motivos de cambio</w:t>
      </w:r>
    </w:p>
    <w:tbl>
      <w:tblPr>
        <w:tblStyle w:val="Sombreadoclaro-nfasis1"/>
        <w:tblW w:w="0" w:type="auto"/>
        <w:tblLook w:val="04A0" w:firstRow="1" w:lastRow="0" w:firstColumn="1" w:lastColumn="0" w:noHBand="0" w:noVBand="1"/>
      </w:tblPr>
      <w:tblGrid>
        <w:gridCol w:w="2235"/>
        <w:gridCol w:w="6378"/>
      </w:tblGrid>
      <w:tr w:rsidR="00431486" w:rsidRPr="00431486" w:rsidTr="00936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543EB4">
            <w:pPr>
              <w:jc w:val="center"/>
              <w:rPr>
                <w:rFonts w:cstheme="minorHAnsi"/>
                <w:color w:val="000000" w:themeColor="text1"/>
                <w:sz w:val="20"/>
                <w:szCs w:val="20"/>
                <w:lang w:val="es-ES" w:eastAsia="es-ES"/>
              </w:rPr>
            </w:pPr>
            <w:r w:rsidRPr="00431486">
              <w:rPr>
                <w:rFonts w:cstheme="minorHAnsi"/>
                <w:color w:val="000000" w:themeColor="text1"/>
                <w:sz w:val="20"/>
                <w:szCs w:val="20"/>
                <w:lang w:val="es-ES" w:eastAsia="es-ES"/>
              </w:rPr>
              <w:t>Motivo</w:t>
            </w:r>
          </w:p>
        </w:tc>
        <w:tc>
          <w:tcPr>
            <w:tcW w:w="6378" w:type="dxa"/>
          </w:tcPr>
          <w:p w:rsidR="000B0CFE" w:rsidRPr="00431486" w:rsidRDefault="000B0CFE" w:rsidP="00543EB4">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es-ES" w:eastAsia="es-ES"/>
              </w:rPr>
            </w:pPr>
            <w:r w:rsidRPr="00431486">
              <w:rPr>
                <w:rFonts w:cstheme="minorHAnsi"/>
                <w:color w:val="000000" w:themeColor="text1"/>
                <w:sz w:val="20"/>
                <w:szCs w:val="20"/>
                <w:lang w:val="es-ES" w:eastAsia="es-ES"/>
              </w:rPr>
              <w:t>Definición</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color w:val="000000" w:themeColor="text1"/>
                <w:sz w:val="20"/>
                <w:szCs w:val="20"/>
                <w:lang w:val="es-ES" w:eastAsia="es-ES"/>
              </w:rPr>
            </w:pPr>
            <w:r w:rsidRPr="00431486">
              <w:rPr>
                <w:rFonts w:cstheme="minorHAnsi"/>
                <w:color w:val="000000" w:themeColor="text1"/>
                <w:sz w:val="20"/>
                <w:szCs w:val="20"/>
              </w:rPr>
              <w:t>Ajuste cartográfico:</w:t>
            </w:r>
          </w:p>
        </w:tc>
        <w:tc>
          <w:tcPr>
            <w:tcW w:w="6378" w:type="dxa"/>
          </w:tcPr>
          <w:p w:rsidR="000B0CFE" w:rsidRPr="00431486" w:rsidRDefault="000B0CFE" w:rsidP="000B0CF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S"/>
              </w:rPr>
            </w:pPr>
            <w:r w:rsidRPr="00431486">
              <w:rPr>
                <w:rFonts w:cstheme="minorHAnsi"/>
                <w:color w:val="000000" w:themeColor="text1"/>
                <w:sz w:val="20"/>
                <w:szCs w:val="20"/>
              </w:rPr>
              <w:t>Correcciones de tipo gráfico que responden a la actualización o corrección de la delimitación de polígonos de acuerdo a la realidad del territorio, como por ejemplo corrección de bordes de quebrada o corrección a</w:t>
            </w:r>
            <w:r w:rsidR="00834D2C">
              <w:rPr>
                <w:rFonts w:cstheme="minorHAnsi"/>
                <w:color w:val="000000" w:themeColor="text1"/>
                <w:sz w:val="20"/>
                <w:szCs w:val="20"/>
              </w:rPr>
              <w:t>l</w:t>
            </w:r>
            <w:r w:rsidRPr="00431486">
              <w:rPr>
                <w:rFonts w:cstheme="minorHAnsi"/>
                <w:color w:val="000000" w:themeColor="text1"/>
                <w:sz w:val="20"/>
                <w:szCs w:val="20"/>
              </w:rPr>
              <w:t xml:space="preserve"> límite de linderos prediales.  </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color w:val="000000" w:themeColor="text1"/>
                <w:sz w:val="20"/>
                <w:szCs w:val="20"/>
                <w:lang w:val="es-ES" w:eastAsia="es-ES"/>
              </w:rPr>
            </w:pPr>
            <w:r w:rsidRPr="00431486">
              <w:rPr>
                <w:rFonts w:cstheme="minorHAnsi"/>
                <w:color w:val="000000" w:themeColor="text1"/>
                <w:sz w:val="20"/>
                <w:szCs w:val="20"/>
              </w:rPr>
              <w:t>Asignación de datos:</w:t>
            </w:r>
          </w:p>
        </w:tc>
        <w:tc>
          <w:tcPr>
            <w:tcW w:w="6378" w:type="dxa"/>
          </w:tcPr>
          <w:p w:rsidR="000B0CFE" w:rsidRPr="00431486" w:rsidRDefault="000B0CFE" w:rsidP="00333637">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eastAsia="es-ES"/>
              </w:rPr>
            </w:pPr>
            <w:r w:rsidRPr="00431486">
              <w:rPr>
                <w:rFonts w:cstheme="minorHAnsi"/>
                <w:color w:val="000000" w:themeColor="text1"/>
                <w:sz w:val="20"/>
                <w:szCs w:val="20"/>
              </w:rPr>
              <w:t xml:space="preserve">Comprende a zonas con  uso de suelo  “Equipamiento” cuya zonificación asignada es </w:t>
            </w:r>
            <w:proofErr w:type="gramStart"/>
            <w:r w:rsidRPr="00431486">
              <w:rPr>
                <w:rFonts w:cstheme="minorHAnsi"/>
                <w:color w:val="000000" w:themeColor="text1"/>
                <w:sz w:val="20"/>
                <w:szCs w:val="20"/>
              </w:rPr>
              <w:t>Z2(</w:t>
            </w:r>
            <w:proofErr w:type="gramEnd"/>
            <w:r w:rsidRPr="00431486">
              <w:rPr>
                <w:rFonts w:cstheme="minorHAnsi"/>
                <w:color w:val="000000" w:themeColor="text1"/>
                <w:sz w:val="20"/>
                <w:szCs w:val="20"/>
              </w:rPr>
              <w:t xml:space="preserve">ZC), a los cuales se asigna datos de zonificación, manteniendo su uso. Comprende  además  áreas históricas con distintos usos de suelo, con zonificación </w:t>
            </w:r>
            <w:proofErr w:type="gramStart"/>
            <w:r w:rsidRPr="00431486">
              <w:rPr>
                <w:rFonts w:cstheme="minorHAnsi"/>
                <w:color w:val="000000" w:themeColor="text1"/>
                <w:sz w:val="20"/>
                <w:szCs w:val="20"/>
              </w:rPr>
              <w:t>Z1(</w:t>
            </w:r>
            <w:proofErr w:type="gramEnd"/>
            <w:r w:rsidRPr="00431486">
              <w:rPr>
                <w:rFonts w:cstheme="minorHAnsi"/>
                <w:color w:val="000000" w:themeColor="text1"/>
                <w:sz w:val="20"/>
                <w:szCs w:val="20"/>
              </w:rPr>
              <w:t>ZH), a las que se asigna datos de edificabilidad conforme a criterios técnicos y de preservación de la Unidad de Áreas Históricas de la STHV.</w:t>
            </w:r>
            <w:r w:rsidR="00333637">
              <w:rPr>
                <w:rFonts w:cstheme="minorHAnsi"/>
                <w:color w:val="000000" w:themeColor="text1"/>
                <w:sz w:val="20"/>
                <w:szCs w:val="20"/>
              </w:rPr>
              <w:t xml:space="preserve"> Esta asignación de datos se sustenta en la Ordenanza Metropolitana 172, artículo 3, que otorga a la STHV la facultad de  dar </w:t>
            </w:r>
            <w:r w:rsidR="00333637" w:rsidRPr="00333637">
              <w:rPr>
                <w:rFonts w:cstheme="minorHAnsi"/>
                <w:color w:val="000000" w:themeColor="text1"/>
                <w:sz w:val="20"/>
                <w:szCs w:val="20"/>
              </w:rPr>
              <w:t>resolución de especificaciones de orden técnico administrativo y absolución de consultas</w:t>
            </w:r>
            <w:r w:rsidR="00333637">
              <w:rPr>
                <w:rFonts w:cstheme="minorHAnsi"/>
                <w:color w:val="000000" w:themeColor="text1"/>
                <w:sz w:val="20"/>
                <w:szCs w:val="20"/>
              </w:rPr>
              <w:t>; el artículo 4 que establece la sobre la p</w:t>
            </w:r>
            <w:r w:rsidR="00333637" w:rsidRPr="00333637">
              <w:rPr>
                <w:rFonts w:cstheme="minorHAnsi"/>
                <w:color w:val="000000" w:themeColor="text1"/>
                <w:sz w:val="20"/>
                <w:szCs w:val="20"/>
              </w:rPr>
              <w:t>rotección a las autorizaciones de habilitación de suelo</w:t>
            </w:r>
            <w:r w:rsidR="00333637">
              <w:rPr>
                <w:rFonts w:cstheme="minorHAnsi"/>
                <w:color w:val="000000" w:themeColor="text1"/>
                <w:sz w:val="20"/>
                <w:szCs w:val="20"/>
              </w:rPr>
              <w:t>; artículo  5 que establece la pr</w:t>
            </w:r>
            <w:r w:rsidR="00333637" w:rsidRPr="00333637">
              <w:rPr>
                <w:rFonts w:cstheme="minorHAnsi"/>
                <w:color w:val="000000" w:themeColor="text1"/>
                <w:sz w:val="20"/>
                <w:szCs w:val="20"/>
              </w:rPr>
              <w:t>otección a las autorizaciones de edificación</w:t>
            </w:r>
            <w:r w:rsidR="00333637">
              <w:rPr>
                <w:rFonts w:cstheme="minorHAnsi"/>
                <w:color w:val="000000" w:themeColor="text1"/>
                <w:sz w:val="20"/>
                <w:szCs w:val="20"/>
              </w:rPr>
              <w:t xml:space="preserve"> y la Disposición General Sexta, que establece que l</w:t>
            </w:r>
            <w:r w:rsidR="00333637" w:rsidRPr="00333637">
              <w:rPr>
                <w:rFonts w:cstheme="minorHAnsi"/>
                <w:color w:val="000000" w:themeColor="text1"/>
                <w:sz w:val="20"/>
                <w:szCs w:val="20"/>
              </w:rPr>
              <w:t xml:space="preserve">as modificatorias a la zonificación aprobada por </w:t>
            </w:r>
            <w:r w:rsidR="00333637" w:rsidRPr="00333637">
              <w:rPr>
                <w:rFonts w:cstheme="minorHAnsi"/>
                <w:color w:val="000000" w:themeColor="text1"/>
                <w:sz w:val="20"/>
                <w:szCs w:val="20"/>
              </w:rPr>
              <w:lastRenderedPageBreak/>
              <w:t>el Concejo Metropolitano, en aplicación de la  Ordenanza Metropolitana</w:t>
            </w:r>
            <w:r w:rsidR="00333637">
              <w:rPr>
                <w:rFonts w:cstheme="minorHAnsi"/>
                <w:color w:val="000000" w:themeColor="text1"/>
                <w:sz w:val="20"/>
                <w:szCs w:val="20"/>
              </w:rPr>
              <w:t xml:space="preserve"> 172</w:t>
            </w:r>
            <w:r w:rsidR="00333637" w:rsidRPr="00333637">
              <w:rPr>
                <w:rFonts w:cstheme="minorHAnsi"/>
                <w:color w:val="000000" w:themeColor="text1"/>
                <w:sz w:val="20"/>
                <w:szCs w:val="20"/>
              </w:rPr>
              <w:t>, y los ajustes requeridos por actualización de la cartografía predial, y polígonos de zonificación, sin que esto implique cambios a las asignaciones establecidas en los mapas y demás instrumentos de planificación, deberán estar documentados, incorporados y actualizados de manera permanente por la Secretaría rectora del territorio, hábitat y vivienda, en la base de datos georeferenciada, para la correcta emisión de los Informes de Regulación Metropolitana.</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color w:val="000000" w:themeColor="text1"/>
                <w:sz w:val="20"/>
                <w:szCs w:val="20"/>
                <w:lang w:val="es-ES" w:eastAsia="es-ES"/>
              </w:rPr>
            </w:pPr>
            <w:r w:rsidRPr="00431486">
              <w:rPr>
                <w:rFonts w:cstheme="minorHAnsi"/>
                <w:color w:val="000000" w:themeColor="text1"/>
                <w:sz w:val="20"/>
                <w:szCs w:val="20"/>
              </w:rPr>
              <w:lastRenderedPageBreak/>
              <w:t>Criterio Técnico:</w:t>
            </w:r>
          </w:p>
        </w:tc>
        <w:tc>
          <w:tcPr>
            <w:tcW w:w="6378" w:type="dxa"/>
          </w:tcPr>
          <w:p w:rsidR="00B132C3" w:rsidRPr="00B132C3" w:rsidRDefault="005C3066" w:rsidP="00B132C3">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Argumentos </w:t>
            </w:r>
            <w:r w:rsidR="000B0CFE" w:rsidRPr="00431486">
              <w:rPr>
                <w:rFonts w:cstheme="minorHAnsi"/>
                <w:color w:val="000000" w:themeColor="text1"/>
                <w:sz w:val="20"/>
                <w:szCs w:val="20"/>
              </w:rPr>
              <w:t xml:space="preserve"> técnicos</w:t>
            </w:r>
            <w:r>
              <w:rPr>
                <w:rFonts w:cstheme="minorHAnsi"/>
                <w:color w:val="000000" w:themeColor="text1"/>
                <w:sz w:val="20"/>
                <w:szCs w:val="20"/>
              </w:rPr>
              <w:t xml:space="preserve"> derivados de un análisis técnico realizado </w:t>
            </w:r>
            <w:r w:rsidR="000B0CFE" w:rsidRPr="00431486">
              <w:rPr>
                <w:rFonts w:cstheme="minorHAnsi"/>
                <w:color w:val="000000" w:themeColor="text1"/>
                <w:sz w:val="20"/>
                <w:szCs w:val="20"/>
              </w:rPr>
              <w:t xml:space="preserve"> por la  STHV durante el pr</w:t>
            </w:r>
            <w:r w:rsidR="00B132C3">
              <w:rPr>
                <w:rFonts w:cstheme="minorHAnsi"/>
                <w:color w:val="000000" w:themeColor="text1"/>
                <w:sz w:val="20"/>
                <w:szCs w:val="20"/>
              </w:rPr>
              <w:t xml:space="preserve">oceso de actualización del PUOS utilizando </w:t>
            </w:r>
            <w:r w:rsidR="00B132C3" w:rsidRPr="00B132C3">
              <w:rPr>
                <w:rFonts w:cstheme="minorHAnsi"/>
                <w:color w:val="000000" w:themeColor="text1"/>
                <w:sz w:val="20"/>
                <w:szCs w:val="20"/>
              </w:rPr>
              <w:t xml:space="preserve"> </w:t>
            </w:r>
            <w:r w:rsidR="00CF1212">
              <w:rPr>
                <w:rFonts w:cstheme="minorHAnsi"/>
                <w:color w:val="000000" w:themeColor="text1"/>
                <w:sz w:val="20"/>
                <w:szCs w:val="20"/>
              </w:rPr>
              <w:t xml:space="preserve">un </w:t>
            </w:r>
            <w:r w:rsidR="00B132C3" w:rsidRPr="00B132C3">
              <w:rPr>
                <w:rFonts w:cstheme="minorHAnsi"/>
                <w:color w:val="000000" w:themeColor="text1"/>
                <w:sz w:val="20"/>
                <w:szCs w:val="20"/>
              </w:rPr>
              <w:t>grupo de variables verificables en territorio, y apoyado en los recursos informáticos disponibles en la STHV. El detalle del análisis por Criterio Técnico, se describe en el punto 2 de este informe.</w:t>
            </w:r>
          </w:p>
          <w:p w:rsidR="00B132C3" w:rsidRPr="00B132C3" w:rsidRDefault="00B132C3" w:rsidP="00154A08">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S"/>
              </w:rPr>
            </w:pP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Dato perdido:</w:t>
            </w:r>
          </w:p>
        </w:tc>
        <w:tc>
          <w:tcPr>
            <w:tcW w:w="6378" w:type="dxa"/>
          </w:tcPr>
          <w:p w:rsidR="000B0CFE" w:rsidRPr="00431486" w:rsidRDefault="000B0CFE" w:rsidP="0087537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Cambios realizados en la Ord. 041 por efecto de la dinámica del territorio</w:t>
            </w:r>
            <w:r w:rsidRPr="00431486">
              <w:rPr>
                <w:rFonts w:cstheme="minorHAnsi"/>
                <w:b/>
                <w:color w:val="000000" w:themeColor="text1"/>
                <w:sz w:val="20"/>
                <w:szCs w:val="20"/>
              </w:rPr>
              <w:t xml:space="preserve">,  </w:t>
            </w:r>
            <w:r w:rsidRPr="00431486">
              <w:rPr>
                <w:rFonts w:cstheme="minorHAnsi"/>
                <w:color w:val="000000" w:themeColor="text1"/>
                <w:sz w:val="20"/>
                <w:szCs w:val="20"/>
              </w:rPr>
              <w:t xml:space="preserve">que no fueron </w:t>
            </w:r>
            <w:r w:rsidR="0031322B">
              <w:rPr>
                <w:rFonts w:cstheme="minorHAnsi"/>
                <w:color w:val="000000" w:themeColor="text1"/>
                <w:sz w:val="20"/>
                <w:szCs w:val="20"/>
              </w:rPr>
              <w:t xml:space="preserve">incorporados  en </w:t>
            </w:r>
            <w:r w:rsidR="00875373">
              <w:rPr>
                <w:rFonts w:cstheme="minorHAnsi"/>
                <w:color w:val="000000" w:themeColor="text1"/>
                <w:sz w:val="20"/>
                <w:szCs w:val="20"/>
              </w:rPr>
              <w:t>las 4 partes del PUOS que se estaban actualizando.</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En matriz de cambios 2016:</w:t>
            </w:r>
          </w:p>
        </w:tc>
        <w:tc>
          <w:tcPr>
            <w:tcW w:w="6378" w:type="dxa"/>
          </w:tcPr>
          <w:p w:rsidR="000B0CFE" w:rsidRPr="00431486" w:rsidRDefault="000B0CFE" w:rsidP="000B0CF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Cambios que constan en la matriz de cambios 2016 y que se encuentran duplicados en el registro de los 354 polígonos</w:t>
            </w:r>
            <w:r w:rsidRPr="00431486">
              <w:rPr>
                <w:rFonts w:cstheme="minorHAnsi"/>
                <w:b/>
                <w:color w:val="000000" w:themeColor="text1"/>
                <w:sz w:val="20"/>
                <w:szCs w:val="20"/>
              </w:rPr>
              <w:t xml:space="preserve">. </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Ordenanza:</w:t>
            </w:r>
          </w:p>
        </w:tc>
        <w:tc>
          <w:tcPr>
            <w:tcW w:w="6378" w:type="dxa"/>
          </w:tcPr>
          <w:p w:rsidR="000B0CFE" w:rsidRPr="00431486" w:rsidRDefault="000B0CFE" w:rsidP="005C3066">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277CB">
              <w:rPr>
                <w:rFonts w:cstheme="minorHAnsi"/>
                <w:color w:val="000000" w:themeColor="text1"/>
                <w:sz w:val="20"/>
                <w:szCs w:val="20"/>
              </w:rPr>
              <w:t>Cambios motivados por una</w:t>
            </w:r>
            <w:r w:rsidR="00D277CB" w:rsidRPr="00D277CB">
              <w:rPr>
                <w:rFonts w:cstheme="minorHAnsi"/>
                <w:color w:val="000000" w:themeColor="text1"/>
                <w:sz w:val="20"/>
                <w:szCs w:val="20"/>
              </w:rPr>
              <w:t xml:space="preserve"> Ordenanza Metropolitana vigente, </w:t>
            </w:r>
            <w:r w:rsidR="005C3066">
              <w:rPr>
                <w:rFonts w:cstheme="minorHAnsi"/>
                <w:color w:val="000000" w:themeColor="text1"/>
                <w:sz w:val="20"/>
                <w:szCs w:val="20"/>
              </w:rPr>
              <w:t xml:space="preserve">anterior a la aprobación de la Ordenanza nº 127, </w:t>
            </w:r>
            <w:r w:rsidR="00D277CB" w:rsidRPr="00D277CB">
              <w:rPr>
                <w:rFonts w:cstheme="minorHAnsi"/>
                <w:color w:val="000000" w:themeColor="text1"/>
                <w:sz w:val="20"/>
                <w:szCs w:val="20"/>
              </w:rPr>
              <w:t>correspondiente a barrios, áreas de protección ecológica declaradas,  áreas</w:t>
            </w:r>
            <w:r w:rsidR="00F308C9">
              <w:rPr>
                <w:rFonts w:cstheme="minorHAnsi"/>
                <w:color w:val="000000" w:themeColor="text1"/>
                <w:sz w:val="20"/>
                <w:szCs w:val="20"/>
              </w:rPr>
              <w:t xml:space="preserve"> patrimoniales, planes especiales</w:t>
            </w:r>
            <w:r w:rsidR="0023379C">
              <w:rPr>
                <w:rFonts w:cstheme="minorHAnsi"/>
                <w:color w:val="000000" w:themeColor="text1"/>
                <w:sz w:val="20"/>
                <w:szCs w:val="20"/>
              </w:rPr>
              <w:t xml:space="preserve"> y parciales.</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Zona de riesgo:</w:t>
            </w:r>
          </w:p>
        </w:tc>
        <w:tc>
          <w:tcPr>
            <w:tcW w:w="6378" w:type="dxa"/>
          </w:tcPr>
          <w:p w:rsidR="000B0CFE" w:rsidRPr="00F308C9" w:rsidRDefault="000B0CFE" w:rsidP="000B7015">
            <w:pPr>
              <w:pStyle w:val="Textoindependiente"/>
              <w:ind w:left="33"/>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MX"/>
              </w:rPr>
            </w:pPr>
            <w:r w:rsidRPr="00F308C9">
              <w:rPr>
                <w:rFonts w:asciiTheme="minorHAnsi" w:hAnsiTheme="minorHAnsi" w:cstheme="minorHAnsi"/>
                <w:color w:val="000000" w:themeColor="text1"/>
                <w:sz w:val="20"/>
                <w:szCs w:val="20"/>
                <w:lang w:val="es-EC" w:eastAsia="en-US"/>
              </w:rPr>
              <w:t xml:space="preserve">Asignación de datos de zonificación a zonas que en la Ordenanza 041 constaban con zonificación </w:t>
            </w:r>
            <w:proofErr w:type="gramStart"/>
            <w:r w:rsidRPr="00F308C9">
              <w:rPr>
                <w:rFonts w:asciiTheme="minorHAnsi" w:hAnsiTheme="minorHAnsi" w:cstheme="minorHAnsi"/>
                <w:color w:val="000000" w:themeColor="text1"/>
                <w:sz w:val="20"/>
                <w:szCs w:val="20"/>
                <w:lang w:val="es-EC" w:eastAsia="en-US"/>
              </w:rPr>
              <w:t>ZR(</w:t>
            </w:r>
            <w:proofErr w:type="gramEnd"/>
            <w:r w:rsidRPr="00F308C9">
              <w:rPr>
                <w:rFonts w:asciiTheme="minorHAnsi" w:hAnsiTheme="minorHAnsi" w:cstheme="minorHAnsi"/>
                <w:color w:val="000000" w:themeColor="text1"/>
                <w:sz w:val="20"/>
                <w:szCs w:val="20"/>
                <w:lang w:val="es-EC" w:eastAsia="en-US"/>
              </w:rPr>
              <w:t xml:space="preserve">ZR1). </w:t>
            </w:r>
            <w:r w:rsidR="00F308C9" w:rsidRPr="00F308C9">
              <w:rPr>
                <w:rFonts w:asciiTheme="minorHAnsi" w:hAnsiTheme="minorHAnsi" w:cstheme="minorHAnsi"/>
                <w:color w:val="000000" w:themeColor="text1"/>
                <w:sz w:val="20"/>
                <w:szCs w:val="20"/>
                <w:lang w:val="es-EC" w:eastAsia="en-US"/>
              </w:rPr>
              <w:t>Este criterio fue conocido por la Comisión de Uso de Suelo durante las mesas de trabajo.</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Concesión minera:</w:t>
            </w:r>
          </w:p>
        </w:tc>
        <w:tc>
          <w:tcPr>
            <w:tcW w:w="6378" w:type="dxa"/>
          </w:tcPr>
          <w:p w:rsidR="000B0CFE" w:rsidRPr="00431486" w:rsidRDefault="000B0CFE" w:rsidP="000B0CF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 xml:space="preserve">Cambios producidos por actividad minera presente en el área y/o que se encuentran dentro de  los polígonos del catastro minero proporcionado por la Agencia de Regulación y Control Minero - ARCOM. </w:t>
            </w:r>
          </w:p>
        </w:tc>
      </w:tr>
      <w:tr w:rsidR="00431486" w:rsidRPr="00431486" w:rsidTr="009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Error de asignación de dato:</w:t>
            </w:r>
          </w:p>
        </w:tc>
        <w:tc>
          <w:tcPr>
            <w:tcW w:w="6378" w:type="dxa"/>
          </w:tcPr>
          <w:p w:rsidR="000B0CFE" w:rsidRPr="00431486" w:rsidRDefault="000B0CFE" w:rsidP="00C23E93">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23E93">
              <w:rPr>
                <w:rFonts w:cstheme="minorHAnsi"/>
                <w:b/>
                <w:color w:val="000000" w:themeColor="text1"/>
                <w:sz w:val="20"/>
                <w:szCs w:val="20"/>
              </w:rPr>
              <w:t>Asignación errónea</w:t>
            </w:r>
            <w:r w:rsidR="00DA413F" w:rsidRPr="00DA413F">
              <w:rPr>
                <w:rFonts w:cstheme="minorHAnsi"/>
                <w:color w:val="000000" w:themeColor="text1"/>
                <w:sz w:val="20"/>
                <w:szCs w:val="20"/>
              </w:rPr>
              <w:t xml:space="preserve"> de</w:t>
            </w:r>
            <w:r w:rsidR="00DA413F">
              <w:rPr>
                <w:rFonts w:cstheme="minorHAnsi"/>
                <w:color w:val="000000" w:themeColor="text1"/>
                <w:sz w:val="20"/>
                <w:szCs w:val="20"/>
              </w:rPr>
              <w:t>bido a</w:t>
            </w:r>
            <w:r w:rsidR="00C23E93">
              <w:rPr>
                <w:rFonts w:cstheme="minorHAnsi"/>
                <w:color w:val="000000" w:themeColor="text1"/>
                <w:sz w:val="20"/>
                <w:szCs w:val="20"/>
              </w:rPr>
              <w:t xml:space="preserve"> </w:t>
            </w:r>
            <w:r w:rsidR="00DA413F">
              <w:rPr>
                <w:rFonts w:cstheme="minorHAnsi"/>
                <w:color w:val="000000" w:themeColor="text1"/>
                <w:sz w:val="20"/>
                <w:szCs w:val="20"/>
              </w:rPr>
              <w:t>errores d</w:t>
            </w:r>
            <w:r w:rsidR="00DA413F" w:rsidRPr="00DA413F">
              <w:rPr>
                <w:rFonts w:cstheme="minorHAnsi"/>
                <w:color w:val="000000" w:themeColor="text1"/>
                <w:sz w:val="20"/>
                <w:szCs w:val="20"/>
              </w:rPr>
              <w:t xml:space="preserve">e </w:t>
            </w:r>
            <w:proofErr w:type="spellStart"/>
            <w:r w:rsidR="00DA413F" w:rsidRPr="00DA413F">
              <w:rPr>
                <w:rFonts w:cstheme="minorHAnsi"/>
                <w:color w:val="000000" w:themeColor="text1"/>
                <w:sz w:val="20"/>
                <w:szCs w:val="20"/>
              </w:rPr>
              <w:t>tipeo</w:t>
            </w:r>
            <w:proofErr w:type="spellEnd"/>
            <w:r w:rsidR="00DA413F" w:rsidRPr="00DA413F">
              <w:rPr>
                <w:rFonts w:cstheme="minorHAnsi"/>
                <w:color w:val="000000" w:themeColor="text1"/>
                <w:sz w:val="20"/>
                <w:szCs w:val="20"/>
              </w:rPr>
              <w:t>, información errónea de la zona cambiada</w:t>
            </w:r>
            <w:r w:rsidR="00C23E93">
              <w:rPr>
                <w:rFonts w:cstheme="minorHAnsi"/>
                <w:color w:val="000000" w:themeColor="text1"/>
                <w:sz w:val="20"/>
                <w:szCs w:val="20"/>
              </w:rPr>
              <w:t xml:space="preserve">; </w:t>
            </w:r>
            <w:r w:rsidR="00DA413F" w:rsidRPr="00DA413F">
              <w:rPr>
                <w:rFonts w:cstheme="minorHAnsi"/>
                <w:color w:val="000000" w:themeColor="text1"/>
                <w:sz w:val="20"/>
                <w:szCs w:val="20"/>
              </w:rPr>
              <w:t xml:space="preserve"> o una </w:t>
            </w:r>
            <w:r w:rsidR="00DA413F" w:rsidRPr="00C23E93">
              <w:rPr>
                <w:rFonts w:cstheme="minorHAnsi"/>
                <w:b/>
                <w:color w:val="000000" w:themeColor="text1"/>
                <w:sz w:val="20"/>
                <w:szCs w:val="20"/>
              </w:rPr>
              <w:t>pérdida de dato</w:t>
            </w:r>
            <w:r w:rsidR="00DA413F" w:rsidRPr="00DA413F">
              <w:rPr>
                <w:rFonts w:cstheme="minorHAnsi"/>
                <w:color w:val="000000" w:themeColor="text1"/>
                <w:sz w:val="20"/>
                <w:szCs w:val="20"/>
              </w:rPr>
              <w:t xml:space="preserve"> que se produce al momento de la unificación de las 4 partes del PUOS, perdiéndose  asignaciones de datos que fueron otorgados por la DMGT, o la DMDU.</w:t>
            </w:r>
          </w:p>
        </w:tc>
      </w:tr>
      <w:tr w:rsidR="00431486" w:rsidRPr="00431486" w:rsidTr="009366CB">
        <w:tc>
          <w:tcPr>
            <w:cnfStyle w:val="001000000000" w:firstRow="0" w:lastRow="0" w:firstColumn="1" w:lastColumn="0" w:oddVBand="0" w:evenVBand="0" w:oddHBand="0" w:evenHBand="0" w:firstRowFirstColumn="0" w:firstRowLastColumn="0" w:lastRowFirstColumn="0" w:lastRowLastColumn="0"/>
            <w:tcW w:w="2235" w:type="dxa"/>
          </w:tcPr>
          <w:p w:rsidR="000B0CFE" w:rsidRPr="00431486" w:rsidRDefault="000B0CFE" w:rsidP="00154A08">
            <w:pPr>
              <w:jc w:val="both"/>
              <w:rPr>
                <w:rFonts w:cstheme="minorHAnsi"/>
                <w:b w:val="0"/>
                <w:color w:val="000000" w:themeColor="text1"/>
                <w:sz w:val="20"/>
                <w:szCs w:val="20"/>
              </w:rPr>
            </w:pPr>
            <w:r w:rsidRPr="00431486">
              <w:rPr>
                <w:rFonts w:cstheme="minorHAnsi"/>
                <w:color w:val="000000" w:themeColor="text1"/>
                <w:sz w:val="20"/>
                <w:szCs w:val="20"/>
              </w:rPr>
              <w:t>No determinado:</w:t>
            </w:r>
          </w:p>
        </w:tc>
        <w:tc>
          <w:tcPr>
            <w:tcW w:w="6378" w:type="dxa"/>
          </w:tcPr>
          <w:p w:rsidR="000B0CFE" w:rsidRPr="00431486" w:rsidRDefault="000B0CFE" w:rsidP="000B0CF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Cambios que no</w:t>
            </w:r>
            <w:r w:rsidRPr="00431486">
              <w:rPr>
                <w:rFonts w:cstheme="minorHAnsi"/>
                <w:b/>
                <w:color w:val="000000" w:themeColor="text1"/>
                <w:sz w:val="20"/>
                <w:szCs w:val="20"/>
              </w:rPr>
              <w:t xml:space="preserve"> </w:t>
            </w:r>
            <w:r w:rsidRPr="00431486">
              <w:rPr>
                <w:rFonts w:cstheme="minorHAnsi"/>
                <w:color w:val="000000" w:themeColor="text1"/>
                <w:sz w:val="20"/>
                <w:szCs w:val="20"/>
              </w:rPr>
              <w:t xml:space="preserve">responden a ningún criterio técnico o  alguna de las motivaciones anteriormente explicadas. </w:t>
            </w:r>
          </w:p>
        </w:tc>
      </w:tr>
    </w:tbl>
    <w:p w:rsidR="002319A1" w:rsidRPr="002319A1" w:rsidRDefault="002319A1" w:rsidP="002319A1">
      <w:pPr>
        <w:spacing w:after="0" w:line="240" w:lineRule="auto"/>
        <w:jc w:val="both"/>
        <w:rPr>
          <w:rFonts w:cstheme="minorHAnsi"/>
          <w:sz w:val="18"/>
          <w:szCs w:val="18"/>
          <w:lang w:val="es-ES" w:eastAsia="es-ES"/>
        </w:rPr>
      </w:pPr>
      <w:r w:rsidRPr="002319A1">
        <w:rPr>
          <w:rFonts w:cstheme="minorHAnsi"/>
          <w:sz w:val="18"/>
          <w:szCs w:val="18"/>
          <w:lang w:val="es-ES" w:eastAsia="es-ES"/>
        </w:rPr>
        <w:t>Elaboración: STHV</w:t>
      </w:r>
    </w:p>
    <w:p w:rsidR="000B0CFE" w:rsidRDefault="000B0CFE" w:rsidP="00154A08">
      <w:pPr>
        <w:spacing w:after="0" w:line="240" w:lineRule="auto"/>
        <w:jc w:val="both"/>
        <w:rPr>
          <w:rFonts w:cstheme="minorHAnsi"/>
          <w:sz w:val="24"/>
          <w:szCs w:val="24"/>
          <w:lang w:val="es-ES" w:eastAsia="es-ES"/>
        </w:rPr>
      </w:pPr>
    </w:p>
    <w:p w:rsidR="00AD0281" w:rsidRDefault="00AD0281" w:rsidP="00AD0281">
      <w:pPr>
        <w:spacing w:after="0" w:line="240" w:lineRule="auto"/>
        <w:jc w:val="both"/>
        <w:rPr>
          <w:rFonts w:cstheme="minorHAnsi"/>
        </w:rPr>
      </w:pPr>
    </w:p>
    <w:p w:rsidR="00BF5381" w:rsidRDefault="00C171E7" w:rsidP="000F7519">
      <w:pPr>
        <w:jc w:val="both"/>
      </w:pPr>
      <w:r>
        <w:t>El análisis evidenció q</w:t>
      </w:r>
      <w:r w:rsidR="0031322B">
        <w:t>ue el 48</w:t>
      </w:r>
      <w:r w:rsidR="005F288B">
        <w:t xml:space="preserve">% de los cambios se realizan </w:t>
      </w:r>
      <w:r w:rsidR="008A43EF">
        <w:t xml:space="preserve">por </w:t>
      </w:r>
      <w:r w:rsidR="008A43EF" w:rsidRPr="0040460C">
        <w:rPr>
          <w:b/>
        </w:rPr>
        <w:t>Criterio Técnico</w:t>
      </w:r>
      <w:r w:rsidR="008A43EF">
        <w:t xml:space="preserve"> de la </w:t>
      </w:r>
      <w:r w:rsidR="00314E4A">
        <w:t xml:space="preserve">DMPPS de la </w:t>
      </w:r>
      <w:r w:rsidR="008A43EF">
        <w:t>STHV</w:t>
      </w:r>
      <w:r>
        <w:t>, seguido del 19.5</w:t>
      </w:r>
      <w:r w:rsidR="005F288B">
        <w:t xml:space="preserve">% que son por motivo de una </w:t>
      </w:r>
      <w:r w:rsidR="005F288B" w:rsidRPr="0040460C">
        <w:rPr>
          <w:b/>
        </w:rPr>
        <w:t>Ordenanza</w:t>
      </w:r>
      <w:r w:rsidR="005F288B">
        <w:t xml:space="preserve"> que los </w:t>
      </w:r>
      <w:r w:rsidR="008A43EF">
        <w:t>respalda, y en tercer lugar (1</w:t>
      </w:r>
      <w:r w:rsidR="007255A8">
        <w:t>1</w:t>
      </w:r>
      <w:r>
        <w:t>.</w:t>
      </w:r>
      <w:r w:rsidR="0031322B">
        <w:t>3</w:t>
      </w:r>
      <w:r w:rsidR="007255A8">
        <w:t>%</w:t>
      </w:r>
      <w:r w:rsidR="005F288B">
        <w:t>) figuran los cambios p</w:t>
      </w:r>
      <w:r w:rsidR="008A43EF">
        <w:t xml:space="preserve">roducidos por un </w:t>
      </w:r>
      <w:r w:rsidR="008A43EF" w:rsidRPr="0040460C">
        <w:rPr>
          <w:b/>
        </w:rPr>
        <w:t>“Dato perdido”</w:t>
      </w:r>
      <w:r w:rsidR="00DC34E9" w:rsidRPr="0040460C">
        <w:rPr>
          <w:b/>
        </w:rPr>
        <w:t>,</w:t>
      </w:r>
      <w:r w:rsidR="00DC34E9">
        <w:t xml:space="preserve"> </w:t>
      </w:r>
      <w:r w:rsidR="00BF5381">
        <w:t>finalmente tenemos</w:t>
      </w:r>
      <w:r w:rsidR="008A43EF">
        <w:t xml:space="preserve"> que el </w:t>
      </w:r>
      <w:r>
        <w:t>9.</w:t>
      </w:r>
      <w:r w:rsidR="001D6222">
        <w:t>6</w:t>
      </w:r>
      <w:r w:rsidR="00BF5381">
        <w:t xml:space="preserve">% de los datos corresponden a cambios </w:t>
      </w:r>
      <w:r w:rsidR="00BF5381" w:rsidRPr="00527CB7">
        <w:rPr>
          <w:b/>
        </w:rPr>
        <w:t>no determinados</w:t>
      </w:r>
      <w:r w:rsidR="00BF5381">
        <w:t xml:space="preserve"> como lo muestra la tabla</w:t>
      </w:r>
      <w:r w:rsidR="00527CB7">
        <w:t xml:space="preserve"> siguiente:</w:t>
      </w:r>
    </w:p>
    <w:p w:rsidR="003570EB" w:rsidRPr="008579F5" w:rsidRDefault="003570EB" w:rsidP="003570EB">
      <w:pPr>
        <w:pStyle w:val="Epgrafe"/>
        <w:jc w:val="center"/>
      </w:pPr>
      <w:r w:rsidRPr="008579F5">
        <w:t xml:space="preserve">Tabla </w:t>
      </w:r>
      <w:r w:rsidR="000C0EAD">
        <w:fldChar w:fldCharType="begin"/>
      </w:r>
      <w:r w:rsidR="000C0EAD">
        <w:instrText xml:space="preserve"> SEQ Tabla \* ARABIC </w:instrText>
      </w:r>
      <w:r w:rsidR="000C0EAD">
        <w:fldChar w:fldCharType="separate"/>
      </w:r>
      <w:r w:rsidR="00CA401D">
        <w:rPr>
          <w:noProof/>
        </w:rPr>
        <w:t>5</w:t>
      </w:r>
      <w:r w:rsidR="000C0EAD">
        <w:rPr>
          <w:noProof/>
        </w:rPr>
        <w:fldChar w:fldCharType="end"/>
      </w:r>
      <w:r w:rsidRPr="008579F5">
        <w:t xml:space="preserve">  Motivos de cambio</w:t>
      </w:r>
      <w:r w:rsidR="000D2CF7" w:rsidRPr="008579F5">
        <w:t xml:space="preserve"> por parámetro</w:t>
      </w:r>
    </w:p>
    <w:tbl>
      <w:tblPr>
        <w:tblW w:w="5878" w:type="dxa"/>
        <w:jc w:val="center"/>
        <w:tblCellMar>
          <w:left w:w="70" w:type="dxa"/>
          <w:right w:w="70" w:type="dxa"/>
        </w:tblCellMar>
        <w:tblLook w:val="04A0" w:firstRow="1" w:lastRow="0" w:firstColumn="1" w:lastColumn="0" w:noHBand="0" w:noVBand="1"/>
      </w:tblPr>
      <w:tblGrid>
        <w:gridCol w:w="2869"/>
        <w:gridCol w:w="1408"/>
        <w:gridCol w:w="1601"/>
      </w:tblGrid>
      <w:tr w:rsidR="008579F5" w:rsidRPr="00A64A6F" w:rsidTr="00913025">
        <w:trPr>
          <w:trHeight w:val="466"/>
          <w:jc w:val="center"/>
        </w:trPr>
        <w:tc>
          <w:tcPr>
            <w:tcW w:w="2869" w:type="dxa"/>
            <w:tcBorders>
              <w:top w:val="single" w:sz="4" w:space="0" w:color="auto"/>
              <w:left w:val="single" w:sz="4" w:space="0" w:color="auto"/>
              <w:bottom w:val="single" w:sz="4" w:space="0" w:color="95B3D7"/>
              <w:right w:val="nil"/>
            </w:tcBorders>
            <w:shd w:val="clear" w:color="000000" w:fill="4F81BD"/>
            <w:vAlign w:val="bottom"/>
            <w:hideMark/>
          </w:tcPr>
          <w:p w:rsidR="008579F5" w:rsidRPr="00913DEE" w:rsidRDefault="008579F5" w:rsidP="003C6DF2">
            <w:pPr>
              <w:spacing w:after="0" w:line="240" w:lineRule="auto"/>
              <w:jc w:val="center"/>
              <w:rPr>
                <w:rFonts w:ascii="Calibri" w:eastAsia="Times New Roman" w:hAnsi="Calibri" w:cs="Times New Roman"/>
                <w:b/>
                <w:bCs/>
                <w:color w:val="FFFFFF" w:themeColor="background1"/>
                <w:sz w:val="20"/>
                <w:szCs w:val="20"/>
                <w:lang w:eastAsia="es-EC"/>
              </w:rPr>
            </w:pPr>
            <w:r w:rsidRPr="00913DEE">
              <w:rPr>
                <w:rFonts w:ascii="Calibri" w:eastAsia="Times New Roman" w:hAnsi="Calibri" w:cs="Times New Roman"/>
                <w:b/>
                <w:bCs/>
                <w:color w:val="FFFFFF" w:themeColor="background1"/>
                <w:sz w:val="20"/>
                <w:szCs w:val="20"/>
                <w:lang w:eastAsia="es-EC"/>
              </w:rPr>
              <w:t>MOTIVO</w:t>
            </w:r>
          </w:p>
        </w:tc>
        <w:tc>
          <w:tcPr>
            <w:tcW w:w="1408" w:type="dxa"/>
            <w:tcBorders>
              <w:top w:val="single" w:sz="4" w:space="0" w:color="auto"/>
              <w:left w:val="nil"/>
              <w:bottom w:val="single" w:sz="4" w:space="0" w:color="95B3D7"/>
              <w:right w:val="nil"/>
            </w:tcBorders>
            <w:shd w:val="clear" w:color="000000" w:fill="4F81BD"/>
            <w:vAlign w:val="bottom"/>
            <w:hideMark/>
          </w:tcPr>
          <w:p w:rsidR="008579F5" w:rsidRPr="00913DEE" w:rsidRDefault="008579F5" w:rsidP="003C6DF2">
            <w:pPr>
              <w:spacing w:after="0" w:line="240" w:lineRule="auto"/>
              <w:jc w:val="center"/>
              <w:rPr>
                <w:rFonts w:ascii="Calibri" w:eastAsia="Times New Roman" w:hAnsi="Calibri" w:cs="Times New Roman"/>
                <w:b/>
                <w:bCs/>
                <w:color w:val="FFFFFF" w:themeColor="background1"/>
                <w:sz w:val="20"/>
                <w:szCs w:val="20"/>
                <w:lang w:eastAsia="es-EC"/>
              </w:rPr>
            </w:pPr>
            <w:r w:rsidRPr="00A64A6F">
              <w:rPr>
                <w:rFonts w:ascii="Calibri" w:eastAsia="Times New Roman" w:hAnsi="Calibri" w:cs="Times New Roman"/>
                <w:b/>
                <w:bCs/>
                <w:color w:val="FFFFFF" w:themeColor="background1"/>
                <w:sz w:val="20"/>
                <w:szCs w:val="20"/>
                <w:lang w:eastAsia="es-EC"/>
              </w:rPr>
              <w:t>N° de cambios</w:t>
            </w:r>
          </w:p>
        </w:tc>
        <w:tc>
          <w:tcPr>
            <w:tcW w:w="1601" w:type="dxa"/>
            <w:tcBorders>
              <w:top w:val="single" w:sz="4" w:space="0" w:color="auto"/>
              <w:left w:val="nil"/>
              <w:bottom w:val="single" w:sz="4" w:space="0" w:color="95B3D7"/>
              <w:right w:val="single" w:sz="4" w:space="0" w:color="auto"/>
            </w:tcBorders>
            <w:shd w:val="clear" w:color="000000" w:fill="4F81BD"/>
            <w:vAlign w:val="bottom"/>
            <w:hideMark/>
          </w:tcPr>
          <w:p w:rsidR="008579F5" w:rsidRPr="00913DEE" w:rsidRDefault="008579F5" w:rsidP="003C6DF2">
            <w:pPr>
              <w:spacing w:after="0" w:line="240" w:lineRule="auto"/>
              <w:jc w:val="center"/>
              <w:rPr>
                <w:rFonts w:ascii="Calibri" w:eastAsia="Times New Roman" w:hAnsi="Calibri" w:cs="Times New Roman"/>
                <w:b/>
                <w:bCs/>
                <w:color w:val="FFFFFF" w:themeColor="background1"/>
                <w:sz w:val="20"/>
                <w:szCs w:val="20"/>
                <w:lang w:eastAsia="es-EC"/>
              </w:rPr>
            </w:pPr>
            <w:r w:rsidRPr="00913DEE">
              <w:rPr>
                <w:rFonts w:ascii="Calibri" w:eastAsia="Times New Roman" w:hAnsi="Calibri" w:cs="Times New Roman"/>
                <w:b/>
                <w:bCs/>
                <w:color w:val="FFFFFF" w:themeColor="background1"/>
                <w:sz w:val="20"/>
                <w:szCs w:val="20"/>
                <w:lang w:eastAsia="es-EC"/>
              </w:rPr>
              <w:t>Porcentaje %</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Criterio Técnico</w:t>
            </w:r>
          </w:p>
        </w:tc>
        <w:tc>
          <w:tcPr>
            <w:tcW w:w="1408" w:type="dxa"/>
            <w:tcBorders>
              <w:top w:val="single" w:sz="4" w:space="0" w:color="95B3D7"/>
              <w:left w:val="nil"/>
              <w:bottom w:val="single" w:sz="4" w:space="0" w:color="95B3D7"/>
              <w:right w:val="nil"/>
            </w:tcBorders>
            <w:shd w:val="clear" w:color="DCE6F1" w:fill="DCE6F1"/>
            <w:noWrap/>
            <w:vAlign w:val="bottom"/>
            <w:hideMark/>
          </w:tcPr>
          <w:p w:rsidR="008579F5" w:rsidRPr="00913DEE" w:rsidRDefault="003C6DF2" w:rsidP="003C6DF2">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170</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8579F5" w:rsidRPr="00913DEE" w:rsidRDefault="003C6DF2" w:rsidP="003C6DF2">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48</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Ordenanza</w:t>
            </w:r>
          </w:p>
        </w:tc>
        <w:tc>
          <w:tcPr>
            <w:tcW w:w="1408" w:type="dxa"/>
            <w:tcBorders>
              <w:top w:val="single" w:sz="4" w:space="0" w:color="95B3D7"/>
              <w:left w:val="nil"/>
              <w:bottom w:val="single" w:sz="4" w:space="0" w:color="95B3D7"/>
              <w:right w:val="nil"/>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69</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19,5</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Dato perdido</w:t>
            </w:r>
          </w:p>
        </w:tc>
        <w:tc>
          <w:tcPr>
            <w:tcW w:w="1408" w:type="dxa"/>
            <w:tcBorders>
              <w:top w:val="single" w:sz="4" w:space="0" w:color="95B3D7"/>
              <w:left w:val="nil"/>
              <w:bottom w:val="single" w:sz="4" w:space="0" w:color="95B3D7"/>
              <w:right w:val="nil"/>
            </w:tcBorders>
            <w:shd w:val="clear" w:color="DCE6F1" w:fill="DCE6F1"/>
            <w:noWrap/>
            <w:vAlign w:val="bottom"/>
            <w:hideMark/>
          </w:tcPr>
          <w:p w:rsidR="008579F5" w:rsidRPr="00913DEE" w:rsidRDefault="003C6DF2" w:rsidP="003C6DF2">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40</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8579F5" w:rsidRPr="00913DEE" w:rsidRDefault="003C6DF2" w:rsidP="003C6DF2">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11,3</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No determinado</w:t>
            </w:r>
          </w:p>
        </w:tc>
        <w:tc>
          <w:tcPr>
            <w:tcW w:w="1408" w:type="dxa"/>
            <w:tcBorders>
              <w:top w:val="single" w:sz="4" w:space="0" w:color="95B3D7"/>
              <w:left w:val="nil"/>
              <w:bottom w:val="single" w:sz="4" w:space="0" w:color="95B3D7"/>
              <w:right w:val="nil"/>
            </w:tcBorders>
            <w:shd w:val="clear" w:color="auto" w:fill="auto"/>
            <w:noWrap/>
            <w:vAlign w:val="bottom"/>
            <w:hideMark/>
          </w:tcPr>
          <w:p w:rsidR="008579F5" w:rsidRPr="00913DEE" w:rsidRDefault="00C248EE" w:rsidP="003C6DF2">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34</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9,6</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Error de asignación de datos</w:t>
            </w:r>
          </w:p>
        </w:tc>
        <w:tc>
          <w:tcPr>
            <w:tcW w:w="1408" w:type="dxa"/>
            <w:tcBorders>
              <w:top w:val="single" w:sz="4" w:space="0" w:color="95B3D7"/>
              <w:left w:val="nil"/>
              <w:bottom w:val="single" w:sz="4" w:space="0" w:color="95B3D7"/>
              <w:right w:val="nil"/>
            </w:tcBorders>
            <w:shd w:val="clear" w:color="DCE6F1" w:fill="DCE6F1"/>
            <w:noWrap/>
            <w:vAlign w:val="bottom"/>
            <w:hideMark/>
          </w:tcPr>
          <w:p w:rsidR="008579F5" w:rsidRPr="00913DEE" w:rsidRDefault="00C248EE" w:rsidP="003C6DF2">
            <w:pPr>
              <w:spacing w:after="0" w:line="240" w:lineRule="auto"/>
              <w:jc w:val="center"/>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11</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3,1</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Concesión Minera</w:t>
            </w:r>
          </w:p>
        </w:tc>
        <w:tc>
          <w:tcPr>
            <w:tcW w:w="1408" w:type="dxa"/>
            <w:tcBorders>
              <w:top w:val="single" w:sz="4" w:space="0" w:color="95B3D7"/>
              <w:left w:val="nil"/>
              <w:bottom w:val="single" w:sz="4" w:space="0" w:color="95B3D7"/>
              <w:right w:val="nil"/>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9</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2,5</w:t>
            </w:r>
            <w:r w:rsidR="00F36541">
              <w:rPr>
                <w:rFonts w:ascii="Calibri" w:eastAsia="Times New Roman" w:hAnsi="Calibri" w:cs="Times New Roman"/>
                <w:color w:val="000000"/>
                <w:sz w:val="20"/>
                <w:szCs w:val="20"/>
                <w:lang w:eastAsia="es-EC"/>
              </w:rPr>
              <w:t>%</w:t>
            </w:r>
          </w:p>
        </w:tc>
      </w:tr>
      <w:tr w:rsidR="008579F5" w:rsidRPr="00A64A6F" w:rsidTr="00913025">
        <w:trPr>
          <w:trHeight w:val="241"/>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Asignación de datos</w:t>
            </w:r>
          </w:p>
        </w:tc>
        <w:tc>
          <w:tcPr>
            <w:tcW w:w="1408" w:type="dxa"/>
            <w:tcBorders>
              <w:top w:val="single" w:sz="4" w:space="0" w:color="95B3D7"/>
              <w:left w:val="nil"/>
              <w:bottom w:val="single" w:sz="4" w:space="0" w:color="95B3D7"/>
              <w:right w:val="nil"/>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8</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2,3</w:t>
            </w:r>
            <w:r w:rsidR="00F36541">
              <w:rPr>
                <w:rFonts w:ascii="Calibri" w:eastAsia="Times New Roman" w:hAnsi="Calibri" w:cs="Times New Roman"/>
                <w:color w:val="000000"/>
                <w:sz w:val="20"/>
                <w:szCs w:val="20"/>
                <w:lang w:eastAsia="es-EC"/>
              </w:rPr>
              <w:t>%</w:t>
            </w:r>
          </w:p>
        </w:tc>
      </w:tr>
      <w:tr w:rsidR="008579F5" w:rsidRPr="00A64A6F" w:rsidTr="00913025">
        <w:trPr>
          <w:trHeight w:val="241"/>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lastRenderedPageBreak/>
              <w:t>En matriz de cambios 2016</w:t>
            </w:r>
          </w:p>
        </w:tc>
        <w:tc>
          <w:tcPr>
            <w:tcW w:w="1408" w:type="dxa"/>
            <w:tcBorders>
              <w:top w:val="single" w:sz="4" w:space="0" w:color="95B3D7"/>
              <w:left w:val="nil"/>
              <w:bottom w:val="single" w:sz="4" w:space="0" w:color="95B3D7"/>
              <w:right w:val="nil"/>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7</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2,0</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DCE6F1" w:fill="DCE6F1"/>
            <w:noWrap/>
            <w:vAlign w:val="bottom"/>
            <w:hideMark/>
          </w:tcPr>
          <w:p w:rsidR="008579F5" w:rsidRPr="00913DEE" w:rsidRDefault="007E5E32" w:rsidP="003C6DF2">
            <w:pPr>
              <w:spacing w:after="0" w:line="240" w:lineRule="auto"/>
              <w:rPr>
                <w:rFonts w:ascii="Calibri" w:eastAsia="Times New Roman" w:hAnsi="Calibri" w:cs="Times New Roman"/>
                <w:color w:val="000000"/>
                <w:sz w:val="20"/>
                <w:szCs w:val="20"/>
                <w:lang w:eastAsia="es-EC"/>
              </w:rPr>
            </w:pPr>
            <w:r>
              <w:rPr>
                <w:rFonts w:ascii="Calibri" w:eastAsia="Times New Roman" w:hAnsi="Calibri" w:cs="Times New Roman"/>
                <w:color w:val="000000"/>
                <w:sz w:val="20"/>
                <w:szCs w:val="20"/>
                <w:lang w:eastAsia="es-EC"/>
              </w:rPr>
              <w:t>Ajuste cartográ</w:t>
            </w:r>
            <w:r w:rsidR="008579F5" w:rsidRPr="00913DEE">
              <w:rPr>
                <w:rFonts w:ascii="Calibri" w:eastAsia="Times New Roman" w:hAnsi="Calibri" w:cs="Times New Roman"/>
                <w:color w:val="000000"/>
                <w:sz w:val="20"/>
                <w:szCs w:val="20"/>
                <w:lang w:eastAsia="es-EC"/>
              </w:rPr>
              <w:t>fico</w:t>
            </w:r>
          </w:p>
        </w:tc>
        <w:tc>
          <w:tcPr>
            <w:tcW w:w="1408" w:type="dxa"/>
            <w:tcBorders>
              <w:top w:val="single" w:sz="4" w:space="0" w:color="95B3D7"/>
              <w:left w:val="nil"/>
              <w:bottom w:val="single" w:sz="4" w:space="0" w:color="95B3D7"/>
              <w:right w:val="nil"/>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5</w:t>
            </w:r>
          </w:p>
        </w:tc>
        <w:tc>
          <w:tcPr>
            <w:tcW w:w="1601" w:type="dxa"/>
            <w:tcBorders>
              <w:top w:val="single" w:sz="4" w:space="0" w:color="95B3D7"/>
              <w:left w:val="nil"/>
              <w:bottom w:val="single" w:sz="4" w:space="0" w:color="95B3D7"/>
              <w:right w:val="single" w:sz="4" w:space="0" w:color="auto"/>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1,4</w:t>
            </w:r>
            <w:r w:rsidR="00F36541">
              <w:rPr>
                <w:rFonts w:ascii="Calibri" w:eastAsia="Times New Roman" w:hAnsi="Calibri" w:cs="Times New Roman"/>
                <w:color w:val="000000"/>
                <w:sz w:val="20"/>
                <w:szCs w:val="20"/>
                <w:lang w:eastAsia="es-EC"/>
              </w:rPr>
              <w:t>%</w:t>
            </w:r>
          </w:p>
        </w:tc>
      </w:tr>
      <w:tr w:rsidR="008579F5" w:rsidRPr="00A64A6F" w:rsidTr="00913025">
        <w:trPr>
          <w:trHeight w:val="229"/>
          <w:jc w:val="center"/>
        </w:trPr>
        <w:tc>
          <w:tcPr>
            <w:tcW w:w="2869" w:type="dxa"/>
            <w:tcBorders>
              <w:top w:val="single" w:sz="4" w:space="0" w:color="95B3D7"/>
              <w:left w:val="single" w:sz="4" w:space="0" w:color="auto"/>
              <w:bottom w:val="single" w:sz="4" w:space="0" w:color="95B3D7"/>
              <w:right w:val="nil"/>
            </w:tcBorders>
            <w:shd w:val="clear" w:color="auto" w:fill="auto"/>
            <w:noWrap/>
            <w:vAlign w:val="bottom"/>
            <w:hideMark/>
          </w:tcPr>
          <w:p w:rsidR="008579F5" w:rsidRPr="00913DEE" w:rsidRDefault="008579F5" w:rsidP="003C6DF2">
            <w:pPr>
              <w:spacing w:after="0" w:line="240" w:lineRule="auto"/>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Zona de riesgo</w:t>
            </w:r>
          </w:p>
        </w:tc>
        <w:tc>
          <w:tcPr>
            <w:tcW w:w="1408" w:type="dxa"/>
            <w:tcBorders>
              <w:top w:val="single" w:sz="4" w:space="0" w:color="95B3D7"/>
              <w:left w:val="nil"/>
              <w:bottom w:val="single" w:sz="4" w:space="0" w:color="95B3D7"/>
              <w:right w:val="nil"/>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1</w:t>
            </w:r>
          </w:p>
        </w:tc>
        <w:tc>
          <w:tcPr>
            <w:tcW w:w="1601" w:type="dxa"/>
            <w:tcBorders>
              <w:top w:val="single" w:sz="4" w:space="0" w:color="95B3D7"/>
              <w:left w:val="nil"/>
              <w:bottom w:val="single" w:sz="4" w:space="0" w:color="95B3D7"/>
              <w:right w:val="single" w:sz="4" w:space="0" w:color="auto"/>
            </w:tcBorders>
            <w:shd w:val="clear" w:color="auto" w:fill="auto"/>
            <w:noWrap/>
            <w:vAlign w:val="bottom"/>
            <w:hideMark/>
          </w:tcPr>
          <w:p w:rsidR="008579F5" w:rsidRPr="00913DEE" w:rsidRDefault="008579F5" w:rsidP="003C6DF2">
            <w:pPr>
              <w:spacing w:after="0" w:line="240" w:lineRule="auto"/>
              <w:jc w:val="center"/>
              <w:rPr>
                <w:rFonts w:ascii="Calibri" w:eastAsia="Times New Roman" w:hAnsi="Calibri" w:cs="Times New Roman"/>
                <w:color w:val="000000"/>
                <w:sz w:val="20"/>
                <w:szCs w:val="20"/>
                <w:lang w:eastAsia="es-EC"/>
              </w:rPr>
            </w:pPr>
            <w:r w:rsidRPr="00913DEE">
              <w:rPr>
                <w:rFonts w:ascii="Calibri" w:eastAsia="Times New Roman" w:hAnsi="Calibri" w:cs="Times New Roman"/>
                <w:color w:val="000000"/>
                <w:sz w:val="20"/>
                <w:szCs w:val="20"/>
                <w:lang w:eastAsia="es-EC"/>
              </w:rPr>
              <w:t>0,3</w:t>
            </w:r>
            <w:r w:rsidR="00F36541">
              <w:rPr>
                <w:rFonts w:ascii="Calibri" w:eastAsia="Times New Roman" w:hAnsi="Calibri" w:cs="Times New Roman"/>
                <w:color w:val="000000"/>
                <w:sz w:val="20"/>
                <w:szCs w:val="20"/>
                <w:lang w:eastAsia="es-EC"/>
              </w:rPr>
              <w:t>%</w:t>
            </w:r>
          </w:p>
        </w:tc>
      </w:tr>
      <w:tr w:rsidR="008579F5" w:rsidRPr="00A64A6F" w:rsidTr="00913025">
        <w:trPr>
          <w:trHeight w:val="241"/>
          <w:jc w:val="center"/>
        </w:trPr>
        <w:tc>
          <w:tcPr>
            <w:tcW w:w="2869" w:type="dxa"/>
            <w:tcBorders>
              <w:top w:val="single" w:sz="4" w:space="0" w:color="95B3D7"/>
              <w:left w:val="single" w:sz="4" w:space="0" w:color="auto"/>
              <w:bottom w:val="single" w:sz="4" w:space="0" w:color="auto"/>
              <w:right w:val="nil"/>
            </w:tcBorders>
            <w:shd w:val="clear" w:color="DCE6F1" w:fill="DCE6F1"/>
            <w:noWrap/>
            <w:vAlign w:val="bottom"/>
            <w:hideMark/>
          </w:tcPr>
          <w:p w:rsidR="008579F5" w:rsidRPr="00913DEE" w:rsidRDefault="008579F5" w:rsidP="003C6DF2">
            <w:pPr>
              <w:spacing w:after="0" w:line="240" w:lineRule="auto"/>
              <w:rPr>
                <w:rFonts w:ascii="Calibri" w:eastAsia="Times New Roman" w:hAnsi="Calibri" w:cs="Times New Roman"/>
                <w:b/>
                <w:bCs/>
                <w:color w:val="000000"/>
                <w:sz w:val="20"/>
                <w:szCs w:val="20"/>
                <w:lang w:eastAsia="es-EC"/>
              </w:rPr>
            </w:pPr>
            <w:r w:rsidRPr="00913DEE">
              <w:rPr>
                <w:rFonts w:ascii="Calibri" w:eastAsia="Times New Roman" w:hAnsi="Calibri" w:cs="Times New Roman"/>
                <w:b/>
                <w:bCs/>
                <w:color w:val="000000"/>
                <w:sz w:val="20"/>
                <w:szCs w:val="20"/>
                <w:lang w:eastAsia="es-EC"/>
              </w:rPr>
              <w:t>Total general</w:t>
            </w:r>
          </w:p>
        </w:tc>
        <w:tc>
          <w:tcPr>
            <w:tcW w:w="1408" w:type="dxa"/>
            <w:tcBorders>
              <w:top w:val="single" w:sz="4" w:space="0" w:color="95B3D7"/>
              <w:left w:val="nil"/>
              <w:bottom w:val="single" w:sz="4" w:space="0" w:color="auto"/>
              <w:right w:val="nil"/>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b/>
                <w:bCs/>
                <w:color w:val="000000"/>
                <w:sz w:val="20"/>
                <w:szCs w:val="20"/>
                <w:lang w:eastAsia="es-EC"/>
              </w:rPr>
            </w:pPr>
            <w:r w:rsidRPr="00913DEE">
              <w:rPr>
                <w:rFonts w:ascii="Calibri" w:eastAsia="Times New Roman" w:hAnsi="Calibri" w:cs="Times New Roman"/>
                <w:b/>
                <w:bCs/>
                <w:color w:val="000000"/>
                <w:sz w:val="20"/>
                <w:szCs w:val="20"/>
                <w:lang w:eastAsia="es-EC"/>
              </w:rPr>
              <w:t>354</w:t>
            </w:r>
          </w:p>
        </w:tc>
        <w:tc>
          <w:tcPr>
            <w:tcW w:w="1601" w:type="dxa"/>
            <w:tcBorders>
              <w:top w:val="single" w:sz="4" w:space="0" w:color="95B3D7"/>
              <w:left w:val="nil"/>
              <w:bottom w:val="single" w:sz="4" w:space="0" w:color="auto"/>
              <w:right w:val="single" w:sz="4" w:space="0" w:color="auto"/>
            </w:tcBorders>
            <w:shd w:val="clear" w:color="DCE6F1" w:fill="DCE6F1"/>
            <w:noWrap/>
            <w:vAlign w:val="bottom"/>
            <w:hideMark/>
          </w:tcPr>
          <w:p w:rsidR="008579F5" w:rsidRPr="00913DEE" w:rsidRDefault="008579F5" w:rsidP="003C6DF2">
            <w:pPr>
              <w:spacing w:after="0" w:line="240" w:lineRule="auto"/>
              <w:jc w:val="center"/>
              <w:rPr>
                <w:rFonts w:ascii="Calibri" w:eastAsia="Times New Roman" w:hAnsi="Calibri" w:cs="Times New Roman"/>
                <w:b/>
                <w:bCs/>
                <w:color w:val="000000"/>
                <w:sz w:val="20"/>
                <w:szCs w:val="20"/>
                <w:lang w:eastAsia="es-EC"/>
              </w:rPr>
            </w:pPr>
            <w:r w:rsidRPr="00913DEE">
              <w:rPr>
                <w:rFonts w:ascii="Calibri" w:eastAsia="Times New Roman" w:hAnsi="Calibri" w:cs="Times New Roman"/>
                <w:b/>
                <w:bCs/>
                <w:color w:val="000000"/>
                <w:sz w:val="20"/>
                <w:szCs w:val="20"/>
                <w:lang w:eastAsia="es-EC"/>
              </w:rPr>
              <w:t>100</w:t>
            </w:r>
            <w:r w:rsidR="00F36541">
              <w:rPr>
                <w:rFonts w:ascii="Calibri" w:eastAsia="Times New Roman" w:hAnsi="Calibri" w:cs="Times New Roman"/>
                <w:b/>
                <w:bCs/>
                <w:color w:val="000000"/>
                <w:sz w:val="20"/>
                <w:szCs w:val="20"/>
                <w:lang w:eastAsia="es-EC"/>
              </w:rPr>
              <w:t>%</w:t>
            </w:r>
          </w:p>
        </w:tc>
      </w:tr>
    </w:tbl>
    <w:p w:rsidR="00527CB7" w:rsidRPr="002319A1" w:rsidRDefault="00527CB7" w:rsidP="00755BDE">
      <w:pPr>
        <w:spacing w:after="0" w:line="240" w:lineRule="auto"/>
        <w:ind w:left="1416" w:firstLine="708"/>
        <w:jc w:val="both"/>
        <w:rPr>
          <w:rFonts w:cstheme="minorHAnsi"/>
          <w:sz w:val="18"/>
          <w:szCs w:val="18"/>
          <w:lang w:val="es-ES" w:eastAsia="es-ES"/>
        </w:rPr>
      </w:pPr>
      <w:r w:rsidRPr="002319A1">
        <w:rPr>
          <w:rFonts w:cstheme="minorHAnsi"/>
          <w:sz w:val="18"/>
          <w:szCs w:val="18"/>
          <w:lang w:val="es-ES" w:eastAsia="es-ES"/>
        </w:rPr>
        <w:t>Elaboración: STHV</w:t>
      </w:r>
    </w:p>
    <w:p w:rsidR="005F288B" w:rsidRDefault="005F288B" w:rsidP="00D86EFC">
      <w:pPr>
        <w:spacing w:after="0" w:line="240" w:lineRule="auto"/>
        <w:jc w:val="both"/>
        <w:rPr>
          <w:rFonts w:cstheme="minorHAnsi"/>
        </w:rPr>
      </w:pPr>
    </w:p>
    <w:p w:rsidR="003C6DF2" w:rsidRDefault="003C6DF2" w:rsidP="00D86EFC">
      <w:pPr>
        <w:spacing w:after="0" w:line="240" w:lineRule="auto"/>
        <w:jc w:val="both"/>
        <w:rPr>
          <w:rFonts w:cstheme="minorHAnsi"/>
        </w:rPr>
      </w:pPr>
    </w:p>
    <w:p w:rsidR="007C1F57" w:rsidRDefault="00DD506D" w:rsidP="00D86EFC">
      <w:pPr>
        <w:spacing w:after="0" w:line="240" w:lineRule="auto"/>
        <w:jc w:val="both"/>
        <w:rPr>
          <w:rFonts w:cstheme="minorHAnsi"/>
        </w:rPr>
      </w:pPr>
      <w:r>
        <w:rPr>
          <w:rFonts w:cstheme="minorHAnsi"/>
        </w:rPr>
        <w:t xml:space="preserve">La </w:t>
      </w:r>
      <w:r w:rsidR="007C1F57">
        <w:rPr>
          <w:rFonts w:cstheme="minorHAnsi"/>
        </w:rPr>
        <w:t xml:space="preserve">tabla anterior nos permite </w:t>
      </w:r>
      <w:r>
        <w:rPr>
          <w:rFonts w:cstheme="minorHAnsi"/>
        </w:rPr>
        <w:t xml:space="preserve">establecer de forma más global, que </w:t>
      </w:r>
      <w:r w:rsidR="00842C2F">
        <w:rPr>
          <w:rFonts w:cstheme="minorHAnsi"/>
          <w:b/>
        </w:rPr>
        <w:t>el 28</w:t>
      </w:r>
      <w:r w:rsidR="00A75CE5">
        <w:rPr>
          <w:rFonts w:cstheme="minorHAnsi"/>
          <w:b/>
        </w:rPr>
        <w:t>% de los cambios realizados (</w:t>
      </w:r>
      <w:r w:rsidR="00DA413F">
        <w:rPr>
          <w:rFonts w:cstheme="minorHAnsi"/>
          <w:b/>
        </w:rPr>
        <w:t>99</w:t>
      </w:r>
      <w:r w:rsidRPr="00B51531">
        <w:rPr>
          <w:rFonts w:cstheme="minorHAnsi"/>
          <w:b/>
        </w:rPr>
        <w:t xml:space="preserve"> ca</w:t>
      </w:r>
      <w:r w:rsidR="00B51531">
        <w:rPr>
          <w:rFonts w:cstheme="minorHAnsi"/>
          <w:b/>
        </w:rPr>
        <w:t>sos</w:t>
      </w:r>
      <w:r w:rsidRPr="00B51531">
        <w:rPr>
          <w:rFonts w:cstheme="minorHAnsi"/>
          <w:b/>
        </w:rPr>
        <w:t xml:space="preserve">), </w:t>
      </w:r>
      <w:r w:rsidR="00A75CE5">
        <w:rPr>
          <w:rFonts w:cstheme="minorHAnsi"/>
          <w:b/>
        </w:rPr>
        <w:t>tienen un justificativo</w:t>
      </w:r>
      <w:r w:rsidRPr="00B51531">
        <w:rPr>
          <w:rFonts w:cstheme="minorHAnsi"/>
          <w:b/>
        </w:rPr>
        <w:t xml:space="preserve">, </w:t>
      </w:r>
      <w:r>
        <w:rPr>
          <w:rFonts w:cstheme="minorHAnsi"/>
        </w:rPr>
        <w:t xml:space="preserve">debido a que son respaldados por una </w:t>
      </w:r>
      <w:r w:rsidRPr="00B51531">
        <w:rPr>
          <w:rFonts w:cstheme="minorHAnsi"/>
          <w:i/>
        </w:rPr>
        <w:t>O</w:t>
      </w:r>
      <w:r w:rsidR="00B51531">
        <w:rPr>
          <w:rFonts w:cstheme="minorHAnsi"/>
          <w:i/>
        </w:rPr>
        <w:t>rdenanza, un D</w:t>
      </w:r>
      <w:r w:rsidRPr="00B51531">
        <w:rPr>
          <w:rFonts w:cstheme="minorHAnsi"/>
          <w:i/>
        </w:rPr>
        <w:t>erecho adquirido, una asignación de datos</w:t>
      </w:r>
      <w:r>
        <w:rPr>
          <w:rFonts w:cstheme="minorHAnsi"/>
        </w:rPr>
        <w:t xml:space="preserve"> debidamente analizada por la Dirección Metropolitana de gestión Territorial  o la Dirección Metropol</w:t>
      </w:r>
      <w:r w:rsidR="00B51531">
        <w:rPr>
          <w:rFonts w:cstheme="minorHAnsi"/>
        </w:rPr>
        <w:t xml:space="preserve">itana de Desarrollo Urbanístico; </w:t>
      </w:r>
      <w:r w:rsidR="00DA413F">
        <w:rPr>
          <w:rFonts w:cstheme="minorHAnsi"/>
        </w:rPr>
        <w:t xml:space="preserve"> se encuentran dentro de </w:t>
      </w:r>
      <w:r w:rsidR="00DA413F">
        <w:rPr>
          <w:rFonts w:cstheme="minorHAnsi"/>
          <w:i/>
        </w:rPr>
        <w:t>una Concesión Minera;</w:t>
      </w:r>
      <w:r>
        <w:rPr>
          <w:rFonts w:cstheme="minorHAnsi"/>
        </w:rPr>
        <w:t xml:space="preserve">  o porque ya </w:t>
      </w:r>
      <w:r w:rsidR="00B51531">
        <w:rPr>
          <w:rFonts w:cstheme="minorHAnsi"/>
          <w:i/>
        </w:rPr>
        <w:t>Constaban en la Matriz de C</w:t>
      </w:r>
      <w:r w:rsidRPr="00B51531">
        <w:rPr>
          <w:rFonts w:cstheme="minorHAnsi"/>
          <w:i/>
        </w:rPr>
        <w:t>ambios 2016</w:t>
      </w:r>
      <w:r>
        <w:rPr>
          <w:rFonts w:cstheme="minorHAnsi"/>
        </w:rPr>
        <w:t>;  se  i</w:t>
      </w:r>
      <w:r w:rsidR="00DA413F">
        <w:rPr>
          <w:rFonts w:cstheme="minorHAnsi"/>
        </w:rPr>
        <w:t>ncluyen dentro de este grupo a 5</w:t>
      </w:r>
      <w:r>
        <w:rPr>
          <w:rFonts w:cstheme="minorHAnsi"/>
        </w:rPr>
        <w:t xml:space="preserve"> </w:t>
      </w:r>
      <w:r w:rsidR="00B51531">
        <w:rPr>
          <w:rFonts w:cstheme="minorHAnsi"/>
        </w:rPr>
        <w:t>A</w:t>
      </w:r>
      <w:r w:rsidR="00B51531">
        <w:rPr>
          <w:rFonts w:cstheme="minorHAnsi"/>
          <w:i/>
        </w:rPr>
        <w:t>justes C</w:t>
      </w:r>
      <w:r w:rsidRPr="00B51531">
        <w:rPr>
          <w:rFonts w:cstheme="minorHAnsi"/>
          <w:i/>
        </w:rPr>
        <w:t>artográficos</w:t>
      </w:r>
      <w:r>
        <w:rPr>
          <w:rFonts w:cstheme="minorHAnsi"/>
        </w:rPr>
        <w:t xml:space="preserve"> </w:t>
      </w:r>
      <w:r w:rsidR="00B51531">
        <w:rPr>
          <w:rFonts w:cstheme="minorHAnsi"/>
        </w:rPr>
        <w:t xml:space="preserve">y 1 cambio en </w:t>
      </w:r>
      <w:r w:rsidR="00B51531" w:rsidRPr="00B51531">
        <w:rPr>
          <w:rFonts w:cstheme="minorHAnsi"/>
          <w:i/>
        </w:rPr>
        <w:t>Z</w:t>
      </w:r>
      <w:r w:rsidRPr="00B51531">
        <w:rPr>
          <w:rFonts w:cstheme="minorHAnsi"/>
          <w:i/>
        </w:rPr>
        <w:t xml:space="preserve">ona de </w:t>
      </w:r>
      <w:r w:rsidR="00B51531">
        <w:rPr>
          <w:rFonts w:cstheme="minorHAnsi"/>
          <w:i/>
        </w:rPr>
        <w:t>R</w:t>
      </w:r>
      <w:r w:rsidRPr="00B51531">
        <w:rPr>
          <w:rFonts w:cstheme="minorHAnsi"/>
          <w:i/>
        </w:rPr>
        <w:t>iesgo</w:t>
      </w:r>
      <w:r>
        <w:rPr>
          <w:rFonts w:cstheme="minorHAnsi"/>
        </w:rPr>
        <w:t>, cuyos criterios fueron conocidos por la Comisión de Uso de Suelo durante las mesas de trabajo.</w:t>
      </w:r>
    </w:p>
    <w:p w:rsidR="00DD506D" w:rsidRDefault="00DD506D" w:rsidP="00D86EFC">
      <w:pPr>
        <w:spacing w:after="0" w:line="240" w:lineRule="auto"/>
        <w:jc w:val="both"/>
        <w:rPr>
          <w:rFonts w:cstheme="minorHAnsi"/>
        </w:rPr>
      </w:pPr>
      <w:r>
        <w:rPr>
          <w:rFonts w:cstheme="minorHAnsi"/>
        </w:rPr>
        <w:t xml:space="preserve"> </w:t>
      </w:r>
    </w:p>
    <w:p w:rsidR="00B51531" w:rsidRDefault="00DD506D" w:rsidP="00D86EFC">
      <w:pPr>
        <w:spacing w:after="0" w:line="240" w:lineRule="auto"/>
        <w:jc w:val="both"/>
        <w:rPr>
          <w:rFonts w:cstheme="minorHAnsi"/>
        </w:rPr>
      </w:pPr>
      <w:r>
        <w:rPr>
          <w:rFonts w:cstheme="minorHAnsi"/>
        </w:rPr>
        <w:t>Por otra parte, se determin</w:t>
      </w:r>
      <w:r w:rsidR="00B51531">
        <w:rPr>
          <w:rFonts w:cstheme="minorHAnsi"/>
        </w:rPr>
        <w:t xml:space="preserve">a que el </w:t>
      </w:r>
      <w:r w:rsidR="00C171E7">
        <w:rPr>
          <w:rFonts w:cstheme="minorHAnsi"/>
          <w:b/>
        </w:rPr>
        <w:t>14.</w:t>
      </w:r>
      <w:r w:rsidR="00842C2F">
        <w:rPr>
          <w:rFonts w:cstheme="minorHAnsi"/>
          <w:b/>
        </w:rPr>
        <w:t>4</w:t>
      </w:r>
      <w:r w:rsidR="00B51531" w:rsidRPr="00B51531">
        <w:rPr>
          <w:rFonts w:cstheme="minorHAnsi"/>
          <w:b/>
        </w:rPr>
        <w:t>% de los cambios (</w:t>
      </w:r>
      <w:r w:rsidR="00F56071">
        <w:rPr>
          <w:rFonts w:cstheme="minorHAnsi"/>
          <w:b/>
        </w:rPr>
        <w:t>5</w:t>
      </w:r>
      <w:r w:rsidR="00842C2F">
        <w:rPr>
          <w:rFonts w:cstheme="minorHAnsi"/>
          <w:b/>
        </w:rPr>
        <w:t>1</w:t>
      </w:r>
      <w:r w:rsidRPr="00B51531">
        <w:rPr>
          <w:rFonts w:cstheme="minorHAnsi"/>
          <w:b/>
        </w:rPr>
        <w:t xml:space="preserve"> casos), se efectúan por un error</w:t>
      </w:r>
      <w:r>
        <w:rPr>
          <w:rFonts w:cstheme="minorHAnsi"/>
        </w:rPr>
        <w:t xml:space="preserve">, ya sea debido </w:t>
      </w:r>
      <w:r w:rsidR="00B51531">
        <w:rPr>
          <w:rFonts w:cstheme="minorHAnsi"/>
        </w:rPr>
        <w:t xml:space="preserve">a  una </w:t>
      </w:r>
      <w:r w:rsidR="00B51531">
        <w:rPr>
          <w:rFonts w:cstheme="minorHAnsi"/>
          <w:i/>
        </w:rPr>
        <w:t>M</w:t>
      </w:r>
      <w:r w:rsidR="00B51531" w:rsidRPr="00B51531">
        <w:rPr>
          <w:rFonts w:cstheme="minorHAnsi"/>
          <w:i/>
        </w:rPr>
        <w:t xml:space="preserve">ala </w:t>
      </w:r>
      <w:r w:rsidR="00B51531">
        <w:rPr>
          <w:rFonts w:cstheme="minorHAnsi"/>
          <w:i/>
        </w:rPr>
        <w:t>A</w:t>
      </w:r>
      <w:r w:rsidR="00B51531" w:rsidRPr="00B51531">
        <w:rPr>
          <w:rFonts w:cstheme="minorHAnsi"/>
          <w:i/>
        </w:rPr>
        <w:t xml:space="preserve">signación de </w:t>
      </w:r>
      <w:r w:rsidR="00B51531">
        <w:rPr>
          <w:rFonts w:cstheme="minorHAnsi"/>
          <w:i/>
        </w:rPr>
        <w:t>D</w:t>
      </w:r>
      <w:r w:rsidR="00B51531" w:rsidRPr="00B51531">
        <w:rPr>
          <w:rFonts w:cstheme="minorHAnsi"/>
          <w:i/>
        </w:rPr>
        <w:t>atos</w:t>
      </w:r>
      <w:r w:rsidR="00C176C5">
        <w:rPr>
          <w:rFonts w:cstheme="minorHAnsi"/>
          <w:i/>
        </w:rPr>
        <w:t xml:space="preserve"> </w:t>
      </w:r>
      <w:r w:rsidR="00C176C5" w:rsidRPr="00C176C5">
        <w:rPr>
          <w:rFonts w:cstheme="minorHAnsi"/>
          <w:b/>
        </w:rPr>
        <w:t>(11 casos)</w:t>
      </w:r>
      <w:r w:rsidR="00B51531">
        <w:rPr>
          <w:rFonts w:cstheme="minorHAnsi"/>
        </w:rPr>
        <w:t xml:space="preserve"> por errores de </w:t>
      </w:r>
      <w:proofErr w:type="spellStart"/>
      <w:r w:rsidR="00B51531">
        <w:rPr>
          <w:rFonts w:cstheme="minorHAnsi"/>
        </w:rPr>
        <w:t>tipeo</w:t>
      </w:r>
      <w:proofErr w:type="spellEnd"/>
      <w:r w:rsidR="00B51531">
        <w:rPr>
          <w:rFonts w:cstheme="minorHAnsi"/>
        </w:rPr>
        <w:t xml:space="preserve">, información errónea de la zona cambiada; </w:t>
      </w:r>
      <w:proofErr w:type="spellStart"/>
      <w:r w:rsidR="00B51531">
        <w:rPr>
          <w:rFonts w:cstheme="minorHAnsi"/>
        </w:rPr>
        <w:t>ó</w:t>
      </w:r>
      <w:proofErr w:type="spellEnd"/>
      <w:r w:rsidR="00B51531">
        <w:rPr>
          <w:rFonts w:cstheme="minorHAnsi"/>
        </w:rPr>
        <w:t xml:space="preserve"> por una </w:t>
      </w:r>
      <w:r w:rsidR="00B51531">
        <w:rPr>
          <w:rFonts w:cstheme="minorHAnsi"/>
          <w:i/>
        </w:rPr>
        <w:t>Pérdida de D</w:t>
      </w:r>
      <w:r w:rsidR="00B51531" w:rsidRPr="00B51531">
        <w:rPr>
          <w:rFonts w:cstheme="minorHAnsi"/>
          <w:i/>
        </w:rPr>
        <w:t>atos</w:t>
      </w:r>
      <w:r w:rsidR="00A75CE5">
        <w:rPr>
          <w:rFonts w:cstheme="minorHAnsi"/>
          <w:i/>
        </w:rPr>
        <w:t xml:space="preserve"> </w:t>
      </w:r>
      <w:r w:rsidR="00C176C5" w:rsidRPr="00C176C5">
        <w:rPr>
          <w:rFonts w:cstheme="minorHAnsi"/>
          <w:b/>
        </w:rPr>
        <w:t>(40 casos)</w:t>
      </w:r>
      <w:r w:rsidR="00B51531">
        <w:rPr>
          <w:rFonts w:cstheme="minorHAnsi"/>
          <w:i/>
        </w:rPr>
        <w:t xml:space="preserve">, </w:t>
      </w:r>
      <w:r w:rsidR="00B51531">
        <w:rPr>
          <w:rFonts w:cstheme="minorHAnsi"/>
        </w:rPr>
        <w:t>que se produce al momento de la unificación de las 4 partes del PUOS, perdiéndose  asignaciones de datos que fueron otorgados por la DMGT, o la DMDU.</w:t>
      </w:r>
    </w:p>
    <w:p w:rsidR="00B51531" w:rsidRPr="00B51531" w:rsidRDefault="00B51531" w:rsidP="00D86EFC">
      <w:pPr>
        <w:spacing w:after="0" w:line="240" w:lineRule="auto"/>
        <w:jc w:val="both"/>
        <w:rPr>
          <w:rFonts w:cstheme="minorHAnsi"/>
        </w:rPr>
      </w:pPr>
    </w:p>
    <w:p w:rsidR="00DD506D" w:rsidRDefault="00B60109" w:rsidP="00D86EFC">
      <w:pPr>
        <w:spacing w:after="0" w:line="240" w:lineRule="auto"/>
        <w:jc w:val="both"/>
        <w:rPr>
          <w:rFonts w:cstheme="minorHAnsi"/>
        </w:rPr>
      </w:pPr>
      <w:r>
        <w:rPr>
          <w:rFonts w:cstheme="minorHAnsi"/>
        </w:rPr>
        <w:t xml:space="preserve">Adicionalmente, se establece que el  </w:t>
      </w:r>
      <w:r w:rsidR="00B91333">
        <w:rPr>
          <w:rFonts w:cstheme="minorHAnsi"/>
          <w:b/>
        </w:rPr>
        <w:t>48</w:t>
      </w:r>
      <w:r w:rsidR="00C171E7">
        <w:rPr>
          <w:rFonts w:cstheme="minorHAnsi"/>
          <w:b/>
        </w:rPr>
        <w:t xml:space="preserve"> % de l</w:t>
      </w:r>
      <w:r w:rsidR="00B91333">
        <w:rPr>
          <w:rFonts w:cstheme="minorHAnsi"/>
          <w:b/>
        </w:rPr>
        <w:t>os cambios (170</w:t>
      </w:r>
      <w:r w:rsidRPr="00B60109">
        <w:rPr>
          <w:rFonts w:cstheme="minorHAnsi"/>
          <w:b/>
        </w:rPr>
        <w:t xml:space="preserve"> casos), se realizan por un Criterio Técnico</w:t>
      </w:r>
      <w:r>
        <w:rPr>
          <w:rFonts w:cstheme="minorHAnsi"/>
        </w:rPr>
        <w:t xml:space="preserve"> de la Secretaría de Territorio, criterios que involucran variables como tamaño de lote, infraestructura, dotación de servicios, afectaciones especiales, áreas patrimoniales, retiros de construcción, coeficiente de ocupación, asentamientos humanos,  nuevos desarrollos,  actividades económicas, equipamientos, protecciones ecológicas, concesiones mineras.</w:t>
      </w:r>
      <w:r w:rsidR="00B132C3">
        <w:rPr>
          <w:rFonts w:cstheme="minorHAnsi"/>
        </w:rPr>
        <w:t xml:space="preserve"> El criterio técnico se realizó sobre un grupo de variables que verificables en territorio, y apoyado en los recursos informáticos disponibles en la STHV. El detalle del análisis por Criterio Técnico, se describe en el punto 2 de este informe.</w:t>
      </w:r>
    </w:p>
    <w:p w:rsidR="00B60109" w:rsidRDefault="00B60109" w:rsidP="00D86EFC">
      <w:pPr>
        <w:spacing w:after="0" w:line="240" w:lineRule="auto"/>
        <w:jc w:val="both"/>
        <w:rPr>
          <w:rFonts w:cstheme="minorHAnsi"/>
        </w:rPr>
      </w:pPr>
    </w:p>
    <w:p w:rsidR="00B60109" w:rsidRPr="00B51531" w:rsidRDefault="00B60109" w:rsidP="00D86EFC">
      <w:pPr>
        <w:spacing w:after="0" w:line="240" w:lineRule="auto"/>
        <w:jc w:val="both"/>
        <w:rPr>
          <w:rFonts w:ascii="Arial" w:hAnsi="Arial" w:cs="Arial"/>
          <w:lang w:eastAsia="ja-JP"/>
        </w:rPr>
      </w:pPr>
      <w:r>
        <w:rPr>
          <w:rFonts w:cstheme="minorHAnsi"/>
        </w:rPr>
        <w:t xml:space="preserve">Finalmente,  el análisis detecta un </w:t>
      </w:r>
      <w:r w:rsidR="009F391D">
        <w:rPr>
          <w:rFonts w:cstheme="minorHAnsi"/>
          <w:b/>
        </w:rPr>
        <w:t>9.</w:t>
      </w:r>
      <w:r w:rsidR="00B91333">
        <w:rPr>
          <w:rFonts w:cstheme="minorHAnsi"/>
          <w:b/>
        </w:rPr>
        <w:t>6% de cambios (34</w:t>
      </w:r>
      <w:r w:rsidRPr="00B60109">
        <w:rPr>
          <w:rFonts w:cstheme="minorHAnsi"/>
          <w:b/>
        </w:rPr>
        <w:t xml:space="preserve"> casos)</w:t>
      </w:r>
      <w:r>
        <w:rPr>
          <w:rFonts w:cstheme="minorHAnsi"/>
        </w:rPr>
        <w:t xml:space="preserve"> que se realizan sin un origen determinado.</w:t>
      </w:r>
    </w:p>
    <w:p w:rsidR="007C1F57" w:rsidRDefault="007C1F57" w:rsidP="00D86EFC">
      <w:pPr>
        <w:spacing w:after="0" w:line="240" w:lineRule="auto"/>
        <w:jc w:val="both"/>
        <w:rPr>
          <w:rFonts w:cstheme="minorHAnsi"/>
        </w:rPr>
      </w:pPr>
    </w:p>
    <w:p w:rsidR="000D2CF7" w:rsidRDefault="000D2CF7" w:rsidP="000D2CF7">
      <w:pPr>
        <w:pStyle w:val="Epgrafe"/>
        <w:jc w:val="center"/>
      </w:pPr>
      <w:r>
        <w:t xml:space="preserve">Tabla </w:t>
      </w:r>
      <w:r w:rsidR="000C0EAD">
        <w:fldChar w:fldCharType="begin"/>
      </w:r>
      <w:r w:rsidR="000C0EAD">
        <w:instrText xml:space="preserve"> SEQ Tabla \* ARABIC </w:instrText>
      </w:r>
      <w:r w:rsidR="000C0EAD">
        <w:fldChar w:fldCharType="separate"/>
      </w:r>
      <w:r w:rsidR="00CA401D">
        <w:rPr>
          <w:noProof/>
        </w:rPr>
        <w:t>6</w:t>
      </w:r>
      <w:r w:rsidR="000C0EAD">
        <w:rPr>
          <w:noProof/>
        </w:rPr>
        <w:fldChar w:fldCharType="end"/>
      </w:r>
      <w:r>
        <w:t xml:space="preserve">  Motivos de cambio agrupados</w:t>
      </w:r>
    </w:p>
    <w:tbl>
      <w:tblPr>
        <w:tblStyle w:val="Sombreadomedio1-nfasis1"/>
        <w:tblW w:w="8824" w:type="dxa"/>
        <w:tblLook w:val="04A0" w:firstRow="1" w:lastRow="0" w:firstColumn="1" w:lastColumn="0" w:noHBand="0" w:noVBand="1"/>
      </w:tblPr>
      <w:tblGrid>
        <w:gridCol w:w="2320"/>
        <w:gridCol w:w="4309"/>
        <w:gridCol w:w="992"/>
        <w:gridCol w:w="1203"/>
      </w:tblGrid>
      <w:tr w:rsidR="00431486" w:rsidRPr="00431486" w:rsidTr="001643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rsidR="00D762D1" w:rsidRPr="00DC4CF5" w:rsidRDefault="00D762D1" w:rsidP="00D762D1">
            <w:pPr>
              <w:jc w:val="center"/>
              <w:rPr>
                <w:rFonts w:ascii="Calibri" w:eastAsia="Times New Roman" w:hAnsi="Calibri" w:cs="Times New Roman"/>
                <w:sz w:val="20"/>
                <w:szCs w:val="20"/>
                <w:lang w:eastAsia="es-EC"/>
              </w:rPr>
            </w:pPr>
            <w:r w:rsidRPr="00DC4CF5">
              <w:rPr>
                <w:rFonts w:ascii="Calibri" w:eastAsia="Times New Roman" w:hAnsi="Calibri" w:cs="Times New Roman"/>
                <w:sz w:val="20"/>
                <w:szCs w:val="20"/>
                <w:lang w:eastAsia="es-EC"/>
              </w:rPr>
              <w:t>Motivo general</w:t>
            </w:r>
          </w:p>
        </w:tc>
        <w:tc>
          <w:tcPr>
            <w:tcW w:w="4309" w:type="dxa"/>
          </w:tcPr>
          <w:p w:rsidR="00D762D1" w:rsidRPr="00DC4CF5" w:rsidRDefault="00D762D1" w:rsidP="00D762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DC4CF5">
              <w:rPr>
                <w:rFonts w:ascii="Calibri" w:eastAsia="Times New Roman" w:hAnsi="Calibri" w:cs="Times New Roman"/>
                <w:sz w:val="20"/>
                <w:szCs w:val="20"/>
                <w:lang w:eastAsia="es-EC"/>
              </w:rPr>
              <w:t>Descripción</w:t>
            </w:r>
          </w:p>
        </w:tc>
        <w:tc>
          <w:tcPr>
            <w:tcW w:w="992" w:type="dxa"/>
            <w:noWrap/>
            <w:hideMark/>
          </w:tcPr>
          <w:p w:rsidR="00D762D1" w:rsidRPr="00DC4CF5" w:rsidRDefault="00D762D1" w:rsidP="00D762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DC4CF5">
              <w:rPr>
                <w:rFonts w:ascii="Calibri" w:eastAsia="Times New Roman" w:hAnsi="Calibri" w:cs="Times New Roman"/>
                <w:sz w:val="20"/>
                <w:szCs w:val="20"/>
                <w:lang w:eastAsia="es-EC"/>
              </w:rPr>
              <w:t>Nº cambios</w:t>
            </w:r>
          </w:p>
        </w:tc>
        <w:tc>
          <w:tcPr>
            <w:tcW w:w="1203" w:type="dxa"/>
            <w:noWrap/>
            <w:hideMark/>
          </w:tcPr>
          <w:p w:rsidR="00D762D1" w:rsidRPr="00DC4CF5" w:rsidRDefault="00D762D1" w:rsidP="00D762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DC4CF5">
              <w:rPr>
                <w:rFonts w:ascii="Calibri" w:eastAsia="Times New Roman" w:hAnsi="Calibri" w:cs="Times New Roman"/>
                <w:sz w:val="20"/>
                <w:szCs w:val="20"/>
                <w:lang w:eastAsia="es-EC"/>
              </w:rPr>
              <w:t>Porcentaje</w:t>
            </w:r>
          </w:p>
        </w:tc>
      </w:tr>
      <w:tr w:rsidR="00431486" w:rsidRPr="00431486"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rsidR="00D762D1" w:rsidRPr="00431486" w:rsidRDefault="00EC0151" w:rsidP="00D762D1">
            <w:pPr>
              <w:rPr>
                <w:rFonts w:ascii="Calibri" w:eastAsia="Times New Roman" w:hAnsi="Calibri" w:cs="Times New Roman"/>
                <w:color w:val="000000" w:themeColor="text1"/>
                <w:sz w:val="20"/>
                <w:szCs w:val="20"/>
                <w:lang w:eastAsia="es-EC"/>
              </w:rPr>
            </w:pPr>
            <w:r>
              <w:rPr>
                <w:rFonts w:ascii="Calibri" w:eastAsia="Times New Roman" w:hAnsi="Calibri" w:cs="Times New Roman"/>
                <w:color w:val="000000" w:themeColor="text1"/>
                <w:sz w:val="20"/>
                <w:szCs w:val="20"/>
                <w:lang w:eastAsia="es-EC"/>
              </w:rPr>
              <w:t>Con Justificativo</w:t>
            </w:r>
          </w:p>
        </w:tc>
        <w:tc>
          <w:tcPr>
            <w:tcW w:w="4309" w:type="dxa"/>
          </w:tcPr>
          <w:p w:rsidR="00D762D1" w:rsidRPr="00431486" w:rsidRDefault="00D762D1" w:rsidP="00DF7409">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Ordenanza, Derecho adquirido, asignación de datos, constantes en matriz 2016, Ajuste cartográfico, Zona de riesgo</w:t>
            </w:r>
          </w:p>
        </w:tc>
        <w:tc>
          <w:tcPr>
            <w:tcW w:w="992" w:type="dxa"/>
            <w:noWrap/>
            <w:hideMark/>
          </w:tcPr>
          <w:p w:rsidR="00D762D1" w:rsidRPr="00431486" w:rsidRDefault="00DA413F" w:rsidP="00D762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0"/>
                <w:szCs w:val="20"/>
                <w:lang w:eastAsia="es-EC"/>
              </w:rPr>
            </w:pPr>
            <w:r>
              <w:rPr>
                <w:rFonts w:ascii="Calibri" w:eastAsia="Times New Roman" w:hAnsi="Calibri" w:cs="Times New Roman"/>
                <w:color w:val="000000" w:themeColor="text1"/>
                <w:sz w:val="20"/>
                <w:szCs w:val="20"/>
                <w:lang w:eastAsia="es-EC"/>
              </w:rPr>
              <w:t>99</w:t>
            </w:r>
          </w:p>
        </w:tc>
        <w:tc>
          <w:tcPr>
            <w:tcW w:w="1203" w:type="dxa"/>
            <w:noWrap/>
            <w:hideMark/>
          </w:tcPr>
          <w:p w:rsidR="00D762D1" w:rsidRPr="00431486" w:rsidRDefault="00B91333" w:rsidP="00D762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0"/>
                <w:szCs w:val="20"/>
                <w:lang w:eastAsia="es-EC"/>
              </w:rPr>
            </w:pPr>
            <w:r>
              <w:rPr>
                <w:rFonts w:ascii="Calibri" w:eastAsia="Times New Roman" w:hAnsi="Calibri" w:cs="Times New Roman"/>
                <w:color w:val="000000" w:themeColor="text1"/>
                <w:sz w:val="20"/>
                <w:szCs w:val="20"/>
                <w:lang w:eastAsia="es-EC"/>
              </w:rPr>
              <w:t>28</w:t>
            </w:r>
            <w:r w:rsidR="00D762D1" w:rsidRPr="00431486">
              <w:rPr>
                <w:rFonts w:ascii="Calibri" w:eastAsia="Times New Roman" w:hAnsi="Calibri" w:cs="Times New Roman"/>
                <w:color w:val="000000" w:themeColor="text1"/>
                <w:sz w:val="20"/>
                <w:szCs w:val="20"/>
                <w:lang w:eastAsia="es-EC"/>
              </w:rPr>
              <w:t>%</w:t>
            </w:r>
          </w:p>
        </w:tc>
      </w:tr>
      <w:tr w:rsidR="00431486" w:rsidRPr="00431486"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rsidR="00D762D1" w:rsidRPr="00431486" w:rsidRDefault="00D762D1" w:rsidP="00D762D1">
            <w:pPr>
              <w:rPr>
                <w:rFonts w:ascii="Calibri" w:eastAsia="Times New Roman" w:hAnsi="Calibri" w:cs="Times New Roman"/>
                <w:color w:val="000000" w:themeColor="text1"/>
                <w:sz w:val="20"/>
                <w:szCs w:val="20"/>
                <w:lang w:eastAsia="es-EC"/>
              </w:rPr>
            </w:pPr>
            <w:r w:rsidRPr="00431486">
              <w:rPr>
                <w:rFonts w:ascii="Calibri" w:eastAsia="Times New Roman" w:hAnsi="Calibri" w:cs="Times New Roman"/>
                <w:color w:val="000000" w:themeColor="text1"/>
                <w:sz w:val="20"/>
                <w:szCs w:val="20"/>
                <w:lang w:eastAsia="es-EC"/>
              </w:rPr>
              <w:t>Errores</w:t>
            </w:r>
          </w:p>
        </w:tc>
        <w:tc>
          <w:tcPr>
            <w:tcW w:w="4309" w:type="dxa"/>
          </w:tcPr>
          <w:p w:rsidR="00D762D1" w:rsidRPr="00431486" w:rsidRDefault="00D762D1" w:rsidP="00DF7409">
            <w:pPr>
              <w:jc w:val="both"/>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 xml:space="preserve">Errores de </w:t>
            </w:r>
            <w:proofErr w:type="spellStart"/>
            <w:r w:rsidRPr="00431486">
              <w:rPr>
                <w:rFonts w:cstheme="minorHAnsi"/>
                <w:color w:val="000000" w:themeColor="text1"/>
                <w:sz w:val="20"/>
                <w:szCs w:val="20"/>
              </w:rPr>
              <w:t>tipeo</w:t>
            </w:r>
            <w:proofErr w:type="spellEnd"/>
            <w:r w:rsidRPr="00431486">
              <w:rPr>
                <w:rFonts w:cstheme="minorHAnsi"/>
                <w:color w:val="000000" w:themeColor="text1"/>
                <w:sz w:val="20"/>
                <w:szCs w:val="20"/>
              </w:rPr>
              <w:t>, información errónea de la zona de estudio</w:t>
            </w:r>
          </w:p>
        </w:tc>
        <w:tc>
          <w:tcPr>
            <w:tcW w:w="992" w:type="dxa"/>
            <w:noWrap/>
            <w:hideMark/>
          </w:tcPr>
          <w:p w:rsidR="00D762D1" w:rsidRPr="00431486" w:rsidRDefault="009F391D" w:rsidP="005855A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themeColor="text1"/>
                <w:sz w:val="20"/>
                <w:szCs w:val="20"/>
                <w:lang w:eastAsia="es-EC"/>
              </w:rPr>
            </w:pPr>
            <w:r w:rsidRPr="00431486">
              <w:rPr>
                <w:rFonts w:ascii="Calibri" w:eastAsia="Times New Roman" w:hAnsi="Calibri" w:cs="Times New Roman"/>
                <w:color w:val="000000" w:themeColor="text1"/>
                <w:sz w:val="20"/>
                <w:szCs w:val="20"/>
                <w:lang w:eastAsia="es-EC"/>
              </w:rPr>
              <w:t>5</w:t>
            </w:r>
            <w:r w:rsidR="005855A1">
              <w:rPr>
                <w:rFonts w:ascii="Calibri" w:eastAsia="Times New Roman" w:hAnsi="Calibri" w:cs="Times New Roman"/>
                <w:color w:val="000000" w:themeColor="text1"/>
                <w:sz w:val="20"/>
                <w:szCs w:val="20"/>
                <w:lang w:eastAsia="es-EC"/>
              </w:rPr>
              <w:t>1</w:t>
            </w:r>
          </w:p>
        </w:tc>
        <w:tc>
          <w:tcPr>
            <w:tcW w:w="1203" w:type="dxa"/>
            <w:noWrap/>
            <w:hideMark/>
          </w:tcPr>
          <w:p w:rsidR="00D762D1" w:rsidRPr="00431486" w:rsidRDefault="00C171E7" w:rsidP="005855A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themeColor="text1"/>
                <w:sz w:val="20"/>
                <w:szCs w:val="20"/>
                <w:lang w:eastAsia="es-EC"/>
              </w:rPr>
            </w:pPr>
            <w:r w:rsidRPr="00431486">
              <w:rPr>
                <w:rFonts w:ascii="Calibri" w:eastAsia="Times New Roman" w:hAnsi="Calibri" w:cs="Times New Roman"/>
                <w:color w:val="000000" w:themeColor="text1"/>
                <w:sz w:val="20"/>
                <w:szCs w:val="20"/>
                <w:lang w:eastAsia="es-EC"/>
              </w:rPr>
              <w:t>14,</w:t>
            </w:r>
            <w:r w:rsidR="005855A1">
              <w:rPr>
                <w:rFonts w:ascii="Calibri" w:eastAsia="Times New Roman" w:hAnsi="Calibri" w:cs="Times New Roman"/>
                <w:color w:val="000000" w:themeColor="text1"/>
                <w:sz w:val="20"/>
                <w:szCs w:val="20"/>
                <w:lang w:eastAsia="es-EC"/>
              </w:rPr>
              <w:t>4</w:t>
            </w:r>
            <w:r w:rsidR="00D762D1" w:rsidRPr="00431486">
              <w:rPr>
                <w:rFonts w:ascii="Calibri" w:eastAsia="Times New Roman" w:hAnsi="Calibri" w:cs="Times New Roman"/>
                <w:color w:val="000000" w:themeColor="text1"/>
                <w:sz w:val="20"/>
                <w:szCs w:val="20"/>
                <w:lang w:eastAsia="es-EC"/>
              </w:rPr>
              <w:t>%</w:t>
            </w:r>
          </w:p>
        </w:tc>
      </w:tr>
      <w:tr w:rsidR="00431486" w:rsidRPr="00431486"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rsidR="00D762D1" w:rsidRPr="00431486" w:rsidRDefault="00D762D1" w:rsidP="00D762D1">
            <w:pPr>
              <w:rPr>
                <w:rFonts w:ascii="Calibri" w:eastAsia="Times New Roman" w:hAnsi="Calibri" w:cs="Times New Roman"/>
                <w:color w:val="000000" w:themeColor="text1"/>
                <w:sz w:val="20"/>
                <w:szCs w:val="20"/>
                <w:lang w:eastAsia="es-EC"/>
              </w:rPr>
            </w:pPr>
            <w:r w:rsidRPr="00431486">
              <w:rPr>
                <w:rFonts w:ascii="Calibri" w:eastAsia="Times New Roman" w:hAnsi="Calibri" w:cs="Times New Roman"/>
                <w:color w:val="000000" w:themeColor="text1"/>
                <w:sz w:val="20"/>
                <w:szCs w:val="20"/>
                <w:lang w:eastAsia="es-EC"/>
              </w:rPr>
              <w:t>Criterio Técnico</w:t>
            </w:r>
          </w:p>
        </w:tc>
        <w:tc>
          <w:tcPr>
            <w:tcW w:w="4309" w:type="dxa"/>
          </w:tcPr>
          <w:p w:rsidR="00D762D1" w:rsidRPr="00431486" w:rsidRDefault="00D762D1" w:rsidP="00DF7409">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Consolidación, Nuevos desarrollos, actividades económicas. Protecciones Ecológicas, Concesiones Mineras</w:t>
            </w:r>
          </w:p>
        </w:tc>
        <w:tc>
          <w:tcPr>
            <w:tcW w:w="992" w:type="dxa"/>
            <w:noWrap/>
            <w:hideMark/>
          </w:tcPr>
          <w:p w:rsidR="00D762D1" w:rsidRPr="00431486" w:rsidRDefault="00B91333" w:rsidP="00D762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0"/>
                <w:szCs w:val="20"/>
                <w:lang w:eastAsia="es-EC"/>
              </w:rPr>
            </w:pPr>
            <w:r>
              <w:rPr>
                <w:rFonts w:ascii="Calibri" w:eastAsia="Times New Roman" w:hAnsi="Calibri" w:cs="Times New Roman"/>
                <w:color w:val="000000" w:themeColor="text1"/>
                <w:sz w:val="20"/>
                <w:szCs w:val="20"/>
                <w:lang w:eastAsia="es-EC"/>
              </w:rPr>
              <w:t>170</w:t>
            </w:r>
          </w:p>
        </w:tc>
        <w:tc>
          <w:tcPr>
            <w:tcW w:w="1203" w:type="dxa"/>
            <w:noWrap/>
            <w:hideMark/>
          </w:tcPr>
          <w:p w:rsidR="00D762D1" w:rsidRPr="00431486" w:rsidRDefault="00B91333" w:rsidP="00C171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0"/>
                <w:szCs w:val="20"/>
                <w:lang w:eastAsia="es-EC"/>
              </w:rPr>
            </w:pPr>
            <w:r>
              <w:rPr>
                <w:rFonts w:ascii="Calibri" w:eastAsia="Times New Roman" w:hAnsi="Calibri" w:cs="Times New Roman"/>
                <w:color w:val="000000" w:themeColor="text1"/>
                <w:sz w:val="20"/>
                <w:szCs w:val="20"/>
                <w:lang w:eastAsia="es-EC"/>
              </w:rPr>
              <w:t>48</w:t>
            </w:r>
            <w:r w:rsidR="00D762D1" w:rsidRPr="00431486">
              <w:rPr>
                <w:rFonts w:ascii="Calibri" w:eastAsia="Times New Roman" w:hAnsi="Calibri" w:cs="Times New Roman"/>
                <w:color w:val="000000" w:themeColor="text1"/>
                <w:sz w:val="20"/>
                <w:szCs w:val="20"/>
                <w:lang w:eastAsia="es-EC"/>
              </w:rPr>
              <w:t>%</w:t>
            </w:r>
          </w:p>
        </w:tc>
      </w:tr>
      <w:tr w:rsidR="00431486" w:rsidRPr="00431486"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noWrap/>
            <w:hideMark/>
          </w:tcPr>
          <w:p w:rsidR="00D762D1" w:rsidRPr="00431486" w:rsidRDefault="00D762D1" w:rsidP="00D762D1">
            <w:pPr>
              <w:rPr>
                <w:rFonts w:ascii="Calibri" w:eastAsia="Times New Roman" w:hAnsi="Calibri" w:cs="Times New Roman"/>
                <w:color w:val="000000" w:themeColor="text1"/>
                <w:sz w:val="20"/>
                <w:szCs w:val="20"/>
                <w:lang w:eastAsia="es-EC"/>
              </w:rPr>
            </w:pPr>
            <w:r w:rsidRPr="00431486">
              <w:rPr>
                <w:rFonts w:ascii="Calibri" w:eastAsia="Times New Roman" w:hAnsi="Calibri" w:cs="Times New Roman"/>
                <w:color w:val="000000" w:themeColor="text1"/>
                <w:sz w:val="20"/>
                <w:szCs w:val="20"/>
                <w:lang w:eastAsia="es-EC"/>
              </w:rPr>
              <w:t>Origen no determinado</w:t>
            </w:r>
          </w:p>
        </w:tc>
        <w:tc>
          <w:tcPr>
            <w:tcW w:w="4309" w:type="dxa"/>
          </w:tcPr>
          <w:p w:rsidR="00D762D1" w:rsidRPr="00431486" w:rsidRDefault="00D762D1" w:rsidP="00DF7409">
            <w:pPr>
              <w:jc w:val="both"/>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0"/>
                <w:szCs w:val="20"/>
              </w:rPr>
            </w:pPr>
            <w:r w:rsidRPr="00431486">
              <w:rPr>
                <w:rFonts w:cstheme="minorHAnsi"/>
                <w:color w:val="000000" w:themeColor="text1"/>
                <w:sz w:val="20"/>
                <w:szCs w:val="20"/>
              </w:rPr>
              <w:t>No responde a ninguno de los criterios anteriormente descritos.</w:t>
            </w:r>
          </w:p>
        </w:tc>
        <w:tc>
          <w:tcPr>
            <w:tcW w:w="992" w:type="dxa"/>
            <w:noWrap/>
            <w:hideMark/>
          </w:tcPr>
          <w:p w:rsidR="00D762D1" w:rsidRPr="00431486" w:rsidRDefault="00B91333" w:rsidP="00D762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themeColor="text1"/>
                <w:sz w:val="20"/>
                <w:szCs w:val="20"/>
                <w:lang w:eastAsia="es-EC"/>
              </w:rPr>
            </w:pPr>
            <w:r>
              <w:rPr>
                <w:rFonts w:ascii="Calibri" w:eastAsia="Times New Roman" w:hAnsi="Calibri" w:cs="Times New Roman"/>
                <w:color w:val="000000" w:themeColor="text1"/>
                <w:sz w:val="20"/>
                <w:szCs w:val="20"/>
                <w:lang w:eastAsia="es-EC"/>
              </w:rPr>
              <w:t>34</w:t>
            </w:r>
          </w:p>
        </w:tc>
        <w:tc>
          <w:tcPr>
            <w:tcW w:w="1203" w:type="dxa"/>
            <w:noWrap/>
            <w:hideMark/>
          </w:tcPr>
          <w:p w:rsidR="00D762D1" w:rsidRPr="00431486" w:rsidRDefault="009F391D" w:rsidP="00B9133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themeColor="text1"/>
                <w:sz w:val="20"/>
                <w:szCs w:val="20"/>
                <w:lang w:eastAsia="es-EC"/>
              </w:rPr>
            </w:pPr>
            <w:r w:rsidRPr="00431486">
              <w:rPr>
                <w:rFonts w:ascii="Calibri" w:eastAsia="Times New Roman" w:hAnsi="Calibri" w:cs="Times New Roman"/>
                <w:color w:val="000000" w:themeColor="text1"/>
                <w:sz w:val="20"/>
                <w:szCs w:val="20"/>
                <w:lang w:eastAsia="es-EC"/>
              </w:rPr>
              <w:t>9,</w:t>
            </w:r>
            <w:r w:rsidR="00B91333">
              <w:rPr>
                <w:rFonts w:ascii="Calibri" w:eastAsia="Times New Roman" w:hAnsi="Calibri" w:cs="Times New Roman"/>
                <w:color w:val="000000" w:themeColor="text1"/>
                <w:sz w:val="20"/>
                <w:szCs w:val="20"/>
                <w:lang w:eastAsia="es-EC"/>
              </w:rPr>
              <w:t>6</w:t>
            </w:r>
            <w:r w:rsidR="00D762D1" w:rsidRPr="00431486">
              <w:rPr>
                <w:rFonts w:ascii="Calibri" w:eastAsia="Times New Roman" w:hAnsi="Calibri" w:cs="Times New Roman"/>
                <w:color w:val="000000" w:themeColor="text1"/>
                <w:sz w:val="20"/>
                <w:szCs w:val="20"/>
                <w:lang w:eastAsia="es-EC"/>
              </w:rPr>
              <w:t>%</w:t>
            </w:r>
          </w:p>
        </w:tc>
      </w:tr>
    </w:tbl>
    <w:p w:rsidR="000D2CF7" w:rsidRPr="002319A1" w:rsidRDefault="000D2CF7" w:rsidP="00BB02DF">
      <w:pPr>
        <w:spacing w:after="0" w:line="240" w:lineRule="auto"/>
        <w:ind w:firstLine="708"/>
        <w:jc w:val="both"/>
        <w:rPr>
          <w:rFonts w:cstheme="minorHAnsi"/>
          <w:sz w:val="18"/>
          <w:szCs w:val="18"/>
          <w:lang w:val="es-ES" w:eastAsia="es-ES"/>
        </w:rPr>
      </w:pPr>
      <w:r w:rsidRPr="002319A1">
        <w:rPr>
          <w:rFonts w:cstheme="minorHAnsi"/>
          <w:sz w:val="18"/>
          <w:szCs w:val="18"/>
          <w:lang w:val="es-ES" w:eastAsia="es-ES"/>
        </w:rPr>
        <w:t>Elaboración: STHV</w:t>
      </w:r>
    </w:p>
    <w:p w:rsidR="00B60109" w:rsidRDefault="00B60109" w:rsidP="00D86EFC">
      <w:pPr>
        <w:spacing w:after="0" w:line="240" w:lineRule="auto"/>
        <w:jc w:val="both"/>
        <w:rPr>
          <w:rFonts w:cstheme="minorHAnsi"/>
        </w:rPr>
      </w:pPr>
    </w:p>
    <w:p w:rsidR="0016437C" w:rsidRDefault="0016437C" w:rsidP="00D86EFC">
      <w:pPr>
        <w:spacing w:after="0" w:line="240" w:lineRule="auto"/>
        <w:jc w:val="both"/>
        <w:rPr>
          <w:rFonts w:cstheme="minorHAnsi"/>
        </w:rPr>
      </w:pPr>
    </w:p>
    <w:p w:rsidR="00E63F9D" w:rsidRDefault="00891293" w:rsidP="00E63F9D">
      <w:pPr>
        <w:pStyle w:val="Epgrafe"/>
        <w:jc w:val="center"/>
        <w:rPr>
          <w:rFonts w:cstheme="minorHAnsi"/>
          <w:lang w:val="es-ES" w:eastAsia="es-ES"/>
        </w:rPr>
      </w:pPr>
      <w:r>
        <w:lastRenderedPageBreak/>
        <w:t xml:space="preserve">Gráfico </w:t>
      </w:r>
      <w:r w:rsidR="000C0EAD">
        <w:fldChar w:fldCharType="begin"/>
      </w:r>
      <w:r w:rsidR="000C0EAD">
        <w:instrText xml:space="preserve"> SEQ Gráfico \* ARABIC </w:instrText>
      </w:r>
      <w:r w:rsidR="000C0EAD">
        <w:fldChar w:fldCharType="separate"/>
      </w:r>
      <w:r w:rsidR="00CA401D">
        <w:rPr>
          <w:noProof/>
        </w:rPr>
        <w:t>2</w:t>
      </w:r>
      <w:r w:rsidR="000C0EAD">
        <w:rPr>
          <w:noProof/>
        </w:rPr>
        <w:fldChar w:fldCharType="end"/>
      </w:r>
      <w:r>
        <w:t xml:space="preserve">  Motivos de cambio agrupados</w:t>
      </w:r>
      <w:r w:rsidR="00E63F9D">
        <w:rPr>
          <w:noProof/>
          <w:lang w:eastAsia="es-EC"/>
        </w:rPr>
        <w:drawing>
          <wp:inline distT="0" distB="0" distL="0" distR="0" wp14:anchorId="2555E0C2" wp14:editId="0856BA8B">
            <wp:extent cx="3752603" cy="2553195"/>
            <wp:effectExtent l="0" t="0" r="5778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1293" w:rsidRPr="002319A1" w:rsidRDefault="00891293" w:rsidP="00891293">
      <w:pPr>
        <w:spacing w:after="0" w:line="240" w:lineRule="auto"/>
        <w:ind w:firstLine="708"/>
        <w:jc w:val="both"/>
        <w:rPr>
          <w:rFonts w:cstheme="minorHAnsi"/>
          <w:sz w:val="18"/>
          <w:szCs w:val="18"/>
          <w:lang w:val="es-ES" w:eastAsia="es-ES"/>
        </w:rPr>
      </w:pPr>
      <w:r w:rsidRPr="002319A1">
        <w:rPr>
          <w:rFonts w:cstheme="minorHAnsi"/>
          <w:sz w:val="18"/>
          <w:szCs w:val="18"/>
          <w:lang w:val="es-ES" w:eastAsia="es-ES"/>
        </w:rPr>
        <w:t>Elaboración: STHV</w:t>
      </w:r>
    </w:p>
    <w:p w:rsidR="00891293" w:rsidRDefault="00891293" w:rsidP="00D86EFC">
      <w:pPr>
        <w:spacing w:after="0" w:line="240" w:lineRule="auto"/>
        <w:jc w:val="both"/>
        <w:rPr>
          <w:rFonts w:cstheme="minorHAnsi"/>
        </w:rPr>
      </w:pPr>
    </w:p>
    <w:p w:rsidR="00EC0151" w:rsidRDefault="00AA375F" w:rsidP="00D86EFC">
      <w:pPr>
        <w:spacing w:after="0" w:line="240" w:lineRule="auto"/>
        <w:jc w:val="both"/>
        <w:rPr>
          <w:rFonts w:cstheme="minorHAnsi"/>
        </w:rPr>
      </w:pPr>
      <w:r>
        <w:rPr>
          <w:rFonts w:cstheme="minorHAnsi"/>
        </w:rPr>
        <w:t>Por otra parte, al analizar la temporalidad de los cambios y sus motivos</w:t>
      </w:r>
      <w:r w:rsidR="00EC0151">
        <w:rPr>
          <w:rFonts w:cstheme="minorHAnsi"/>
        </w:rPr>
        <w:t>,</w:t>
      </w:r>
      <w:r>
        <w:rPr>
          <w:rFonts w:cstheme="minorHAnsi"/>
        </w:rPr>
        <w:t xml:space="preserve"> se evidenció</w:t>
      </w:r>
      <w:r w:rsidR="00000F6A" w:rsidRPr="007C4228">
        <w:rPr>
          <w:rFonts w:cstheme="minorHAnsi"/>
        </w:rPr>
        <w:t xml:space="preserve"> que </w:t>
      </w:r>
      <w:r>
        <w:rPr>
          <w:rFonts w:cstheme="minorHAnsi"/>
        </w:rPr>
        <w:t>120</w:t>
      </w:r>
      <w:r w:rsidR="00E75B12" w:rsidRPr="007C4228">
        <w:rPr>
          <w:rFonts w:cstheme="minorHAnsi"/>
        </w:rPr>
        <w:t xml:space="preserve"> cambios </w:t>
      </w:r>
      <w:r w:rsidR="005F1FBB">
        <w:rPr>
          <w:rFonts w:cstheme="minorHAnsi"/>
        </w:rPr>
        <w:t xml:space="preserve">(33.9%) </w:t>
      </w:r>
      <w:r w:rsidR="00EC0151">
        <w:rPr>
          <w:rFonts w:cstheme="minorHAnsi"/>
        </w:rPr>
        <w:t xml:space="preserve">que se realizaron mediante un Criterio Técnico, se efectuaron entre el </w:t>
      </w:r>
      <w:r w:rsidR="00EC0151" w:rsidRPr="00326CD6">
        <w:rPr>
          <w:rFonts w:cstheme="minorHAnsi"/>
          <w:b/>
        </w:rPr>
        <w:t>Período 1 y 2</w:t>
      </w:r>
      <w:r w:rsidR="00EC0151">
        <w:rPr>
          <w:rFonts w:cstheme="minorHAnsi"/>
        </w:rPr>
        <w:t xml:space="preserve"> de la actualización del PUOS, esto es, desde la puesta en vigencia de la Ordenanza 041, y febrero del 2016, cuando se unifican las 4</w:t>
      </w:r>
      <w:r w:rsidR="005F1FBB">
        <w:rPr>
          <w:rFonts w:cstheme="minorHAnsi"/>
        </w:rPr>
        <w:t xml:space="preserve"> partes del PUOS. En este mismo período, se identifican </w:t>
      </w:r>
      <w:r w:rsidR="00326CD6">
        <w:rPr>
          <w:rFonts w:cstheme="minorHAnsi"/>
        </w:rPr>
        <w:t xml:space="preserve">36 ajustes (10.1%)  que se realizan a la Ordenanza 041, amparados en la Ord. 172, que se pierden por efecto la unificación del PUOS, así mismo se identifican </w:t>
      </w:r>
      <w:r w:rsidR="005F1FBB">
        <w:rPr>
          <w:rFonts w:cstheme="minorHAnsi"/>
        </w:rPr>
        <w:t>24 cambios (6.8%) que se efectuaron sin un origen determinado</w:t>
      </w:r>
      <w:r w:rsidR="00326CD6">
        <w:rPr>
          <w:rFonts w:cstheme="minorHAnsi"/>
        </w:rPr>
        <w:t>; y 24 cambios (6.8%) que se efectúa</w:t>
      </w:r>
      <w:r w:rsidR="00D252F2">
        <w:rPr>
          <w:rFonts w:cstheme="minorHAnsi"/>
        </w:rPr>
        <w:t>n por una Ordenanza.</w:t>
      </w:r>
    </w:p>
    <w:p w:rsidR="005F1FBB" w:rsidRDefault="005F1FBB" w:rsidP="00D86EFC">
      <w:pPr>
        <w:spacing w:after="0" w:line="240" w:lineRule="auto"/>
        <w:jc w:val="both"/>
        <w:rPr>
          <w:rFonts w:cstheme="minorHAnsi"/>
        </w:rPr>
      </w:pPr>
    </w:p>
    <w:p w:rsidR="005F1FBB" w:rsidRDefault="00D252F2" w:rsidP="00D86EFC">
      <w:pPr>
        <w:spacing w:after="0" w:line="240" w:lineRule="auto"/>
        <w:jc w:val="both"/>
        <w:rPr>
          <w:rFonts w:cstheme="minorHAnsi"/>
        </w:rPr>
      </w:pPr>
      <w:r>
        <w:rPr>
          <w:rFonts w:cstheme="minorHAnsi"/>
        </w:rPr>
        <w:t xml:space="preserve">Por otra parte, se establece que en el </w:t>
      </w:r>
      <w:r w:rsidRPr="00D252F2">
        <w:rPr>
          <w:rFonts w:cstheme="minorHAnsi"/>
          <w:b/>
        </w:rPr>
        <w:t>Período 3,</w:t>
      </w:r>
      <w:r>
        <w:rPr>
          <w:rFonts w:cstheme="minorHAnsi"/>
        </w:rPr>
        <w:t xml:space="preserve"> es decir entre la unificación de las 4 partes del PUOS y la sanción de la Ord. 127, se realizan 44 cambios (12.4%) bajo criterio técnico, 38 cambios (10.7%)  por Ordenanza; 6 cambios (1.7%) con un origen no determinado: y 3 cambios que se realizan a la Ordenanza 041, amparados en la Ord. 172, que no se cargan en la Ordenanza 127.</w:t>
      </w:r>
    </w:p>
    <w:p w:rsidR="00D252F2" w:rsidRDefault="00D252F2" w:rsidP="00D86EFC">
      <w:pPr>
        <w:spacing w:after="0" w:line="240" w:lineRule="auto"/>
        <w:jc w:val="both"/>
        <w:rPr>
          <w:rFonts w:cstheme="minorHAnsi"/>
        </w:rPr>
      </w:pPr>
    </w:p>
    <w:p w:rsidR="00D252F2" w:rsidRPr="007A5117" w:rsidRDefault="00D252F2" w:rsidP="00D86EFC">
      <w:pPr>
        <w:spacing w:after="0" w:line="240" w:lineRule="auto"/>
        <w:jc w:val="both"/>
        <w:rPr>
          <w:rFonts w:ascii="Arial" w:hAnsi="Arial" w:cs="Arial"/>
        </w:rPr>
      </w:pPr>
      <w:r>
        <w:rPr>
          <w:rFonts w:cstheme="minorHAnsi"/>
        </w:rPr>
        <w:t xml:space="preserve">Finalmente </w:t>
      </w:r>
      <w:r w:rsidR="007A5117">
        <w:rPr>
          <w:rFonts w:cstheme="minorHAnsi"/>
        </w:rPr>
        <w:t xml:space="preserve">en el </w:t>
      </w:r>
      <w:r w:rsidR="007A5117" w:rsidRPr="007A5117">
        <w:rPr>
          <w:rFonts w:cstheme="minorHAnsi"/>
          <w:b/>
        </w:rPr>
        <w:t>Período 4</w:t>
      </w:r>
      <w:r w:rsidR="007A5117">
        <w:rPr>
          <w:rFonts w:cstheme="minorHAnsi"/>
        </w:rPr>
        <w:t>, es decir posterior a la sanción de la Ordenanza 127, se realizan 6 cambios (1.7%) con criterio técnico, 7 (2%) por Ordenanza y 4 con origen no determinado.</w:t>
      </w:r>
    </w:p>
    <w:p w:rsidR="00D252F2" w:rsidRDefault="00D252F2" w:rsidP="00D86EFC">
      <w:pPr>
        <w:spacing w:after="0" w:line="240" w:lineRule="auto"/>
        <w:jc w:val="both"/>
        <w:rPr>
          <w:rFonts w:cstheme="minorHAnsi"/>
        </w:rPr>
      </w:pPr>
    </w:p>
    <w:p w:rsidR="00527CB7" w:rsidRDefault="00527CB7" w:rsidP="00527CB7">
      <w:pPr>
        <w:pStyle w:val="Epgrafe"/>
        <w:jc w:val="center"/>
      </w:pPr>
      <w:r w:rsidRPr="007C4228">
        <w:t xml:space="preserve">Tabla </w:t>
      </w:r>
      <w:r w:rsidR="000C0EAD">
        <w:fldChar w:fldCharType="begin"/>
      </w:r>
      <w:r w:rsidR="000C0EAD">
        <w:instrText xml:space="preserve"> SEQ Tabla \* ARABIC </w:instrText>
      </w:r>
      <w:r w:rsidR="000C0EAD">
        <w:fldChar w:fldCharType="separate"/>
      </w:r>
      <w:r w:rsidR="00CA401D">
        <w:rPr>
          <w:noProof/>
        </w:rPr>
        <w:t>7</w:t>
      </w:r>
      <w:r w:rsidR="000C0EAD">
        <w:rPr>
          <w:noProof/>
        </w:rPr>
        <w:fldChar w:fldCharType="end"/>
      </w:r>
      <w:r w:rsidRPr="007C4228">
        <w:t xml:space="preserve">  Motivos de cambio </w:t>
      </w:r>
      <w:r w:rsidR="00E275A3">
        <w:t>por período</w:t>
      </w:r>
    </w:p>
    <w:tbl>
      <w:tblPr>
        <w:tblStyle w:val="Tabladecuadrcula4-nfasis11"/>
        <w:tblW w:w="8862" w:type="dxa"/>
        <w:tblLook w:val="04A0" w:firstRow="1" w:lastRow="0" w:firstColumn="1" w:lastColumn="0" w:noHBand="0" w:noVBand="1"/>
      </w:tblPr>
      <w:tblGrid>
        <w:gridCol w:w="1632"/>
        <w:gridCol w:w="959"/>
        <w:gridCol w:w="770"/>
        <w:gridCol w:w="965"/>
        <w:gridCol w:w="768"/>
        <w:gridCol w:w="959"/>
        <w:gridCol w:w="850"/>
        <w:gridCol w:w="993"/>
        <w:gridCol w:w="966"/>
      </w:tblGrid>
      <w:tr w:rsidR="00F6228A" w:rsidRPr="00A615CE" w:rsidTr="00DC4CF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vMerge w:val="restart"/>
            <w:noWrap/>
          </w:tcPr>
          <w:p w:rsidR="00F6228A" w:rsidRPr="00A615CE" w:rsidRDefault="00F6228A" w:rsidP="00F6228A">
            <w:pPr>
              <w:jc w:val="center"/>
              <w:rPr>
                <w:rFonts w:ascii="Calibri" w:eastAsia="Times New Roman" w:hAnsi="Calibri" w:cs="Calibri"/>
                <w:sz w:val="20"/>
                <w:szCs w:val="20"/>
                <w:lang w:eastAsia="es-EC"/>
              </w:rPr>
            </w:pPr>
            <w:r w:rsidRPr="00A615CE">
              <w:rPr>
                <w:rFonts w:ascii="Calibri" w:eastAsia="Times New Roman" w:hAnsi="Calibri" w:cs="Calibri"/>
                <w:sz w:val="20"/>
                <w:szCs w:val="20"/>
                <w:lang w:eastAsia="es-EC"/>
              </w:rPr>
              <w:t>Motivo</w:t>
            </w:r>
          </w:p>
        </w:tc>
        <w:tc>
          <w:tcPr>
            <w:tcW w:w="1729" w:type="dxa"/>
            <w:gridSpan w:val="2"/>
            <w:noWrap/>
          </w:tcPr>
          <w:p w:rsidR="00F6228A" w:rsidRPr="00A615CE" w:rsidRDefault="00F6228A" w:rsidP="00F62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C"/>
              </w:rPr>
            </w:pPr>
            <w:r w:rsidRPr="00A615CE">
              <w:rPr>
                <w:rFonts w:ascii="Calibri" w:eastAsia="Times New Roman" w:hAnsi="Calibri" w:cs="Calibri"/>
                <w:sz w:val="20"/>
                <w:szCs w:val="20"/>
                <w:lang w:eastAsia="es-EC"/>
              </w:rPr>
              <w:t>Período 1</w:t>
            </w:r>
          </w:p>
        </w:tc>
        <w:tc>
          <w:tcPr>
            <w:tcW w:w="1733" w:type="dxa"/>
            <w:gridSpan w:val="2"/>
            <w:noWrap/>
          </w:tcPr>
          <w:p w:rsidR="00F6228A" w:rsidRPr="00A615CE" w:rsidRDefault="00F6228A" w:rsidP="00F62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C"/>
              </w:rPr>
            </w:pPr>
            <w:r w:rsidRPr="00A615CE">
              <w:rPr>
                <w:rFonts w:ascii="Calibri" w:eastAsia="Times New Roman" w:hAnsi="Calibri" w:cs="Calibri"/>
                <w:sz w:val="20"/>
                <w:szCs w:val="20"/>
                <w:lang w:eastAsia="es-EC"/>
              </w:rPr>
              <w:t>Período 2</w:t>
            </w:r>
          </w:p>
        </w:tc>
        <w:tc>
          <w:tcPr>
            <w:tcW w:w="1809" w:type="dxa"/>
            <w:gridSpan w:val="2"/>
            <w:noWrap/>
          </w:tcPr>
          <w:p w:rsidR="00F6228A" w:rsidRPr="00A615CE" w:rsidRDefault="00F6228A" w:rsidP="00F62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es-EC"/>
              </w:rPr>
            </w:pPr>
            <w:r w:rsidRPr="00A615CE">
              <w:rPr>
                <w:rFonts w:ascii="Calibri" w:eastAsia="Times New Roman" w:hAnsi="Calibri" w:cs="Calibri"/>
                <w:sz w:val="20"/>
                <w:szCs w:val="20"/>
                <w:lang w:eastAsia="es-EC"/>
              </w:rPr>
              <w:t>Período 3</w:t>
            </w:r>
          </w:p>
        </w:tc>
        <w:tc>
          <w:tcPr>
            <w:tcW w:w="1959" w:type="dxa"/>
            <w:gridSpan w:val="2"/>
          </w:tcPr>
          <w:p w:rsidR="00F6228A" w:rsidRPr="00A615CE" w:rsidRDefault="00F6228A" w:rsidP="00F622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C"/>
              </w:rPr>
            </w:pPr>
            <w:r w:rsidRPr="00A615CE">
              <w:rPr>
                <w:rFonts w:ascii="Calibri" w:eastAsia="Times New Roman" w:hAnsi="Calibri" w:cs="Calibri"/>
                <w:sz w:val="20"/>
                <w:szCs w:val="20"/>
                <w:lang w:eastAsia="es-EC"/>
              </w:rPr>
              <w:t>Período 4</w:t>
            </w:r>
          </w:p>
        </w:tc>
      </w:tr>
      <w:tr w:rsidR="00F6228A" w:rsidRPr="00A615CE" w:rsidTr="00D93A8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vMerge/>
            <w:noWrap/>
            <w:hideMark/>
          </w:tcPr>
          <w:p w:rsidR="00F6228A" w:rsidRPr="00A615CE" w:rsidRDefault="00F6228A" w:rsidP="00F6228A">
            <w:pPr>
              <w:jc w:val="center"/>
              <w:rPr>
                <w:rFonts w:ascii="Calibri" w:eastAsia="Times New Roman" w:hAnsi="Calibri" w:cs="Calibri"/>
                <w:color w:val="FFFFFF" w:themeColor="background1"/>
                <w:sz w:val="20"/>
                <w:szCs w:val="20"/>
                <w:lang w:eastAsia="es-EC"/>
              </w:rPr>
            </w:pPr>
          </w:p>
        </w:tc>
        <w:tc>
          <w:tcPr>
            <w:tcW w:w="959"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t>Nº cambios</w:t>
            </w:r>
          </w:p>
        </w:tc>
        <w:tc>
          <w:tcPr>
            <w:tcW w:w="770"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br/>
              <w:t>%</w:t>
            </w:r>
          </w:p>
        </w:tc>
        <w:tc>
          <w:tcPr>
            <w:tcW w:w="965"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t>Nº cambios</w:t>
            </w:r>
          </w:p>
        </w:tc>
        <w:tc>
          <w:tcPr>
            <w:tcW w:w="768"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br/>
              <w:t>%</w:t>
            </w:r>
          </w:p>
        </w:tc>
        <w:tc>
          <w:tcPr>
            <w:tcW w:w="959"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t>Nº cambios</w:t>
            </w:r>
          </w:p>
        </w:tc>
        <w:tc>
          <w:tcPr>
            <w:tcW w:w="850"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br/>
              <w:t>%</w:t>
            </w:r>
          </w:p>
        </w:tc>
        <w:tc>
          <w:tcPr>
            <w:tcW w:w="993"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t>Nº cambios</w:t>
            </w:r>
          </w:p>
        </w:tc>
        <w:tc>
          <w:tcPr>
            <w:tcW w:w="966" w:type="dxa"/>
            <w:shd w:val="clear" w:color="auto" w:fill="4F81BD" w:themeFill="accent1"/>
            <w:noWrap/>
            <w:hideMark/>
          </w:tcPr>
          <w:p w:rsidR="00F6228A" w:rsidRPr="00A615CE" w:rsidRDefault="00F6228A" w:rsidP="00F622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s-EC"/>
              </w:rPr>
            </w:pPr>
            <w:r w:rsidRPr="00A615CE">
              <w:rPr>
                <w:rFonts w:ascii="Calibri" w:eastAsia="Times New Roman" w:hAnsi="Calibri" w:cs="Calibri"/>
                <w:b/>
                <w:color w:val="FFFFFF" w:themeColor="background1"/>
                <w:sz w:val="20"/>
                <w:szCs w:val="20"/>
                <w:lang w:eastAsia="es-EC"/>
              </w:rPr>
              <w:br/>
              <w:t>%</w:t>
            </w:r>
          </w:p>
        </w:tc>
      </w:tr>
      <w:tr w:rsidR="00F6228A" w:rsidRPr="00A615CE" w:rsidTr="00DC4CF5">
        <w:trPr>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Criterio Técnico</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39</w:t>
            </w:r>
          </w:p>
        </w:tc>
        <w:tc>
          <w:tcPr>
            <w:tcW w:w="77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11,0%</w:t>
            </w:r>
          </w:p>
        </w:tc>
        <w:tc>
          <w:tcPr>
            <w:tcW w:w="965"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81</w:t>
            </w:r>
          </w:p>
        </w:tc>
        <w:tc>
          <w:tcPr>
            <w:tcW w:w="768"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22,9%</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44</w:t>
            </w:r>
          </w:p>
        </w:tc>
        <w:tc>
          <w:tcPr>
            <w:tcW w:w="85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12,4%</w:t>
            </w:r>
          </w:p>
        </w:tc>
        <w:tc>
          <w:tcPr>
            <w:tcW w:w="993"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6</w:t>
            </w:r>
          </w:p>
        </w:tc>
        <w:tc>
          <w:tcPr>
            <w:tcW w:w="966"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1,7%</w:t>
            </w:r>
          </w:p>
        </w:tc>
      </w:tr>
      <w:tr w:rsidR="00F6228A" w:rsidRPr="00A615CE" w:rsidTr="00DC4C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Dato perdido</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33</w:t>
            </w:r>
          </w:p>
        </w:tc>
        <w:tc>
          <w:tcPr>
            <w:tcW w:w="77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9,3%</w:t>
            </w:r>
          </w:p>
        </w:tc>
        <w:tc>
          <w:tcPr>
            <w:tcW w:w="965"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w:t>
            </w:r>
          </w:p>
        </w:tc>
        <w:tc>
          <w:tcPr>
            <w:tcW w:w="768"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0,8%</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w:t>
            </w:r>
          </w:p>
        </w:tc>
        <w:tc>
          <w:tcPr>
            <w:tcW w:w="85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0,8%</w:t>
            </w:r>
          </w:p>
        </w:tc>
        <w:tc>
          <w:tcPr>
            <w:tcW w:w="993"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966"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r>
      <w:tr w:rsidR="00F6228A" w:rsidRPr="00A615CE" w:rsidTr="00DC4CF5">
        <w:trPr>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No determinado</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11</w:t>
            </w:r>
          </w:p>
        </w:tc>
        <w:tc>
          <w:tcPr>
            <w:tcW w:w="77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3,1%</w:t>
            </w:r>
          </w:p>
        </w:tc>
        <w:tc>
          <w:tcPr>
            <w:tcW w:w="965"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13</w:t>
            </w:r>
          </w:p>
        </w:tc>
        <w:tc>
          <w:tcPr>
            <w:tcW w:w="768"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3,7%</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6</w:t>
            </w:r>
          </w:p>
        </w:tc>
        <w:tc>
          <w:tcPr>
            <w:tcW w:w="85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1,7%</w:t>
            </w:r>
          </w:p>
        </w:tc>
        <w:tc>
          <w:tcPr>
            <w:tcW w:w="993"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4</w:t>
            </w:r>
          </w:p>
        </w:tc>
        <w:tc>
          <w:tcPr>
            <w:tcW w:w="966"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1,1%</w:t>
            </w:r>
          </w:p>
        </w:tc>
      </w:tr>
      <w:tr w:rsidR="00F6228A" w:rsidRPr="00A615CE" w:rsidTr="00DC4C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Ordenanza</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8</w:t>
            </w:r>
          </w:p>
        </w:tc>
        <w:tc>
          <w:tcPr>
            <w:tcW w:w="77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2,3%</w:t>
            </w:r>
          </w:p>
        </w:tc>
        <w:tc>
          <w:tcPr>
            <w:tcW w:w="965"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16</w:t>
            </w:r>
          </w:p>
        </w:tc>
        <w:tc>
          <w:tcPr>
            <w:tcW w:w="768"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4,5%</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38</w:t>
            </w:r>
          </w:p>
        </w:tc>
        <w:tc>
          <w:tcPr>
            <w:tcW w:w="85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10,7%</w:t>
            </w:r>
          </w:p>
        </w:tc>
        <w:tc>
          <w:tcPr>
            <w:tcW w:w="993"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7</w:t>
            </w:r>
          </w:p>
        </w:tc>
        <w:tc>
          <w:tcPr>
            <w:tcW w:w="966"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2,0%</w:t>
            </w:r>
          </w:p>
        </w:tc>
      </w:tr>
      <w:tr w:rsidR="00F6228A" w:rsidRPr="00A615CE" w:rsidTr="00DC4CF5">
        <w:trPr>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Error de asignación de datos</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4</w:t>
            </w:r>
          </w:p>
        </w:tc>
        <w:tc>
          <w:tcPr>
            <w:tcW w:w="77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1,1%</w:t>
            </w:r>
          </w:p>
        </w:tc>
        <w:tc>
          <w:tcPr>
            <w:tcW w:w="965"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5</w:t>
            </w:r>
          </w:p>
        </w:tc>
        <w:tc>
          <w:tcPr>
            <w:tcW w:w="768"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1,4%</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85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c>
          <w:tcPr>
            <w:tcW w:w="993"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966"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r>
      <w:tr w:rsidR="00F6228A" w:rsidRPr="00A615CE" w:rsidTr="00DC4C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Asignación de datos</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w:t>
            </w:r>
          </w:p>
        </w:tc>
        <w:tc>
          <w:tcPr>
            <w:tcW w:w="77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0,8%</w:t>
            </w:r>
          </w:p>
        </w:tc>
        <w:tc>
          <w:tcPr>
            <w:tcW w:w="965"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3</w:t>
            </w:r>
          </w:p>
        </w:tc>
        <w:tc>
          <w:tcPr>
            <w:tcW w:w="768"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0,8%</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85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93"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w:t>
            </w:r>
          </w:p>
        </w:tc>
        <w:tc>
          <w:tcPr>
            <w:tcW w:w="966"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0,6%</w:t>
            </w:r>
          </w:p>
        </w:tc>
      </w:tr>
      <w:tr w:rsidR="00F6228A" w:rsidRPr="00A615CE" w:rsidTr="00DC4CF5">
        <w:trPr>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AA375F"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Ajuste cartográ</w:t>
            </w:r>
            <w:r w:rsidR="005C7D23" w:rsidRPr="00A615CE">
              <w:rPr>
                <w:rFonts w:ascii="Calibri" w:eastAsia="Times New Roman" w:hAnsi="Calibri" w:cs="Calibri"/>
                <w:color w:val="000000"/>
                <w:sz w:val="20"/>
                <w:szCs w:val="20"/>
                <w:lang w:eastAsia="es-EC"/>
              </w:rPr>
              <w:t>fico</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w:t>
            </w:r>
          </w:p>
        </w:tc>
        <w:tc>
          <w:tcPr>
            <w:tcW w:w="77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0,6%</w:t>
            </w:r>
          </w:p>
        </w:tc>
        <w:tc>
          <w:tcPr>
            <w:tcW w:w="965"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768"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85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c>
          <w:tcPr>
            <w:tcW w:w="993"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966"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r>
      <w:tr w:rsidR="00F6228A" w:rsidRPr="00A615CE" w:rsidTr="00DC4C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lastRenderedPageBreak/>
              <w:t>Concesión Minera</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77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65"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9</w:t>
            </w:r>
          </w:p>
        </w:tc>
        <w:tc>
          <w:tcPr>
            <w:tcW w:w="768"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2,5%</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85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93"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966"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r>
      <w:tr w:rsidR="00F6228A" w:rsidRPr="00A615CE" w:rsidTr="00DC4CF5">
        <w:trPr>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En matriz de cambios 2016</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77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65"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7</w:t>
            </w:r>
          </w:p>
        </w:tc>
        <w:tc>
          <w:tcPr>
            <w:tcW w:w="768"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2,0%</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85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93"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966"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r>
      <w:tr w:rsidR="00F6228A" w:rsidRPr="00A615CE" w:rsidTr="00DC4C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Zona de riesgo</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77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65"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1</w:t>
            </w:r>
          </w:p>
        </w:tc>
        <w:tc>
          <w:tcPr>
            <w:tcW w:w="768"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0,3%</w:t>
            </w:r>
          </w:p>
        </w:tc>
        <w:tc>
          <w:tcPr>
            <w:tcW w:w="959"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850"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c>
          <w:tcPr>
            <w:tcW w:w="993"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w:t>
            </w:r>
          </w:p>
        </w:tc>
        <w:tc>
          <w:tcPr>
            <w:tcW w:w="966" w:type="dxa"/>
            <w:noWrap/>
            <w:hideMark/>
          </w:tcPr>
          <w:p w:rsidR="005C7D23" w:rsidRPr="00A615CE" w:rsidRDefault="005C7D23" w:rsidP="005B1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0,0%</w:t>
            </w:r>
          </w:p>
        </w:tc>
      </w:tr>
      <w:tr w:rsidR="00F6228A" w:rsidRPr="00A615CE" w:rsidTr="00DC4CF5">
        <w:trPr>
          <w:trHeight w:val="253"/>
        </w:trPr>
        <w:tc>
          <w:tcPr>
            <w:cnfStyle w:val="001000000000" w:firstRow="0" w:lastRow="0" w:firstColumn="1" w:lastColumn="0" w:oddVBand="0" w:evenVBand="0" w:oddHBand="0" w:evenHBand="0" w:firstRowFirstColumn="0" w:firstRowLastColumn="0" w:lastRowFirstColumn="0" w:lastRowLastColumn="0"/>
            <w:tcW w:w="1632" w:type="dxa"/>
            <w:noWrap/>
            <w:hideMark/>
          </w:tcPr>
          <w:p w:rsidR="005C7D23" w:rsidRPr="00A615CE" w:rsidRDefault="005C7D23" w:rsidP="005C7D23">
            <w:pPr>
              <w:rPr>
                <w:rFonts w:ascii="Calibri" w:eastAsia="Times New Roman" w:hAnsi="Calibri" w:cs="Calibri"/>
                <w:color w:val="000000"/>
                <w:sz w:val="20"/>
                <w:szCs w:val="20"/>
                <w:lang w:eastAsia="es-EC"/>
              </w:rPr>
            </w:pPr>
            <w:r w:rsidRPr="00A615CE">
              <w:rPr>
                <w:rFonts w:ascii="Calibri" w:eastAsia="Times New Roman" w:hAnsi="Calibri" w:cs="Calibri"/>
                <w:color w:val="000000"/>
                <w:sz w:val="20"/>
                <w:szCs w:val="20"/>
                <w:lang w:eastAsia="es-EC"/>
              </w:rPr>
              <w:t>Total general</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100</w:t>
            </w:r>
          </w:p>
        </w:tc>
        <w:tc>
          <w:tcPr>
            <w:tcW w:w="77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28,2%</w:t>
            </w:r>
          </w:p>
        </w:tc>
        <w:tc>
          <w:tcPr>
            <w:tcW w:w="965"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139</w:t>
            </w:r>
          </w:p>
        </w:tc>
        <w:tc>
          <w:tcPr>
            <w:tcW w:w="768"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39,3%</w:t>
            </w:r>
          </w:p>
        </w:tc>
        <w:tc>
          <w:tcPr>
            <w:tcW w:w="959"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93</w:t>
            </w:r>
          </w:p>
        </w:tc>
        <w:tc>
          <w:tcPr>
            <w:tcW w:w="850"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26,3%</w:t>
            </w:r>
          </w:p>
        </w:tc>
        <w:tc>
          <w:tcPr>
            <w:tcW w:w="993"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22</w:t>
            </w:r>
          </w:p>
        </w:tc>
        <w:tc>
          <w:tcPr>
            <w:tcW w:w="966" w:type="dxa"/>
            <w:noWrap/>
            <w:hideMark/>
          </w:tcPr>
          <w:p w:rsidR="005C7D23" w:rsidRPr="00A615CE" w:rsidRDefault="005C7D23" w:rsidP="005B1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C"/>
              </w:rPr>
            </w:pPr>
            <w:r w:rsidRPr="00A615CE">
              <w:rPr>
                <w:rFonts w:ascii="Calibri" w:eastAsia="Times New Roman" w:hAnsi="Calibri" w:cs="Calibri"/>
                <w:b/>
                <w:bCs/>
                <w:color w:val="000000"/>
                <w:sz w:val="20"/>
                <w:szCs w:val="20"/>
                <w:lang w:eastAsia="es-EC"/>
              </w:rPr>
              <w:t>6,2%</w:t>
            </w:r>
          </w:p>
        </w:tc>
      </w:tr>
    </w:tbl>
    <w:p w:rsidR="00653C43" w:rsidRPr="007C4228" w:rsidRDefault="00653C43" w:rsidP="00755BDE">
      <w:pPr>
        <w:spacing w:after="0" w:line="240" w:lineRule="auto"/>
        <w:ind w:left="1416" w:firstLine="708"/>
        <w:jc w:val="both"/>
        <w:rPr>
          <w:rFonts w:cstheme="minorHAnsi"/>
          <w:sz w:val="18"/>
          <w:szCs w:val="18"/>
          <w:lang w:val="es-ES" w:eastAsia="es-ES"/>
        </w:rPr>
      </w:pPr>
    </w:p>
    <w:p w:rsidR="00755BDE" w:rsidRPr="002319A1" w:rsidRDefault="00755BDE" w:rsidP="00755BDE">
      <w:pPr>
        <w:spacing w:after="0" w:line="240" w:lineRule="auto"/>
        <w:ind w:left="1416" w:firstLine="708"/>
        <w:jc w:val="both"/>
        <w:rPr>
          <w:rFonts w:cstheme="minorHAnsi"/>
          <w:sz w:val="18"/>
          <w:szCs w:val="18"/>
          <w:lang w:val="es-ES" w:eastAsia="es-ES"/>
        </w:rPr>
      </w:pPr>
      <w:r w:rsidRPr="007C4228">
        <w:rPr>
          <w:rFonts w:cstheme="minorHAnsi"/>
          <w:sz w:val="18"/>
          <w:szCs w:val="18"/>
          <w:lang w:val="es-ES" w:eastAsia="es-ES"/>
        </w:rPr>
        <w:t>Elaboración: STHV</w:t>
      </w:r>
    </w:p>
    <w:p w:rsidR="009366CB" w:rsidRDefault="009366CB" w:rsidP="009366CB"/>
    <w:p w:rsidR="00E275A3" w:rsidRDefault="00E275A3" w:rsidP="009366CB">
      <w:r>
        <w:t>Si agrupamos los cambios conforme a si estos fueron generados antes o después de la Ordenanza, los resultados son los siguientes:</w:t>
      </w:r>
    </w:p>
    <w:p w:rsidR="00E275A3" w:rsidRDefault="00E275A3" w:rsidP="00E275A3">
      <w:pPr>
        <w:pStyle w:val="Epgrafe"/>
        <w:jc w:val="center"/>
      </w:pPr>
      <w:r w:rsidRPr="007C4228">
        <w:t xml:space="preserve">Tabla </w:t>
      </w:r>
      <w:r w:rsidR="000C0EAD">
        <w:fldChar w:fldCharType="begin"/>
      </w:r>
      <w:r w:rsidR="000C0EAD">
        <w:instrText xml:space="preserve"> SEQ Tabla \* ARABIC </w:instrText>
      </w:r>
      <w:r w:rsidR="000C0EAD">
        <w:fldChar w:fldCharType="separate"/>
      </w:r>
      <w:r w:rsidR="00CA401D">
        <w:rPr>
          <w:noProof/>
        </w:rPr>
        <w:t>8</w:t>
      </w:r>
      <w:r w:rsidR="000C0EAD">
        <w:rPr>
          <w:noProof/>
        </w:rPr>
        <w:fldChar w:fldCharType="end"/>
      </w:r>
      <w:r w:rsidRPr="007C4228">
        <w:t xml:space="preserve">  Motivos de cambio antes y después de la aprobación de la Ordenanza Metropolitana 127</w:t>
      </w:r>
    </w:p>
    <w:tbl>
      <w:tblPr>
        <w:tblStyle w:val="Sombreadomedio1-nfasis1"/>
        <w:tblW w:w="8855" w:type="dxa"/>
        <w:tblLook w:val="04A0" w:firstRow="1" w:lastRow="0" w:firstColumn="1" w:lastColumn="0" w:noHBand="0" w:noVBand="1"/>
      </w:tblPr>
      <w:tblGrid>
        <w:gridCol w:w="2362"/>
        <w:gridCol w:w="1007"/>
        <w:gridCol w:w="1213"/>
        <w:gridCol w:w="1142"/>
        <w:gridCol w:w="1113"/>
        <w:gridCol w:w="40"/>
        <w:gridCol w:w="865"/>
        <w:gridCol w:w="1113"/>
      </w:tblGrid>
      <w:tr w:rsidR="00E275A3" w:rsidRPr="00AE2357" w:rsidTr="001643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vMerge w:val="restart"/>
            <w:tcBorders>
              <w:right w:val="single" w:sz="4" w:space="0" w:color="auto"/>
            </w:tcBorders>
            <w:noWrap/>
          </w:tcPr>
          <w:p w:rsidR="00E275A3" w:rsidRPr="00A615CE" w:rsidRDefault="00E275A3" w:rsidP="00DC340D">
            <w:pPr>
              <w:rPr>
                <w:rFonts w:ascii="Calibri" w:eastAsia="Times New Roman" w:hAnsi="Calibri" w:cs="Times New Roman"/>
                <w:sz w:val="20"/>
                <w:szCs w:val="20"/>
                <w:lang w:eastAsia="es-EC"/>
              </w:rPr>
            </w:pPr>
            <w:r w:rsidRPr="00A615CE">
              <w:rPr>
                <w:rFonts w:ascii="Calibri" w:eastAsia="Times New Roman" w:hAnsi="Calibri" w:cs="Times New Roman"/>
                <w:sz w:val="20"/>
                <w:szCs w:val="20"/>
                <w:lang w:eastAsia="es-EC"/>
              </w:rPr>
              <w:t>Motivos</w:t>
            </w:r>
          </w:p>
        </w:tc>
        <w:tc>
          <w:tcPr>
            <w:tcW w:w="2220" w:type="dxa"/>
            <w:gridSpan w:val="2"/>
            <w:tcBorders>
              <w:left w:val="single" w:sz="4" w:space="0" w:color="auto"/>
              <w:right w:val="single" w:sz="4" w:space="0" w:color="auto"/>
            </w:tcBorders>
            <w:noWrap/>
          </w:tcPr>
          <w:p w:rsidR="00E275A3" w:rsidRPr="00A615CE" w:rsidRDefault="00E275A3" w:rsidP="00DC34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0"/>
                <w:szCs w:val="20"/>
                <w:lang w:eastAsia="es-EC"/>
              </w:rPr>
            </w:pPr>
            <w:r w:rsidRPr="00A615CE">
              <w:rPr>
                <w:rFonts w:ascii="Calibri" w:eastAsia="Times New Roman" w:hAnsi="Calibri" w:cs="Times New Roman"/>
                <w:sz w:val="20"/>
                <w:szCs w:val="20"/>
                <w:lang w:eastAsia="es-EC"/>
              </w:rPr>
              <w:t>Antes de Ord.127</w:t>
            </w:r>
          </w:p>
        </w:tc>
        <w:tc>
          <w:tcPr>
            <w:tcW w:w="2295" w:type="dxa"/>
            <w:gridSpan w:val="3"/>
            <w:tcBorders>
              <w:left w:val="single" w:sz="4" w:space="0" w:color="auto"/>
              <w:right w:val="single" w:sz="4" w:space="0" w:color="auto"/>
            </w:tcBorders>
          </w:tcPr>
          <w:p w:rsidR="00E275A3" w:rsidRPr="00A615CE" w:rsidRDefault="00E275A3" w:rsidP="00DC34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lang w:eastAsia="es-EC"/>
              </w:rPr>
            </w:pPr>
            <w:r w:rsidRPr="00A615CE">
              <w:rPr>
                <w:rFonts w:ascii="Calibri" w:eastAsia="Times New Roman" w:hAnsi="Calibri" w:cs="Times New Roman"/>
                <w:sz w:val="20"/>
                <w:szCs w:val="20"/>
                <w:lang w:eastAsia="es-EC"/>
              </w:rPr>
              <w:t>Después de la Ord. 127</w:t>
            </w:r>
          </w:p>
        </w:tc>
        <w:tc>
          <w:tcPr>
            <w:tcW w:w="1978" w:type="dxa"/>
            <w:gridSpan w:val="2"/>
            <w:tcBorders>
              <w:left w:val="single" w:sz="4" w:space="0" w:color="auto"/>
            </w:tcBorders>
          </w:tcPr>
          <w:p w:rsidR="00E275A3" w:rsidRPr="00A615CE" w:rsidRDefault="00E275A3" w:rsidP="00DC34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A615CE">
              <w:rPr>
                <w:rFonts w:ascii="Calibri" w:eastAsia="Times New Roman" w:hAnsi="Calibri" w:cs="Times New Roman"/>
                <w:sz w:val="20"/>
                <w:szCs w:val="20"/>
                <w:lang w:eastAsia="es-EC"/>
              </w:rPr>
              <w:t>Total</w:t>
            </w:r>
          </w:p>
        </w:tc>
      </w:tr>
      <w:tr w:rsidR="00E275A3" w:rsidRPr="00AE2357"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vMerge/>
            <w:tcBorders>
              <w:right w:val="single" w:sz="4" w:space="0" w:color="auto"/>
            </w:tcBorders>
            <w:noWrap/>
            <w:hideMark/>
          </w:tcPr>
          <w:p w:rsidR="00E275A3" w:rsidRPr="00A615CE" w:rsidRDefault="00E275A3" w:rsidP="00DC340D">
            <w:pPr>
              <w:rPr>
                <w:rFonts w:ascii="Calibri" w:eastAsia="Times New Roman" w:hAnsi="Calibri" w:cs="Times New Roman"/>
                <w:color w:val="FFFFFF" w:themeColor="background1"/>
                <w:sz w:val="20"/>
                <w:szCs w:val="20"/>
                <w:lang w:eastAsia="es-EC"/>
              </w:rPr>
            </w:pPr>
          </w:p>
        </w:tc>
        <w:tc>
          <w:tcPr>
            <w:tcW w:w="1007" w:type="dxa"/>
            <w:tcBorders>
              <w:left w:val="single" w:sz="4" w:space="0" w:color="auto"/>
            </w:tcBorders>
            <w:noWrap/>
            <w:hideMark/>
          </w:tcPr>
          <w:p w:rsidR="00E275A3" w:rsidRPr="0016437C" w:rsidRDefault="00E275A3" w:rsidP="00DC34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EC"/>
              </w:rPr>
            </w:pPr>
            <w:r w:rsidRPr="0016437C">
              <w:rPr>
                <w:rFonts w:ascii="Calibri" w:eastAsia="Times New Roman" w:hAnsi="Calibri" w:cs="Times New Roman"/>
                <w:b/>
                <w:sz w:val="20"/>
                <w:szCs w:val="20"/>
                <w:lang w:eastAsia="es-EC"/>
              </w:rPr>
              <w:t>Nº cambios</w:t>
            </w:r>
          </w:p>
        </w:tc>
        <w:tc>
          <w:tcPr>
            <w:tcW w:w="1213" w:type="dxa"/>
            <w:tcBorders>
              <w:right w:val="single" w:sz="4" w:space="0" w:color="auto"/>
            </w:tcBorders>
            <w:noWrap/>
            <w:hideMark/>
          </w:tcPr>
          <w:p w:rsidR="00E275A3" w:rsidRPr="0016437C" w:rsidRDefault="00E275A3" w:rsidP="00DC34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EC"/>
              </w:rPr>
            </w:pPr>
            <w:r w:rsidRPr="0016437C">
              <w:rPr>
                <w:rFonts w:ascii="Calibri" w:eastAsia="Times New Roman" w:hAnsi="Calibri" w:cs="Times New Roman"/>
                <w:b/>
                <w:sz w:val="20"/>
                <w:szCs w:val="20"/>
                <w:lang w:eastAsia="es-EC"/>
              </w:rPr>
              <w:t>Porcentaje</w:t>
            </w:r>
          </w:p>
        </w:tc>
        <w:tc>
          <w:tcPr>
            <w:tcW w:w="1142" w:type="dxa"/>
            <w:tcBorders>
              <w:left w:val="single" w:sz="4" w:space="0" w:color="auto"/>
            </w:tcBorders>
          </w:tcPr>
          <w:p w:rsidR="00E275A3" w:rsidRPr="0016437C" w:rsidRDefault="00E275A3" w:rsidP="00DC34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EC"/>
              </w:rPr>
            </w:pPr>
            <w:r w:rsidRPr="0016437C">
              <w:rPr>
                <w:rFonts w:ascii="Calibri" w:eastAsia="Times New Roman" w:hAnsi="Calibri" w:cs="Times New Roman"/>
                <w:b/>
                <w:sz w:val="20"/>
                <w:szCs w:val="20"/>
                <w:lang w:eastAsia="es-EC"/>
              </w:rPr>
              <w:t>Nº cambios</w:t>
            </w:r>
          </w:p>
        </w:tc>
        <w:tc>
          <w:tcPr>
            <w:tcW w:w="1113" w:type="dxa"/>
            <w:tcBorders>
              <w:right w:val="single" w:sz="4" w:space="0" w:color="auto"/>
            </w:tcBorders>
            <w:noWrap/>
            <w:hideMark/>
          </w:tcPr>
          <w:p w:rsidR="00E275A3" w:rsidRPr="0016437C" w:rsidRDefault="00E275A3" w:rsidP="00DC34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EC"/>
              </w:rPr>
            </w:pPr>
            <w:r w:rsidRPr="0016437C">
              <w:rPr>
                <w:rFonts w:ascii="Calibri" w:eastAsia="Times New Roman" w:hAnsi="Calibri" w:cs="Times New Roman"/>
                <w:b/>
                <w:sz w:val="20"/>
                <w:szCs w:val="20"/>
                <w:lang w:eastAsia="es-EC"/>
              </w:rPr>
              <w:t>Porcentaje</w:t>
            </w:r>
          </w:p>
        </w:tc>
        <w:tc>
          <w:tcPr>
            <w:tcW w:w="905" w:type="dxa"/>
            <w:gridSpan w:val="2"/>
            <w:tcBorders>
              <w:left w:val="single" w:sz="4" w:space="0" w:color="auto"/>
            </w:tcBorders>
            <w:noWrap/>
            <w:hideMark/>
          </w:tcPr>
          <w:p w:rsidR="00E275A3" w:rsidRPr="0016437C" w:rsidRDefault="00E275A3" w:rsidP="00DC34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EC"/>
              </w:rPr>
            </w:pPr>
            <w:r w:rsidRPr="0016437C">
              <w:rPr>
                <w:rFonts w:ascii="Calibri" w:eastAsia="Times New Roman" w:hAnsi="Calibri" w:cs="Times New Roman"/>
                <w:b/>
                <w:sz w:val="20"/>
                <w:szCs w:val="20"/>
                <w:lang w:eastAsia="es-EC"/>
              </w:rPr>
              <w:t>Nº cambios</w:t>
            </w:r>
          </w:p>
        </w:tc>
        <w:tc>
          <w:tcPr>
            <w:tcW w:w="1113" w:type="dxa"/>
            <w:noWrap/>
            <w:hideMark/>
          </w:tcPr>
          <w:p w:rsidR="00E275A3" w:rsidRPr="0016437C" w:rsidRDefault="00E275A3" w:rsidP="00DC34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EC"/>
              </w:rPr>
            </w:pPr>
            <w:r w:rsidRPr="0016437C">
              <w:rPr>
                <w:rFonts w:ascii="Calibri" w:eastAsia="Times New Roman" w:hAnsi="Calibri" w:cs="Times New Roman"/>
                <w:b/>
                <w:sz w:val="20"/>
                <w:szCs w:val="20"/>
                <w:lang w:eastAsia="es-EC"/>
              </w:rPr>
              <w:t>Porcentaje</w:t>
            </w:r>
          </w:p>
        </w:tc>
      </w:tr>
      <w:tr w:rsidR="00E275A3" w:rsidRPr="00AE2357"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Criterio Técnico</w:t>
            </w:r>
          </w:p>
        </w:tc>
        <w:tc>
          <w:tcPr>
            <w:tcW w:w="1007"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164</w:t>
            </w:r>
          </w:p>
        </w:tc>
        <w:tc>
          <w:tcPr>
            <w:tcW w:w="12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46,3%</w:t>
            </w:r>
          </w:p>
        </w:tc>
        <w:tc>
          <w:tcPr>
            <w:tcW w:w="1142"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6</w:t>
            </w:r>
          </w:p>
        </w:tc>
        <w:tc>
          <w:tcPr>
            <w:tcW w:w="11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1,70%</w:t>
            </w:r>
          </w:p>
        </w:tc>
        <w:tc>
          <w:tcPr>
            <w:tcW w:w="905" w:type="dxa"/>
            <w:gridSpan w:val="2"/>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170</w:t>
            </w:r>
          </w:p>
        </w:tc>
        <w:tc>
          <w:tcPr>
            <w:tcW w:w="1113" w:type="dxa"/>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48.0%</w:t>
            </w:r>
          </w:p>
        </w:tc>
      </w:tr>
      <w:tr w:rsidR="00E275A3" w:rsidRPr="00AE2357"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Ordenanza</w:t>
            </w:r>
          </w:p>
        </w:tc>
        <w:tc>
          <w:tcPr>
            <w:tcW w:w="1007"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62</w:t>
            </w:r>
          </w:p>
        </w:tc>
        <w:tc>
          <w:tcPr>
            <w:tcW w:w="12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17,50%</w:t>
            </w:r>
          </w:p>
        </w:tc>
        <w:tc>
          <w:tcPr>
            <w:tcW w:w="1142"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7</w:t>
            </w:r>
          </w:p>
        </w:tc>
        <w:tc>
          <w:tcPr>
            <w:tcW w:w="11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2,00%</w:t>
            </w:r>
          </w:p>
        </w:tc>
        <w:tc>
          <w:tcPr>
            <w:tcW w:w="905" w:type="dxa"/>
            <w:gridSpan w:val="2"/>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69</w:t>
            </w:r>
          </w:p>
        </w:tc>
        <w:tc>
          <w:tcPr>
            <w:tcW w:w="1113" w:type="dxa"/>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19,50%</w:t>
            </w:r>
          </w:p>
        </w:tc>
      </w:tr>
      <w:tr w:rsidR="00E275A3" w:rsidRPr="00AE2357"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Dato perdido</w:t>
            </w:r>
          </w:p>
        </w:tc>
        <w:tc>
          <w:tcPr>
            <w:tcW w:w="1007"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39</w:t>
            </w:r>
          </w:p>
        </w:tc>
        <w:tc>
          <w:tcPr>
            <w:tcW w:w="12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11,0%</w:t>
            </w:r>
          </w:p>
        </w:tc>
        <w:tc>
          <w:tcPr>
            <w:tcW w:w="1142"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w:t>
            </w:r>
          </w:p>
        </w:tc>
        <w:tc>
          <w:tcPr>
            <w:tcW w:w="11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0,30%</w:t>
            </w:r>
          </w:p>
        </w:tc>
        <w:tc>
          <w:tcPr>
            <w:tcW w:w="905" w:type="dxa"/>
            <w:gridSpan w:val="2"/>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40</w:t>
            </w:r>
          </w:p>
        </w:tc>
        <w:tc>
          <w:tcPr>
            <w:tcW w:w="1113" w:type="dxa"/>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11,3%</w:t>
            </w:r>
          </w:p>
        </w:tc>
      </w:tr>
      <w:tr w:rsidR="00E275A3" w:rsidRPr="00AE2357"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No determinado</w:t>
            </w:r>
          </w:p>
        </w:tc>
        <w:tc>
          <w:tcPr>
            <w:tcW w:w="1007"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30</w:t>
            </w:r>
          </w:p>
        </w:tc>
        <w:tc>
          <w:tcPr>
            <w:tcW w:w="12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8,50%</w:t>
            </w:r>
          </w:p>
        </w:tc>
        <w:tc>
          <w:tcPr>
            <w:tcW w:w="1142"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4</w:t>
            </w:r>
          </w:p>
        </w:tc>
        <w:tc>
          <w:tcPr>
            <w:tcW w:w="11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1,10%</w:t>
            </w:r>
          </w:p>
        </w:tc>
        <w:tc>
          <w:tcPr>
            <w:tcW w:w="905" w:type="dxa"/>
            <w:gridSpan w:val="2"/>
            <w:tcBorders>
              <w:left w:val="single" w:sz="4" w:space="0" w:color="auto"/>
            </w:tcBorders>
            <w:noWrap/>
            <w:hideMark/>
          </w:tcPr>
          <w:p w:rsidR="00E275A3" w:rsidRPr="00A615CE" w:rsidRDefault="00E275A3" w:rsidP="00CF1212">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3</w:t>
            </w:r>
            <w:r w:rsidR="00CF1212" w:rsidRPr="00A615CE">
              <w:rPr>
                <w:b/>
                <w:bCs/>
                <w:color w:val="000000"/>
                <w:sz w:val="20"/>
                <w:szCs w:val="20"/>
              </w:rPr>
              <w:t>4</w:t>
            </w:r>
          </w:p>
        </w:tc>
        <w:tc>
          <w:tcPr>
            <w:tcW w:w="1113" w:type="dxa"/>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9,60%</w:t>
            </w:r>
          </w:p>
        </w:tc>
      </w:tr>
      <w:tr w:rsidR="00E275A3" w:rsidRPr="00AE2357"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Error de asignación de datos</w:t>
            </w:r>
          </w:p>
        </w:tc>
        <w:tc>
          <w:tcPr>
            <w:tcW w:w="1007"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10</w:t>
            </w:r>
          </w:p>
        </w:tc>
        <w:tc>
          <w:tcPr>
            <w:tcW w:w="12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2,80%</w:t>
            </w:r>
          </w:p>
        </w:tc>
        <w:tc>
          <w:tcPr>
            <w:tcW w:w="1142"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w:t>
            </w:r>
          </w:p>
        </w:tc>
        <w:tc>
          <w:tcPr>
            <w:tcW w:w="11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0,30%</w:t>
            </w:r>
          </w:p>
        </w:tc>
        <w:tc>
          <w:tcPr>
            <w:tcW w:w="905" w:type="dxa"/>
            <w:gridSpan w:val="2"/>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11</w:t>
            </w:r>
          </w:p>
        </w:tc>
        <w:tc>
          <w:tcPr>
            <w:tcW w:w="1113" w:type="dxa"/>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3,10%</w:t>
            </w:r>
          </w:p>
        </w:tc>
      </w:tr>
      <w:tr w:rsidR="00E275A3" w:rsidRPr="00AE2357"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Concesión Minera</w:t>
            </w:r>
          </w:p>
        </w:tc>
        <w:tc>
          <w:tcPr>
            <w:tcW w:w="1007"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9</w:t>
            </w:r>
          </w:p>
        </w:tc>
        <w:tc>
          <w:tcPr>
            <w:tcW w:w="12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2,50%</w:t>
            </w:r>
          </w:p>
        </w:tc>
        <w:tc>
          <w:tcPr>
            <w:tcW w:w="1142"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0</w:t>
            </w:r>
          </w:p>
        </w:tc>
        <w:tc>
          <w:tcPr>
            <w:tcW w:w="11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0,00%</w:t>
            </w:r>
          </w:p>
        </w:tc>
        <w:tc>
          <w:tcPr>
            <w:tcW w:w="905" w:type="dxa"/>
            <w:gridSpan w:val="2"/>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9</w:t>
            </w:r>
          </w:p>
        </w:tc>
        <w:tc>
          <w:tcPr>
            <w:tcW w:w="1113" w:type="dxa"/>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2,50%</w:t>
            </w:r>
          </w:p>
        </w:tc>
      </w:tr>
      <w:tr w:rsidR="00E275A3" w:rsidRPr="00AE2357"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En matriz de cambios 2016</w:t>
            </w:r>
          </w:p>
        </w:tc>
        <w:tc>
          <w:tcPr>
            <w:tcW w:w="1007"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7</w:t>
            </w:r>
          </w:p>
        </w:tc>
        <w:tc>
          <w:tcPr>
            <w:tcW w:w="12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2,00%</w:t>
            </w:r>
          </w:p>
        </w:tc>
        <w:tc>
          <w:tcPr>
            <w:tcW w:w="1142"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 0</w:t>
            </w:r>
          </w:p>
        </w:tc>
        <w:tc>
          <w:tcPr>
            <w:tcW w:w="11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0,00%</w:t>
            </w:r>
          </w:p>
        </w:tc>
        <w:tc>
          <w:tcPr>
            <w:tcW w:w="905" w:type="dxa"/>
            <w:gridSpan w:val="2"/>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7</w:t>
            </w:r>
          </w:p>
        </w:tc>
        <w:tc>
          <w:tcPr>
            <w:tcW w:w="1113" w:type="dxa"/>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2,00%</w:t>
            </w:r>
          </w:p>
        </w:tc>
      </w:tr>
      <w:tr w:rsidR="00E275A3" w:rsidRPr="00AE2357"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Asignación de datos</w:t>
            </w:r>
          </w:p>
        </w:tc>
        <w:tc>
          <w:tcPr>
            <w:tcW w:w="1007"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6</w:t>
            </w:r>
          </w:p>
        </w:tc>
        <w:tc>
          <w:tcPr>
            <w:tcW w:w="12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1,70%</w:t>
            </w:r>
          </w:p>
        </w:tc>
        <w:tc>
          <w:tcPr>
            <w:tcW w:w="1142"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2</w:t>
            </w:r>
          </w:p>
        </w:tc>
        <w:tc>
          <w:tcPr>
            <w:tcW w:w="11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0,60%</w:t>
            </w:r>
          </w:p>
        </w:tc>
        <w:tc>
          <w:tcPr>
            <w:tcW w:w="905" w:type="dxa"/>
            <w:gridSpan w:val="2"/>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8</w:t>
            </w:r>
          </w:p>
        </w:tc>
        <w:tc>
          <w:tcPr>
            <w:tcW w:w="1113" w:type="dxa"/>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2,30%</w:t>
            </w:r>
          </w:p>
        </w:tc>
      </w:tr>
      <w:tr w:rsidR="00E275A3" w:rsidRPr="00AE2357"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Ajuste cartográfico</w:t>
            </w:r>
          </w:p>
        </w:tc>
        <w:tc>
          <w:tcPr>
            <w:tcW w:w="1007"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4</w:t>
            </w:r>
          </w:p>
        </w:tc>
        <w:tc>
          <w:tcPr>
            <w:tcW w:w="12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1,10%</w:t>
            </w:r>
          </w:p>
        </w:tc>
        <w:tc>
          <w:tcPr>
            <w:tcW w:w="1142" w:type="dxa"/>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1</w:t>
            </w:r>
          </w:p>
        </w:tc>
        <w:tc>
          <w:tcPr>
            <w:tcW w:w="1113" w:type="dxa"/>
            <w:tcBorders>
              <w:righ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color w:val="000000"/>
                <w:sz w:val="20"/>
                <w:szCs w:val="20"/>
              </w:rPr>
            </w:pPr>
            <w:r w:rsidRPr="00A615CE">
              <w:rPr>
                <w:color w:val="000000"/>
                <w:sz w:val="20"/>
                <w:szCs w:val="20"/>
              </w:rPr>
              <w:t>0,30%</w:t>
            </w:r>
          </w:p>
        </w:tc>
        <w:tc>
          <w:tcPr>
            <w:tcW w:w="905" w:type="dxa"/>
            <w:gridSpan w:val="2"/>
            <w:tcBorders>
              <w:left w:val="single" w:sz="4" w:space="0" w:color="auto"/>
            </w:tcBorders>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5</w:t>
            </w:r>
          </w:p>
        </w:tc>
        <w:tc>
          <w:tcPr>
            <w:tcW w:w="1113" w:type="dxa"/>
            <w:noWrap/>
            <w:hideMark/>
          </w:tcPr>
          <w:p w:rsidR="00E275A3" w:rsidRPr="00A615CE" w:rsidRDefault="00E275A3" w:rsidP="00DC340D">
            <w:pPr>
              <w:jc w:val="right"/>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A615CE">
              <w:rPr>
                <w:b/>
                <w:bCs/>
                <w:color w:val="000000"/>
                <w:sz w:val="20"/>
                <w:szCs w:val="20"/>
              </w:rPr>
              <w:t>1,40%</w:t>
            </w:r>
          </w:p>
        </w:tc>
      </w:tr>
      <w:tr w:rsidR="00E275A3" w:rsidRPr="00AE2357" w:rsidTr="001643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hAnsi="Calibri"/>
                <w:color w:val="000000"/>
                <w:sz w:val="20"/>
                <w:szCs w:val="20"/>
              </w:rPr>
            </w:pPr>
            <w:r w:rsidRPr="00A615CE">
              <w:rPr>
                <w:rFonts w:ascii="Calibri" w:hAnsi="Calibri"/>
                <w:bCs w:val="0"/>
                <w:color w:val="000000"/>
                <w:sz w:val="20"/>
                <w:szCs w:val="20"/>
              </w:rPr>
              <w:t>Zona de riesgo</w:t>
            </w:r>
          </w:p>
        </w:tc>
        <w:tc>
          <w:tcPr>
            <w:tcW w:w="1007"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1</w:t>
            </w:r>
          </w:p>
        </w:tc>
        <w:tc>
          <w:tcPr>
            <w:tcW w:w="12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0,30%</w:t>
            </w:r>
          </w:p>
        </w:tc>
        <w:tc>
          <w:tcPr>
            <w:tcW w:w="1142" w:type="dxa"/>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0</w:t>
            </w:r>
          </w:p>
        </w:tc>
        <w:tc>
          <w:tcPr>
            <w:tcW w:w="1113" w:type="dxa"/>
            <w:tcBorders>
              <w:righ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615CE">
              <w:rPr>
                <w:color w:val="000000"/>
                <w:sz w:val="20"/>
                <w:szCs w:val="20"/>
              </w:rPr>
              <w:t>0,00%</w:t>
            </w:r>
          </w:p>
        </w:tc>
        <w:tc>
          <w:tcPr>
            <w:tcW w:w="905" w:type="dxa"/>
            <w:gridSpan w:val="2"/>
            <w:tcBorders>
              <w:left w:val="single" w:sz="4" w:space="0" w:color="auto"/>
            </w:tcBorders>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1</w:t>
            </w:r>
          </w:p>
        </w:tc>
        <w:tc>
          <w:tcPr>
            <w:tcW w:w="1113" w:type="dxa"/>
            <w:noWrap/>
            <w:hideMark/>
          </w:tcPr>
          <w:p w:rsidR="00E275A3" w:rsidRPr="00A615CE" w:rsidRDefault="00E275A3" w:rsidP="00DC340D">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A615CE">
              <w:rPr>
                <w:b/>
                <w:bCs/>
                <w:color w:val="000000"/>
                <w:sz w:val="20"/>
                <w:szCs w:val="20"/>
              </w:rPr>
              <w:t>0,30%</w:t>
            </w:r>
          </w:p>
        </w:tc>
      </w:tr>
      <w:tr w:rsidR="00E275A3" w:rsidRPr="00AE2357" w:rsidTr="001643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auto"/>
            </w:tcBorders>
            <w:noWrap/>
            <w:hideMark/>
          </w:tcPr>
          <w:p w:rsidR="00E275A3" w:rsidRPr="00A615CE" w:rsidRDefault="00E275A3" w:rsidP="00DC340D">
            <w:pPr>
              <w:rPr>
                <w:rFonts w:ascii="Calibri" w:eastAsia="Times New Roman" w:hAnsi="Calibri" w:cs="Times New Roman"/>
                <w:color w:val="000000"/>
                <w:sz w:val="20"/>
                <w:szCs w:val="20"/>
                <w:lang w:eastAsia="es-EC"/>
              </w:rPr>
            </w:pPr>
            <w:r w:rsidRPr="00A615CE">
              <w:rPr>
                <w:rFonts w:ascii="Calibri" w:eastAsia="Times New Roman" w:hAnsi="Calibri" w:cs="Times New Roman"/>
                <w:color w:val="000000"/>
                <w:sz w:val="20"/>
                <w:szCs w:val="20"/>
                <w:lang w:eastAsia="es-EC"/>
              </w:rPr>
              <w:t>Total general</w:t>
            </w:r>
          </w:p>
        </w:tc>
        <w:tc>
          <w:tcPr>
            <w:tcW w:w="1007" w:type="dxa"/>
            <w:tcBorders>
              <w:left w:val="single" w:sz="4" w:space="0" w:color="auto"/>
            </w:tcBorders>
            <w:noWrap/>
            <w:hideMark/>
          </w:tcPr>
          <w:p w:rsidR="00E275A3" w:rsidRPr="00A615CE" w:rsidRDefault="00E275A3" w:rsidP="00DC34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lang w:eastAsia="es-EC"/>
              </w:rPr>
            </w:pPr>
            <w:r w:rsidRPr="00A615CE">
              <w:rPr>
                <w:rFonts w:eastAsia="Times New Roman" w:cs="Times New Roman"/>
                <w:b/>
                <w:color w:val="000000"/>
                <w:sz w:val="20"/>
                <w:szCs w:val="20"/>
                <w:lang w:eastAsia="es-EC"/>
              </w:rPr>
              <w:t>332</w:t>
            </w:r>
          </w:p>
        </w:tc>
        <w:tc>
          <w:tcPr>
            <w:tcW w:w="1213" w:type="dxa"/>
            <w:tcBorders>
              <w:right w:val="single" w:sz="4" w:space="0" w:color="auto"/>
            </w:tcBorders>
            <w:noWrap/>
            <w:hideMark/>
          </w:tcPr>
          <w:p w:rsidR="00E275A3" w:rsidRPr="00A615CE" w:rsidRDefault="00E275A3" w:rsidP="00DC34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lang w:eastAsia="es-EC"/>
              </w:rPr>
            </w:pPr>
            <w:r w:rsidRPr="00A615CE">
              <w:rPr>
                <w:rFonts w:eastAsia="Times New Roman" w:cs="Times New Roman"/>
                <w:b/>
                <w:color w:val="000000"/>
                <w:sz w:val="20"/>
                <w:szCs w:val="20"/>
                <w:lang w:eastAsia="es-EC"/>
              </w:rPr>
              <w:t>93.8%</w:t>
            </w:r>
          </w:p>
        </w:tc>
        <w:tc>
          <w:tcPr>
            <w:tcW w:w="1142" w:type="dxa"/>
            <w:tcBorders>
              <w:left w:val="single" w:sz="4" w:space="0" w:color="auto"/>
            </w:tcBorders>
            <w:noWrap/>
            <w:hideMark/>
          </w:tcPr>
          <w:p w:rsidR="00E275A3" w:rsidRPr="00A615CE" w:rsidRDefault="00E275A3" w:rsidP="00DC34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lang w:eastAsia="es-EC"/>
              </w:rPr>
            </w:pPr>
            <w:r w:rsidRPr="00A615CE">
              <w:rPr>
                <w:rFonts w:eastAsia="Times New Roman" w:cs="Times New Roman"/>
                <w:b/>
                <w:color w:val="000000"/>
                <w:sz w:val="20"/>
                <w:szCs w:val="20"/>
                <w:lang w:eastAsia="es-EC"/>
              </w:rPr>
              <w:t>22</w:t>
            </w:r>
          </w:p>
        </w:tc>
        <w:tc>
          <w:tcPr>
            <w:tcW w:w="1113" w:type="dxa"/>
            <w:tcBorders>
              <w:right w:val="single" w:sz="4" w:space="0" w:color="auto"/>
            </w:tcBorders>
            <w:noWrap/>
            <w:hideMark/>
          </w:tcPr>
          <w:p w:rsidR="00E275A3" w:rsidRPr="00A615CE" w:rsidRDefault="00E275A3" w:rsidP="00DC34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lang w:eastAsia="es-EC"/>
              </w:rPr>
            </w:pPr>
            <w:r w:rsidRPr="00A615CE">
              <w:rPr>
                <w:rFonts w:eastAsia="Times New Roman" w:cs="Times New Roman"/>
                <w:b/>
                <w:color w:val="000000"/>
                <w:sz w:val="20"/>
                <w:szCs w:val="20"/>
                <w:lang w:eastAsia="es-EC"/>
              </w:rPr>
              <w:t>6.2%</w:t>
            </w:r>
          </w:p>
        </w:tc>
        <w:tc>
          <w:tcPr>
            <w:tcW w:w="905" w:type="dxa"/>
            <w:gridSpan w:val="2"/>
            <w:tcBorders>
              <w:left w:val="single" w:sz="4" w:space="0" w:color="auto"/>
            </w:tcBorders>
            <w:noWrap/>
            <w:hideMark/>
          </w:tcPr>
          <w:p w:rsidR="00E275A3" w:rsidRPr="00A615CE" w:rsidRDefault="00E275A3" w:rsidP="00DC34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lang w:eastAsia="es-EC"/>
              </w:rPr>
            </w:pPr>
            <w:r w:rsidRPr="00A615CE">
              <w:rPr>
                <w:rFonts w:eastAsia="Times New Roman" w:cs="Times New Roman"/>
                <w:b/>
                <w:color w:val="000000"/>
                <w:sz w:val="20"/>
                <w:szCs w:val="20"/>
                <w:lang w:eastAsia="es-EC"/>
              </w:rPr>
              <w:t>354</w:t>
            </w:r>
          </w:p>
        </w:tc>
        <w:tc>
          <w:tcPr>
            <w:tcW w:w="1113" w:type="dxa"/>
            <w:noWrap/>
            <w:hideMark/>
          </w:tcPr>
          <w:p w:rsidR="00E275A3" w:rsidRPr="00A615CE" w:rsidRDefault="00E275A3" w:rsidP="00DC34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lang w:eastAsia="es-EC"/>
              </w:rPr>
            </w:pPr>
            <w:r w:rsidRPr="00A615CE">
              <w:rPr>
                <w:rFonts w:eastAsia="Times New Roman" w:cs="Times New Roman"/>
                <w:b/>
                <w:color w:val="000000"/>
                <w:sz w:val="20"/>
                <w:szCs w:val="20"/>
                <w:lang w:eastAsia="es-EC"/>
              </w:rPr>
              <w:t>100,0%</w:t>
            </w:r>
          </w:p>
        </w:tc>
      </w:tr>
    </w:tbl>
    <w:p w:rsidR="00D93A88" w:rsidRDefault="00D93A88" w:rsidP="009366CB"/>
    <w:p w:rsidR="009366CB" w:rsidRDefault="00EC0151" w:rsidP="009366CB">
      <w:r>
        <w:t>De igual manera a</w:t>
      </w:r>
      <w:r w:rsidR="00ED4EBC">
        <w:t xml:space="preserve">l agrupar los motivos </w:t>
      </w:r>
      <w:r>
        <w:t>conforme se señaló en la tabla nº 6, se encuentran los siguientes resultados:</w:t>
      </w:r>
    </w:p>
    <w:p w:rsidR="00DB6414" w:rsidRPr="00B757DC" w:rsidRDefault="00DB6414" w:rsidP="00DB6414">
      <w:pPr>
        <w:pStyle w:val="Epgrafe"/>
        <w:jc w:val="center"/>
        <w:rPr>
          <w:rFonts w:cstheme="minorHAnsi"/>
          <w:sz w:val="24"/>
          <w:szCs w:val="24"/>
          <w:lang w:val="es-ES" w:eastAsia="es-ES"/>
        </w:rPr>
      </w:pPr>
      <w:r>
        <w:t xml:space="preserve">Tabla </w:t>
      </w:r>
      <w:r w:rsidR="000C0EAD">
        <w:fldChar w:fldCharType="begin"/>
      </w:r>
      <w:r w:rsidR="000C0EAD">
        <w:instrText xml:space="preserve"> SEQ Tabla \* ARABIC </w:instrText>
      </w:r>
      <w:r w:rsidR="000C0EAD">
        <w:fldChar w:fldCharType="separate"/>
      </w:r>
      <w:r w:rsidR="00CA401D">
        <w:rPr>
          <w:noProof/>
        </w:rPr>
        <w:t>9</w:t>
      </w:r>
      <w:r w:rsidR="000C0EAD">
        <w:rPr>
          <w:noProof/>
        </w:rPr>
        <w:fldChar w:fldCharType="end"/>
      </w:r>
      <w:r>
        <w:t xml:space="preserve">  Temporalidad de cambios no registrados por motivo agrupado</w:t>
      </w:r>
    </w:p>
    <w:tbl>
      <w:tblPr>
        <w:tblStyle w:val="Sombreadomedio1-nfasis1"/>
        <w:tblW w:w="8357" w:type="dxa"/>
        <w:jc w:val="center"/>
        <w:tblLook w:val="04A0" w:firstRow="1" w:lastRow="0" w:firstColumn="1" w:lastColumn="0" w:noHBand="0" w:noVBand="1"/>
      </w:tblPr>
      <w:tblGrid>
        <w:gridCol w:w="1298"/>
        <w:gridCol w:w="905"/>
        <w:gridCol w:w="878"/>
        <w:gridCol w:w="905"/>
        <w:gridCol w:w="841"/>
        <w:gridCol w:w="962"/>
        <w:gridCol w:w="725"/>
        <w:gridCol w:w="730"/>
        <w:gridCol w:w="1113"/>
      </w:tblGrid>
      <w:tr w:rsidR="00116D42" w:rsidRPr="00A615CE" w:rsidTr="00D86D49">
        <w:trPr>
          <w:cnfStyle w:val="100000000000" w:firstRow="1" w:lastRow="0" w:firstColumn="0" w:lastColumn="0" w:oddVBand="0" w:evenVBand="0" w:oddHBand="0"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270" w:type="dxa"/>
            <w:vMerge w:val="restart"/>
            <w:tcBorders>
              <w:right w:val="single" w:sz="4" w:space="0" w:color="auto"/>
            </w:tcBorders>
            <w:hideMark/>
          </w:tcPr>
          <w:p w:rsidR="00116D42" w:rsidRPr="00D86D49" w:rsidRDefault="00116D42" w:rsidP="006A0D15">
            <w:pPr>
              <w:jc w:val="both"/>
              <w:rPr>
                <w:rFonts w:cstheme="minorHAnsi"/>
                <w:sz w:val="20"/>
                <w:szCs w:val="20"/>
                <w:lang w:eastAsia="es-ES"/>
              </w:rPr>
            </w:pPr>
            <w:r w:rsidRPr="00D86D49">
              <w:rPr>
                <w:rFonts w:cstheme="minorHAnsi"/>
                <w:bCs w:val="0"/>
                <w:sz w:val="20"/>
                <w:szCs w:val="20"/>
                <w:lang w:eastAsia="es-ES"/>
              </w:rPr>
              <w:t>Motivo</w:t>
            </w:r>
          </w:p>
        </w:tc>
        <w:tc>
          <w:tcPr>
            <w:tcW w:w="1799" w:type="dxa"/>
            <w:gridSpan w:val="2"/>
            <w:tcBorders>
              <w:left w:val="single" w:sz="4" w:space="0" w:color="auto"/>
              <w:right w:val="single" w:sz="4" w:space="0" w:color="auto"/>
            </w:tcBorders>
            <w:hideMark/>
          </w:tcPr>
          <w:p w:rsidR="00116D42" w:rsidRPr="00D86D49" w:rsidRDefault="00116D42" w:rsidP="006A0D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eastAsia="es-ES"/>
              </w:rPr>
            </w:pPr>
            <w:r w:rsidRPr="00D86D49">
              <w:rPr>
                <w:rFonts w:cstheme="minorHAnsi"/>
                <w:bCs w:val="0"/>
                <w:sz w:val="20"/>
                <w:szCs w:val="20"/>
                <w:lang w:eastAsia="es-ES"/>
              </w:rPr>
              <w:t>PUOS  Febrero  2015</w:t>
            </w:r>
          </w:p>
        </w:tc>
        <w:tc>
          <w:tcPr>
            <w:tcW w:w="1744" w:type="dxa"/>
            <w:gridSpan w:val="2"/>
            <w:tcBorders>
              <w:left w:val="single" w:sz="4" w:space="0" w:color="auto"/>
              <w:right w:val="single" w:sz="4" w:space="0" w:color="auto"/>
            </w:tcBorders>
            <w:hideMark/>
          </w:tcPr>
          <w:p w:rsidR="00116D42" w:rsidRPr="00D86D49" w:rsidRDefault="00116D42" w:rsidP="006A0D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eastAsia="es-ES"/>
              </w:rPr>
            </w:pPr>
            <w:r w:rsidRPr="00D86D49">
              <w:rPr>
                <w:rFonts w:cstheme="minorHAnsi"/>
                <w:bCs w:val="0"/>
                <w:sz w:val="20"/>
                <w:szCs w:val="20"/>
                <w:lang w:eastAsia="es-ES"/>
              </w:rPr>
              <w:t>PUOS   Ord. 127</w:t>
            </w:r>
          </w:p>
        </w:tc>
        <w:tc>
          <w:tcPr>
            <w:tcW w:w="1774" w:type="dxa"/>
            <w:gridSpan w:val="2"/>
            <w:tcBorders>
              <w:left w:val="single" w:sz="4" w:space="0" w:color="auto"/>
              <w:right w:val="single" w:sz="4" w:space="0" w:color="auto"/>
            </w:tcBorders>
            <w:hideMark/>
          </w:tcPr>
          <w:p w:rsidR="00116D42" w:rsidRPr="00D86D49" w:rsidRDefault="00116D42" w:rsidP="006A0D1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eastAsia="es-ES"/>
              </w:rPr>
            </w:pPr>
            <w:r w:rsidRPr="00D86D49">
              <w:rPr>
                <w:rFonts w:cstheme="minorHAnsi"/>
                <w:bCs w:val="0"/>
                <w:sz w:val="20"/>
                <w:szCs w:val="20"/>
                <w:lang w:eastAsia="es-ES"/>
              </w:rPr>
              <w:t>Posterior a Ord. 127</w:t>
            </w:r>
          </w:p>
        </w:tc>
        <w:tc>
          <w:tcPr>
            <w:tcW w:w="778" w:type="dxa"/>
            <w:vMerge w:val="restart"/>
            <w:tcBorders>
              <w:left w:val="single" w:sz="4" w:space="0" w:color="auto"/>
            </w:tcBorders>
          </w:tcPr>
          <w:p w:rsidR="00116D42" w:rsidRPr="00D86D49" w:rsidRDefault="00116D42" w:rsidP="00116D42">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eastAsia="es-ES"/>
              </w:rPr>
            </w:pPr>
            <w:r w:rsidRPr="00D86D49">
              <w:rPr>
                <w:rFonts w:cstheme="minorHAnsi"/>
                <w:bCs w:val="0"/>
                <w:sz w:val="20"/>
                <w:szCs w:val="20"/>
                <w:lang w:eastAsia="es-ES"/>
              </w:rPr>
              <w:t>Total</w:t>
            </w:r>
          </w:p>
        </w:tc>
        <w:tc>
          <w:tcPr>
            <w:tcW w:w="992" w:type="dxa"/>
            <w:vMerge w:val="restart"/>
          </w:tcPr>
          <w:p w:rsidR="00116D42" w:rsidRPr="00D86D49" w:rsidRDefault="00116D42" w:rsidP="00116D42">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eastAsia="es-ES"/>
              </w:rPr>
            </w:pPr>
            <w:r w:rsidRPr="00D86D49">
              <w:rPr>
                <w:rFonts w:cstheme="minorHAnsi"/>
                <w:bCs w:val="0"/>
                <w:sz w:val="20"/>
                <w:szCs w:val="20"/>
                <w:lang w:eastAsia="es-ES"/>
              </w:rPr>
              <w:t>Porcentaje</w:t>
            </w:r>
          </w:p>
          <w:p w:rsidR="00116D42" w:rsidRPr="00D86D49" w:rsidRDefault="00116D42" w:rsidP="00116D42">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eastAsia="es-ES"/>
              </w:rPr>
            </w:pPr>
            <w:r w:rsidRPr="00D86D49">
              <w:rPr>
                <w:rFonts w:cstheme="minorHAnsi"/>
                <w:bCs w:val="0"/>
                <w:sz w:val="20"/>
                <w:szCs w:val="20"/>
                <w:lang w:eastAsia="es-ES"/>
              </w:rPr>
              <w:t>Total</w:t>
            </w:r>
          </w:p>
        </w:tc>
      </w:tr>
      <w:tr w:rsidR="00D86D49" w:rsidRPr="00A615CE" w:rsidTr="00D86D49">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1270" w:type="dxa"/>
            <w:vMerge/>
            <w:tcBorders>
              <w:right w:val="single" w:sz="4" w:space="0" w:color="auto"/>
            </w:tcBorders>
            <w:hideMark/>
          </w:tcPr>
          <w:p w:rsidR="00116D42" w:rsidRPr="00D86D49" w:rsidRDefault="00116D42" w:rsidP="006A0D15">
            <w:pPr>
              <w:jc w:val="both"/>
              <w:rPr>
                <w:rFonts w:cstheme="minorHAnsi"/>
                <w:sz w:val="20"/>
                <w:szCs w:val="20"/>
                <w:lang w:eastAsia="es-ES"/>
              </w:rPr>
            </w:pPr>
          </w:p>
        </w:tc>
        <w:tc>
          <w:tcPr>
            <w:tcW w:w="836" w:type="dxa"/>
            <w:tcBorders>
              <w:left w:val="single" w:sz="4" w:space="0" w:color="auto"/>
            </w:tcBorders>
            <w:shd w:val="clear" w:color="auto" w:fill="4F81BD" w:themeFill="accent1"/>
            <w:hideMark/>
          </w:tcPr>
          <w:p w:rsidR="00116D42" w:rsidRPr="00D86D49" w:rsidRDefault="00116D42" w:rsidP="002E5C56">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b/>
                <w:bCs/>
                <w:color w:val="FFFFFF" w:themeColor="background1"/>
                <w:sz w:val="20"/>
                <w:szCs w:val="20"/>
                <w:lang w:eastAsia="es-ES"/>
              </w:rPr>
              <w:t>Nº cambios</w:t>
            </w:r>
          </w:p>
        </w:tc>
        <w:tc>
          <w:tcPr>
            <w:tcW w:w="963" w:type="dxa"/>
            <w:tcBorders>
              <w:right w:val="single" w:sz="4" w:space="0" w:color="auto"/>
            </w:tcBorders>
            <w:shd w:val="clear" w:color="auto" w:fill="4F81BD" w:themeFill="accent1"/>
            <w:hideMark/>
          </w:tcPr>
          <w:p w:rsidR="00116D42" w:rsidRPr="00D86D49" w:rsidRDefault="00E85F22" w:rsidP="002E5C56">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color w:val="FFFFFF" w:themeColor="background1"/>
                <w:sz w:val="20"/>
                <w:szCs w:val="20"/>
                <w:lang w:eastAsia="es-ES"/>
              </w:rPr>
              <w:t>%</w:t>
            </w:r>
          </w:p>
        </w:tc>
        <w:tc>
          <w:tcPr>
            <w:tcW w:w="838" w:type="dxa"/>
            <w:tcBorders>
              <w:left w:val="single" w:sz="4" w:space="0" w:color="auto"/>
            </w:tcBorders>
            <w:shd w:val="clear" w:color="auto" w:fill="4F81BD" w:themeFill="accent1"/>
            <w:hideMark/>
          </w:tcPr>
          <w:p w:rsidR="00116D42" w:rsidRPr="00D86D49" w:rsidRDefault="00116D42" w:rsidP="002E5C56">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b/>
                <w:bCs/>
                <w:color w:val="FFFFFF" w:themeColor="background1"/>
                <w:sz w:val="20"/>
                <w:szCs w:val="20"/>
                <w:lang w:eastAsia="es-ES"/>
              </w:rPr>
              <w:t>Nº</w:t>
            </w:r>
          </w:p>
          <w:p w:rsidR="00116D42" w:rsidRPr="00D86D49" w:rsidRDefault="00116D42" w:rsidP="002E5C56">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b/>
                <w:bCs/>
                <w:color w:val="FFFFFF" w:themeColor="background1"/>
                <w:sz w:val="20"/>
                <w:szCs w:val="20"/>
                <w:lang w:eastAsia="es-ES"/>
              </w:rPr>
              <w:t>cambios</w:t>
            </w:r>
          </w:p>
        </w:tc>
        <w:tc>
          <w:tcPr>
            <w:tcW w:w="906" w:type="dxa"/>
            <w:tcBorders>
              <w:right w:val="single" w:sz="4" w:space="0" w:color="auto"/>
            </w:tcBorders>
            <w:shd w:val="clear" w:color="auto" w:fill="4F81BD" w:themeFill="accent1"/>
            <w:hideMark/>
          </w:tcPr>
          <w:p w:rsidR="00116D42" w:rsidRPr="00D86D49" w:rsidRDefault="00E85F22" w:rsidP="002E5C56">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b/>
                <w:bCs/>
                <w:color w:val="FFFFFF" w:themeColor="background1"/>
                <w:sz w:val="20"/>
                <w:szCs w:val="20"/>
                <w:lang w:eastAsia="es-ES"/>
              </w:rPr>
              <w:t>%</w:t>
            </w:r>
          </w:p>
        </w:tc>
        <w:tc>
          <w:tcPr>
            <w:tcW w:w="992" w:type="dxa"/>
            <w:tcBorders>
              <w:left w:val="single" w:sz="4" w:space="0" w:color="auto"/>
            </w:tcBorders>
            <w:shd w:val="clear" w:color="auto" w:fill="4F81BD" w:themeFill="accent1"/>
            <w:hideMark/>
          </w:tcPr>
          <w:p w:rsidR="00116D42" w:rsidRPr="00D86D49" w:rsidRDefault="00116D42" w:rsidP="002E5C56">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b/>
                <w:bCs/>
                <w:color w:val="FFFFFF" w:themeColor="background1"/>
                <w:sz w:val="20"/>
                <w:szCs w:val="20"/>
                <w:lang w:eastAsia="es-ES"/>
              </w:rPr>
              <w:t>Nº cambios</w:t>
            </w:r>
          </w:p>
        </w:tc>
        <w:tc>
          <w:tcPr>
            <w:tcW w:w="782" w:type="dxa"/>
            <w:tcBorders>
              <w:right w:val="single" w:sz="4" w:space="0" w:color="auto"/>
            </w:tcBorders>
            <w:shd w:val="clear" w:color="auto" w:fill="4F81BD" w:themeFill="accent1"/>
            <w:hideMark/>
          </w:tcPr>
          <w:p w:rsidR="00116D42" w:rsidRPr="00D86D49" w:rsidRDefault="00E85F22" w:rsidP="006A0D15">
            <w:pPr>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eastAsia="es-ES"/>
              </w:rPr>
            </w:pPr>
            <w:r w:rsidRPr="00D86D49">
              <w:rPr>
                <w:rFonts w:cstheme="minorHAnsi"/>
                <w:b/>
                <w:bCs/>
                <w:color w:val="FFFFFF" w:themeColor="background1"/>
                <w:sz w:val="20"/>
                <w:szCs w:val="20"/>
                <w:lang w:eastAsia="es-ES"/>
              </w:rPr>
              <w:t>%</w:t>
            </w:r>
          </w:p>
        </w:tc>
        <w:tc>
          <w:tcPr>
            <w:tcW w:w="778" w:type="dxa"/>
            <w:vMerge/>
            <w:tcBorders>
              <w:left w:val="single" w:sz="4" w:space="0" w:color="auto"/>
            </w:tcBorders>
          </w:tcPr>
          <w:p w:rsidR="00116D42" w:rsidRPr="00D86D49" w:rsidRDefault="00116D42" w:rsidP="006A0D15">
            <w:pPr>
              <w:jc w:val="both"/>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lang w:eastAsia="es-ES"/>
              </w:rPr>
            </w:pPr>
          </w:p>
        </w:tc>
        <w:tc>
          <w:tcPr>
            <w:tcW w:w="992" w:type="dxa"/>
            <w:vMerge/>
          </w:tcPr>
          <w:p w:rsidR="00116D42" w:rsidRPr="00D86D49" w:rsidRDefault="00116D42" w:rsidP="006A0D15">
            <w:pPr>
              <w:jc w:val="both"/>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lang w:eastAsia="es-ES"/>
              </w:rPr>
            </w:pPr>
          </w:p>
        </w:tc>
      </w:tr>
      <w:tr w:rsidR="00E85F22" w:rsidRPr="00A615CE" w:rsidTr="00D86D49">
        <w:trPr>
          <w:cnfStyle w:val="000000010000" w:firstRow="0" w:lastRow="0" w:firstColumn="0" w:lastColumn="0" w:oddVBand="0" w:evenVBand="0" w:oddHBand="0" w:evenHBand="1"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1270" w:type="dxa"/>
            <w:tcBorders>
              <w:right w:val="single" w:sz="4" w:space="0" w:color="auto"/>
            </w:tcBorders>
            <w:hideMark/>
          </w:tcPr>
          <w:p w:rsidR="00E85F22" w:rsidRPr="00D86D49" w:rsidRDefault="00E85F22" w:rsidP="00E85F22">
            <w:pPr>
              <w:rPr>
                <w:rFonts w:ascii="Calibri" w:hAnsi="Calibri" w:cs="Calibri"/>
                <w:sz w:val="20"/>
                <w:szCs w:val="20"/>
              </w:rPr>
            </w:pPr>
            <w:r w:rsidRPr="00D86D49">
              <w:rPr>
                <w:rFonts w:ascii="Calibri" w:hAnsi="Calibri" w:cs="Calibri"/>
                <w:sz w:val="20"/>
                <w:szCs w:val="20"/>
              </w:rPr>
              <w:t>Criterio Técnico</w:t>
            </w:r>
          </w:p>
        </w:tc>
        <w:tc>
          <w:tcPr>
            <w:tcW w:w="836" w:type="dxa"/>
            <w:tcBorders>
              <w:lef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120</w:t>
            </w:r>
          </w:p>
        </w:tc>
        <w:tc>
          <w:tcPr>
            <w:tcW w:w="963" w:type="dxa"/>
            <w:tcBorders>
              <w:righ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33,9%</w:t>
            </w:r>
          </w:p>
        </w:tc>
        <w:tc>
          <w:tcPr>
            <w:tcW w:w="838" w:type="dxa"/>
            <w:tcBorders>
              <w:lef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44</w:t>
            </w:r>
          </w:p>
        </w:tc>
        <w:tc>
          <w:tcPr>
            <w:tcW w:w="906" w:type="dxa"/>
            <w:tcBorders>
              <w:righ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12,4%</w:t>
            </w:r>
          </w:p>
        </w:tc>
        <w:tc>
          <w:tcPr>
            <w:tcW w:w="992" w:type="dxa"/>
            <w:tcBorders>
              <w:lef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6</w:t>
            </w:r>
          </w:p>
        </w:tc>
        <w:tc>
          <w:tcPr>
            <w:tcW w:w="782" w:type="dxa"/>
            <w:tcBorders>
              <w:righ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1,7%</w:t>
            </w:r>
          </w:p>
        </w:tc>
        <w:tc>
          <w:tcPr>
            <w:tcW w:w="778" w:type="dxa"/>
            <w:tcBorders>
              <w:left w:val="single" w:sz="4" w:space="0" w:color="auto"/>
            </w:tcBorders>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170</w:t>
            </w:r>
          </w:p>
        </w:tc>
        <w:tc>
          <w:tcPr>
            <w:tcW w:w="992" w:type="dxa"/>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48,0%</w:t>
            </w:r>
          </w:p>
        </w:tc>
      </w:tr>
      <w:tr w:rsidR="00E85F22" w:rsidRPr="00A615CE" w:rsidTr="00D86D49">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1270" w:type="dxa"/>
            <w:tcBorders>
              <w:right w:val="single" w:sz="4" w:space="0" w:color="auto"/>
            </w:tcBorders>
            <w:hideMark/>
          </w:tcPr>
          <w:p w:rsidR="00E85F22" w:rsidRPr="00D86D49" w:rsidRDefault="00E85F22" w:rsidP="00E85F22">
            <w:pPr>
              <w:rPr>
                <w:rFonts w:ascii="Calibri" w:hAnsi="Calibri" w:cs="Calibri"/>
                <w:sz w:val="20"/>
                <w:szCs w:val="20"/>
              </w:rPr>
            </w:pPr>
            <w:r w:rsidRPr="00D86D49">
              <w:rPr>
                <w:rFonts w:ascii="Calibri" w:hAnsi="Calibri" w:cs="Calibri"/>
                <w:sz w:val="20"/>
                <w:szCs w:val="20"/>
              </w:rPr>
              <w:t>Con justificativo</w:t>
            </w:r>
          </w:p>
        </w:tc>
        <w:tc>
          <w:tcPr>
            <w:tcW w:w="836" w:type="dxa"/>
            <w:tcBorders>
              <w:lef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50</w:t>
            </w:r>
          </w:p>
        </w:tc>
        <w:tc>
          <w:tcPr>
            <w:tcW w:w="963" w:type="dxa"/>
            <w:tcBorders>
              <w:righ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14,1%</w:t>
            </w:r>
          </w:p>
        </w:tc>
        <w:tc>
          <w:tcPr>
            <w:tcW w:w="838" w:type="dxa"/>
            <w:tcBorders>
              <w:lef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39</w:t>
            </w:r>
          </w:p>
        </w:tc>
        <w:tc>
          <w:tcPr>
            <w:tcW w:w="906" w:type="dxa"/>
            <w:tcBorders>
              <w:righ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11,0%</w:t>
            </w:r>
          </w:p>
        </w:tc>
        <w:tc>
          <w:tcPr>
            <w:tcW w:w="992" w:type="dxa"/>
            <w:tcBorders>
              <w:lef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10</w:t>
            </w:r>
          </w:p>
        </w:tc>
        <w:tc>
          <w:tcPr>
            <w:tcW w:w="782" w:type="dxa"/>
            <w:tcBorders>
              <w:righ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2,8%</w:t>
            </w:r>
          </w:p>
        </w:tc>
        <w:tc>
          <w:tcPr>
            <w:tcW w:w="778" w:type="dxa"/>
            <w:tcBorders>
              <w:left w:val="single" w:sz="4" w:space="0" w:color="auto"/>
            </w:tcBorders>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99</w:t>
            </w:r>
          </w:p>
        </w:tc>
        <w:tc>
          <w:tcPr>
            <w:tcW w:w="992" w:type="dxa"/>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28,0%</w:t>
            </w:r>
          </w:p>
        </w:tc>
      </w:tr>
      <w:tr w:rsidR="00E85F22" w:rsidRPr="00A615CE" w:rsidTr="00D86D49">
        <w:trPr>
          <w:cnfStyle w:val="000000010000" w:firstRow="0" w:lastRow="0" w:firstColumn="0" w:lastColumn="0" w:oddVBand="0" w:evenVBand="0" w:oddHBand="0" w:evenHBand="1"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270" w:type="dxa"/>
            <w:tcBorders>
              <w:right w:val="single" w:sz="4" w:space="0" w:color="auto"/>
            </w:tcBorders>
            <w:hideMark/>
          </w:tcPr>
          <w:p w:rsidR="00E85F22" w:rsidRPr="00D86D49" w:rsidRDefault="00E85F22" w:rsidP="00E85F22">
            <w:pPr>
              <w:rPr>
                <w:rFonts w:ascii="Calibri" w:hAnsi="Calibri" w:cs="Calibri"/>
                <w:sz w:val="20"/>
                <w:szCs w:val="20"/>
              </w:rPr>
            </w:pPr>
            <w:r w:rsidRPr="00D86D49">
              <w:rPr>
                <w:rFonts w:ascii="Calibri" w:hAnsi="Calibri" w:cs="Calibri"/>
                <w:sz w:val="20"/>
                <w:szCs w:val="20"/>
              </w:rPr>
              <w:t>Errores</w:t>
            </w:r>
          </w:p>
        </w:tc>
        <w:tc>
          <w:tcPr>
            <w:tcW w:w="836" w:type="dxa"/>
            <w:tcBorders>
              <w:lef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45</w:t>
            </w:r>
          </w:p>
        </w:tc>
        <w:tc>
          <w:tcPr>
            <w:tcW w:w="963" w:type="dxa"/>
            <w:tcBorders>
              <w:righ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12,7%</w:t>
            </w:r>
          </w:p>
        </w:tc>
        <w:tc>
          <w:tcPr>
            <w:tcW w:w="838" w:type="dxa"/>
            <w:tcBorders>
              <w:lef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4</w:t>
            </w:r>
          </w:p>
        </w:tc>
        <w:tc>
          <w:tcPr>
            <w:tcW w:w="906" w:type="dxa"/>
            <w:tcBorders>
              <w:righ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1,1%</w:t>
            </w:r>
          </w:p>
        </w:tc>
        <w:tc>
          <w:tcPr>
            <w:tcW w:w="992" w:type="dxa"/>
            <w:tcBorders>
              <w:lef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2</w:t>
            </w:r>
          </w:p>
        </w:tc>
        <w:tc>
          <w:tcPr>
            <w:tcW w:w="782" w:type="dxa"/>
            <w:tcBorders>
              <w:right w:val="single" w:sz="4" w:space="0" w:color="auto"/>
            </w:tcBorders>
            <w:hideMark/>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0,6%</w:t>
            </w:r>
          </w:p>
        </w:tc>
        <w:tc>
          <w:tcPr>
            <w:tcW w:w="778" w:type="dxa"/>
            <w:tcBorders>
              <w:left w:val="single" w:sz="4" w:space="0" w:color="auto"/>
            </w:tcBorders>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51</w:t>
            </w:r>
          </w:p>
        </w:tc>
        <w:tc>
          <w:tcPr>
            <w:tcW w:w="992" w:type="dxa"/>
          </w:tcPr>
          <w:p w:rsidR="00E85F22" w:rsidRPr="00A615CE" w:rsidRDefault="00E85F22" w:rsidP="002E5C5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14,4%</w:t>
            </w:r>
          </w:p>
        </w:tc>
      </w:tr>
      <w:tr w:rsidR="00E85F22" w:rsidRPr="00A615CE" w:rsidTr="00D86D49">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1270" w:type="dxa"/>
            <w:tcBorders>
              <w:right w:val="single" w:sz="4" w:space="0" w:color="auto"/>
            </w:tcBorders>
            <w:hideMark/>
          </w:tcPr>
          <w:p w:rsidR="00E85F22" w:rsidRPr="00D86D49" w:rsidRDefault="00E85F22" w:rsidP="00E85F22">
            <w:pPr>
              <w:rPr>
                <w:rFonts w:ascii="Calibri" w:hAnsi="Calibri" w:cs="Calibri"/>
                <w:sz w:val="20"/>
                <w:szCs w:val="20"/>
              </w:rPr>
            </w:pPr>
            <w:r w:rsidRPr="00D86D49">
              <w:rPr>
                <w:rFonts w:ascii="Calibri" w:hAnsi="Calibri" w:cs="Calibri"/>
                <w:sz w:val="20"/>
                <w:szCs w:val="20"/>
              </w:rPr>
              <w:t>No determinado</w:t>
            </w:r>
          </w:p>
        </w:tc>
        <w:tc>
          <w:tcPr>
            <w:tcW w:w="836" w:type="dxa"/>
            <w:tcBorders>
              <w:lef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24</w:t>
            </w:r>
          </w:p>
        </w:tc>
        <w:tc>
          <w:tcPr>
            <w:tcW w:w="963" w:type="dxa"/>
            <w:tcBorders>
              <w:righ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6,8%</w:t>
            </w:r>
          </w:p>
        </w:tc>
        <w:tc>
          <w:tcPr>
            <w:tcW w:w="838" w:type="dxa"/>
            <w:tcBorders>
              <w:lef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6</w:t>
            </w:r>
          </w:p>
        </w:tc>
        <w:tc>
          <w:tcPr>
            <w:tcW w:w="906" w:type="dxa"/>
            <w:tcBorders>
              <w:righ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1,7%</w:t>
            </w:r>
          </w:p>
        </w:tc>
        <w:tc>
          <w:tcPr>
            <w:tcW w:w="992" w:type="dxa"/>
            <w:tcBorders>
              <w:lef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4</w:t>
            </w:r>
          </w:p>
        </w:tc>
        <w:tc>
          <w:tcPr>
            <w:tcW w:w="782" w:type="dxa"/>
            <w:tcBorders>
              <w:right w:val="single" w:sz="4" w:space="0" w:color="auto"/>
            </w:tcBorders>
            <w:hideMark/>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1,1%</w:t>
            </w:r>
          </w:p>
        </w:tc>
        <w:tc>
          <w:tcPr>
            <w:tcW w:w="778" w:type="dxa"/>
            <w:tcBorders>
              <w:left w:val="single" w:sz="4" w:space="0" w:color="auto"/>
            </w:tcBorders>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34</w:t>
            </w:r>
          </w:p>
        </w:tc>
        <w:tc>
          <w:tcPr>
            <w:tcW w:w="992" w:type="dxa"/>
          </w:tcPr>
          <w:p w:rsidR="00E85F22" w:rsidRPr="00A615CE" w:rsidRDefault="00E85F22" w:rsidP="002E5C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615CE">
              <w:rPr>
                <w:rFonts w:ascii="Calibri" w:hAnsi="Calibri" w:cs="Calibri"/>
                <w:color w:val="000000"/>
                <w:sz w:val="20"/>
                <w:szCs w:val="20"/>
              </w:rPr>
              <w:t>9,6%</w:t>
            </w:r>
          </w:p>
        </w:tc>
      </w:tr>
      <w:tr w:rsidR="009C48C8" w:rsidRPr="00A615CE" w:rsidTr="00D86D49">
        <w:trPr>
          <w:cnfStyle w:val="000000010000" w:firstRow="0" w:lastRow="0" w:firstColumn="0" w:lastColumn="0" w:oddVBand="0" w:evenVBand="0" w:oddHBand="0" w:evenHBand="1"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0" w:type="dxa"/>
            <w:tcBorders>
              <w:right w:val="single" w:sz="4" w:space="0" w:color="auto"/>
            </w:tcBorders>
          </w:tcPr>
          <w:p w:rsidR="00116D42" w:rsidRPr="00D86D49" w:rsidRDefault="00116D42" w:rsidP="006A0D15">
            <w:pPr>
              <w:jc w:val="both"/>
              <w:rPr>
                <w:rFonts w:cstheme="minorHAnsi"/>
                <w:b w:val="0"/>
                <w:bCs w:val="0"/>
                <w:sz w:val="20"/>
                <w:szCs w:val="20"/>
                <w:lang w:eastAsia="es-ES"/>
              </w:rPr>
            </w:pPr>
            <w:r w:rsidRPr="00D86D49">
              <w:rPr>
                <w:rFonts w:cstheme="minorHAnsi"/>
                <w:b w:val="0"/>
                <w:bCs w:val="0"/>
                <w:sz w:val="20"/>
                <w:szCs w:val="20"/>
                <w:lang w:eastAsia="es-ES"/>
              </w:rPr>
              <w:t>Totales</w:t>
            </w:r>
          </w:p>
        </w:tc>
        <w:tc>
          <w:tcPr>
            <w:tcW w:w="836" w:type="dxa"/>
            <w:tcBorders>
              <w:left w:val="single" w:sz="4" w:space="0" w:color="auto"/>
            </w:tcBorders>
          </w:tcPr>
          <w:p w:rsidR="00116D42" w:rsidRPr="00A615CE" w:rsidRDefault="00331F11" w:rsidP="002E5C56">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239</w:t>
            </w:r>
          </w:p>
        </w:tc>
        <w:tc>
          <w:tcPr>
            <w:tcW w:w="963" w:type="dxa"/>
            <w:tcBorders>
              <w:right w:val="single" w:sz="4" w:space="0" w:color="auto"/>
            </w:tcBorders>
          </w:tcPr>
          <w:p w:rsidR="00116D42" w:rsidRPr="00A615CE" w:rsidRDefault="00116D42" w:rsidP="00331F11">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67.</w:t>
            </w:r>
            <w:r w:rsidR="00331F11" w:rsidRPr="00A615CE">
              <w:rPr>
                <w:rFonts w:cstheme="minorHAnsi"/>
                <w:b/>
                <w:sz w:val="20"/>
                <w:szCs w:val="20"/>
                <w:lang w:eastAsia="es-ES"/>
              </w:rPr>
              <w:t>5</w:t>
            </w:r>
            <w:r w:rsidRPr="00A615CE">
              <w:rPr>
                <w:rFonts w:cstheme="minorHAnsi"/>
                <w:b/>
                <w:sz w:val="20"/>
                <w:szCs w:val="20"/>
                <w:lang w:eastAsia="es-ES"/>
              </w:rPr>
              <w:t>%</w:t>
            </w:r>
          </w:p>
        </w:tc>
        <w:tc>
          <w:tcPr>
            <w:tcW w:w="838" w:type="dxa"/>
            <w:tcBorders>
              <w:left w:val="single" w:sz="4" w:space="0" w:color="auto"/>
            </w:tcBorders>
          </w:tcPr>
          <w:p w:rsidR="00116D42" w:rsidRPr="00A615CE" w:rsidRDefault="00116D42" w:rsidP="002E5C56">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9</w:t>
            </w:r>
            <w:r w:rsidR="00331F11" w:rsidRPr="00A615CE">
              <w:rPr>
                <w:rFonts w:cstheme="minorHAnsi"/>
                <w:b/>
                <w:sz w:val="20"/>
                <w:szCs w:val="20"/>
                <w:lang w:eastAsia="es-ES"/>
              </w:rPr>
              <w:t>3</w:t>
            </w:r>
          </w:p>
        </w:tc>
        <w:tc>
          <w:tcPr>
            <w:tcW w:w="906" w:type="dxa"/>
            <w:tcBorders>
              <w:right w:val="single" w:sz="4" w:space="0" w:color="auto"/>
            </w:tcBorders>
          </w:tcPr>
          <w:p w:rsidR="00116D42" w:rsidRPr="00A615CE" w:rsidRDefault="00116D42" w:rsidP="00331F11">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26.</w:t>
            </w:r>
            <w:r w:rsidR="00331F11" w:rsidRPr="00A615CE">
              <w:rPr>
                <w:rFonts w:cstheme="minorHAnsi"/>
                <w:b/>
                <w:sz w:val="20"/>
                <w:szCs w:val="20"/>
                <w:lang w:eastAsia="es-ES"/>
              </w:rPr>
              <w:t>3</w:t>
            </w:r>
            <w:r w:rsidRPr="00A615CE">
              <w:rPr>
                <w:rFonts w:cstheme="minorHAnsi"/>
                <w:b/>
                <w:sz w:val="20"/>
                <w:szCs w:val="20"/>
                <w:lang w:eastAsia="es-ES"/>
              </w:rPr>
              <w:t>%</w:t>
            </w:r>
          </w:p>
        </w:tc>
        <w:tc>
          <w:tcPr>
            <w:tcW w:w="992" w:type="dxa"/>
            <w:tcBorders>
              <w:left w:val="single" w:sz="4" w:space="0" w:color="auto"/>
            </w:tcBorders>
          </w:tcPr>
          <w:p w:rsidR="00116D42" w:rsidRPr="00A615CE" w:rsidRDefault="00116D42" w:rsidP="002E5C56">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22</w:t>
            </w:r>
          </w:p>
        </w:tc>
        <w:tc>
          <w:tcPr>
            <w:tcW w:w="782" w:type="dxa"/>
            <w:tcBorders>
              <w:right w:val="single" w:sz="4" w:space="0" w:color="auto"/>
            </w:tcBorders>
          </w:tcPr>
          <w:p w:rsidR="00116D42" w:rsidRPr="00A615CE" w:rsidRDefault="00116D42" w:rsidP="002E5C56">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6.2%</w:t>
            </w:r>
          </w:p>
        </w:tc>
        <w:tc>
          <w:tcPr>
            <w:tcW w:w="778" w:type="dxa"/>
            <w:tcBorders>
              <w:left w:val="single" w:sz="4" w:space="0" w:color="auto"/>
            </w:tcBorders>
          </w:tcPr>
          <w:p w:rsidR="00116D42" w:rsidRPr="00A615CE" w:rsidRDefault="00116D42" w:rsidP="002E5C56">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354</w:t>
            </w:r>
          </w:p>
        </w:tc>
        <w:tc>
          <w:tcPr>
            <w:tcW w:w="992" w:type="dxa"/>
          </w:tcPr>
          <w:p w:rsidR="00116D42" w:rsidRPr="00A615CE" w:rsidRDefault="00116D42" w:rsidP="002E5C56">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lang w:eastAsia="es-ES"/>
              </w:rPr>
            </w:pPr>
            <w:r w:rsidRPr="00A615CE">
              <w:rPr>
                <w:rFonts w:cstheme="minorHAnsi"/>
                <w:b/>
                <w:sz w:val="20"/>
                <w:szCs w:val="20"/>
                <w:lang w:eastAsia="es-ES"/>
              </w:rPr>
              <w:t>100%</w:t>
            </w:r>
          </w:p>
        </w:tc>
      </w:tr>
    </w:tbl>
    <w:p w:rsidR="006A0D15" w:rsidRDefault="006A0D15" w:rsidP="00BB2BD4">
      <w:pPr>
        <w:spacing w:after="0" w:line="240" w:lineRule="auto"/>
        <w:jc w:val="both"/>
        <w:rPr>
          <w:rFonts w:cstheme="minorHAnsi"/>
          <w:sz w:val="18"/>
          <w:szCs w:val="18"/>
          <w:lang w:val="es-ES" w:eastAsia="es-ES"/>
        </w:rPr>
      </w:pPr>
    </w:p>
    <w:p w:rsidR="00BB2BD4" w:rsidRDefault="00BB2BD4" w:rsidP="00BB2BD4">
      <w:pPr>
        <w:spacing w:after="0" w:line="240" w:lineRule="auto"/>
        <w:jc w:val="both"/>
        <w:rPr>
          <w:rFonts w:cstheme="minorHAnsi"/>
          <w:sz w:val="18"/>
          <w:szCs w:val="18"/>
          <w:lang w:val="es-ES" w:eastAsia="es-ES"/>
        </w:rPr>
      </w:pPr>
      <w:r w:rsidRPr="002319A1">
        <w:rPr>
          <w:rFonts w:cstheme="minorHAnsi"/>
          <w:sz w:val="18"/>
          <w:szCs w:val="18"/>
          <w:lang w:val="es-ES" w:eastAsia="es-ES"/>
        </w:rPr>
        <w:t>Elaboración: STHV</w:t>
      </w:r>
    </w:p>
    <w:p w:rsidR="00DC4CF5" w:rsidRDefault="00DC4CF5" w:rsidP="009366CB"/>
    <w:p w:rsidR="006A0D15" w:rsidRDefault="006A0D15" w:rsidP="009366CB">
      <w:r>
        <w:t>Sobre la base de la tabla anterior se concluye que:</w:t>
      </w:r>
    </w:p>
    <w:p w:rsidR="004C72B3" w:rsidRPr="006A0D15" w:rsidRDefault="007A39AC" w:rsidP="0066726B">
      <w:pPr>
        <w:numPr>
          <w:ilvl w:val="0"/>
          <w:numId w:val="33"/>
        </w:numPr>
        <w:spacing w:after="0" w:line="240" w:lineRule="auto"/>
        <w:ind w:left="714" w:hanging="357"/>
        <w:jc w:val="both"/>
      </w:pPr>
      <w:r w:rsidRPr="006A0D15">
        <w:t>La tabla anterior establec</w:t>
      </w:r>
      <w:r w:rsidR="000C0480">
        <w:t>e que a febrero del 2016 el 48</w:t>
      </w:r>
      <w:r w:rsidRPr="006A0D15">
        <w:t>% de los cambios se encontraban cargados en los mapas, y ten</w:t>
      </w:r>
      <w:r w:rsidR="000C0480">
        <w:t>ían un justificativo técnico (33,9</w:t>
      </w:r>
      <w:r w:rsidRPr="006A0D15">
        <w:t xml:space="preserve">%)  o legal (14,1%). </w:t>
      </w:r>
    </w:p>
    <w:p w:rsidR="004C72B3" w:rsidRPr="006A0D15" w:rsidRDefault="007A39AC" w:rsidP="0066726B">
      <w:pPr>
        <w:numPr>
          <w:ilvl w:val="0"/>
          <w:numId w:val="33"/>
        </w:numPr>
        <w:spacing w:after="0" w:line="240" w:lineRule="auto"/>
        <w:ind w:left="714" w:hanging="357"/>
        <w:jc w:val="both"/>
      </w:pPr>
      <w:r w:rsidRPr="006A0D15">
        <w:t xml:space="preserve"> En el período entre febrero de 2016 y julio de 2016, se cargan al PUOS un 23,2% de cambios que tienen justificativo técnico (12,</w:t>
      </w:r>
      <w:r w:rsidR="005415D7">
        <w:t>4</w:t>
      </w:r>
      <w:r w:rsidRPr="006A0D15">
        <w:t>%) o legal (11,0%).</w:t>
      </w:r>
    </w:p>
    <w:p w:rsidR="004C72B3" w:rsidRPr="006A0D15" w:rsidRDefault="007A39AC" w:rsidP="0066726B">
      <w:pPr>
        <w:numPr>
          <w:ilvl w:val="0"/>
          <w:numId w:val="33"/>
        </w:numPr>
        <w:spacing w:after="0" w:line="240" w:lineRule="auto"/>
        <w:ind w:left="714" w:hanging="357"/>
        <w:jc w:val="both"/>
      </w:pPr>
      <w:r w:rsidRPr="006A0D15">
        <w:t>El total  de cambios subido a la Ordenanza nº127 a la fecha de su sanción, con justificativo técnico y /o legal es del 71,</w:t>
      </w:r>
      <w:r w:rsidR="000C0480">
        <w:t>2</w:t>
      </w:r>
      <w:proofErr w:type="gramStart"/>
      <w:r w:rsidRPr="006A0D15">
        <w:t>% .</w:t>
      </w:r>
      <w:proofErr w:type="gramEnd"/>
    </w:p>
    <w:p w:rsidR="004C72B3" w:rsidRPr="006A0D15" w:rsidRDefault="007A39AC" w:rsidP="0066726B">
      <w:pPr>
        <w:numPr>
          <w:ilvl w:val="0"/>
          <w:numId w:val="33"/>
        </w:numPr>
        <w:spacing w:after="0" w:line="240" w:lineRule="auto"/>
        <w:ind w:left="714" w:hanging="357"/>
        <w:jc w:val="both"/>
      </w:pPr>
      <w:r w:rsidRPr="006A0D15">
        <w:t xml:space="preserve">El total  de cambios subido a la Ordenanza nº127 posterior a la fecha de su sanción, con justificativo técnico  </w:t>
      </w:r>
      <w:proofErr w:type="gramStart"/>
      <w:r w:rsidRPr="006A0D15">
        <w:t>( 1,7</w:t>
      </w:r>
      <w:proofErr w:type="gramEnd"/>
      <w:r w:rsidRPr="006A0D15">
        <w:t>%) o legal (2,8%)  es del 4,5 % .</w:t>
      </w:r>
    </w:p>
    <w:p w:rsidR="004C72B3" w:rsidRDefault="007A39AC" w:rsidP="0066726B">
      <w:pPr>
        <w:numPr>
          <w:ilvl w:val="0"/>
          <w:numId w:val="33"/>
        </w:numPr>
        <w:spacing w:after="0" w:line="240" w:lineRule="auto"/>
        <w:ind w:left="714" w:hanging="357"/>
        <w:jc w:val="both"/>
      </w:pPr>
      <w:r w:rsidRPr="006A0D15">
        <w:t>El total  de cambios subido a la Ordenanza nº1</w:t>
      </w:r>
      <w:r w:rsidR="005415D7">
        <w:t>27  con justificativo es del 76</w:t>
      </w:r>
      <w:r w:rsidRPr="006A0D15">
        <w:t>%</w:t>
      </w:r>
    </w:p>
    <w:p w:rsidR="008F2926" w:rsidRDefault="008F2926" w:rsidP="0066726B">
      <w:pPr>
        <w:numPr>
          <w:ilvl w:val="0"/>
          <w:numId w:val="33"/>
        </w:numPr>
        <w:spacing w:after="0" w:line="240" w:lineRule="auto"/>
        <w:ind w:left="714" w:hanging="357"/>
        <w:jc w:val="both"/>
      </w:pPr>
      <w:r>
        <w:t xml:space="preserve">El total de cambios </w:t>
      </w:r>
      <w:r w:rsidRPr="006A0D15">
        <w:t xml:space="preserve">subido a la Ordenanza nº127  </w:t>
      </w:r>
      <w:r>
        <w:t>que tienen algún tipo de error es del 14.4%</w:t>
      </w:r>
    </w:p>
    <w:p w:rsidR="008F2926" w:rsidRDefault="008F2926" w:rsidP="0066726B">
      <w:pPr>
        <w:numPr>
          <w:ilvl w:val="0"/>
          <w:numId w:val="33"/>
        </w:numPr>
        <w:spacing w:after="0" w:line="240" w:lineRule="auto"/>
        <w:ind w:left="714" w:hanging="357"/>
        <w:jc w:val="both"/>
      </w:pPr>
      <w:r>
        <w:t xml:space="preserve">El total de cambios </w:t>
      </w:r>
      <w:r w:rsidRPr="006A0D15">
        <w:t xml:space="preserve">subido a la Ordenanza nº127  </w:t>
      </w:r>
      <w:r>
        <w:t>que no tienen un origen determinado es del 9.</w:t>
      </w:r>
      <w:r w:rsidR="005415D7">
        <w:t>6</w:t>
      </w:r>
      <w:r>
        <w:t>%.</w:t>
      </w:r>
    </w:p>
    <w:p w:rsidR="004059B9" w:rsidRPr="006A0D15" w:rsidRDefault="004059B9" w:rsidP="004059B9">
      <w:pPr>
        <w:spacing w:line="240" w:lineRule="auto"/>
        <w:jc w:val="both"/>
      </w:pPr>
    </w:p>
    <w:p w:rsidR="00B22319" w:rsidRDefault="00891293" w:rsidP="00891293">
      <w:pPr>
        <w:pStyle w:val="Ttulo2"/>
        <w:numPr>
          <w:ilvl w:val="0"/>
          <w:numId w:val="15"/>
        </w:numPr>
        <w:spacing w:before="0" w:line="240" w:lineRule="auto"/>
        <w:rPr>
          <w:rFonts w:asciiTheme="minorHAnsi" w:hAnsiTheme="minorHAnsi" w:cstheme="minorHAnsi"/>
          <w:color w:val="365F91" w:themeColor="accent1" w:themeShade="BF"/>
          <w:sz w:val="22"/>
          <w:szCs w:val="22"/>
        </w:rPr>
      </w:pPr>
      <w:r w:rsidRPr="009366CB">
        <w:rPr>
          <w:rFonts w:asciiTheme="minorHAnsi" w:hAnsiTheme="minorHAnsi" w:cstheme="minorHAnsi"/>
          <w:color w:val="365F91" w:themeColor="accent1" w:themeShade="BF"/>
          <w:sz w:val="22"/>
          <w:szCs w:val="22"/>
        </w:rPr>
        <w:t>CAMBIOS REALIZADOS POR CRITERIO TÉCNICO DE LA STHV</w:t>
      </w:r>
    </w:p>
    <w:p w:rsidR="00BB5096" w:rsidRDefault="00BB5096" w:rsidP="00BB5096"/>
    <w:p w:rsidR="00891293" w:rsidRDefault="001025FD" w:rsidP="000B580D">
      <w:pPr>
        <w:spacing w:after="0" w:line="240" w:lineRule="auto"/>
        <w:jc w:val="both"/>
        <w:rPr>
          <w:rFonts w:cstheme="minorHAnsi"/>
        </w:rPr>
      </w:pPr>
      <w:r w:rsidRPr="000B580D">
        <w:rPr>
          <w:rFonts w:cstheme="minorHAnsi"/>
        </w:rPr>
        <w:t>Tal y como se explicó</w:t>
      </w:r>
      <w:r w:rsidR="00BB5096" w:rsidRPr="000B580D">
        <w:rPr>
          <w:rFonts w:cstheme="minorHAnsi"/>
        </w:rPr>
        <w:t xml:space="preserve"> ante</w:t>
      </w:r>
      <w:r w:rsidRPr="000B580D">
        <w:rPr>
          <w:rFonts w:cstheme="minorHAnsi"/>
        </w:rPr>
        <w:t>riormente, el análisis determinó</w:t>
      </w:r>
      <w:r w:rsidR="002F5AC3">
        <w:rPr>
          <w:rFonts w:cstheme="minorHAnsi"/>
        </w:rPr>
        <w:t xml:space="preserve"> un total de 170</w:t>
      </w:r>
      <w:r w:rsidR="006D4CFF" w:rsidRPr="000B580D">
        <w:rPr>
          <w:rFonts w:cstheme="minorHAnsi"/>
        </w:rPr>
        <w:t xml:space="preserve"> casos que corresponden al 4</w:t>
      </w:r>
      <w:r w:rsidR="00227E8F">
        <w:rPr>
          <w:rFonts w:cstheme="minorHAnsi"/>
        </w:rPr>
        <w:t>8</w:t>
      </w:r>
      <w:r w:rsidR="006D4CFF" w:rsidRPr="000B580D">
        <w:rPr>
          <w:rFonts w:cstheme="minorHAnsi"/>
        </w:rPr>
        <w:t>% de cambios no registrados, que</w:t>
      </w:r>
      <w:r w:rsidRPr="000B580D">
        <w:rPr>
          <w:rFonts w:cstheme="minorHAnsi"/>
        </w:rPr>
        <w:t xml:space="preserve"> se realizaron</w:t>
      </w:r>
      <w:r w:rsidR="006D4CFF" w:rsidRPr="000B580D">
        <w:rPr>
          <w:rFonts w:cstheme="minorHAnsi"/>
        </w:rPr>
        <w:t xml:space="preserve"> </w:t>
      </w:r>
      <w:r w:rsidRPr="000B580D">
        <w:rPr>
          <w:rFonts w:cstheme="minorHAnsi"/>
        </w:rPr>
        <w:t>conforme</w:t>
      </w:r>
      <w:r w:rsidR="006D4CFF" w:rsidRPr="000B580D">
        <w:rPr>
          <w:rFonts w:cstheme="minorHAnsi"/>
        </w:rPr>
        <w:t xml:space="preserve"> a</w:t>
      </w:r>
      <w:r w:rsidR="00BB5096" w:rsidRPr="000B580D">
        <w:rPr>
          <w:rFonts w:cstheme="minorHAnsi"/>
        </w:rPr>
        <w:t xml:space="preserve">  Criterios Técnicos de la </w:t>
      </w:r>
      <w:r w:rsidR="00116D42">
        <w:rPr>
          <w:rFonts w:cstheme="minorHAnsi"/>
        </w:rPr>
        <w:t xml:space="preserve">DMPPS de la </w:t>
      </w:r>
      <w:r w:rsidR="00A615CE">
        <w:rPr>
          <w:rFonts w:cstheme="minorHAnsi"/>
        </w:rPr>
        <w:t>Secretaría de T</w:t>
      </w:r>
      <w:r w:rsidR="00BB5096" w:rsidRPr="000B580D">
        <w:rPr>
          <w:rFonts w:cstheme="minorHAnsi"/>
        </w:rPr>
        <w:t>erritorio, Hábitat y Vivienda</w:t>
      </w:r>
      <w:r w:rsidR="00891293" w:rsidRPr="000B580D">
        <w:rPr>
          <w:rFonts w:cstheme="minorHAnsi"/>
        </w:rPr>
        <w:t xml:space="preserve">.  En ese sentido, </w:t>
      </w:r>
      <w:r w:rsidR="006D4CFF" w:rsidRPr="000B580D">
        <w:rPr>
          <w:rFonts w:cstheme="minorHAnsi"/>
        </w:rPr>
        <w:t xml:space="preserve"> en este acápite se presenta un a</w:t>
      </w:r>
      <w:r w:rsidR="002F5AC3">
        <w:rPr>
          <w:rFonts w:cstheme="minorHAnsi"/>
        </w:rPr>
        <w:t>nálisis pormenorizado de los 170</w:t>
      </w:r>
      <w:r w:rsidR="006D4CFF" w:rsidRPr="000B580D">
        <w:rPr>
          <w:rFonts w:cstheme="minorHAnsi"/>
        </w:rPr>
        <w:t xml:space="preserve"> casos a fin de establecer con detalle los criterios que se consideraron a</w:t>
      </w:r>
      <w:r w:rsidRPr="000B580D">
        <w:rPr>
          <w:rFonts w:cstheme="minorHAnsi"/>
        </w:rPr>
        <w:t>l momento de efectuar el cambio.</w:t>
      </w:r>
    </w:p>
    <w:p w:rsidR="000A2B6C" w:rsidRDefault="000A2B6C" w:rsidP="000B580D">
      <w:pPr>
        <w:spacing w:after="0" w:line="240" w:lineRule="auto"/>
        <w:jc w:val="both"/>
        <w:rPr>
          <w:rFonts w:cstheme="minorHAnsi"/>
        </w:rPr>
      </w:pPr>
    </w:p>
    <w:p w:rsidR="000B580D" w:rsidRPr="000B580D" w:rsidRDefault="000B580D" w:rsidP="000B580D">
      <w:pPr>
        <w:spacing w:after="0" w:line="240" w:lineRule="auto"/>
        <w:jc w:val="both"/>
        <w:rPr>
          <w:rFonts w:cstheme="minorHAnsi"/>
        </w:rPr>
      </w:pPr>
    </w:p>
    <w:p w:rsidR="001025FD" w:rsidRDefault="001025FD" w:rsidP="001025FD">
      <w:pPr>
        <w:pStyle w:val="Ttulo2"/>
        <w:numPr>
          <w:ilvl w:val="1"/>
          <w:numId w:val="15"/>
        </w:numPr>
        <w:spacing w:before="0" w:line="240"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Criterios </w:t>
      </w:r>
      <w:r w:rsidR="000A2B6C">
        <w:rPr>
          <w:rFonts w:asciiTheme="minorHAnsi" w:hAnsiTheme="minorHAnsi" w:cstheme="minorHAnsi"/>
          <w:color w:val="365F91" w:themeColor="accent1" w:themeShade="BF"/>
          <w:sz w:val="22"/>
          <w:szCs w:val="22"/>
        </w:rPr>
        <w:t xml:space="preserve"> Técnicos </w:t>
      </w:r>
      <w:r>
        <w:rPr>
          <w:rFonts w:asciiTheme="minorHAnsi" w:hAnsiTheme="minorHAnsi" w:cstheme="minorHAnsi"/>
          <w:color w:val="365F91" w:themeColor="accent1" w:themeShade="BF"/>
          <w:sz w:val="22"/>
          <w:szCs w:val="22"/>
        </w:rPr>
        <w:t>Utilizados</w:t>
      </w:r>
      <w:r w:rsidR="00A84345">
        <w:rPr>
          <w:rFonts w:asciiTheme="minorHAnsi" w:hAnsiTheme="minorHAnsi" w:cstheme="minorHAnsi"/>
          <w:color w:val="365F91" w:themeColor="accent1" w:themeShade="BF"/>
          <w:sz w:val="22"/>
          <w:szCs w:val="22"/>
        </w:rPr>
        <w:t xml:space="preserve"> para actualización del PUOS</w:t>
      </w:r>
    </w:p>
    <w:p w:rsidR="00D277CB" w:rsidRPr="00D86D49" w:rsidRDefault="00D277CB" w:rsidP="00D86D49">
      <w:pPr>
        <w:spacing w:after="0" w:line="240" w:lineRule="auto"/>
        <w:jc w:val="both"/>
        <w:rPr>
          <w:rFonts w:cstheme="minorHAnsi"/>
        </w:rPr>
      </w:pPr>
    </w:p>
    <w:p w:rsidR="00D86D49" w:rsidRDefault="00D86D49" w:rsidP="00D86D49">
      <w:pPr>
        <w:spacing w:after="0" w:line="240" w:lineRule="auto"/>
        <w:jc w:val="both"/>
        <w:rPr>
          <w:rFonts w:cstheme="minorHAnsi"/>
        </w:rPr>
      </w:pPr>
      <w:r w:rsidRPr="00D86D49">
        <w:rPr>
          <w:rFonts w:cstheme="minorHAnsi"/>
        </w:rPr>
        <w:t>El Criterio Técnico, corresponde a un análisis técnico realizado por la  STHV durante el pr</w:t>
      </w:r>
      <w:r>
        <w:rPr>
          <w:rFonts w:cstheme="minorHAnsi"/>
        </w:rPr>
        <w:t>oceso de actualización del PUOS</w:t>
      </w:r>
      <w:r w:rsidRPr="00D86D49">
        <w:rPr>
          <w:rFonts w:cstheme="minorHAnsi"/>
        </w:rPr>
        <w:t xml:space="preserve"> utilizando </w:t>
      </w:r>
      <w:r>
        <w:rPr>
          <w:rFonts w:cstheme="minorHAnsi"/>
        </w:rPr>
        <w:t>para el efecto</w:t>
      </w:r>
      <w:r w:rsidRPr="00D86D49">
        <w:rPr>
          <w:rFonts w:cstheme="minorHAnsi"/>
        </w:rPr>
        <w:t xml:space="preserve"> un grupo de variables verificables en territorio, y apoyado en los recursos informáticos disponibles en la STHV. </w:t>
      </w:r>
      <w:r>
        <w:rPr>
          <w:rFonts w:cstheme="minorHAnsi"/>
        </w:rPr>
        <w:t xml:space="preserve"> La siguiente tabla describe las variables utilizadas:</w:t>
      </w:r>
    </w:p>
    <w:p w:rsidR="00D86D49" w:rsidRPr="00D86D49" w:rsidRDefault="00D86D49" w:rsidP="00D86D49">
      <w:pPr>
        <w:spacing w:after="0" w:line="240" w:lineRule="auto"/>
        <w:jc w:val="both"/>
        <w:rPr>
          <w:rFonts w:cstheme="minorHAnsi"/>
        </w:rPr>
      </w:pPr>
    </w:p>
    <w:p w:rsidR="00A84345" w:rsidRPr="007E5E32" w:rsidRDefault="00A84345" w:rsidP="00A84345">
      <w:pPr>
        <w:pStyle w:val="Epgrafe"/>
        <w:jc w:val="center"/>
        <w:rPr>
          <w:rFonts w:cstheme="minorHAnsi"/>
          <w:sz w:val="24"/>
          <w:szCs w:val="24"/>
          <w:lang w:val="es-ES" w:eastAsia="es-ES"/>
        </w:rPr>
      </w:pPr>
      <w:r w:rsidRPr="007E5E32">
        <w:t xml:space="preserve">Tabla </w:t>
      </w:r>
      <w:r w:rsidR="000C0EAD">
        <w:fldChar w:fldCharType="begin"/>
      </w:r>
      <w:r w:rsidR="000C0EAD">
        <w:instrText xml:space="preserve"> SEQ Tabla \* ARABIC </w:instrText>
      </w:r>
      <w:r w:rsidR="000C0EAD">
        <w:fldChar w:fldCharType="separate"/>
      </w:r>
      <w:r w:rsidR="00CA401D">
        <w:rPr>
          <w:noProof/>
        </w:rPr>
        <w:t>10</w:t>
      </w:r>
      <w:r w:rsidR="000C0EAD">
        <w:rPr>
          <w:noProof/>
        </w:rPr>
        <w:fldChar w:fldCharType="end"/>
      </w:r>
      <w:r w:rsidRPr="007E5E32">
        <w:t xml:space="preserve">  Criterios </w:t>
      </w:r>
      <w:r w:rsidR="004F1D90" w:rsidRPr="007E5E32">
        <w:t xml:space="preserve"> Técnicos </w:t>
      </w:r>
      <w:r w:rsidRPr="007E5E32">
        <w:t>de actualización del PUOS</w:t>
      </w:r>
    </w:p>
    <w:tbl>
      <w:tblPr>
        <w:tblStyle w:val="Listaclara-nfasis1"/>
        <w:tblW w:w="8888" w:type="dxa"/>
        <w:tblLayout w:type="fixed"/>
        <w:tblLook w:val="04A0" w:firstRow="1" w:lastRow="0" w:firstColumn="1" w:lastColumn="0" w:noHBand="0" w:noVBand="1"/>
      </w:tblPr>
      <w:tblGrid>
        <w:gridCol w:w="1384"/>
        <w:gridCol w:w="1834"/>
        <w:gridCol w:w="5670"/>
      </w:tblGrid>
      <w:tr w:rsidR="00190A98" w:rsidRPr="00C208B7" w:rsidTr="003C6DF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hideMark/>
          </w:tcPr>
          <w:p w:rsidR="00190A98" w:rsidRPr="00190A98" w:rsidRDefault="00190A98" w:rsidP="00190A98">
            <w:pPr>
              <w:jc w:val="center"/>
              <w:rPr>
                <w:rFonts w:ascii="Calibri" w:eastAsia="Times New Roman" w:hAnsi="Calibri" w:cs="Times New Roman"/>
                <w:b w:val="0"/>
                <w:bCs w:val="0"/>
                <w:lang w:eastAsia="es-EC"/>
              </w:rPr>
            </w:pPr>
            <w:r w:rsidRPr="00190A98">
              <w:rPr>
                <w:rFonts w:ascii="Calibri" w:eastAsia="Times New Roman" w:hAnsi="Calibri" w:cs="Times New Roman"/>
                <w:lang w:eastAsia="es-EC"/>
              </w:rPr>
              <w:t>Criterio</w:t>
            </w:r>
          </w:p>
        </w:tc>
        <w:tc>
          <w:tcPr>
            <w:tcW w:w="1834" w:type="dxa"/>
            <w:hideMark/>
          </w:tcPr>
          <w:p w:rsidR="00190A98" w:rsidRPr="00190A98" w:rsidRDefault="00190A98" w:rsidP="00190A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s-EC"/>
              </w:rPr>
            </w:pPr>
            <w:r w:rsidRPr="00190A98">
              <w:rPr>
                <w:rFonts w:ascii="Calibri" w:eastAsia="Times New Roman" w:hAnsi="Calibri" w:cs="Times New Roman"/>
                <w:lang w:eastAsia="es-EC"/>
              </w:rPr>
              <w:t>Variable</w:t>
            </w:r>
          </w:p>
        </w:tc>
        <w:tc>
          <w:tcPr>
            <w:tcW w:w="5670" w:type="dxa"/>
            <w:hideMark/>
          </w:tcPr>
          <w:p w:rsidR="00190A98" w:rsidRPr="00190A98" w:rsidRDefault="00190A98" w:rsidP="00190A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s-EC"/>
              </w:rPr>
            </w:pPr>
            <w:r w:rsidRPr="00190A98">
              <w:rPr>
                <w:rFonts w:ascii="Calibri" w:eastAsia="Times New Roman" w:hAnsi="Calibri" w:cs="Times New Roman"/>
                <w:lang w:eastAsia="es-EC"/>
              </w:rPr>
              <w:t>Explicación</w:t>
            </w:r>
          </w:p>
        </w:tc>
      </w:tr>
      <w:tr w:rsidR="00190A98" w:rsidRPr="00C208B7" w:rsidTr="003C6D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rsidR="00190A98" w:rsidRPr="00C208B7" w:rsidRDefault="00190A98" w:rsidP="003C6DF2">
            <w:pPr>
              <w:jc w:val="both"/>
              <w:rPr>
                <w:rFonts w:ascii="Calibri" w:eastAsia="Times New Roman" w:hAnsi="Calibri" w:cs="Times New Roman"/>
                <w:b w:val="0"/>
                <w:bCs w:val="0"/>
                <w:sz w:val="20"/>
                <w:szCs w:val="20"/>
                <w:lang w:eastAsia="es-EC"/>
              </w:rPr>
            </w:pPr>
            <w:r w:rsidRPr="00C208B7">
              <w:rPr>
                <w:rFonts w:ascii="Calibri" w:eastAsia="Times New Roman" w:hAnsi="Calibri" w:cs="Times New Roman"/>
                <w:sz w:val="20"/>
                <w:szCs w:val="20"/>
                <w:lang w:eastAsia="es-EC"/>
              </w:rPr>
              <w:t>Consolidación</w:t>
            </w: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Tamaño del lote</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la superficie estimada del lote</w:t>
            </w:r>
          </w:p>
        </w:tc>
      </w:tr>
      <w:tr w:rsidR="00190A98" w:rsidRPr="00C208B7" w:rsidTr="003C6DF2">
        <w:trPr>
          <w:trHeight w:val="765"/>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Infraestructura</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la presencia de infraestructura (vías, agua alcantarillado, energía eléctrica)</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Servicios</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Indica la cobertura del servicio en función de la infraestructura existente</w:t>
            </w:r>
          </w:p>
        </w:tc>
      </w:tr>
      <w:tr w:rsidR="00190A98" w:rsidRPr="00C208B7" w:rsidTr="000A1A77">
        <w:trPr>
          <w:trHeight w:val="689"/>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Afectación especial</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Son áreas de afectación por infraestructuras instaladas (alta tensión, acueductos, poliductos, gasoductos, canales de riego)</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Área patrimonial</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sectores o inmuebles inventariados como bienes patrimoniales del DMQ</w:t>
            </w:r>
          </w:p>
        </w:tc>
      </w:tr>
      <w:tr w:rsidR="00190A98" w:rsidRPr="00C208B7" w:rsidTr="000A1A77">
        <w:trPr>
          <w:trHeight w:val="695"/>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Retiros</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la forma de ocupación que tiene un lote con relación a la superficie edificada</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COS</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Es la relación entre el área edificada computable y el área del lote</w:t>
            </w:r>
          </w:p>
        </w:tc>
      </w:tr>
      <w:tr w:rsidR="00190A98" w:rsidRPr="00C208B7" w:rsidTr="000A1A77">
        <w:trPr>
          <w:trHeight w:val="669"/>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Asentamientos humanos</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Indica la presencia de asentamientos o conglomerados humanos</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Homologación del sector</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la unificación de un sector por el estado de consolidación</w:t>
            </w:r>
          </w:p>
        </w:tc>
      </w:tr>
      <w:tr w:rsidR="00190A98" w:rsidRPr="00C208B7" w:rsidTr="000A1A77">
        <w:trPr>
          <w:trHeight w:val="559"/>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No existe consolidación</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Indica la presencia de suelo vacante con pocas edificaciones en un sector</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Afectación vial</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Son los derechos de vías que posibilitan la regularización de vías existentes y proyectadas</w:t>
            </w:r>
          </w:p>
        </w:tc>
      </w:tr>
      <w:tr w:rsidR="00190A98" w:rsidRPr="00C208B7" w:rsidTr="003C6DF2">
        <w:trPr>
          <w:trHeight w:val="765"/>
        </w:trPr>
        <w:tc>
          <w:tcPr>
            <w:cnfStyle w:val="001000000000" w:firstRow="0" w:lastRow="0" w:firstColumn="1" w:lastColumn="0" w:oddVBand="0" w:evenVBand="0" w:oddHBand="0" w:evenHBand="0" w:firstRowFirstColumn="0" w:firstRowLastColumn="0" w:lastRowFirstColumn="0" w:lastRowLastColumn="0"/>
            <w:tcW w:w="1384" w:type="dxa"/>
            <w:hideMark/>
          </w:tcPr>
          <w:p w:rsidR="00190A98" w:rsidRPr="00C208B7" w:rsidRDefault="00190A98" w:rsidP="003C6DF2">
            <w:pPr>
              <w:jc w:val="both"/>
              <w:rPr>
                <w:rFonts w:ascii="Calibri" w:eastAsia="Times New Roman" w:hAnsi="Calibri" w:cs="Times New Roman"/>
                <w:b w:val="0"/>
                <w:bCs w:val="0"/>
                <w:sz w:val="20"/>
                <w:szCs w:val="20"/>
                <w:lang w:eastAsia="es-EC"/>
              </w:rPr>
            </w:pPr>
            <w:r w:rsidRPr="00C208B7">
              <w:rPr>
                <w:rFonts w:ascii="Calibri" w:eastAsia="Times New Roman" w:hAnsi="Calibri" w:cs="Times New Roman"/>
                <w:sz w:val="20"/>
                <w:szCs w:val="20"/>
                <w:lang w:eastAsia="es-EC"/>
              </w:rPr>
              <w:t>Nuevos desarrollos</w:t>
            </w: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Suelos destinados a desarrollo urbanístico</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Suelos con capacidad en cuanto a infraestructura y servicios que posibilitan nuevos desarrollos</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rsidR="00190A98" w:rsidRPr="00C208B7" w:rsidRDefault="00190A98" w:rsidP="003C6DF2">
            <w:pPr>
              <w:jc w:val="both"/>
              <w:rPr>
                <w:rFonts w:ascii="Calibri" w:eastAsia="Times New Roman" w:hAnsi="Calibri" w:cs="Times New Roman"/>
                <w:b w:val="0"/>
                <w:bCs w:val="0"/>
                <w:sz w:val="20"/>
                <w:szCs w:val="20"/>
                <w:lang w:eastAsia="es-EC"/>
              </w:rPr>
            </w:pPr>
            <w:r w:rsidRPr="00C208B7">
              <w:rPr>
                <w:rFonts w:ascii="Calibri" w:eastAsia="Times New Roman" w:hAnsi="Calibri" w:cs="Times New Roman"/>
                <w:sz w:val="20"/>
                <w:szCs w:val="20"/>
                <w:lang w:eastAsia="es-EC"/>
              </w:rPr>
              <w:t>Actividades económicas</w:t>
            </w: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Verificación de actividades económicas en campo</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inspecciones realizadas en campo por el personal técnico de la STHV, donde se verificó la presencia de actividades económicas en los diferentes sectores</w:t>
            </w:r>
          </w:p>
        </w:tc>
      </w:tr>
      <w:tr w:rsidR="00190A98" w:rsidRPr="00C208B7" w:rsidTr="003C6DF2">
        <w:trPr>
          <w:trHeight w:val="765"/>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Verificación de actividades económicas</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 xml:space="preserve">Datos verificados mediante información digital de imágenes y fotografías disponibles </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Verificación de equipamientos</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Indica la presencia de equipamientos en el sector, verificados con la base catastral del DMQ</w:t>
            </w:r>
          </w:p>
        </w:tc>
      </w:tr>
      <w:tr w:rsidR="00190A98" w:rsidRPr="00C208B7" w:rsidTr="003C6DF2">
        <w:trPr>
          <w:trHeight w:val="510"/>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Verificación de industrias</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Indica la presencia de industrias en el sector</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Homologación del sector</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la unificación de un sector de acuerdo a actividades económicas</w:t>
            </w:r>
          </w:p>
        </w:tc>
      </w:tr>
      <w:tr w:rsidR="00190A98" w:rsidRPr="00C208B7" w:rsidTr="000A1A77">
        <w:trPr>
          <w:trHeight w:val="967"/>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rsidR="00190A98" w:rsidRPr="00C208B7" w:rsidRDefault="00190A98" w:rsidP="003C6DF2">
            <w:pPr>
              <w:jc w:val="both"/>
              <w:rPr>
                <w:rFonts w:ascii="Calibri" w:eastAsia="Times New Roman" w:hAnsi="Calibri" w:cs="Times New Roman"/>
                <w:b w:val="0"/>
                <w:bCs w:val="0"/>
                <w:sz w:val="20"/>
                <w:szCs w:val="20"/>
                <w:lang w:eastAsia="es-EC"/>
              </w:rPr>
            </w:pPr>
            <w:r w:rsidRPr="00C208B7">
              <w:rPr>
                <w:rFonts w:ascii="Calibri" w:eastAsia="Times New Roman" w:hAnsi="Calibri" w:cs="Times New Roman"/>
                <w:sz w:val="20"/>
                <w:szCs w:val="20"/>
                <w:lang w:eastAsia="es-EC"/>
              </w:rPr>
              <w:t>Protecciones ecológicas</w:t>
            </w:r>
          </w:p>
        </w:tc>
        <w:tc>
          <w:tcPr>
            <w:tcW w:w="1834" w:type="dxa"/>
            <w:hideMark/>
          </w:tcPr>
          <w:p w:rsidR="00190A98" w:rsidRPr="00C208B7" w:rsidRDefault="00190A98" w:rsidP="003C6D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Zonas de protección ecológica</w:t>
            </w:r>
          </w:p>
        </w:tc>
        <w:tc>
          <w:tcPr>
            <w:tcW w:w="5670" w:type="dxa"/>
            <w:hideMark/>
          </w:tcPr>
          <w:p w:rsidR="00190A98" w:rsidRPr="00C208B7" w:rsidRDefault="00190A98"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zonas declaradas como protección ecológica mediante ordenanza o través de análisis y recomendaciones realizadas por la Secretaría de Ambiente del DMQ</w:t>
            </w:r>
          </w:p>
        </w:tc>
      </w:tr>
      <w:tr w:rsidR="00190A98" w:rsidRPr="00C208B7" w:rsidTr="000A1A7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384" w:type="dxa"/>
            <w:vMerge/>
            <w:hideMark/>
          </w:tcPr>
          <w:p w:rsidR="00190A98" w:rsidRPr="00C208B7" w:rsidRDefault="00190A98" w:rsidP="003C6DF2">
            <w:pPr>
              <w:rPr>
                <w:rFonts w:ascii="Calibri" w:eastAsia="Times New Roman" w:hAnsi="Calibri" w:cs="Times New Roman"/>
                <w:b w:val="0"/>
                <w:bCs w:val="0"/>
                <w:sz w:val="20"/>
                <w:szCs w:val="20"/>
                <w:lang w:eastAsia="es-EC"/>
              </w:rPr>
            </w:pPr>
          </w:p>
        </w:tc>
        <w:tc>
          <w:tcPr>
            <w:tcW w:w="1834" w:type="dxa"/>
            <w:hideMark/>
          </w:tcPr>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Protecciones de quebrada</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Verificación de la presencia de quebradas mediante la cartografía base (curvas de nivel, pendientes y borde superior de quebrada generado por la Dirección Metropolitana de Catastro)</w:t>
            </w:r>
          </w:p>
        </w:tc>
      </w:tr>
      <w:tr w:rsidR="00190A98" w:rsidRPr="00C208B7" w:rsidTr="003C6DF2">
        <w:trPr>
          <w:trHeight w:val="765"/>
        </w:trPr>
        <w:tc>
          <w:tcPr>
            <w:cnfStyle w:val="001000000000" w:firstRow="0" w:lastRow="0" w:firstColumn="1" w:lastColumn="0" w:oddVBand="0" w:evenVBand="0" w:oddHBand="0" w:evenHBand="0" w:firstRowFirstColumn="0" w:firstRowLastColumn="0" w:lastRowFirstColumn="0" w:lastRowLastColumn="0"/>
            <w:tcW w:w="1384" w:type="dxa"/>
            <w:hideMark/>
          </w:tcPr>
          <w:p w:rsidR="00190A98" w:rsidRPr="00C208B7" w:rsidRDefault="00190A98" w:rsidP="003C6DF2">
            <w:pPr>
              <w:jc w:val="both"/>
              <w:rPr>
                <w:rFonts w:ascii="Calibri" w:eastAsia="Times New Roman" w:hAnsi="Calibri" w:cs="Times New Roman"/>
                <w:b w:val="0"/>
                <w:bCs w:val="0"/>
                <w:sz w:val="20"/>
                <w:szCs w:val="20"/>
                <w:lang w:eastAsia="es-EC"/>
              </w:rPr>
            </w:pPr>
            <w:r w:rsidRPr="00C208B7">
              <w:rPr>
                <w:rFonts w:ascii="Calibri" w:eastAsia="Times New Roman" w:hAnsi="Calibri" w:cs="Times New Roman"/>
                <w:sz w:val="20"/>
                <w:szCs w:val="20"/>
                <w:lang w:eastAsia="es-EC"/>
              </w:rPr>
              <w:t>Concesiones mineras</w:t>
            </w:r>
          </w:p>
        </w:tc>
        <w:tc>
          <w:tcPr>
            <w:tcW w:w="1834" w:type="dxa"/>
            <w:hideMark/>
          </w:tcPr>
          <w:p w:rsidR="00190A98" w:rsidRPr="00C208B7" w:rsidRDefault="00190A98" w:rsidP="006672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 xml:space="preserve">Concesiones mineras </w:t>
            </w:r>
          </w:p>
        </w:tc>
        <w:tc>
          <w:tcPr>
            <w:tcW w:w="5670" w:type="dxa"/>
            <w:hideMark/>
          </w:tcPr>
          <w:p w:rsidR="00190A98" w:rsidRPr="00C208B7" w:rsidRDefault="0066726B" w:rsidP="003C6DF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 xml:space="preserve">Concesiones mineras determinadas por la </w:t>
            </w:r>
            <w:proofErr w:type="gramStart"/>
            <w:r w:rsidRPr="00C208B7">
              <w:rPr>
                <w:rFonts w:ascii="Calibri" w:eastAsia="Times New Roman" w:hAnsi="Calibri" w:cs="Times New Roman"/>
                <w:sz w:val="20"/>
                <w:szCs w:val="20"/>
                <w:lang w:eastAsia="es-EC"/>
              </w:rPr>
              <w:t xml:space="preserve">ARCOM </w:t>
            </w:r>
            <w:r>
              <w:rPr>
                <w:rFonts w:ascii="Calibri" w:eastAsia="Times New Roman" w:hAnsi="Calibri" w:cs="Times New Roman"/>
                <w:sz w:val="20"/>
                <w:szCs w:val="20"/>
                <w:lang w:eastAsia="es-EC"/>
              </w:rPr>
              <w:t>.</w:t>
            </w:r>
            <w:proofErr w:type="gramEnd"/>
            <w:r>
              <w:rPr>
                <w:rFonts w:ascii="Calibri" w:eastAsia="Times New Roman" w:hAnsi="Calibri" w:cs="Times New Roman"/>
                <w:sz w:val="20"/>
                <w:szCs w:val="20"/>
                <w:lang w:eastAsia="es-EC"/>
              </w:rPr>
              <w:t xml:space="preserve"> </w:t>
            </w:r>
            <w:r w:rsidR="00190A98" w:rsidRPr="00C208B7">
              <w:rPr>
                <w:rFonts w:ascii="Calibri" w:eastAsia="Times New Roman" w:hAnsi="Calibri" w:cs="Times New Roman"/>
                <w:sz w:val="20"/>
                <w:szCs w:val="20"/>
                <w:lang w:eastAsia="es-EC"/>
              </w:rPr>
              <w:t>Indica la presencia de zonas de explotación de áreas y pétreos (canteras)</w:t>
            </w:r>
          </w:p>
        </w:tc>
      </w:tr>
      <w:tr w:rsidR="00190A98" w:rsidRPr="00C208B7" w:rsidTr="0066726B">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hideMark/>
          </w:tcPr>
          <w:p w:rsidR="00190A98" w:rsidRPr="00C208B7" w:rsidRDefault="00190A98" w:rsidP="003C6DF2">
            <w:pPr>
              <w:jc w:val="both"/>
              <w:rPr>
                <w:rFonts w:ascii="Calibri" w:eastAsia="Times New Roman" w:hAnsi="Calibri" w:cs="Times New Roman"/>
                <w:b w:val="0"/>
                <w:bCs w:val="0"/>
                <w:sz w:val="20"/>
                <w:szCs w:val="20"/>
                <w:lang w:eastAsia="es-EC"/>
              </w:rPr>
            </w:pPr>
            <w:r w:rsidRPr="00C208B7">
              <w:rPr>
                <w:rFonts w:ascii="Calibri" w:eastAsia="Times New Roman" w:hAnsi="Calibri" w:cs="Times New Roman"/>
                <w:sz w:val="20"/>
                <w:szCs w:val="20"/>
                <w:lang w:eastAsia="es-EC"/>
              </w:rPr>
              <w:t>Protección Especial</w:t>
            </w:r>
          </w:p>
        </w:tc>
        <w:tc>
          <w:tcPr>
            <w:tcW w:w="1834" w:type="dxa"/>
            <w:hideMark/>
          </w:tcPr>
          <w:p w:rsidR="0066726B" w:rsidRDefault="0066726B"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Pr>
                <w:rFonts w:ascii="Calibri" w:eastAsia="Times New Roman" w:hAnsi="Calibri" w:cs="Times New Roman"/>
                <w:sz w:val="20"/>
                <w:szCs w:val="20"/>
                <w:lang w:eastAsia="es-EC"/>
              </w:rPr>
              <w:t>Protecciones</w:t>
            </w:r>
          </w:p>
          <w:p w:rsidR="00190A98" w:rsidRPr="00C208B7" w:rsidRDefault="00190A98" w:rsidP="003C6D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especiales</w:t>
            </w:r>
          </w:p>
        </w:tc>
        <w:tc>
          <w:tcPr>
            <w:tcW w:w="5670" w:type="dxa"/>
            <w:hideMark/>
          </w:tcPr>
          <w:p w:rsidR="00190A98" w:rsidRPr="00C208B7" w:rsidRDefault="00190A98" w:rsidP="003C6DF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s-EC"/>
              </w:rPr>
            </w:pPr>
            <w:r w:rsidRPr="00C208B7">
              <w:rPr>
                <w:rFonts w:ascii="Calibri" w:eastAsia="Times New Roman" w:hAnsi="Calibri" w:cs="Times New Roman"/>
                <w:sz w:val="20"/>
                <w:szCs w:val="20"/>
                <w:lang w:eastAsia="es-EC"/>
              </w:rPr>
              <w:t>Corresponde a criterios técnicos y recomendaciones realizadas por la autoridad competente (EPMAPS)</w:t>
            </w:r>
          </w:p>
        </w:tc>
      </w:tr>
    </w:tbl>
    <w:p w:rsidR="00190A98" w:rsidRPr="00190A98" w:rsidRDefault="00190A98" w:rsidP="00EA33DB">
      <w:pPr>
        <w:spacing w:after="0" w:line="240" w:lineRule="auto"/>
        <w:ind w:left="708" w:firstLine="708"/>
        <w:jc w:val="both"/>
        <w:rPr>
          <w:rFonts w:cstheme="minorHAnsi"/>
          <w:sz w:val="18"/>
          <w:szCs w:val="18"/>
          <w:highlight w:val="green"/>
          <w:lang w:eastAsia="es-ES"/>
        </w:rPr>
      </w:pPr>
    </w:p>
    <w:p w:rsidR="000B0FAA" w:rsidRPr="002319A1" w:rsidRDefault="000B0FAA" w:rsidP="00EA33DB">
      <w:pPr>
        <w:spacing w:after="0" w:line="240" w:lineRule="auto"/>
        <w:ind w:left="708" w:firstLine="708"/>
        <w:jc w:val="both"/>
        <w:rPr>
          <w:rFonts w:cstheme="minorHAnsi"/>
          <w:sz w:val="18"/>
          <w:szCs w:val="18"/>
          <w:lang w:val="es-ES" w:eastAsia="es-ES"/>
        </w:rPr>
      </w:pPr>
      <w:r w:rsidRPr="00190A98">
        <w:rPr>
          <w:rFonts w:cstheme="minorHAnsi"/>
          <w:sz w:val="18"/>
          <w:szCs w:val="18"/>
          <w:lang w:val="es-ES" w:eastAsia="es-ES"/>
        </w:rPr>
        <w:t>Elaboración: STHV</w:t>
      </w:r>
    </w:p>
    <w:p w:rsidR="00BB5096" w:rsidRDefault="00BB5096" w:rsidP="00891293">
      <w:pPr>
        <w:jc w:val="both"/>
        <w:rPr>
          <w:rFonts w:ascii="Arial" w:hAnsi="Arial" w:cs="Arial"/>
        </w:rPr>
      </w:pPr>
    </w:p>
    <w:p w:rsidR="005E529C" w:rsidRDefault="005E529C" w:rsidP="00891293">
      <w:pPr>
        <w:jc w:val="both"/>
        <w:rPr>
          <w:rFonts w:ascii="Arial" w:hAnsi="Arial" w:cs="Arial"/>
        </w:rPr>
      </w:pPr>
    </w:p>
    <w:p w:rsidR="005E529C" w:rsidRDefault="005E529C" w:rsidP="00891293">
      <w:pPr>
        <w:jc w:val="both"/>
        <w:rPr>
          <w:rFonts w:ascii="Arial" w:hAnsi="Arial" w:cs="Arial"/>
        </w:rPr>
      </w:pPr>
    </w:p>
    <w:p w:rsidR="00EA33DB" w:rsidRPr="000B580D" w:rsidRDefault="000B580D" w:rsidP="000B580D">
      <w:pPr>
        <w:pStyle w:val="Ttulo2"/>
        <w:numPr>
          <w:ilvl w:val="1"/>
          <w:numId w:val="15"/>
        </w:numPr>
        <w:spacing w:before="0" w:line="240"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lastRenderedPageBreak/>
        <w:t>Recursos</w:t>
      </w:r>
      <w:r w:rsidRPr="000B580D">
        <w:rPr>
          <w:rFonts w:asciiTheme="minorHAnsi" w:hAnsiTheme="minorHAnsi" w:cstheme="minorHAnsi"/>
          <w:color w:val="365F91" w:themeColor="accent1" w:themeShade="BF"/>
          <w:sz w:val="22"/>
          <w:szCs w:val="22"/>
        </w:rPr>
        <w:t xml:space="preserve"> </w:t>
      </w:r>
      <w:r>
        <w:rPr>
          <w:rFonts w:asciiTheme="minorHAnsi" w:hAnsiTheme="minorHAnsi" w:cstheme="minorHAnsi"/>
          <w:color w:val="365F91" w:themeColor="accent1" w:themeShade="BF"/>
          <w:sz w:val="22"/>
          <w:szCs w:val="22"/>
        </w:rPr>
        <w:t>u</w:t>
      </w:r>
      <w:r w:rsidRPr="000B580D">
        <w:rPr>
          <w:rFonts w:asciiTheme="minorHAnsi" w:hAnsiTheme="minorHAnsi" w:cstheme="minorHAnsi"/>
          <w:color w:val="365F91" w:themeColor="accent1" w:themeShade="BF"/>
          <w:sz w:val="22"/>
          <w:szCs w:val="22"/>
        </w:rPr>
        <w:t>tilizados</w:t>
      </w:r>
    </w:p>
    <w:p w:rsidR="000B580D" w:rsidRDefault="000B580D" w:rsidP="00891293">
      <w:pPr>
        <w:jc w:val="both"/>
        <w:rPr>
          <w:rFonts w:ascii="Arial" w:hAnsi="Arial" w:cs="Arial"/>
        </w:rPr>
      </w:pPr>
    </w:p>
    <w:p w:rsidR="000B580D" w:rsidRDefault="000B580D" w:rsidP="00734A3F">
      <w:pPr>
        <w:spacing w:line="240" w:lineRule="auto"/>
        <w:jc w:val="both"/>
        <w:rPr>
          <w:rFonts w:cstheme="minorHAnsi"/>
        </w:rPr>
      </w:pPr>
      <w:r w:rsidRPr="000B580D">
        <w:rPr>
          <w:rFonts w:cstheme="minorHAnsi"/>
        </w:rPr>
        <w:t>De</w:t>
      </w:r>
      <w:r>
        <w:rPr>
          <w:rFonts w:cstheme="minorHAnsi"/>
        </w:rPr>
        <w:t xml:space="preserve">ntro del proceso de actualización del PUOS, se utilizaron </w:t>
      </w:r>
      <w:r w:rsidR="00C11981">
        <w:rPr>
          <w:rFonts w:cstheme="minorHAnsi"/>
        </w:rPr>
        <w:t xml:space="preserve">varios insumos provenientes de las distintas </w:t>
      </w:r>
      <w:r w:rsidR="00CE3A93">
        <w:rPr>
          <w:rFonts w:cstheme="minorHAnsi"/>
        </w:rPr>
        <w:t>S</w:t>
      </w:r>
      <w:r w:rsidR="00C11981">
        <w:rPr>
          <w:rFonts w:cstheme="minorHAnsi"/>
        </w:rPr>
        <w:t xml:space="preserve">ecretarías, </w:t>
      </w:r>
      <w:r w:rsidR="00CE3A93">
        <w:rPr>
          <w:rFonts w:cstheme="minorHAnsi"/>
        </w:rPr>
        <w:t xml:space="preserve"> Direcciones Metropolitanas, </w:t>
      </w:r>
      <w:r w:rsidR="00C11981">
        <w:rPr>
          <w:rFonts w:cstheme="minorHAnsi"/>
        </w:rPr>
        <w:t>así como de las emp</w:t>
      </w:r>
      <w:r w:rsidR="00CE3A93">
        <w:rPr>
          <w:rFonts w:cstheme="minorHAnsi"/>
        </w:rPr>
        <w:t xml:space="preserve">resas proveedoras de servicios e </w:t>
      </w:r>
      <w:r w:rsidR="00C11981">
        <w:rPr>
          <w:rFonts w:cstheme="minorHAnsi"/>
        </w:rPr>
        <w:t>imágenes satelitales del</w:t>
      </w:r>
      <w:r w:rsidR="00CE3A93">
        <w:rPr>
          <w:rFonts w:cstheme="minorHAnsi"/>
        </w:rPr>
        <w:t xml:space="preserve"> Distrito Metropolitano, mismas que fueron entregadas a la Secretaría de Territorio de forma oficial.</w:t>
      </w:r>
      <w:r w:rsidR="00101A4B">
        <w:rPr>
          <w:rFonts w:cstheme="minorHAnsi"/>
        </w:rPr>
        <w:t xml:space="preserve"> Los insumos incluyen:</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Base catastral proporcionada por la Dirección Metropolitana de Catastro en el año 2017.</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 xml:space="preserve">Información de infraestructuras y </w:t>
      </w:r>
      <w:r w:rsidR="002F7F95">
        <w:rPr>
          <w:rFonts w:cstheme="minorHAnsi"/>
        </w:rPr>
        <w:t>s</w:t>
      </w:r>
      <w:r w:rsidRPr="00BD6346">
        <w:rPr>
          <w:rFonts w:cstheme="minorHAnsi"/>
        </w:rPr>
        <w:t>ervicios, archivos proporcionados por la EPMAPS y EEQ actualizadas al año 2014.</w:t>
      </w:r>
    </w:p>
    <w:p w:rsidR="00BD6346" w:rsidRPr="00BD6346" w:rsidRDefault="00BD6346" w:rsidP="00B72A01">
      <w:pPr>
        <w:pStyle w:val="Prrafodelista"/>
        <w:numPr>
          <w:ilvl w:val="0"/>
          <w:numId w:val="32"/>
        </w:numPr>
        <w:spacing w:line="240" w:lineRule="auto"/>
        <w:jc w:val="both"/>
        <w:rPr>
          <w:rFonts w:cstheme="minorHAnsi"/>
        </w:rPr>
      </w:pPr>
      <w:proofErr w:type="spellStart"/>
      <w:r w:rsidRPr="00BD6346">
        <w:rPr>
          <w:rFonts w:cstheme="minorHAnsi"/>
        </w:rPr>
        <w:t>Ortofoto</w:t>
      </w:r>
      <w:proofErr w:type="spellEnd"/>
      <w:r w:rsidRPr="00BD6346">
        <w:rPr>
          <w:rFonts w:cstheme="minorHAnsi"/>
        </w:rPr>
        <w:t xml:space="preserve"> del DMQ año 2010, toma de fotografía aérea realizada por STEREOCARTO en el año 2010 y 2011, mediante la cual se generó la </w:t>
      </w:r>
      <w:proofErr w:type="spellStart"/>
      <w:r w:rsidRPr="00BD6346">
        <w:rPr>
          <w:rFonts w:cstheme="minorHAnsi"/>
        </w:rPr>
        <w:t>ortofotografía</w:t>
      </w:r>
      <w:proofErr w:type="spellEnd"/>
      <w:r w:rsidRPr="00BD6346">
        <w:rPr>
          <w:rFonts w:cstheme="minorHAnsi"/>
        </w:rPr>
        <w:t xml:space="preserve"> a escala 1:5000.</w:t>
      </w:r>
    </w:p>
    <w:p w:rsidR="00BD6346" w:rsidRPr="00BD6346" w:rsidRDefault="00BD6346" w:rsidP="00B72A01">
      <w:pPr>
        <w:pStyle w:val="Prrafodelista"/>
        <w:numPr>
          <w:ilvl w:val="0"/>
          <w:numId w:val="32"/>
        </w:numPr>
        <w:spacing w:line="240" w:lineRule="auto"/>
        <w:jc w:val="both"/>
        <w:rPr>
          <w:rFonts w:cstheme="minorHAnsi"/>
        </w:rPr>
      </w:pPr>
      <w:proofErr w:type="spellStart"/>
      <w:r w:rsidRPr="00BD6346">
        <w:rPr>
          <w:rFonts w:cstheme="minorHAnsi"/>
        </w:rPr>
        <w:t>Ortofoto</w:t>
      </w:r>
      <w:proofErr w:type="spellEnd"/>
      <w:r w:rsidRPr="00BD6346">
        <w:rPr>
          <w:rFonts w:cstheme="minorHAnsi"/>
        </w:rPr>
        <w:t xml:space="preserve"> del DMQ año 2015, toma de fotografía aérea realizada por AGROPRESICIÓN.</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Polígonos de concesiones mineras, información proporcionada por ARCOM, año 2015.</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 xml:space="preserve">Barrios legalizados por la Unidad Especial Regula </w:t>
      </w:r>
      <w:proofErr w:type="gramStart"/>
      <w:r w:rsidRPr="00BD6346">
        <w:rPr>
          <w:rFonts w:cstheme="minorHAnsi"/>
        </w:rPr>
        <w:t>tu</w:t>
      </w:r>
      <w:proofErr w:type="gramEnd"/>
      <w:r w:rsidRPr="00BD6346">
        <w:rPr>
          <w:rFonts w:cstheme="minorHAnsi"/>
        </w:rPr>
        <w:t xml:space="preserve"> Barrio, información de barrios legalizados al año 2015.</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Planes Especiales, información generada por la Secretaría de Territorio Hábitat y vivienda actualizada hasta el año 2017.</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Áreas históricas, información proporcionada por la Unidad de Áreas Históricas de la Secretaría de Territorio Hábitat y Vivienda de acuerdo a criterios técnicos emitidos por ésta Unidad y conforme a la Ordenanza Metropolitana 260.</w:t>
      </w:r>
    </w:p>
    <w:p w:rsidR="00BD6346" w:rsidRPr="00BD6346" w:rsidRDefault="00BD6346" w:rsidP="00B72A01">
      <w:pPr>
        <w:pStyle w:val="Prrafodelista"/>
        <w:numPr>
          <w:ilvl w:val="0"/>
          <w:numId w:val="32"/>
        </w:numPr>
        <w:spacing w:line="240" w:lineRule="auto"/>
        <w:jc w:val="both"/>
        <w:rPr>
          <w:rFonts w:cstheme="minorHAnsi"/>
        </w:rPr>
      </w:pPr>
      <w:r w:rsidRPr="00BD6346">
        <w:rPr>
          <w:rFonts w:cstheme="minorHAnsi"/>
        </w:rPr>
        <w:t>Ordenanzas Metropolitanas del Municipio del Distrito Metropolitano de Quito</w:t>
      </w:r>
      <w:r w:rsidR="00526BF7">
        <w:rPr>
          <w:rFonts w:cstheme="minorHAnsi"/>
        </w:rPr>
        <w:t>.</w:t>
      </w:r>
    </w:p>
    <w:p w:rsidR="00BD6346" w:rsidRDefault="00CE3A93" w:rsidP="00891293">
      <w:pPr>
        <w:jc w:val="both"/>
        <w:rPr>
          <w:rFonts w:cstheme="minorHAnsi"/>
        </w:rPr>
      </w:pPr>
      <w:r>
        <w:rPr>
          <w:rFonts w:cstheme="minorHAnsi"/>
        </w:rPr>
        <w:t xml:space="preserve">Cabe recalcar que la información que se utilizó para el análisis, correspondía a la información más actualizada de aquel entonces </w:t>
      </w:r>
      <w:r w:rsidR="005F40BA">
        <w:rPr>
          <w:rFonts w:cstheme="minorHAnsi"/>
        </w:rPr>
        <w:t xml:space="preserve"> (</w:t>
      </w:r>
      <w:r>
        <w:rPr>
          <w:rFonts w:cstheme="minorHAnsi"/>
        </w:rPr>
        <w:t xml:space="preserve">año 2015), y es la misma información que se utiliza </w:t>
      </w:r>
      <w:r w:rsidR="002F5AC3">
        <w:rPr>
          <w:rFonts w:cstheme="minorHAnsi"/>
        </w:rPr>
        <w:t>ahora en la revisión de los 170</w:t>
      </w:r>
      <w:r w:rsidR="00BD6346">
        <w:rPr>
          <w:rFonts w:cstheme="minorHAnsi"/>
        </w:rPr>
        <w:t xml:space="preserve"> cambios.</w:t>
      </w:r>
      <w:r w:rsidR="00B72A01">
        <w:rPr>
          <w:rFonts w:cstheme="minorHAnsi"/>
        </w:rPr>
        <w:t xml:space="preserve"> </w:t>
      </w:r>
    </w:p>
    <w:p w:rsidR="00101A4B" w:rsidRPr="00101A4B" w:rsidRDefault="00101A4B" w:rsidP="00101A4B">
      <w:pPr>
        <w:pStyle w:val="Ttulo2"/>
        <w:numPr>
          <w:ilvl w:val="1"/>
          <w:numId w:val="15"/>
        </w:numPr>
        <w:spacing w:before="0" w:line="240" w:lineRule="auto"/>
        <w:rPr>
          <w:rFonts w:asciiTheme="minorHAnsi" w:hAnsiTheme="minorHAnsi" w:cstheme="minorHAnsi"/>
          <w:color w:val="365F91" w:themeColor="accent1" w:themeShade="BF"/>
          <w:sz w:val="22"/>
          <w:szCs w:val="22"/>
        </w:rPr>
      </w:pPr>
      <w:r w:rsidRPr="00101A4B">
        <w:rPr>
          <w:rFonts w:asciiTheme="minorHAnsi" w:hAnsiTheme="minorHAnsi" w:cstheme="minorHAnsi"/>
          <w:color w:val="365F91" w:themeColor="accent1" w:themeShade="BF"/>
          <w:sz w:val="22"/>
          <w:szCs w:val="22"/>
        </w:rPr>
        <w:t xml:space="preserve">Análisis de </w:t>
      </w:r>
      <w:r w:rsidR="00B16B13">
        <w:rPr>
          <w:rFonts w:asciiTheme="minorHAnsi" w:hAnsiTheme="minorHAnsi" w:cstheme="minorHAnsi"/>
          <w:color w:val="365F91" w:themeColor="accent1" w:themeShade="BF"/>
          <w:sz w:val="22"/>
          <w:szCs w:val="22"/>
        </w:rPr>
        <w:t xml:space="preserve">los 170 </w:t>
      </w:r>
      <w:r w:rsidRPr="00101A4B">
        <w:rPr>
          <w:rFonts w:asciiTheme="minorHAnsi" w:hAnsiTheme="minorHAnsi" w:cstheme="minorHAnsi"/>
          <w:color w:val="365F91" w:themeColor="accent1" w:themeShade="BF"/>
          <w:sz w:val="22"/>
          <w:szCs w:val="22"/>
        </w:rPr>
        <w:t>casos</w:t>
      </w:r>
    </w:p>
    <w:p w:rsidR="005F40BA" w:rsidRDefault="005F40BA" w:rsidP="00891293">
      <w:pPr>
        <w:jc w:val="both"/>
        <w:rPr>
          <w:rFonts w:cstheme="minorHAnsi"/>
        </w:rPr>
      </w:pPr>
    </w:p>
    <w:p w:rsidR="00101A4B" w:rsidRDefault="00101A4B" w:rsidP="00734A3F">
      <w:pPr>
        <w:spacing w:line="240" w:lineRule="auto"/>
        <w:jc w:val="both"/>
        <w:rPr>
          <w:rFonts w:cstheme="minorHAnsi"/>
        </w:rPr>
      </w:pPr>
      <w:r>
        <w:rPr>
          <w:rFonts w:cstheme="minorHAnsi"/>
        </w:rPr>
        <w:t xml:space="preserve">Para el presente análisis se utilizó la información con la que se contaba a la fecha en que se realizó la actualización del PUOS (año 2015), a fin de </w:t>
      </w:r>
      <w:r w:rsidR="002F7F95">
        <w:rPr>
          <w:rFonts w:cstheme="minorHAnsi"/>
        </w:rPr>
        <w:t xml:space="preserve">establecer </w:t>
      </w:r>
      <w:r>
        <w:rPr>
          <w:rFonts w:cstheme="minorHAnsi"/>
        </w:rPr>
        <w:t xml:space="preserve"> las condiciones en las que se produjeron los cambios en aquel entonces.</w:t>
      </w:r>
    </w:p>
    <w:p w:rsidR="001B2061" w:rsidRDefault="009A7668" w:rsidP="00734A3F">
      <w:pPr>
        <w:spacing w:line="240" w:lineRule="auto"/>
        <w:jc w:val="both"/>
        <w:rPr>
          <w:rFonts w:cstheme="minorHAnsi"/>
        </w:rPr>
      </w:pPr>
      <w:r>
        <w:rPr>
          <w:rFonts w:cstheme="minorHAnsi"/>
        </w:rPr>
        <w:t>Sobre la base de esta información y los criterios</w:t>
      </w:r>
      <w:r w:rsidR="001B2061">
        <w:rPr>
          <w:rFonts w:cstheme="minorHAnsi"/>
        </w:rPr>
        <w:t xml:space="preserve"> y variables detallada</w:t>
      </w:r>
      <w:r>
        <w:rPr>
          <w:rFonts w:cstheme="minorHAnsi"/>
        </w:rPr>
        <w:t xml:space="preserve">s en la tabla nº </w:t>
      </w:r>
      <w:r w:rsidR="002F7F95">
        <w:rPr>
          <w:rFonts w:cstheme="minorHAnsi"/>
        </w:rPr>
        <w:t>10</w:t>
      </w:r>
      <w:r w:rsidR="00227E8F">
        <w:rPr>
          <w:rFonts w:cstheme="minorHAnsi"/>
        </w:rPr>
        <w:t>,</w:t>
      </w:r>
      <w:r w:rsidR="001B2061">
        <w:rPr>
          <w:rFonts w:cstheme="minorHAnsi"/>
        </w:rPr>
        <w:t xml:space="preserve"> se evidencia que </w:t>
      </w:r>
      <w:r w:rsidR="004A258B">
        <w:rPr>
          <w:rFonts w:cstheme="minorHAnsi"/>
        </w:rPr>
        <w:t>72 cambios (42.4</w:t>
      </w:r>
      <w:r w:rsidR="004219CB">
        <w:rPr>
          <w:rFonts w:cstheme="minorHAnsi"/>
        </w:rPr>
        <w:t>%) se efectuaron bajo el</w:t>
      </w:r>
      <w:r w:rsidR="004A258B">
        <w:rPr>
          <w:rFonts w:cstheme="minorHAnsi"/>
        </w:rPr>
        <w:t xml:space="preserve"> criterio de “Consolidación”; 72</w:t>
      </w:r>
      <w:r w:rsidR="004219CB">
        <w:rPr>
          <w:rFonts w:cstheme="minorHAnsi"/>
        </w:rPr>
        <w:t xml:space="preserve"> cambios </w:t>
      </w:r>
      <w:r w:rsidR="004A258B">
        <w:rPr>
          <w:rFonts w:cstheme="minorHAnsi"/>
        </w:rPr>
        <w:t xml:space="preserve">(42.4%) </w:t>
      </w:r>
      <w:r w:rsidR="004219CB">
        <w:rPr>
          <w:rFonts w:cstheme="minorHAnsi"/>
        </w:rPr>
        <w:t xml:space="preserve">se realizan por “Actividades Económicas”; </w:t>
      </w:r>
      <w:r w:rsidR="00614BCB">
        <w:rPr>
          <w:rFonts w:cstheme="minorHAnsi"/>
        </w:rPr>
        <w:t>25 cambios (14.7%) se realizan por encontrarse en protecciones ecológicas; y 1 cambio (0.6%), se realiz</w:t>
      </w:r>
      <w:r w:rsidR="004A258B">
        <w:rPr>
          <w:rFonts w:cstheme="minorHAnsi"/>
        </w:rPr>
        <w:t>a por una protección especial (</w:t>
      </w:r>
      <w:r w:rsidR="00614BCB">
        <w:rPr>
          <w:rFonts w:cstheme="minorHAnsi"/>
        </w:rPr>
        <w:t>caso denominado “El Troje”</w:t>
      </w:r>
      <w:r w:rsidR="000A1A77">
        <w:rPr>
          <w:rFonts w:cstheme="minorHAnsi"/>
        </w:rPr>
        <w:t>)</w:t>
      </w:r>
      <w:r w:rsidR="00614BCB">
        <w:rPr>
          <w:rFonts w:cstheme="minorHAnsi"/>
        </w:rPr>
        <w:t>, tal y como se muestra en la siguiente tabla:</w:t>
      </w:r>
    </w:p>
    <w:p w:rsidR="009114BD" w:rsidRPr="007E5E32" w:rsidRDefault="009114BD" w:rsidP="009114BD">
      <w:pPr>
        <w:pStyle w:val="Epgrafe"/>
        <w:jc w:val="center"/>
        <w:rPr>
          <w:rFonts w:cstheme="minorHAnsi"/>
          <w:sz w:val="24"/>
          <w:szCs w:val="24"/>
          <w:lang w:val="es-ES" w:eastAsia="es-ES"/>
        </w:rPr>
      </w:pPr>
      <w:r w:rsidRPr="007E5E32">
        <w:t xml:space="preserve">Tabla </w:t>
      </w:r>
      <w:r w:rsidR="000C0EAD">
        <w:fldChar w:fldCharType="begin"/>
      </w:r>
      <w:r w:rsidR="000C0EAD">
        <w:instrText xml:space="preserve"> SEQ Tabla \* ARABIC </w:instrText>
      </w:r>
      <w:r w:rsidR="000C0EAD">
        <w:fldChar w:fldCharType="separate"/>
      </w:r>
      <w:r w:rsidR="00CA401D">
        <w:rPr>
          <w:noProof/>
        </w:rPr>
        <w:t>11</w:t>
      </w:r>
      <w:r w:rsidR="000C0EAD">
        <w:rPr>
          <w:noProof/>
        </w:rPr>
        <w:fldChar w:fldCharType="end"/>
      </w:r>
      <w:r w:rsidRPr="007E5E32">
        <w:t xml:space="preserve">  </w:t>
      </w:r>
      <w:r w:rsidR="00134407">
        <w:t xml:space="preserve">Número de cambios por tipo de criterio </w:t>
      </w:r>
    </w:p>
    <w:tbl>
      <w:tblPr>
        <w:tblStyle w:val="Tabladecuadrcula4-nfasis11"/>
        <w:tblW w:w="5180" w:type="dxa"/>
        <w:jc w:val="center"/>
        <w:tblLook w:val="04A0" w:firstRow="1" w:lastRow="0" w:firstColumn="1" w:lastColumn="0" w:noHBand="0" w:noVBand="1"/>
      </w:tblPr>
      <w:tblGrid>
        <w:gridCol w:w="2480"/>
        <w:gridCol w:w="1380"/>
        <w:gridCol w:w="1320"/>
      </w:tblGrid>
      <w:tr w:rsidR="009114BD" w:rsidRPr="009114BD" w:rsidTr="009114BD">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114BD" w:rsidRPr="009114BD" w:rsidRDefault="009114BD" w:rsidP="009114BD">
            <w:pPr>
              <w:rPr>
                <w:rFonts w:ascii="Calibri" w:eastAsia="Times New Roman" w:hAnsi="Calibri" w:cs="Calibri"/>
                <w:lang w:eastAsia="es-EC"/>
              </w:rPr>
            </w:pPr>
            <w:r w:rsidRPr="009114BD">
              <w:rPr>
                <w:rFonts w:ascii="Calibri" w:eastAsia="Times New Roman" w:hAnsi="Calibri" w:cs="Calibri"/>
                <w:lang w:eastAsia="es-EC"/>
              </w:rPr>
              <w:t>Criterios</w:t>
            </w:r>
          </w:p>
        </w:tc>
        <w:tc>
          <w:tcPr>
            <w:tcW w:w="1380" w:type="dxa"/>
            <w:noWrap/>
            <w:hideMark/>
          </w:tcPr>
          <w:p w:rsidR="009114BD" w:rsidRPr="009114BD" w:rsidRDefault="009114BD" w:rsidP="009114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C"/>
              </w:rPr>
            </w:pPr>
            <w:r w:rsidRPr="009114BD">
              <w:rPr>
                <w:rFonts w:ascii="Calibri" w:eastAsia="Times New Roman" w:hAnsi="Calibri" w:cs="Calibri"/>
                <w:lang w:eastAsia="es-EC"/>
              </w:rPr>
              <w:t>Nº cambios</w:t>
            </w:r>
          </w:p>
        </w:tc>
        <w:tc>
          <w:tcPr>
            <w:tcW w:w="1320" w:type="dxa"/>
            <w:noWrap/>
            <w:hideMark/>
          </w:tcPr>
          <w:p w:rsidR="009114BD" w:rsidRPr="009114BD" w:rsidRDefault="009114BD" w:rsidP="009114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C"/>
              </w:rPr>
            </w:pPr>
            <w:r w:rsidRPr="009114BD">
              <w:rPr>
                <w:rFonts w:ascii="Calibri" w:eastAsia="Times New Roman" w:hAnsi="Calibri" w:cs="Calibri"/>
                <w:lang w:eastAsia="es-EC"/>
              </w:rPr>
              <w:t>Porcentaje</w:t>
            </w:r>
          </w:p>
        </w:tc>
      </w:tr>
      <w:tr w:rsidR="009114BD" w:rsidRPr="009114BD" w:rsidTr="009114B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114BD" w:rsidRPr="009114BD" w:rsidRDefault="009114BD" w:rsidP="009114BD">
            <w:pPr>
              <w:rPr>
                <w:rFonts w:ascii="Calibri" w:eastAsia="Times New Roman" w:hAnsi="Calibri" w:cs="Calibri"/>
                <w:b w:val="0"/>
                <w:color w:val="000000"/>
                <w:lang w:eastAsia="es-EC"/>
              </w:rPr>
            </w:pPr>
            <w:r w:rsidRPr="009114BD">
              <w:rPr>
                <w:rFonts w:ascii="Calibri" w:eastAsia="Times New Roman" w:hAnsi="Calibri" w:cs="Calibri"/>
                <w:b w:val="0"/>
                <w:color w:val="000000"/>
                <w:lang w:eastAsia="es-EC"/>
              </w:rPr>
              <w:t>Consolidación</w:t>
            </w:r>
          </w:p>
        </w:tc>
        <w:tc>
          <w:tcPr>
            <w:tcW w:w="1380" w:type="dxa"/>
            <w:noWrap/>
            <w:hideMark/>
          </w:tcPr>
          <w:p w:rsidR="009114BD" w:rsidRPr="009114BD" w:rsidRDefault="004A258B" w:rsidP="003825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Pr>
                <w:rFonts w:ascii="Calibri" w:eastAsia="Times New Roman" w:hAnsi="Calibri" w:cs="Calibri"/>
                <w:color w:val="000000"/>
                <w:lang w:eastAsia="es-EC"/>
              </w:rPr>
              <w:t>72</w:t>
            </w:r>
          </w:p>
        </w:tc>
        <w:tc>
          <w:tcPr>
            <w:tcW w:w="1320" w:type="dxa"/>
            <w:noWrap/>
            <w:hideMark/>
          </w:tcPr>
          <w:p w:rsidR="009114BD" w:rsidRPr="009114BD" w:rsidRDefault="004A258B" w:rsidP="000A1A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Pr>
                <w:rFonts w:ascii="Calibri" w:eastAsia="Times New Roman" w:hAnsi="Calibri" w:cs="Calibri"/>
                <w:color w:val="000000"/>
                <w:lang w:eastAsia="es-EC"/>
              </w:rPr>
              <w:t>42,4</w:t>
            </w:r>
            <w:r w:rsidR="009114BD" w:rsidRPr="009114BD">
              <w:rPr>
                <w:rFonts w:ascii="Calibri" w:eastAsia="Times New Roman" w:hAnsi="Calibri" w:cs="Calibri"/>
                <w:color w:val="000000"/>
                <w:lang w:eastAsia="es-EC"/>
              </w:rPr>
              <w:t>%</w:t>
            </w:r>
          </w:p>
        </w:tc>
      </w:tr>
      <w:tr w:rsidR="009114BD" w:rsidRPr="009114BD" w:rsidTr="009114BD">
        <w:trPr>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114BD" w:rsidRPr="009114BD" w:rsidRDefault="009114BD" w:rsidP="009114BD">
            <w:pPr>
              <w:rPr>
                <w:rFonts w:ascii="Calibri" w:eastAsia="Times New Roman" w:hAnsi="Calibri" w:cs="Calibri"/>
                <w:b w:val="0"/>
                <w:color w:val="000000"/>
                <w:lang w:eastAsia="es-EC"/>
              </w:rPr>
            </w:pPr>
            <w:r w:rsidRPr="009114BD">
              <w:rPr>
                <w:rFonts w:ascii="Calibri" w:eastAsia="Times New Roman" w:hAnsi="Calibri" w:cs="Calibri"/>
                <w:b w:val="0"/>
                <w:color w:val="000000"/>
                <w:lang w:eastAsia="es-EC"/>
              </w:rPr>
              <w:t>Actividades económicas</w:t>
            </w:r>
          </w:p>
        </w:tc>
        <w:tc>
          <w:tcPr>
            <w:tcW w:w="1380" w:type="dxa"/>
            <w:noWrap/>
            <w:hideMark/>
          </w:tcPr>
          <w:p w:rsidR="009114BD" w:rsidRPr="009114BD" w:rsidRDefault="004A258B" w:rsidP="003825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Pr>
                <w:rFonts w:ascii="Calibri" w:eastAsia="Times New Roman" w:hAnsi="Calibri" w:cs="Calibri"/>
                <w:color w:val="000000"/>
                <w:lang w:eastAsia="es-EC"/>
              </w:rPr>
              <w:t>72</w:t>
            </w:r>
          </w:p>
        </w:tc>
        <w:tc>
          <w:tcPr>
            <w:tcW w:w="1320" w:type="dxa"/>
            <w:noWrap/>
            <w:hideMark/>
          </w:tcPr>
          <w:p w:rsidR="009114BD" w:rsidRPr="009114BD" w:rsidRDefault="004A258B" w:rsidP="000A1A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Pr>
                <w:rFonts w:ascii="Calibri" w:eastAsia="Times New Roman" w:hAnsi="Calibri" w:cs="Calibri"/>
                <w:color w:val="000000"/>
                <w:lang w:eastAsia="es-EC"/>
              </w:rPr>
              <w:t>42,4</w:t>
            </w:r>
            <w:r w:rsidR="009114BD" w:rsidRPr="009114BD">
              <w:rPr>
                <w:rFonts w:ascii="Calibri" w:eastAsia="Times New Roman" w:hAnsi="Calibri" w:cs="Calibri"/>
                <w:color w:val="000000"/>
                <w:lang w:eastAsia="es-EC"/>
              </w:rPr>
              <w:t>%</w:t>
            </w:r>
          </w:p>
        </w:tc>
      </w:tr>
      <w:tr w:rsidR="009114BD" w:rsidRPr="009114BD" w:rsidTr="009114B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114BD" w:rsidRPr="009114BD" w:rsidRDefault="009114BD" w:rsidP="009114BD">
            <w:pPr>
              <w:rPr>
                <w:rFonts w:ascii="Calibri" w:eastAsia="Times New Roman" w:hAnsi="Calibri" w:cs="Calibri"/>
                <w:b w:val="0"/>
                <w:color w:val="000000"/>
                <w:lang w:eastAsia="es-EC"/>
              </w:rPr>
            </w:pPr>
            <w:r w:rsidRPr="009114BD">
              <w:rPr>
                <w:rFonts w:ascii="Calibri" w:eastAsia="Times New Roman" w:hAnsi="Calibri" w:cs="Calibri"/>
                <w:b w:val="0"/>
                <w:color w:val="000000"/>
                <w:lang w:eastAsia="es-EC"/>
              </w:rPr>
              <w:t>Protección ecológica</w:t>
            </w:r>
          </w:p>
        </w:tc>
        <w:tc>
          <w:tcPr>
            <w:tcW w:w="1380" w:type="dxa"/>
            <w:noWrap/>
            <w:hideMark/>
          </w:tcPr>
          <w:p w:rsidR="009114BD" w:rsidRPr="009114BD" w:rsidRDefault="009114BD" w:rsidP="003825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9114BD">
              <w:rPr>
                <w:rFonts w:ascii="Calibri" w:eastAsia="Times New Roman" w:hAnsi="Calibri" w:cs="Calibri"/>
                <w:color w:val="000000"/>
                <w:lang w:eastAsia="es-EC"/>
              </w:rPr>
              <w:t>25</w:t>
            </w:r>
          </w:p>
        </w:tc>
        <w:tc>
          <w:tcPr>
            <w:tcW w:w="1320" w:type="dxa"/>
            <w:noWrap/>
            <w:hideMark/>
          </w:tcPr>
          <w:p w:rsidR="009114BD" w:rsidRPr="009114BD" w:rsidRDefault="009114BD" w:rsidP="000A1A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9114BD">
              <w:rPr>
                <w:rFonts w:ascii="Calibri" w:eastAsia="Times New Roman" w:hAnsi="Calibri" w:cs="Calibri"/>
                <w:color w:val="000000"/>
                <w:lang w:eastAsia="es-EC"/>
              </w:rPr>
              <w:t>14,7%</w:t>
            </w:r>
          </w:p>
        </w:tc>
      </w:tr>
      <w:tr w:rsidR="009114BD" w:rsidRPr="009114BD" w:rsidTr="009114BD">
        <w:trPr>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114BD" w:rsidRPr="009114BD" w:rsidRDefault="009114BD" w:rsidP="009114BD">
            <w:pPr>
              <w:rPr>
                <w:rFonts w:ascii="Calibri" w:eastAsia="Times New Roman" w:hAnsi="Calibri" w:cs="Calibri"/>
                <w:b w:val="0"/>
                <w:color w:val="000000"/>
                <w:lang w:eastAsia="es-EC"/>
              </w:rPr>
            </w:pPr>
            <w:r w:rsidRPr="009114BD">
              <w:rPr>
                <w:rFonts w:ascii="Calibri" w:eastAsia="Times New Roman" w:hAnsi="Calibri" w:cs="Calibri"/>
                <w:b w:val="0"/>
                <w:color w:val="000000"/>
                <w:lang w:eastAsia="es-EC"/>
              </w:rPr>
              <w:t>Protección especial</w:t>
            </w:r>
          </w:p>
        </w:tc>
        <w:tc>
          <w:tcPr>
            <w:tcW w:w="1380" w:type="dxa"/>
            <w:noWrap/>
            <w:hideMark/>
          </w:tcPr>
          <w:p w:rsidR="009114BD" w:rsidRPr="009114BD" w:rsidRDefault="009114BD" w:rsidP="003825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9114BD">
              <w:rPr>
                <w:rFonts w:ascii="Calibri" w:eastAsia="Times New Roman" w:hAnsi="Calibri" w:cs="Calibri"/>
                <w:color w:val="000000"/>
                <w:lang w:eastAsia="es-EC"/>
              </w:rPr>
              <w:t>1</w:t>
            </w:r>
          </w:p>
        </w:tc>
        <w:tc>
          <w:tcPr>
            <w:tcW w:w="1320" w:type="dxa"/>
            <w:noWrap/>
            <w:hideMark/>
          </w:tcPr>
          <w:p w:rsidR="009114BD" w:rsidRPr="009114BD" w:rsidRDefault="009114BD" w:rsidP="000A1A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9114BD">
              <w:rPr>
                <w:rFonts w:ascii="Calibri" w:eastAsia="Times New Roman" w:hAnsi="Calibri" w:cs="Calibri"/>
                <w:color w:val="000000"/>
                <w:lang w:eastAsia="es-EC"/>
              </w:rPr>
              <w:t>0,6%</w:t>
            </w:r>
          </w:p>
        </w:tc>
      </w:tr>
      <w:tr w:rsidR="009114BD" w:rsidRPr="009114BD" w:rsidTr="009114B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rsidR="009114BD" w:rsidRPr="009114BD" w:rsidRDefault="009114BD" w:rsidP="009114BD">
            <w:pPr>
              <w:rPr>
                <w:rFonts w:ascii="Calibri" w:eastAsia="Times New Roman" w:hAnsi="Calibri" w:cs="Calibri"/>
                <w:color w:val="000000"/>
                <w:lang w:eastAsia="es-EC"/>
              </w:rPr>
            </w:pPr>
            <w:r w:rsidRPr="009114BD">
              <w:rPr>
                <w:rFonts w:ascii="Calibri" w:eastAsia="Times New Roman" w:hAnsi="Calibri" w:cs="Calibri"/>
                <w:color w:val="000000"/>
                <w:lang w:eastAsia="es-EC"/>
              </w:rPr>
              <w:t>Total general</w:t>
            </w:r>
          </w:p>
        </w:tc>
        <w:tc>
          <w:tcPr>
            <w:tcW w:w="1380" w:type="dxa"/>
            <w:noWrap/>
            <w:hideMark/>
          </w:tcPr>
          <w:p w:rsidR="009114BD" w:rsidRPr="009114BD" w:rsidRDefault="009114BD" w:rsidP="003825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EC"/>
              </w:rPr>
            </w:pPr>
            <w:r w:rsidRPr="009114BD">
              <w:rPr>
                <w:rFonts w:ascii="Calibri" w:eastAsia="Times New Roman" w:hAnsi="Calibri" w:cs="Calibri"/>
                <w:b/>
                <w:color w:val="000000"/>
                <w:lang w:eastAsia="es-EC"/>
              </w:rPr>
              <w:t>170</w:t>
            </w:r>
          </w:p>
        </w:tc>
        <w:tc>
          <w:tcPr>
            <w:tcW w:w="1320" w:type="dxa"/>
            <w:noWrap/>
            <w:hideMark/>
          </w:tcPr>
          <w:p w:rsidR="009114BD" w:rsidRPr="009114BD" w:rsidRDefault="009114BD" w:rsidP="009114B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EC"/>
              </w:rPr>
            </w:pPr>
            <w:r w:rsidRPr="009114BD">
              <w:rPr>
                <w:rFonts w:ascii="Calibri" w:eastAsia="Times New Roman" w:hAnsi="Calibri" w:cs="Calibri"/>
                <w:b/>
                <w:color w:val="000000"/>
                <w:lang w:eastAsia="es-EC"/>
              </w:rPr>
              <w:t>100,0%</w:t>
            </w:r>
          </w:p>
        </w:tc>
      </w:tr>
    </w:tbl>
    <w:p w:rsidR="009114BD" w:rsidRPr="00190A98" w:rsidRDefault="009114BD" w:rsidP="009114BD">
      <w:pPr>
        <w:spacing w:after="0" w:line="240" w:lineRule="auto"/>
        <w:ind w:left="708" w:firstLine="708"/>
        <w:jc w:val="both"/>
        <w:rPr>
          <w:rFonts w:cstheme="minorHAnsi"/>
          <w:sz w:val="18"/>
          <w:szCs w:val="18"/>
          <w:highlight w:val="green"/>
          <w:lang w:eastAsia="es-ES"/>
        </w:rPr>
      </w:pPr>
    </w:p>
    <w:p w:rsidR="009114BD" w:rsidRPr="002319A1" w:rsidRDefault="009114BD" w:rsidP="009114BD">
      <w:pPr>
        <w:spacing w:after="0" w:line="240" w:lineRule="auto"/>
        <w:ind w:left="708" w:firstLine="708"/>
        <w:jc w:val="both"/>
        <w:rPr>
          <w:rFonts w:cstheme="minorHAnsi"/>
          <w:sz w:val="18"/>
          <w:szCs w:val="18"/>
          <w:lang w:val="es-ES" w:eastAsia="es-ES"/>
        </w:rPr>
      </w:pPr>
      <w:r w:rsidRPr="00190A98">
        <w:rPr>
          <w:rFonts w:cstheme="minorHAnsi"/>
          <w:sz w:val="18"/>
          <w:szCs w:val="18"/>
          <w:lang w:val="es-ES" w:eastAsia="es-ES"/>
        </w:rPr>
        <w:t>Elaboración: STHV</w:t>
      </w:r>
    </w:p>
    <w:p w:rsidR="009114BD" w:rsidRDefault="009114BD" w:rsidP="00734A3F">
      <w:pPr>
        <w:spacing w:line="240" w:lineRule="auto"/>
        <w:jc w:val="both"/>
        <w:rPr>
          <w:rFonts w:cstheme="minorHAnsi"/>
        </w:rPr>
      </w:pPr>
    </w:p>
    <w:p w:rsidR="009A7668" w:rsidRDefault="001B2061" w:rsidP="00734A3F">
      <w:pPr>
        <w:spacing w:line="240" w:lineRule="auto"/>
        <w:jc w:val="both"/>
        <w:rPr>
          <w:rFonts w:cstheme="minorHAnsi"/>
        </w:rPr>
      </w:pPr>
      <w:r>
        <w:rPr>
          <w:rFonts w:cstheme="minorHAnsi"/>
        </w:rPr>
        <w:t xml:space="preserve">Por otra parte, </w:t>
      </w:r>
      <w:r w:rsidR="00227E8F">
        <w:rPr>
          <w:rFonts w:cstheme="minorHAnsi"/>
        </w:rPr>
        <w:t xml:space="preserve"> </w:t>
      </w:r>
      <w:r>
        <w:rPr>
          <w:rFonts w:cstheme="minorHAnsi"/>
        </w:rPr>
        <w:t xml:space="preserve">estos resultados permitieron categorizar los cambios </w:t>
      </w:r>
      <w:r w:rsidR="00614BCB">
        <w:rPr>
          <w:rFonts w:cstheme="minorHAnsi"/>
        </w:rPr>
        <w:t>en tres grupos:</w:t>
      </w:r>
    </w:p>
    <w:p w:rsidR="00227E8F" w:rsidRPr="00734A3F" w:rsidRDefault="00227E8F" w:rsidP="00734A3F">
      <w:pPr>
        <w:pStyle w:val="Prrafodelista"/>
        <w:numPr>
          <w:ilvl w:val="0"/>
          <w:numId w:val="37"/>
        </w:numPr>
        <w:spacing w:line="240" w:lineRule="auto"/>
        <w:jc w:val="both"/>
        <w:rPr>
          <w:rFonts w:cstheme="minorHAnsi"/>
        </w:rPr>
      </w:pPr>
      <w:r w:rsidRPr="00734A3F">
        <w:rPr>
          <w:rFonts w:cstheme="minorHAnsi"/>
        </w:rPr>
        <w:t xml:space="preserve">Categoría A: Cambios en los que se </w:t>
      </w:r>
      <w:r w:rsidR="00BD6346">
        <w:rPr>
          <w:rFonts w:cstheme="minorHAnsi"/>
        </w:rPr>
        <w:t>evidencia un  criterio</w:t>
      </w:r>
      <w:r w:rsidRPr="00734A3F">
        <w:rPr>
          <w:rFonts w:cstheme="minorHAnsi"/>
        </w:rPr>
        <w:t xml:space="preserve"> técnico que </w:t>
      </w:r>
      <w:r w:rsidR="00BD6346">
        <w:rPr>
          <w:rFonts w:cstheme="minorHAnsi"/>
        </w:rPr>
        <w:t>sustentó</w:t>
      </w:r>
      <w:r w:rsidR="003B4F72">
        <w:rPr>
          <w:rFonts w:cstheme="minorHAnsi"/>
        </w:rPr>
        <w:t xml:space="preserve"> el cambio sobre la base de variables verificables en territorio, y apoyados en los recursos informáticos disponibles en la STHV.</w:t>
      </w:r>
    </w:p>
    <w:p w:rsidR="00227E8F" w:rsidRPr="00734A3F" w:rsidRDefault="00227E8F" w:rsidP="00734A3F">
      <w:pPr>
        <w:pStyle w:val="Prrafodelista"/>
        <w:numPr>
          <w:ilvl w:val="0"/>
          <w:numId w:val="37"/>
        </w:numPr>
        <w:spacing w:line="240" w:lineRule="auto"/>
        <w:jc w:val="both"/>
        <w:rPr>
          <w:rFonts w:cstheme="minorHAnsi"/>
        </w:rPr>
      </w:pPr>
      <w:r w:rsidRPr="00734A3F">
        <w:rPr>
          <w:rFonts w:cstheme="minorHAnsi"/>
        </w:rPr>
        <w:t xml:space="preserve">Categoría B: Cambios en los que se sugiere una visita de campo a fin de corroborar los </w:t>
      </w:r>
      <w:r w:rsidR="008959CF">
        <w:rPr>
          <w:rFonts w:cstheme="minorHAnsi"/>
        </w:rPr>
        <w:t>las variables territoriales utilizadas en el análisis</w:t>
      </w:r>
      <w:r w:rsidRPr="00734A3F">
        <w:rPr>
          <w:rFonts w:cstheme="minorHAnsi"/>
        </w:rPr>
        <w:t xml:space="preserve"> que motivaron el cambio</w:t>
      </w:r>
      <w:r w:rsidR="00944F27" w:rsidRPr="00734A3F">
        <w:rPr>
          <w:rFonts w:cstheme="minorHAnsi"/>
        </w:rPr>
        <w:t xml:space="preserve"> realizado por la STHV.</w:t>
      </w:r>
    </w:p>
    <w:p w:rsidR="00227E8F" w:rsidRPr="00734A3F" w:rsidRDefault="00227E8F" w:rsidP="00734A3F">
      <w:pPr>
        <w:pStyle w:val="Prrafodelista"/>
        <w:numPr>
          <w:ilvl w:val="0"/>
          <w:numId w:val="37"/>
        </w:numPr>
        <w:spacing w:line="240" w:lineRule="auto"/>
        <w:jc w:val="both"/>
        <w:rPr>
          <w:rFonts w:cstheme="minorHAnsi"/>
        </w:rPr>
      </w:pPr>
      <w:r w:rsidRPr="00734A3F">
        <w:rPr>
          <w:rFonts w:cstheme="minorHAnsi"/>
        </w:rPr>
        <w:t xml:space="preserve">Categoría C: Cambio que </w:t>
      </w:r>
      <w:r w:rsidR="00BD6346">
        <w:rPr>
          <w:rFonts w:cstheme="minorHAnsi"/>
        </w:rPr>
        <w:t xml:space="preserve">podría requerir </w:t>
      </w:r>
      <w:r w:rsidRPr="00734A3F">
        <w:rPr>
          <w:rFonts w:cstheme="minorHAnsi"/>
        </w:rPr>
        <w:t xml:space="preserve"> </w:t>
      </w:r>
      <w:r w:rsidR="002F7F95">
        <w:rPr>
          <w:rFonts w:cstheme="minorHAnsi"/>
        </w:rPr>
        <w:t xml:space="preserve">de </w:t>
      </w:r>
      <w:r w:rsidRPr="00734A3F">
        <w:rPr>
          <w:rFonts w:cstheme="minorHAnsi"/>
        </w:rPr>
        <w:t>mesas de trabajo con la Comisión de Uso de Suelo, a fin de establecer las asignaciones de uso, zonificación y clasificación del suelo que esta zona tendrá.</w:t>
      </w:r>
    </w:p>
    <w:p w:rsidR="00BC3E2F" w:rsidRDefault="00BC3E2F" w:rsidP="00734A3F">
      <w:pPr>
        <w:spacing w:line="240" w:lineRule="auto"/>
        <w:jc w:val="both"/>
        <w:rPr>
          <w:rFonts w:cstheme="minorHAnsi"/>
        </w:rPr>
      </w:pPr>
      <w:r>
        <w:rPr>
          <w:rFonts w:cstheme="minorHAnsi"/>
        </w:rPr>
        <w:t>Los análisis realizados arrojan los siguientes resultados:</w:t>
      </w:r>
    </w:p>
    <w:p w:rsidR="00F35F41" w:rsidRDefault="00F35F41" w:rsidP="00734A3F">
      <w:pPr>
        <w:spacing w:line="240" w:lineRule="auto"/>
        <w:jc w:val="both"/>
        <w:rPr>
          <w:rFonts w:cstheme="minorHAnsi"/>
        </w:rPr>
      </w:pPr>
    </w:p>
    <w:p w:rsidR="00BC3E2F" w:rsidRPr="009934CB" w:rsidRDefault="00D51A16" w:rsidP="00D51A16">
      <w:pPr>
        <w:pStyle w:val="Epgrafe"/>
        <w:tabs>
          <w:tab w:val="center" w:pos="4252"/>
          <w:tab w:val="left" w:pos="7770"/>
        </w:tabs>
      </w:pPr>
      <w:r>
        <w:tab/>
      </w:r>
      <w:r w:rsidR="00BC3E2F" w:rsidRPr="009934CB">
        <w:t xml:space="preserve">Tabla </w:t>
      </w:r>
      <w:r w:rsidR="000C0EAD">
        <w:fldChar w:fldCharType="begin"/>
      </w:r>
      <w:r w:rsidR="000C0EAD">
        <w:instrText xml:space="preserve"> SEQ Tabla \* ARABIC </w:instrText>
      </w:r>
      <w:r w:rsidR="000C0EAD">
        <w:fldChar w:fldCharType="separate"/>
      </w:r>
      <w:r w:rsidR="00CA401D">
        <w:rPr>
          <w:noProof/>
        </w:rPr>
        <w:t>12</w:t>
      </w:r>
      <w:r w:rsidR="000C0EAD">
        <w:rPr>
          <w:noProof/>
        </w:rPr>
        <w:fldChar w:fldCharType="end"/>
      </w:r>
      <w:r w:rsidR="002F5AC3">
        <w:t xml:space="preserve">  Categorización de 170</w:t>
      </w:r>
      <w:r w:rsidR="00BC3E2F" w:rsidRPr="009934CB">
        <w:t xml:space="preserve"> cambios por criterio técnico</w:t>
      </w:r>
      <w:r w:rsidRPr="009934CB">
        <w:tab/>
      </w:r>
    </w:p>
    <w:tbl>
      <w:tblPr>
        <w:tblStyle w:val="Sombreadomedio1-nfasis1"/>
        <w:tblW w:w="4261" w:type="dxa"/>
        <w:jc w:val="center"/>
        <w:tblLook w:val="04A0" w:firstRow="1" w:lastRow="0" w:firstColumn="1" w:lastColumn="0" w:noHBand="0" w:noVBand="1"/>
      </w:tblPr>
      <w:tblGrid>
        <w:gridCol w:w="1600"/>
        <w:gridCol w:w="1458"/>
        <w:gridCol w:w="1203"/>
      </w:tblGrid>
      <w:tr w:rsidR="00032BCA" w:rsidRPr="009934CB" w:rsidTr="00B16B1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032BCA" w:rsidRPr="00B16B13" w:rsidRDefault="00032BCA" w:rsidP="00032BCA">
            <w:pPr>
              <w:rPr>
                <w:rFonts w:ascii="Calibri" w:eastAsia="Times New Roman" w:hAnsi="Calibri" w:cs="Times New Roman"/>
                <w:lang w:eastAsia="es-EC"/>
              </w:rPr>
            </w:pPr>
            <w:r w:rsidRPr="00B16B13">
              <w:rPr>
                <w:rFonts w:ascii="Calibri" w:eastAsia="Times New Roman" w:hAnsi="Calibri" w:cs="Times New Roman"/>
                <w:lang w:eastAsia="es-EC"/>
              </w:rPr>
              <w:t>Categoría</w:t>
            </w:r>
          </w:p>
        </w:tc>
        <w:tc>
          <w:tcPr>
            <w:tcW w:w="1458" w:type="dxa"/>
            <w:noWrap/>
            <w:hideMark/>
          </w:tcPr>
          <w:p w:rsidR="00032BCA" w:rsidRPr="00B16B13" w:rsidRDefault="00032BCA" w:rsidP="00032B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B16B13">
              <w:rPr>
                <w:rFonts w:ascii="Calibri" w:eastAsia="Times New Roman" w:hAnsi="Calibri" w:cs="Times New Roman"/>
                <w:lang w:eastAsia="es-EC"/>
              </w:rPr>
              <w:t>Nº cambios</w:t>
            </w:r>
          </w:p>
        </w:tc>
        <w:tc>
          <w:tcPr>
            <w:tcW w:w="1203" w:type="dxa"/>
            <w:noWrap/>
            <w:hideMark/>
          </w:tcPr>
          <w:p w:rsidR="00032BCA" w:rsidRPr="00B16B13" w:rsidRDefault="00032BCA" w:rsidP="00032B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B16B13">
              <w:rPr>
                <w:rFonts w:ascii="Calibri" w:eastAsia="Times New Roman" w:hAnsi="Calibri" w:cs="Times New Roman"/>
                <w:lang w:eastAsia="es-EC"/>
              </w:rPr>
              <w:t>Porcentaje</w:t>
            </w:r>
          </w:p>
        </w:tc>
      </w:tr>
      <w:tr w:rsidR="00032BCA" w:rsidRPr="009934CB" w:rsidTr="00B16B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032BCA" w:rsidRPr="009934CB" w:rsidRDefault="00032BCA" w:rsidP="00B16B13">
            <w:pPr>
              <w:jc w:val="center"/>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A</w:t>
            </w:r>
          </w:p>
        </w:tc>
        <w:tc>
          <w:tcPr>
            <w:tcW w:w="1458" w:type="dxa"/>
            <w:noWrap/>
            <w:hideMark/>
          </w:tcPr>
          <w:p w:rsidR="00032BCA" w:rsidRPr="009934CB" w:rsidRDefault="009934CB" w:rsidP="00B16B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14</w:t>
            </w:r>
            <w:r w:rsidR="002F5AC3">
              <w:rPr>
                <w:rFonts w:ascii="Calibri" w:eastAsia="Times New Roman" w:hAnsi="Calibri" w:cs="Times New Roman"/>
                <w:color w:val="000000"/>
                <w:lang w:eastAsia="es-EC"/>
              </w:rPr>
              <w:t>8</w:t>
            </w:r>
          </w:p>
        </w:tc>
        <w:tc>
          <w:tcPr>
            <w:tcW w:w="1203" w:type="dxa"/>
            <w:noWrap/>
            <w:hideMark/>
          </w:tcPr>
          <w:p w:rsidR="00032BCA" w:rsidRPr="009934CB" w:rsidRDefault="00032BCA" w:rsidP="00B16B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8</w:t>
            </w:r>
            <w:r w:rsidR="009934CB" w:rsidRPr="009934CB">
              <w:rPr>
                <w:rFonts w:ascii="Calibri" w:eastAsia="Times New Roman" w:hAnsi="Calibri" w:cs="Times New Roman"/>
                <w:color w:val="000000"/>
                <w:lang w:eastAsia="es-EC"/>
              </w:rPr>
              <w:t>7</w:t>
            </w:r>
            <w:r w:rsidRPr="009934CB">
              <w:rPr>
                <w:rFonts w:ascii="Calibri" w:eastAsia="Times New Roman" w:hAnsi="Calibri" w:cs="Times New Roman"/>
                <w:color w:val="000000"/>
                <w:lang w:eastAsia="es-EC"/>
              </w:rPr>
              <w:t>%</w:t>
            </w:r>
          </w:p>
        </w:tc>
      </w:tr>
      <w:tr w:rsidR="00032BCA" w:rsidRPr="009934CB" w:rsidTr="00B16B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032BCA" w:rsidRPr="009934CB" w:rsidRDefault="00032BCA" w:rsidP="00B16B13">
            <w:pPr>
              <w:jc w:val="center"/>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B</w:t>
            </w:r>
          </w:p>
        </w:tc>
        <w:tc>
          <w:tcPr>
            <w:tcW w:w="1458" w:type="dxa"/>
            <w:noWrap/>
            <w:hideMark/>
          </w:tcPr>
          <w:p w:rsidR="00032BCA" w:rsidRPr="009934CB" w:rsidRDefault="00032BCA" w:rsidP="00B16B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21</w:t>
            </w:r>
          </w:p>
        </w:tc>
        <w:tc>
          <w:tcPr>
            <w:tcW w:w="1203" w:type="dxa"/>
            <w:noWrap/>
            <w:hideMark/>
          </w:tcPr>
          <w:p w:rsidR="00032BCA" w:rsidRPr="009934CB" w:rsidRDefault="009934CB" w:rsidP="00B16B1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12.4</w:t>
            </w:r>
            <w:r w:rsidR="00032BCA" w:rsidRPr="009934CB">
              <w:rPr>
                <w:rFonts w:ascii="Calibri" w:eastAsia="Times New Roman" w:hAnsi="Calibri" w:cs="Times New Roman"/>
                <w:color w:val="000000"/>
                <w:lang w:eastAsia="es-EC"/>
              </w:rPr>
              <w:t>%</w:t>
            </w:r>
          </w:p>
        </w:tc>
      </w:tr>
      <w:tr w:rsidR="00032BCA" w:rsidRPr="009934CB" w:rsidTr="00B16B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tcPr>
          <w:p w:rsidR="00032BCA" w:rsidRPr="009934CB" w:rsidRDefault="00032BCA" w:rsidP="00B16B13">
            <w:pPr>
              <w:jc w:val="center"/>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C</w:t>
            </w:r>
          </w:p>
        </w:tc>
        <w:tc>
          <w:tcPr>
            <w:tcW w:w="1458" w:type="dxa"/>
            <w:noWrap/>
          </w:tcPr>
          <w:p w:rsidR="00032BCA" w:rsidRPr="009934CB" w:rsidRDefault="00032BCA" w:rsidP="00B16B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1</w:t>
            </w:r>
          </w:p>
        </w:tc>
        <w:tc>
          <w:tcPr>
            <w:tcW w:w="1203" w:type="dxa"/>
            <w:noWrap/>
          </w:tcPr>
          <w:p w:rsidR="00032BCA" w:rsidRPr="009934CB" w:rsidRDefault="00032BCA" w:rsidP="00B16B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9934CB">
              <w:rPr>
                <w:rFonts w:ascii="Calibri" w:eastAsia="Times New Roman" w:hAnsi="Calibri" w:cs="Times New Roman"/>
                <w:color w:val="000000"/>
                <w:lang w:eastAsia="es-EC"/>
              </w:rPr>
              <w:t>0,6%</w:t>
            </w:r>
          </w:p>
        </w:tc>
      </w:tr>
      <w:tr w:rsidR="00032BCA" w:rsidRPr="009934CB" w:rsidTr="00B16B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00" w:type="dxa"/>
            <w:noWrap/>
            <w:hideMark/>
          </w:tcPr>
          <w:p w:rsidR="00032BCA" w:rsidRPr="00B16B13" w:rsidRDefault="00032BCA" w:rsidP="00032BCA">
            <w:pPr>
              <w:rPr>
                <w:rFonts w:ascii="Calibri" w:eastAsia="Times New Roman" w:hAnsi="Calibri" w:cs="Times New Roman"/>
                <w:color w:val="000000"/>
                <w:lang w:eastAsia="es-EC"/>
              </w:rPr>
            </w:pPr>
            <w:r w:rsidRPr="00B16B13">
              <w:rPr>
                <w:rFonts w:ascii="Calibri" w:eastAsia="Times New Roman" w:hAnsi="Calibri" w:cs="Times New Roman"/>
                <w:color w:val="000000"/>
                <w:lang w:eastAsia="es-EC"/>
              </w:rPr>
              <w:t>Total general</w:t>
            </w:r>
          </w:p>
        </w:tc>
        <w:tc>
          <w:tcPr>
            <w:tcW w:w="1458" w:type="dxa"/>
            <w:noWrap/>
            <w:hideMark/>
          </w:tcPr>
          <w:p w:rsidR="00032BCA" w:rsidRPr="00B16B13" w:rsidRDefault="00032BCA" w:rsidP="00190A9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lang w:eastAsia="es-EC"/>
              </w:rPr>
            </w:pPr>
            <w:r w:rsidRPr="00B16B13">
              <w:rPr>
                <w:rFonts w:ascii="Calibri" w:eastAsia="Times New Roman" w:hAnsi="Calibri" w:cs="Times New Roman"/>
                <w:b/>
                <w:color w:val="000000"/>
                <w:lang w:eastAsia="es-EC"/>
              </w:rPr>
              <w:t>1</w:t>
            </w:r>
            <w:r w:rsidR="00BE6C20" w:rsidRPr="00B16B13">
              <w:rPr>
                <w:rFonts w:ascii="Calibri" w:eastAsia="Times New Roman" w:hAnsi="Calibri" w:cs="Times New Roman"/>
                <w:b/>
                <w:color w:val="000000"/>
                <w:lang w:eastAsia="es-EC"/>
              </w:rPr>
              <w:t>70</w:t>
            </w:r>
          </w:p>
        </w:tc>
        <w:tc>
          <w:tcPr>
            <w:tcW w:w="1203" w:type="dxa"/>
            <w:noWrap/>
            <w:hideMark/>
          </w:tcPr>
          <w:p w:rsidR="00032BCA" w:rsidRPr="00B16B13" w:rsidRDefault="009934CB" w:rsidP="00032BC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lang w:eastAsia="es-EC"/>
              </w:rPr>
            </w:pPr>
            <w:r w:rsidRPr="00B16B13">
              <w:rPr>
                <w:rFonts w:ascii="Calibri" w:eastAsia="Times New Roman" w:hAnsi="Calibri" w:cs="Times New Roman"/>
                <w:b/>
                <w:color w:val="000000"/>
                <w:lang w:eastAsia="es-EC"/>
              </w:rPr>
              <w:t>100</w:t>
            </w:r>
            <w:r w:rsidR="00032BCA" w:rsidRPr="00B16B13">
              <w:rPr>
                <w:rFonts w:ascii="Calibri" w:eastAsia="Times New Roman" w:hAnsi="Calibri" w:cs="Times New Roman"/>
                <w:b/>
                <w:color w:val="000000"/>
                <w:lang w:eastAsia="es-EC"/>
              </w:rPr>
              <w:t>%</w:t>
            </w:r>
          </w:p>
        </w:tc>
      </w:tr>
    </w:tbl>
    <w:p w:rsidR="00032BCA" w:rsidRPr="009934CB" w:rsidRDefault="00032BCA" w:rsidP="00032BCA">
      <w:pPr>
        <w:spacing w:after="0" w:line="240" w:lineRule="auto"/>
        <w:ind w:left="1416" w:firstLine="708"/>
        <w:jc w:val="both"/>
        <w:rPr>
          <w:rFonts w:cstheme="minorHAnsi"/>
          <w:sz w:val="18"/>
          <w:szCs w:val="18"/>
          <w:lang w:val="es-ES" w:eastAsia="es-ES"/>
        </w:rPr>
      </w:pPr>
    </w:p>
    <w:p w:rsidR="00BC3E2F" w:rsidRPr="002319A1" w:rsidRDefault="00BC3E2F" w:rsidP="00032BCA">
      <w:pPr>
        <w:spacing w:after="0" w:line="240" w:lineRule="auto"/>
        <w:ind w:left="1416" w:firstLine="708"/>
        <w:jc w:val="both"/>
        <w:rPr>
          <w:rFonts w:cstheme="minorHAnsi"/>
          <w:sz w:val="18"/>
          <w:szCs w:val="18"/>
          <w:lang w:val="es-ES" w:eastAsia="es-ES"/>
        </w:rPr>
      </w:pPr>
      <w:r w:rsidRPr="009934CB">
        <w:rPr>
          <w:rFonts w:cstheme="minorHAnsi"/>
          <w:sz w:val="18"/>
          <w:szCs w:val="18"/>
          <w:lang w:val="es-ES" w:eastAsia="es-ES"/>
        </w:rPr>
        <w:t>Elaboración: STHV</w:t>
      </w:r>
    </w:p>
    <w:p w:rsidR="00BC3E2F" w:rsidRPr="00BC3E2F" w:rsidRDefault="00BC3E2F" w:rsidP="00BC3E2F">
      <w:pPr>
        <w:jc w:val="both"/>
        <w:rPr>
          <w:rFonts w:cstheme="minorHAnsi"/>
          <w:lang w:val="es-ES"/>
        </w:rPr>
      </w:pPr>
    </w:p>
    <w:p w:rsidR="00BC3E2F" w:rsidRDefault="00962B32" w:rsidP="00E07138">
      <w:pPr>
        <w:spacing w:line="240" w:lineRule="auto"/>
        <w:jc w:val="both"/>
        <w:rPr>
          <w:rFonts w:cstheme="minorHAnsi"/>
        </w:rPr>
      </w:pPr>
      <w:r>
        <w:rPr>
          <w:rFonts w:cstheme="minorHAnsi"/>
        </w:rPr>
        <w:t xml:space="preserve">El detalle de este </w:t>
      </w:r>
      <w:r w:rsidR="00BC3E2F">
        <w:rPr>
          <w:rFonts w:cstheme="minorHAnsi"/>
        </w:rPr>
        <w:t xml:space="preserve"> análisis se presenta en</w:t>
      </w:r>
      <w:r>
        <w:rPr>
          <w:rFonts w:cstheme="minorHAnsi"/>
        </w:rPr>
        <w:t xml:space="preserve"> el anexo </w:t>
      </w:r>
      <w:r w:rsidR="00A50BD1">
        <w:rPr>
          <w:rFonts w:cstheme="minorHAnsi"/>
        </w:rPr>
        <w:t>2</w:t>
      </w:r>
      <w:r>
        <w:rPr>
          <w:rFonts w:cstheme="minorHAnsi"/>
        </w:rPr>
        <w:t>E</w:t>
      </w:r>
      <w:r w:rsidR="00382585">
        <w:rPr>
          <w:rFonts w:cstheme="minorHAnsi"/>
        </w:rPr>
        <w:t>,</w:t>
      </w:r>
      <w:r w:rsidR="00BC3E2F">
        <w:rPr>
          <w:rFonts w:cstheme="minorHAnsi"/>
        </w:rPr>
        <w:t xml:space="preserve"> al final de este informe</w:t>
      </w:r>
      <w:r w:rsidR="002F5AC3">
        <w:rPr>
          <w:rFonts w:cstheme="minorHAnsi"/>
        </w:rPr>
        <w:t xml:space="preserve">, que contiene </w:t>
      </w:r>
      <w:r w:rsidR="00382585">
        <w:rPr>
          <w:rFonts w:cstheme="minorHAnsi"/>
        </w:rPr>
        <w:t xml:space="preserve">la matriz de </w:t>
      </w:r>
      <w:r w:rsidR="002F5AC3">
        <w:rPr>
          <w:rFonts w:cstheme="minorHAnsi"/>
        </w:rPr>
        <w:t>170</w:t>
      </w:r>
      <w:r>
        <w:rPr>
          <w:rFonts w:cstheme="minorHAnsi"/>
        </w:rPr>
        <w:t xml:space="preserve"> casos que se incorporaron al PUOS 2016 bajo un Criterio Técnico.</w:t>
      </w:r>
    </w:p>
    <w:p w:rsidR="00A9307B" w:rsidRDefault="00A9307B" w:rsidP="00E07138">
      <w:pPr>
        <w:pStyle w:val="Ttulo2"/>
        <w:numPr>
          <w:ilvl w:val="0"/>
          <w:numId w:val="15"/>
        </w:numPr>
        <w:spacing w:before="0" w:line="240"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CAMBIOS REALIZADOS CON ORIGEN NO DETERMINADO</w:t>
      </w:r>
    </w:p>
    <w:p w:rsidR="00E07138" w:rsidRPr="00E07138" w:rsidRDefault="00E07138" w:rsidP="00E07138">
      <w:pPr>
        <w:spacing w:line="240" w:lineRule="auto"/>
      </w:pPr>
    </w:p>
    <w:p w:rsidR="00A9307B" w:rsidRDefault="00A9307B" w:rsidP="00E07138">
      <w:pPr>
        <w:spacing w:line="240" w:lineRule="auto"/>
        <w:jc w:val="both"/>
      </w:pPr>
      <w:r>
        <w:t xml:space="preserve">Los análisis determinan que </w:t>
      </w:r>
      <w:r w:rsidR="004872AE">
        <w:t>el 32% (11 cambios) de los cambios con origen no determinado, se encontraban en el PUOS en septiembre de 2015, es decir, previo a la separación del archivo en 4 partes para su actualización.</w:t>
      </w:r>
      <w:r w:rsidR="008B286F">
        <w:t xml:space="preserve"> Así mismo, se determina que el 38% de los cambios (13 casos) se realizan entre septiembre de 2015 y febrero de 2016, cuando se unifica el PUOS. Por otra parte, el 18% de los cambios (6 casos), se realizan sobre la capa unificada del PUOS, previo a su sanción en julio del 2015. Finalmente, el 12% de los cambios </w:t>
      </w:r>
      <w:proofErr w:type="gramStart"/>
      <w:r w:rsidR="008B286F">
        <w:t>( 4</w:t>
      </w:r>
      <w:proofErr w:type="gramEnd"/>
      <w:r w:rsidR="008B286F">
        <w:t xml:space="preserve"> casos), se realizan posterior a la puesta en vigencia de la Ord. 127.</w:t>
      </w:r>
    </w:p>
    <w:p w:rsidR="007A0945" w:rsidRDefault="007A0945" w:rsidP="00D4111F">
      <w:pPr>
        <w:pStyle w:val="Ttulo2"/>
      </w:pPr>
    </w:p>
    <w:p w:rsidR="00A9307B" w:rsidRPr="007E5E32" w:rsidRDefault="00A9307B" w:rsidP="00A9307B">
      <w:pPr>
        <w:pStyle w:val="Epgrafe"/>
        <w:jc w:val="center"/>
        <w:rPr>
          <w:rFonts w:cstheme="minorHAnsi"/>
          <w:sz w:val="24"/>
          <w:szCs w:val="24"/>
          <w:lang w:val="es-ES" w:eastAsia="es-ES"/>
        </w:rPr>
      </w:pPr>
      <w:r w:rsidRPr="007E5E32">
        <w:t xml:space="preserve">Tabla </w:t>
      </w:r>
      <w:r w:rsidR="000C0EAD">
        <w:fldChar w:fldCharType="begin"/>
      </w:r>
      <w:r w:rsidR="000C0EAD">
        <w:instrText xml:space="preserve"> SEQ Tabla \* ARABIC </w:instrText>
      </w:r>
      <w:r w:rsidR="000C0EAD">
        <w:fldChar w:fldCharType="separate"/>
      </w:r>
      <w:r w:rsidR="00CA401D">
        <w:rPr>
          <w:noProof/>
        </w:rPr>
        <w:t>13</w:t>
      </w:r>
      <w:r w:rsidR="000C0EAD">
        <w:rPr>
          <w:noProof/>
        </w:rPr>
        <w:fldChar w:fldCharType="end"/>
      </w:r>
      <w:r w:rsidRPr="007E5E32">
        <w:t xml:space="preserve">  </w:t>
      </w:r>
      <w:r>
        <w:t>Temporalidad de los cambios con origen no determinado</w:t>
      </w:r>
    </w:p>
    <w:tbl>
      <w:tblPr>
        <w:tblStyle w:val="Tabladecuadrcula4-nfasis11"/>
        <w:tblW w:w="7405" w:type="dxa"/>
        <w:jc w:val="center"/>
        <w:tblLook w:val="04A0" w:firstRow="1" w:lastRow="0" w:firstColumn="1" w:lastColumn="0" w:noHBand="0" w:noVBand="1"/>
      </w:tblPr>
      <w:tblGrid>
        <w:gridCol w:w="3417"/>
        <w:gridCol w:w="1230"/>
        <w:gridCol w:w="1340"/>
        <w:gridCol w:w="1418"/>
      </w:tblGrid>
      <w:tr w:rsidR="00A9307B" w:rsidRPr="00A9307B" w:rsidTr="003B4F7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2F7F95" w:rsidRDefault="00A9307B" w:rsidP="00A9307B">
            <w:pPr>
              <w:jc w:val="center"/>
              <w:rPr>
                <w:rFonts w:ascii="Calibri" w:eastAsia="Times New Roman" w:hAnsi="Calibri" w:cs="Times New Roman"/>
                <w:lang w:eastAsia="es-EC"/>
              </w:rPr>
            </w:pPr>
            <w:r w:rsidRPr="002F7F95">
              <w:rPr>
                <w:rFonts w:ascii="Calibri" w:eastAsia="Times New Roman" w:hAnsi="Calibri" w:cs="Times New Roman"/>
                <w:lang w:eastAsia="es-EC"/>
              </w:rPr>
              <w:t>Ubicación del archivo</w:t>
            </w:r>
          </w:p>
        </w:tc>
        <w:tc>
          <w:tcPr>
            <w:tcW w:w="1230" w:type="dxa"/>
            <w:noWrap/>
            <w:hideMark/>
          </w:tcPr>
          <w:p w:rsidR="00A9307B" w:rsidRPr="002F7F95" w:rsidRDefault="00A9307B" w:rsidP="00A930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2F7F95">
              <w:rPr>
                <w:rFonts w:ascii="Calibri" w:eastAsia="Times New Roman" w:hAnsi="Calibri" w:cs="Times New Roman"/>
                <w:lang w:eastAsia="es-EC"/>
              </w:rPr>
              <w:t>Nº cambios</w:t>
            </w:r>
          </w:p>
        </w:tc>
        <w:tc>
          <w:tcPr>
            <w:tcW w:w="1340" w:type="dxa"/>
            <w:noWrap/>
            <w:hideMark/>
          </w:tcPr>
          <w:p w:rsidR="00A9307B" w:rsidRPr="002F7F95" w:rsidRDefault="00A9307B" w:rsidP="00A930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2F7F95">
              <w:rPr>
                <w:rFonts w:ascii="Calibri" w:eastAsia="Times New Roman" w:hAnsi="Calibri" w:cs="Times New Roman"/>
                <w:lang w:eastAsia="es-EC"/>
              </w:rPr>
              <w:t>Porcentaje</w:t>
            </w:r>
          </w:p>
        </w:tc>
        <w:tc>
          <w:tcPr>
            <w:tcW w:w="1418" w:type="dxa"/>
            <w:hideMark/>
          </w:tcPr>
          <w:p w:rsidR="00A9307B" w:rsidRPr="002F7F95" w:rsidRDefault="00A9307B" w:rsidP="00A930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EC"/>
              </w:rPr>
            </w:pPr>
            <w:r w:rsidRPr="002F7F95">
              <w:rPr>
                <w:rFonts w:ascii="Calibri" w:eastAsia="Times New Roman" w:hAnsi="Calibri" w:cs="Times New Roman"/>
                <w:lang w:eastAsia="es-EC"/>
              </w:rPr>
              <w:t xml:space="preserve">Porcentaje </w:t>
            </w:r>
            <w:r w:rsidRPr="002F7F95">
              <w:rPr>
                <w:rFonts w:ascii="Calibri" w:eastAsia="Times New Roman" w:hAnsi="Calibri" w:cs="Times New Roman"/>
                <w:lang w:eastAsia="es-EC"/>
              </w:rPr>
              <w:br/>
              <w:t>acumulado</w:t>
            </w:r>
          </w:p>
        </w:tc>
      </w:tr>
      <w:tr w:rsidR="00A9307B" w:rsidRPr="00A9307B" w:rsidTr="003B4F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A9307B" w:rsidRDefault="00A9307B" w:rsidP="00A9307B">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 xml:space="preserve">Archivo madre </w:t>
            </w:r>
            <w:r w:rsidRPr="00A9307B">
              <w:rPr>
                <w:rFonts w:ascii="Calibri" w:eastAsia="Times New Roman" w:hAnsi="Calibri" w:cs="Times New Roman"/>
                <w:color w:val="000000"/>
                <w:lang w:eastAsia="es-EC"/>
              </w:rPr>
              <w:br/>
              <w:t>(febrero 2015)</w:t>
            </w:r>
          </w:p>
        </w:tc>
        <w:tc>
          <w:tcPr>
            <w:tcW w:w="1230"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5</w:t>
            </w:r>
          </w:p>
        </w:tc>
        <w:tc>
          <w:tcPr>
            <w:tcW w:w="1340"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15%</w:t>
            </w:r>
          </w:p>
        </w:tc>
        <w:tc>
          <w:tcPr>
            <w:tcW w:w="1418"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15%</w:t>
            </w:r>
          </w:p>
        </w:tc>
      </w:tr>
      <w:tr w:rsidR="00A9307B" w:rsidRPr="00A9307B" w:rsidTr="003B4F72">
        <w:trPr>
          <w:trHeight w:val="3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A9307B" w:rsidRDefault="00A9307B" w:rsidP="00A9307B">
            <w:pPr>
              <w:rPr>
                <w:rFonts w:ascii="Calibri" w:eastAsia="Times New Roman" w:hAnsi="Calibri" w:cs="Times New Roman"/>
                <w:color w:val="000000"/>
                <w:lang w:eastAsia="es-EC"/>
              </w:rPr>
            </w:pPr>
            <w:proofErr w:type="spellStart"/>
            <w:r w:rsidRPr="00A9307B">
              <w:rPr>
                <w:rFonts w:ascii="Calibri" w:eastAsia="Times New Roman" w:hAnsi="Calibri" w:cs="Times New Roman"/>
                <w:color w:val="000000"/>
                <w:lang w:eastAsia="es-EC"/>
              </w:rPr>
              <w:t>Puos</w:t>
            </w:r>
            <w:proofErr w:type="spellEnd"/>
            <w:r w:rsidRPr="00A9307B">
              <w:rPr>
                <w:rFonts w:ascii="Calibri" w:eastAsia="Times New Roman" w:hAnsi="Calibri" w:cs="Times New Roman"/>
                <w:color w:val="000000"/>
                <w:lang w:eastAsia="es-EC"/>
              </w:rPr>
              <w:t xml:space="preserve"> septiembre 2015 </w:t>
            </w:r>
            <w:r w:rsidRPr="00A9307B">
              <w:rPr>
                <w:rFonts w:ascii="Calibri" w:eastAsia="Times New Roman" w:hAnsi="Calibri" w:cs="Times New Roman"/>
                <w:color w:val="000000"/>
                <w:lang w:eastAsia="es-EC"/>
              </w:rPr>
              <w:br/>
              <w:t>(antes de separar)</w:t>
            </w:r>
          </w:p>
        </w:tc>
        <w:tc>
          <w:tcPr>
            <w:tcW w:w="1230"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6</w:t>
            </w:r>
          </w:p>
        </w:tc>
        <w:tc>
          <w:tcPr>
            <w:tcW w:w="1340"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18%</w:t>
            </w:r>
          </w:p>
        </w:tc>
        <w:tc>
          <w:tcPr>
            <w:tcW w:w="1418"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32%</w:t>
            </w:r>
          </w:p>
        </w:tc>
      </w:tr>
      <w:tr w:rsidR="00A9307B" w:rsidRPr="00A9307B" w:rsidTr="003B4F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A9307B" w:rsidRDefault="00A9307B" w:rsidP="00A9307B">
            <w:pPr>
              <w:rPr>
                <w:rFonts w:ascii="Calibri" w:eastAsia="Times New Roman" w:hAnsi="Calibri" w:cs="Times New Roman"/>
                <w:color w:val="000000"/>
                <w:lang w:eastAsia="es-EC"/>
              </w:rPr>
            </w:pPr>
            <w:proofErr w:type="spellStart"/>
            <w:r w:rsidRPr="00A9307B">
              <w:rPr>
                <w:rFonts w:ascii="Calibri" w:eastAsia="Times New Roman" w:hAnsi="Calibri" w:cs="Times New Roman"/>
                <w:color w:val="000000"/>
                <w:lang w:eastAsia="es-EC"/>
              </w:rPr>
              <w:t>Puos</w:t>
            </w:r>
            <w:proofErr w:type="spellEnd"/>
            <w:r w:rsidRPr="00A9307B">
              <w:rPr>
                <w:rFonts w:ascii="Calibri" w:eastAsia="Times New Roman" w:hAnsi="Calibri" w:cs="Times New Roman"/>
                <w:color w:val="000000"/>
                <w:lang w:eastAsia="es-EC"/>
              </w:rPr>
              <w:t xml:space="preserve"> febrero 2016</w:t>
            </w:r>
            <w:r w:rsidRPr="00A9307B">
              <w:rPr>
                <w:rFonts w:ascii="Calibri" w:eastAsia="Times New Roman" w:hAnsi="Calibri" w:cs="Times New Roman"/>
                <w:color w:val="000000"/>
                <w:lang w:eastAsia="es-EC"/>
              </w:rPr>
              <w:br/>
            </w:r>
            <w:r w:rsidRPr="00A9307B">
              <w:rPr>
                <w:rFonts w:ascii="Calibri" w:eastAsia="Times New Roman" w:hAnsi="Calibri" w:cs="Times New Roman"/>
                <w:color w:val="000000"/>
                <w:lang w:eastAsia="es-EC"/>
              </w:rPr>
              <w:lastRenderedPageBreak/>
              <w:t>( puos2016_inicial)</w:t>
            </w:r>
          </w:p>
        </w:tc>
        <w:tc>
          <w:tcPr>
            <w:tcW w:w="1230"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lastRenderedPageBreak/>
              <w:t>13</w:t>
            </w:r>
          </w:p>
        </w:tc>
        <w:tc>
          <w:tcPr>
            <w:tcW w:w="1340"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38%</w:t>
            </w:r>
          </w:p>
        </w:tc>
        <w:tc>
          <w:tcPr>
            <w:tcW w:w="1418"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71%</w:t>
            </w:r>
          </w:p>
        </w:tc>
      </w:tr>
      <w:tr w:rsidR="00A9307B" w:rsidRPr="00A9307B" w:rsidTr="003B4F72">
        <w:trPr>
          <w:trHeight w:val="3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A9307B" w:rsidRDefault="00A9307B" w:rsidP="00A9307B">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lastRenderedPageBreak/>
              <w:t xml:space="preserve"> Ord. 127 </w:t>
            </w:r>
            <w:r w:rsidRPr="00A9307B">
              <w:rPr>
                <w:rFonts w:ascii="Calibri" w:eastAsia="Times New Roman" w:hAnsi="Calibri" w:cs="Times New Roman"/>
                <w:color w:val="000000"/>
                <w:lang w:eastAsia="es-EC"/>
              </w:rPr>
              <w:br/>
              <w:t>(25 julio 2016)</w:t>
            </w:r>
          </w:p>
        </w:tc>
        <w:tc>
          <w:tcPr>
            <w:tcW w:w="1230"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6</w:t>
            </w:r>
          </w:p>
        </w:tc>
        <w:tc>
          <w:tcPr>
            <w:tcW w:w="1340"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18%</w:t>
            </w:r>
          </w:p>
        </w:tc>
        <w:tc>
          <w:tcPr>
            <w:tcW w:w="1418"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88%</w:t>
            </w:r>
          </w:p>
        </w:tc>
      </w:tr>
      <w:tr w:rsidR="00A9307B" w:rsidRPr="00A9307B" w:rsidTr="003B4F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A9307B" w:rsidRDefault="00A9307B" w:rsidP="00A9307B">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Posterior a Ord. 127</w:t>
            </w:r>
            <w:r w:rsidRPr="00A9307B">
              <w:rPr>
                <w:rFonts w:ascii="Calibri" w:eastAsia="Times New Roman" w:hAnsi="Calibri" w:cs="Times New Roman"/>
                <w:color w:val="000000"/>
                <w:lang w:eastAsia="es-EC"/>
              </w:rPr>
              <w:br/>
              <w:t xml:space="preserve">( </w:t>
            </w:r>
            <w:proofErr w:type="spellStart"/>
            <w:r w:rsidRPr="00A9307B">
              <w:rPr>
                <w:rFonts w:ascii="Calibri" w:eastAsia="Times New Roman" w:hAnsi="Calibri" w:cs="Times New Roman"/>
                <w:color w:val="000000"/>
                <w:lang w:eastAsia="es-EC"/>
              </w:rPr>
              <w:t>puos</w:t>
            </w:r>
            <w:proofErr w:type="spellEnd"/>
            <w:r w:rsidRPr="00A9307B">
              <w:rPr>
                <w:rFonts w:ascii="Calibri" w:eastAsia="Times New Roman" w:hAnsi="Calibri" w:cs="Times New Roman"/>
                <w:color w:val="000000"/>
                <w:lang w:eastAsia="es-EC"/>
              </w:rPr>
              <w:t xml:space="preserve"> 18 abril 2017)</w:t>
            </w:r>
          </w:p>
        </w:tc>
        <w:tc>
          <w:tcPr>
            <w:tcW w:w="1230"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4</w:t>
            </w:r>
          </w:p>
        </w:tc>
        <w:tc>
          <w:tcPr>
            <w:tcW w:w="1340"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12%</w:t>
            </w:r>
          </w:p>
        </w:tc>
        <w:tc>
          <w:tcPr>
            <w:tcW w:w="1418" w:type="dxa"/>
            <w:noWrap/>
            <w:hideMark/>
          </w:tcPr>
          <w:p w:rsidR="00A9307B" w:rsidRPr="00A9307B" w:rsidRDefault="00A9307B" w:rsidP="003B4F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100%</w:t>
            </w:r>
          </w:p>
        </w:tc>
      </w:tr>
      <w:tr w:rsidR="00A9307B" w:rsidRPr="00A9307B" w:rsidTr="003B4F72">
        <w:trPr>
          <w:trHeight w:val="300"/>
          <w:jc w:val="center"/>
        </w:trPr>
        <w:tc>
          <w:tcPr>
            <w:cnfStyle w:val="001000000000" w:firstRow="0" w:lastRow="0" w:firstColumn="1" w:lastColumn="0" w:oddVBand="0" w:evenVBand="0" w:oddHBand="0" w:evenHBand="0" w:firstRowFirstColumn="0" w:firstRowLastColumn="0" w:lastRowFirstColumn="0" w:lastRowLastColumn="0"/>
            <w:tcW w:w="3417" w:type="dxa"/>
            <w:noWrap/>
            <w:hideMark/>
          </w:tcPr>
          <w:p w:rsidR="00A9307B" w:rsidRPr="00A9307B" w:rsidRDefault="00A9307B" w:rsidP="00A9307B">
            <w:pPr>
              <w:rPr>
                <w:rFonts w:ascii="Calibri" w:eastAsia="Times New Roman" w:hAnsi="Calibri" w:cs="Times New Roman"/>
                <w:color w:val="000000"/>
                <w:lang w:eastAsia="es-EC"/>
              </w:rPr>
            </w:pPr>
            <w:r w:rsidRPr="00A9307B">
              <w:rPr>
                <w:rFonts w:ascii="Calibri" w:eastAsia="Times New Roman" w:hAnsi="Calibri" w:cs="Times New Roman"/>
                <w:color w:val="000000"/>
                <w:lang w:eastAsia="es-EC"/>
              </w:rPr>
              <w:t>Total general</w:t>
            </w:r>
          </w:p>
        </w:tc>
        <w:tc>
          <w:tcPr>
            <w:tcW w:w="1230"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EC"/>
              </w:rPr>
            </w:pPr>
            <w:r w:rsidRPr="00A9307B">
              <w:rPr>
                <w:rFonts w:ascii="Calibri" w:eastAsia="Times New Roman" w:hAnsi="Calibri" w:cs="Times New Roman"/>
                <w:b/>
                <w:bCs/>
                <w:color w:val="000000"/>
                <w:lang w:eastAsia="es-EC"/>
              </w:rPr>
              <w:t>34</w:t>
            </w:r>
          </w:p>
        </w:tc>
        <w:tc>
          <w:tcPr>
            <w:tcW w:w="1340"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EC"/>
              </w:rPr>
            </w:pPr>
            <w:r w:rsidRPr="00A9307B">
              <w:rPr>
                <w:rFonts w:ascii="Calibri" w:eastAsia="Times New Roman" w:hAnsi="Calibri" w:cs="Times New Roman"/>
                <w:b/>
                <w:bCs/>
                <w:color w:val="000000"/>
                <w:lang w:eastAsia="es-EC"/>
              </w:rPr>
              <w:t>100%</w:t>
            </w:r>
          </w:p>
        </w:tc>
        <w:tc>
          <w:tcPr>
            <w:tcW w:w="1418" w:type="dxa"/>
            <w:noWrap/>
            <w:hideMark/>
          </w:tcPr>
          <w:p w:rsidR="00A9307B" w:rsidRPr="00A9307B" w:rsidRDefault="00A9307B" w:rsidP="003B4F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p>
        </w:tc>
      </w:tr>
    </w:tbl>
    <w:p w:rsidR="00A9307B" w:rsidRDefault="00A9307B" w:rsidP="00A9307B"/>
    <w:p w:rsidR="008B286F" w:rsidRPr="002319A1" w:rsidRDefault="008B286F" w:rsidP="008B286F">
      <w:pPr>
        <w:spacing w:after="0" w:line="240" w:lineRule="auto"/>
        <w:ind w:left="708" w:firstLine="708"/>
        <w:jc w:val="both"/>
        <w:rPr>
          <w:rFonts w:cstheme="minorHAnsi"/>
          <w:sz w:val="18"/>
          <w:szCs w:val="18"/>
          <w:lang w:val="es-ES" w:eastAsia="es-ES"/>
        </w:rPr>
      </w:pPr>
      <w:r w:rsidRPr="00190A98">
        <w:rPr>
          <w:rFonts w:cstheme="minorHAnsi"/>
          <w:sz w:val="18"/>
          <w:szCs w:val="18"/>
          <w:lang w:val="es-ES" w:eastAsia="es-ES"/>
        </w:rPr>
        <w:t>Elaboración: STHV</w:t>
      </w:r>
    </w:p>
    <w:p w:rsidR="008B286F" w:rsidRDefault="008B286F" w:rsidP="00A9307B"/>
    <w:p w:rsidR="00105ACF" w:rsidRDefault="00105ACF" w:rsidP="00105ACF">
      <w:pPr>
        <w:pStyle w:val="Ttulo2"/>
        <w:numPr>
          <w:ilvl w:val="0"/>
          <w:numId w:val="15"/>
        </w:numPr>
        <w:spacing w:before="0" w:line="240" w:lineRule="auto"/>
        <w:rPr>
          <w:rFonts w:asciiTheme="minorHAnsi" w:hAnsiTheme="minorHAnsi" w:cstheme="minorHAnsi"/>
          <w:color w:val="365F91" w:themeColor="accent1" w:themeShade="BF"/>
          <w:sz w:val="22"/>
          <w:szCs w:val="22"/>
        </w:rPr>
      </w:pPr>
      <w:r w:rsidRPr="00460CC6">
        <w:rPr>
          <w:rFonts w:asciiTheme="minorHAnsi" w:hAnsiTheme="minorHAnsi" w:cstheme="minorHAnsi"/>
          <w:color w:val="365F91" w:themeColor="accent1" w:themeShade="BF"/>
          <w:sz w:val="22"/>
          <w:szCs w:val="22"/>
        </w:rPr>
        <w:t>CONCLUSIONES</w:t>
      </w:r>
    </w:p>
    <w:p w:rsidR="00105ACF" w:rsidRDefault="00105ACF" w:rsidP="00105ACF">
      <w:pPr>
        <w:tabs>
          <w:tab w:val="left" w:pos="1950"/>
        </w:tabs>
      </w:pPr>
      <w:r>
        <w:tab/>
      </w:r>
    </w:p>
    <w:p w:rsidR="00105ACF" w:rsidRDefault="00105ACF" w:rsidP="00E03EA0">
      <w:pPr>
        <w:spacing w:line="240" w:lineRule="auto"/>
        <w:jc w:val="both"/>
      </w:pPr>
      <w:r>
        <w:t>El 67.</w:t>
      </w:r>
      <w:r w:rsidR="00153233">
        <w:t>5</w:t>
      </w:r>
      <w:r>
        <w:t xml:space="preserve">% de los cambios no registrados en la matriz de cambios 2016 se encontraban en los mapas del PUOS a febrero del 2016, previo al envío de la matriz de cambios 2016 remitida por primera vez </w:t>
      </w:r>
      <w:r w:rsidR="00B907A3">
        <w:t xml:space="preserve"> a la Comisión de Uso de Suelo </w:t>
      </w:r>
      <w:r>
        <w:t>el 13 de julio de 2016.</w:t>
      </w:r>
    </w:p>
    <w:p w:rsidR="003521ED" w:rsidRDefault="00105ACF" w:rsidP="00E03EA0">
      <w:pPr>
        <w:spacing w:line="240" w:lineRule="auto"/>
        <w:jc w:val="both"/>
      </w:pPr>
      <w:r>
        <w:t>El 26.</w:t>
      </w:r>
      <w:r w:rsidR="00153233">
        <w:t>3</w:t>
      </w:r>
      <w:r>
        <w:t>% de los cambios se realizan entre febrero de 2016 y julio de 2016 (previo a la sanción de la Ordenanza nº 127), que corresponde a 9</w:t>
      </w:r>
      <w:r w:rsidR="00153233">
        <w:t>3</w:t>
      </w:r>
      <w:r w:rsidR="003521ED">
        <w:t xml:space="preserve"> cambios.</w:t>
      </w:r>
    </w:p>
    <w:p w:rsidR="00105ACF" w:rsidRDefault="00105ACF" w:rsidP="00E03EA0">
      <w:pPr>
        <w:spacing w:line="240" w:lineRule="auto"/>
        <w:jc w:val="both"/>
      </w:pPr>
      <w:r w:rsidRPr="00CD43A1">
        <w:t xml:space="preserve">El 6.2% de los cambios, se realiza posterior a la Ordenanza nº127 que corresponden a 22 casos, de los cuales  </w:t>
      </w:r>
      <w:r w:rsidR="00CD43A1" w:rsidRPr="00CD43A1">
        <w:t>18</w:t>
      </w:r>
      <w:r w:rsidRPr="00CD43A1">
        <w:t xml:space="preserve"> son cambios que tienen un sustento técnico </w:t>
      </w:r>
      <w:r w:rsidR="00CD43A1" w:rsidRPr="00CD43A1">
        <w:t>o legal, y 4</w:t>
      </w:r>
      <w:r w:rsidRPr="00CD43A1">
        <w:t xml:space="preserve"> corresponden a cambios de origen no determinado.</w:t>
      </w:r>
    </w:p>
    <w:p w:rsidR="00197001" w:rsidRDefault="00105ACF" w:rsidP="00197001">
      <w:pPr>
        <w:spacing w:after="0" w:line="240" w:lineRule="auto"/>
        <w:jc w:val="both"/>
        <w:rPr>
          <w:rFonts w:cstheme="minorHAnsi"/>
          <w:b/>
        </w:rPr>
      </w:pPr>
      <w:r w:rsidRPr="00734A3F">
        <w:t>El 75.</w:t>
      </w:r>
      <w:r w:rsidR="00B77D0B" w:rsidRPr="00734A3F">
        <w:t>7</w:t>
      </w:r>
      <w:r w:rsidRPr="00734A3F">
        <w:t xml:space="preserve"> % de los cambio</w:t>
      </w:r>
      <w:r w:rsidR="00197001" w:rsidRPr="00734A3F">
        <w:t>s</w:t>
      </w:r>
      <w:r w:rsidR="00197001">
        <w:t xml:space="preserve">, </w:t>
      </w:r>
      <w:r w:rsidR="00CD43A1">
        <w:t>presentan un justificativo del siguiente tipo:</w:t>
      </w:r>
      <w:r w:rsidR="00197001" w:rsidRPr="00197001">
        <w:rPr>
          <w:rFonts w:cstheme="minorHAnsi"/>
          <w:b/>
        </w:rPr>
        <w:t xml:space="preserve"> </w:t>
      </w:r>
    </w:p>
    <w:p w:rsidR="00197001" w:rsidRDefault="00197001" w:rsidP="00197001">
      <w:pPr>
        <w:spacing w:after="0" w:line="240" w:lineRule="auto"/>
        <w:jc w:val="both"/>
        <w:rPr>
          <w:rFonts w:cstheme="minorHAnsi"/>
          <w:b/>
        </w:rPr>
      </w:pPr>
    </w:p>
    <w:p w:rsidR="00197001" w:rsidRDefault="00DE4C58" w:rsidP="00197001">
      <w:pPr>
        <w:pStyle w:val="Prrafodelista"/>
        <w:numPr>
          <w:ilvl w:val="0"/>
          <w:numId w:val="35"/>
        </w:numPr>
        <w:spacing w:after="0" w:line="240" w:lineRule="auto"/>
        <w:jc w:val="both"/>
        <w:rPr>
          <w:rFonts w:cstheme="minorHAnsi"/>
        </w:rPr>
      </w:pPr>
      <w:r>
        <w:rPr>
          <w:rFonts w:cstheme="minorHAnsi"/>
          <w:b/>
        </w:rPr>
        <w:t>28</w:t>
      </w:r>
      <w:r w:rsidR="00197001" w:rsidRPr="00197001">
        <w:rPr>
          <w:rFonts w:cstheme="minorHAnsi"/>
          <w:b/>
        </w:rPr>
        <w:t xml:space="preserve">% de los cambios realizados ( 99 </w:t>
      </w:r>
      <w:r w:rsidR="00B907A3">
        <w:rPr>
          <w:rFonts w:cstheme="minorHAnsi"/>
          <w:b/>
        </w:rPr>
        <w:t>casos), tienen un justificativo</w:t>
      </w:r>
      <w:r w:rsidR="00197001" w:rsidRPr="00197001">
        <w:rPr>
          <w:rFonts w:cstheme="minorHAnsi"/>
          <w:b/>
        </w:rPr>
        <w:t xml:space="preserve">, </w:t>
      </w:r>
      <w:r w:rsidR="00197001" w:rsidRPr="00197001">
        <w:rPr>
          <w:rFonts w:cstheme="minorHAnsi"/>
        </w:rPr>
        <w:t xml:space="preserve">debido a que son respaldados por una </w:t>
      </w:r>
      <w:r w:rsidR="00197001" w:rsidRPr="00197001">
        <w:rPr>
          <w:rFonts w:cstheme="minorHAnsi"/>
          <w:i/>
        </w:rPr>
        <w:t>Ordenanza, un Derecho adquirido, una asignación de datos</w:t>
      </w:r>
      <w:r w:rsidR="00197001" w:rsidRPr="00197001">
        <w:rPr>
          <w:rFonts w:cstheme="minorHAnsi"/>
        </w:rPr>
        <w:t xml:space="preserve"> debidamente analizada por la Dirección Metropolitana de gestión Territorial  o la Dirección Metropolitana de Desarrollo Urbanístico;   o porque ya </w:t>
      </w:r>
      <w:r w:rsidR="00197001" w:rsidRPr="00197001">
        <w:rPr>
          <w:rFonts w:cstheme="minorHAnsi"/>
          <w:i/>
        </w:rPr>
        <w:t>Constaban en la Matriz de Cambios 2016</w:t>
      </w:r>
      <w:r w:rsidR="00197001" w:rsidRPr="00197001">
        <w:rPr>
          <w:rFonts w:cstheme="minorHAnsi"/>
        </w:rPr>
        <w:t>;  se  incluyen dentro de este grupo a 4 A</w:t>
      </w:r>
      <w:r w:rsidR="00197001" w:rsidRPr="00197001">
        <w:rPr>
          <w:rFonts w:cstheme="minorHAnsi"/>
          <w:i/>
        </w:rPr>
        <w:t>justes Cartográficos</w:t>
      </w:r>
      <w:r w:rsidR="00197001" w:rsidRPr="00197001">
        <w:rPr>
          <w:rFonts w:cstheme="minorHAnsi"/>
        </w:rPr>
        <w:t xml:space="preserve"> y 1 cambio en </w:t>
      </w:r>
      <w:r w:rsidR="00197001" w:rsidRPr="00197001">
        <w:rPr>
          <w:rFonts w:cstheme="minorHAnsi"/>
          <w:i/>
        </w:rPr>
        <w:t>Zona de Riesgo</w:t>
      </w:r>
      <w:r w:rsidR="00197001" w:rsidRPr="00197001">
        <w:rPr>
          <w:rFonts w:cstheme="minorHAnsi"/>
        </w:rPr>
        <w:t>, cuyos criterios fueron conocidos por la Comisión de Uso de Suelo durante las mesas de trabajo.</w:t>
      </w:r>
    </w:p>
    <w:p w:rsidR="00197001" w:rsidRPr="00197001" w:rsidRDefault="00DE4C58" w:rsidP="00197001">
      <w:pPr>
        <w:pStyle w:val="Prrafodelista"/>
        <w:numPr>
          <w:ilvl w:val="0"/>
          <w:numId w:val="35"/>
        </w:numPr>
        <w:spacing w:after="0" w:line="240" w:lineRule="auto"/>
        <w:jc w:val="both"/>
        <w:rPr>
          <w:rFonts w:cstheme="minorHAnsi"/>
        </w:rPr>
      </w:pPr>
      <w:r>
        <w:rPr>
          <w:rFonts w:cstheme="minorHAnsi"/>
          <w:b/>
        </w:rPr>
        <w:t>48% de los cambios (170</w:t>
      </w:r>
      <w:r w:rsidR="00197001" w:rsidRPr="00197001">
        <w:rPr>
          <w:rFonts w:cstheme="minorHAnsi"/>
          <w:b/>
        </w:rPr>
        <w:t xml:space="preserve"> casos), se realizan por un Criterio Técnico</w:t>
      </w:r>
      <w:r w:rsidR="00197001" w:rsidRPr="00197001">
        <w:rPr>
          <w:rFonts w:cstheme="minorHAnsi"/>
        </w:rPr>
        <w:t xml:space="preserve"> de la Secretaría de Territorio, criterios que involucran variables como tamaño de lote, infraestructura, dotación de servicios, afectaciones especiales, áreas patrimoniales, retiros de construcción, coeficiente de ocupación, asentamientos humanos,  nuevos desarrollos,  actividades económicas, equipamientos, protecciones ecológicas, concesiones mineras.</w:t>
      </w:r>
    </w:p>
    <w:p w:rsidR="00197001" w:rsidRDefault="00197001" w:rsidP="00197001">
      <w:pPr>
        <w:spacing w:after="0" w:line="240" w:lineRule="auto"/>
        <w:jc w:val="both"/>
      </w:pPr>
    </w:p>
    <w:p w:rsidR="00197001" w:rsidRDefault="00CD43A1" w:rsidP="00197001">
      <w:pPr>
        <w:spacing w:after="0" w:line="240" w:lineRule="auto"/>
        <w:jc w:val="both"/>
        <w:rPr>
          <w:rFonts w:cstheme="minorHAnsi"/>
        </w:rPr>
      </w:pPr>
      <w:r>
        <w:rPr>
          <w:rFonts w:cstheme="minorHAnsi"/>
        </w:rPr>
        <w:t>E</w:t>
      </w:r>
      <w:r w:rsidR="00197001">
        <w:rPr>
          <w:rFonts w:cstheme="minorHAnsi"/>
        </w:rPr>
        <w:t xml:space="preserve">l </w:t>
      </w:r>
      <w:r w:rsidR="00197001">
        <w:rPr>
          <w:rFonts w:cstheme="minorHAnsi"/>
          <w:b/>
        </w:rPr>
        <w:t>14.</w:t>
      </w:r>
      <w:r w:rsidR="00B907A3">
        <w:rPr>
          <w:rFonts w:cstheme="minorHAnsi"/>
          <w:b/>
        </w:rPr>
        <w:t>4</w:t>
      </w:r>
      <w:r w:rsidR="00197001" w:rsidRPr="00B51531">
        <w:rPr>
          <w:rFonts w:cstheme="minorHAnsi"/>
          <w:b/>
        </w:rPr>
        <w:t>% de los cambios (</w:t>
      </w:r>
      <w:r w:rsidR="00197001">
        <w:rPr>
          <w:rFonts w:cstheme="minorHAnsi"/>
          <w:b/>
        </w:rPr>
        <w:t>5</w:t>
      </w:r>
      <w:r w:rsidR="00B907A3">
        <w:rPr>
          <w:rFonts w:cstheme="minorHAnsi"/>
          <w:b/>
        </w:rPr>
        <w:t>1</w:t>
      </w:r>
      <w:r w:rsidR="00197001" w:rsidRPr="00B51531">
        <w:rPr>
          <w:rFonts w:cstheme="minorHAnsi"/>
          <w:b/>
        </w:rPr>
        <w:t xml:space="preserve"> casos), se efectúan por un error</w:t>
      </w:r>
      <w:r w:rsidR="00197001">
        <w:rPr>
          <w:rFonts w:cstheme="minorHAnsi"/>
        </w:rPr>
        <w:t xml:space="preserve">, ya sea debido a  una </w:t>
      </w:r>
      <w:r w:rsidR="00197001">
        <w:rPr>
          <w:rFonts w:cstheme="minorHAnsi"/>
          <w:i/>
        </w:rPr>
        <w:t>M</w:t>
      </w:r>
      <w:r w:rsidR="00197001" w:rsidRPr="00B51531">
        <w:rPr>
          <w:rFonts w:cstheme="minorHAnsi"/>
          <w:i/>
        </w:rPr>
        <w:t xml:space="preserve">ala </w:t>
      </w:r>
      <w:r w:rsidR="00197001">
        <w:rPr>
          <w:rFonts w:cstheme="minorHAnsi"/>
          <w:i/>
        </w:rPr>
        <w:t>A</w:t>
      </w:r>
      <w:r w:rsidR="00197001" w:rsidRPr="00B51531">
        <w:rPr>
          <w:rFonts w:cstheme="minorHAnsi"/>
          <w:i/>
        </w:rPr>
        <w:t xml:space="preserve">signación de </w:t>
      </w:r>
      <w:r w:rsidR="00197001">
        <w:rPr>
          <w:rFonts w:cstheme="minorHAnsi"/>
          <w:i/>
        </w:rPr>
        <w:t>D</w:t>
      </w:r>
      <w:r w:rsidR="00197001" w:rsidRPr="00B51531">
        <w:rPr>
          <w:rFonts w:cstheme="minorHAnsi"/>
          <w:i/>
        </w:rPr>
        <w:t>atos</w:t>
      </w:r>
      <w:r w:rsidR="00197001">
        <w:rPr>
          <w:rFonts w:cstheme="minorHAnsi"/>
        </w:rPr>
        <w:t xml:space="preserve"> por errores de </w:t>
      </w:r>
      <w:proofErr w:type="spellStart"/>
      <w:r w:rsidR="00197001">
        <w:rPr>
          <w:rFonts w:cstheme="minorHAnsi"/>
        </w:rPr>
        <w:t>tipeo</w:t>
      </w:r>
      <w:proofErr w:type="spellEnd"/>
      <w:r w:rsidR="00197001">
        <w:rPr>
          <w:rFonts w:cstheme="minorHAnsi"/>
        </w:rPr>
        <w:t xml:space="preserve">, información errónea de la zona cambiada; </w:t>
      </w:r>
      <w:proofErr w:type="spellStart"/>
      <w:r w:rsidR="00197001">
        <w:rPr>
          <w:rFonts w:cstheme="minorHAnsi"/>
        </w:rPr>
        <w:t>ó</w:t>
      </w:r>
      <w:proofErr w:type="spellEnd"/>
      <w:r w:rsidR="00197001">
        <w:rPr>
          <w:rFonts w:cstheme="minorHAnsi"/>
        </w:rPr>
        <w:t xml:space="preserve"> por una </w:t>
      </w:r>
      <w:r w:rsidR="00197001">
        <w:rPr>
          <w:rFonts w:cstheme="minorHAnsi"/>
          <w:i/>
        </w:rPr>
        <w:t>Pérdida de D</w:t>
      </w:r>
      <w:r w:rsidR="00197001" w:rsidRPr="00B51531">
        <w:rPr>
          <w:rFonts w:cstheme="minorHAnsi"/>
          <w:i/>
        </w:rPr>
        <w:t>atos</w:t>
      </w:r>
      <w:r w:rsidR="00197001">
        <w:rPr>
          <w:rFonts w:cstheme="minorHAnsi"/>
          <w:i/>
        </w:rPr>
        <w:t xml:space="preserve">, </w:t>
      </w:r>
      <w:r w:rsidR="00197001">
        <w:rPr>
          <w:rFonts w:cstheme="minorHAnsi"/>
        </w:rPr>
        <w:t>que se produce al momento de la unificación de las 4 partes del PUOS, perdiéndose  asignaciones de datos que fueron otorgados por la DMGT, o la DMDU.</w:t>
      </w:r>
    </w:p>
    <w:p w:rsidR="00197001" w:rsidRPr="00B51531" w:rsidRDefault="00197001" w:rsidP="00197001">
      <w:pPr>
        <w:spacing w:after="0" w:line="240" w:lineRule="auto"/>
        <w:jc w:val="both"/>
        <w:rPr>
          <w:rFonts w:cstheme="minorHAnsi"/>
        </w:rPr>
      </w:pPr>
    </w:p>
    <w:p w:rsidR="00197001" w:rsidRPr="00B51531" w:rsidRDefault="00CD43A1" w:rsidP="00197001">
      <w:pPr>
        <w:spacing w:after="0" w:line="240" w:lineRule="auto"/>
        <w:jc w:val="both"/>
        <w:rPr>
          <w:rFonts w:ascii="Arial" w:hAnsi="Arial" w:cs="Arial"/>
          <w:lang w:eastAsia="ja-JP"/>
        </w:rPr>
      </w:pPr>
      <w:r>
        <w:rPr>
          <w:rFonts w:cstheme="minorHAnsi"/>
        </w:rPr>
        <w:t xml:space="preserve">El </w:t>
      </w:r>
      <w:r w:rsidR="00197001">
        <w:rPr>
          <w:rFonts w:cstheme="minorHAnsi"/>
          <w:b/>
        </w:rPr>
        <w:t>9.</w:t>
      </w:r>
      <w:r w:rsidR="00DE4C58">
        <w:rPr>
          <w:rFonts w:cstheme="minorHAnsi"/>
          <w:b/>
        </w:rPr>
        <w:t>6</w:t>
      </w:r>
      <w:r w:rsidR="00197001">
        <w:rPr>
          <w:rFonts w:cstheme="minorHAnsi"/>
          <w:b/>
        </w:rPr>
        <w:t>% de cambios (3</w:t>
      </w:r>
      <w:r w:rsidR="00DE4C58">
        <w:rPr>
          <w:rFonts w:cstheme="minorHAnsi"/>
          <w:b/>
        </w:rPr>
        <w:t>4</w:t>
      </w:r>
      <w:r w:rsidR="00197001" w:rsidRPr="00B60109">
        <w:rPr>
          <w:rFonts w:cstheme="minorHAnsi"/>
          <w:b/>
        </w:rPr>
        <w:t xml:space="preserve"> casos)</w:t>
      </w:r>
      <w:r w:rsidR="00197001">
        <w:rPr>
          <w:rFonts w:cstheme="minorHAnsi"/>
        </w:rPr>
        <w:t xml:space="preserve">  se realizan sin un origen determinado.</w:t>
      </w:r>
    </w:p>
    <w:p w:rsidR="003B4F72" w:rsidRDefault="003B4F72" w:rsidP="00B16B13">
      <w:pPr>
        <w:rPr>
          <w:rFonts w:cstheme="minorHAnsi"/>
        </w:rPr>
      </w:pPr>
    </w:p>
    <w:p w:rsidR="00B16B13" w:rsidRPr="00B16B13" w:rsidRDefault="00B16B13" w:rsidP="00B16B13">
      <w:pPr>
        <w:rPr>
          <w:rFonts w:cstheme="minorHAnsi"/>
        </w:rPr>
      </w:pPr>
      <w:r w:rsidRPr="00B16B13">
        <w:rPr>
          <w:rFonts w:cstheme="minorHAnsi"/>
        </w:rPr>
        <w:t>De los 170 casos que fueron efectuados bajo un Criterio Técnico de la STHV, se establece que:</w:t>
      </w:r>
    </w:p>
    <w:p w:rsidR="00B16B13" w:rsidRPr="00B16B13" w:rsidRDefault="00AA5645" w:rsidP="00B16B13">
      <w:pPr>
        <w:pStyle w:val="Prrafodelista"/>
        <w:numPr>
          <w:ilvl w:val="0"/>
          <w:numId w:val="39"/>
        </w:numPr>
        <w:rPr>
          <w:rFonts w:cstheme="minorHAnsi"/>
        </w:rPr>
      </w:pPr>
      <w:r>
        <w:rPr>
          <w:rFonts w:cstheme="minorHAnsi"/>
          <w:b/>
        </w:rPr>
        <w:lastRenderedPageBreak/>
        <w:t>42,4</w:t>
      </w:r>
      <w:r w:rsidR="00B16B13" w:rsidRPr="00A16D1A">
        <w:rPr>
          <w:rFonts w:cstheme="minorHAnsi"/>
          <w:b/>
        </w:rPr>
        <w:t xml:space="preserve">% </w:t>
      </w:r>
      <w:r w:rsidR="00EB3D28">
        <w:rPr>
          <w:rFonts w:cstheme="minorHAnsi"/>
          <w:b/>
        </w:rPr>
        <w:t xml:space="preserve">de los cambios </w:t>
      </w:r>
      <w:r>
        <w:rPr>
          <w:rFonts w:cstheme="minorHAnsi"/>
          <w:b/>
        </w:rPr>
        <w:t>(72</w:t>
      </w:r>
      <w:r w:rsidR="00B16B13" w:rsidRPr="00A16D1A">
        <w:rPr>
          <w:rFonts w:cstheme="minorHAnsi"/>
          <w:b/>
        </w:rPr>
        <w:t xml:space="preserve"> casos)</w:t>
      </w:r>
      <w:r w:rsidR="00B16B13">
        <w:rPr>
          <w:rFonts w:cstheme="minorHAnsi"/>
        </w:rPr>
        <w:t xml:space="preserve"> </w:t>
      </w:r>
      <w:r w:rsidR="00B16B13" w:rsidRPr="00B16B13">
        <w:rPr>
          <w:rFonts w:cstheme="minorHAnsi"/>
        </w:rPr>
        <w:t>se efectuaron bajo el criterio de “Consolidación”</w:t>
      </w:r>
      <w:r w:rsidR="00B16B13">
        <w:rPr>
          <w:rFonts w:cstheme="minorHAnsi"/>
        </w:rPr>
        <w:t>,</w:t>
      </w:r>
      <w:r w:rsidR="00A16D1A">
        <w:rPr>
          <w:rFonts w:cstheme="minorHAnsi"/>
        </w:rPr>
        <w:t xml:space="preserve"> </w:t>
      </w:r>
      <w:r w:rsidR="00B16B13">
        <w:rPr>
          <w:rFonts w:cstheme="minorHAnsi"/>
        </w:rPr>
        <w:t xml:space="preserve">es decir que </w:t>
      </w:r>
      <w:r w:rsidR="00A16D1A">
        <w:rPr>
          <w:rFonts w:cstheme="minorHAnsi"/>
        </w:rPr>
        <w:t>se realizaron considerando  el tamaño de los lotes, infraestructura, servicios, zonas históricas, afectaciones especiales, retiros, ocupación, asentamientos humanos, afectaciones viales.</w:t>
      </w:r>
    </w:p>
    <w:p w:rsidR="00B16B13" w:rsidRPr="00B16B13" w:rsidRDefault="00AA5645" w:rsidP="00B16B13">
      <w:pPr>
        <w:pStyle w:val="Prrafodelista"/>
        <w:numPr>
          <w:ilvl w:val="0"/>
          <w:numId w:val="39"/>
        </w:numPr>
        <w:rPr>
          <w:rFonts w:cstheme="minorHAnsi"/>
        </w:rPr>
      </w:pPr>
      <w:r>
        <w:rPr>
          <w:rFonts w:cstheme="minorHAnsi"/>
          <w:b/>
        </w:rPr>
        <w:t>42.4</w:t>
      </w:r>
      <w:r w:rsidR="00A16D1A" w:rsidRPr="00A16D1A">
        <w:rPr>
          <w:rFonts w:cstheme="minorHAnsi"/>
          <w:b/>
        </w:rPr>
        <w:t xml:space="preserve">.8% </w:t>
      </w:r>
      <w:r w:rsidR="00EB3D28">
        <w:rPr>
          <w:rFonts w:cstheme="minorHAnsi"/>
          <w:b/>
        </w:rPr>
        <w:t xml:space="preserve">de los cambios </w:t>
      </w:r>
      <w:r w:rsidR="00A16D1A" w:rsidRPr="00A16D1A">
        <w:rPr>
          <w:rFonts w:cstheme="minorHAnsi"/>
          <w:b/>
        </w:rPr>
        <w:t>(</w:t>
      </w:r>
      <w:r>
        <w:rPr>
          <w:rFonts w:cstheme="minorHAnsi"/>
          <w:b/>
        </w:rPr>
        <w:t>72</w:t>
      </w:r>
      <w:r w:rsidR="00A16D1A" w:rsidRPr="00A16D1A">
        <w:rPr>
          <w:rFonts w:cstheme="minorHAnsi"/>
          <w:b/>
        </w:rPr>
        <w:t xml:space="preserve"> casos)</w:t>
      </w:r>
      <w:r w:rsidR="00B16B13" w:rsidRPr="00B16B13">
        <w:rPr>
          <w:rFonts w:cstheme="minorHAnsi"/>
        </w:rPr>
        <w:t xml:space="preserve"> se realizan por “Actividades Económicas”;</w:t>
      </w:r>
      <w:r w:rsidR="00A16D1A">
        <w:rPr>
          <w:rFonts w:cstheme="minorHAnsi"/>
        </w:rPr>
        <w:t xml:space="preserve"> es decir que se verificaron compatibilidades de </w:t>
      </w:r>
      <w:r w:rsidR="00EB3D28">
        <w:rPr>
          <w:rFonts w:cstheme="minorHAnsi"/>
        </w:rPr>
        <w:t>actividades económicas, que incluyen equipamientos e industrias.</w:t>
      </w:r>
    </w:p>
    <w:p w:rsidR="00B16B13" w:rsidRDefault="00EB3D28" w:rsidP="00B16B13">
      <w:pPr>
        <w:pStyle w:val="Prrafodelista"/>
        <w:numPr>
          <w:ilvl w:val="0"/>
          <w:numId w:val="39"/>
        </w:numPr>
        <w:rPr>
          <w:rFonts w:cstheme="minorHAnsi"/>
        </w:rPr>
      </w:pPr>
      <w:r w:rsidRPr="00EB3D28">
        <w:rPr>
          <w:rFonts w:cstheme="minorHAnsi"/>
          <w:b/>
        </w:rPr>
        <w:t>14.7% de los cambios</w:t>
      </w:r>
      <w:r>
        <w:rPr>
          <w:rFonts w:cstheme="minorHAnsi"/>
        </w:rPr>
        <w:t xml:space="preserve"> (25 casos)</w:t>
      </w:r>
      <w:r w:rsidR="00B16B13" w:rsidRPr="00B16B13">
        <w:rPr>
          <w:rFonts w:cstheme="minorHAnsi"/>
        </w:rPr>
        <w:t xml:space="preserve"> se realizan por encontra</w:t>
      </w:r>
      <w:r>
        <w:rPr>
          <w:rFonts w:cstheme="minorHAnsi"/>
        </w:rPr>
        <w:t>rse en protecciones ecológicas determinadas por la Secretaría de Ambiente.</w:t>
      </w:r>
    </w:p>
    <w:p w:rsidR="00EB3D28" w:rsidRDefault="00EB3D28" w:rsidP="00B16B13">
      <w:pPr>
        <w:pStyle w:val="Prrafodelista"/>
        <w:numPr>
          <w:ilvl w:val="0"/>
          <w:numId w:val="39"/>
        </w:numPr>
        <w:rPr>
          <w:rFonts w:cstheme="minorHAnsi"/>
        </w:rPr>
      </w:pPr>
      <w:r>
        <w:rPr>
          <w:rFonts w:cstheme="minorHAnsi"/>
          <w:b/>
        </w:rPr>
        <w:t xml:space="preserve">5.9% de los cambios </w:t>
      </w:r>
      <w:r>
        <w:rPr>
          <w:rFonts w:cstheme="minorHAnsi"/>
        </w:rPr>
        <w:t>(10 casos</w:t>
      </w:r>
      <w:r w:rsidR="00B16B13" w:rsidRPr="00B16B13">
        <w:rPr>
          <w:rFonts w:cstheme="minorHAnsi"/>
        </w:rPr>
        <w:t>) fueron conocidos p</w:t>
      </w:r>
      <w:r>
        <w:rPr>
          <w:rFonts w:cstheme="minorHAnsi"/>
        </w:rPr>
        <w:t xml:space="preserve">or la Comisión de Uso de suelo, que no se registraron en la matriz de cambios 2016. </w:t>
      </w:r>
    </w:p>
    <w:p w:rsidR="00233DE5" w:rsidRDefault="00EB3D28" w:rsidP="00B16B13">
      <w:pPr>
        <w:pStyle w:val="Prrafodelista"/>
        <w:numPr>
          <w:ilvl w:val="0"/>
          <w:numId w:val="39"/>
        </w:numPr>
        <w:rPr>
          <w:rFonts w:cstheme="minorHAnsi"/>
        </w:rPr>
      </w:pPr>
      <w:r>
        <w:rPr>
          <w:rFonts w:cstheme="minorHAnsi"/>
          <w:b/>
        </w:rPr>
        <w:t xml:space="preserve">0.6 % de los cambios  </w:t>
      </w:r>
      <w:r>
        <w:rPr>
          <w:rFonts w:cstheme="minorHAnsi"/>
        </w:rPr>
        <w:t>(1 caso</w:t>
      </w:r>
      <w:proofErr w:type="gramStart"/>
      <w:r>
        <w:rPr>
          <w:rFonts w:cstheme="minorHAnsi"/>
        </w:rPr>
        <w:t>)</w:t>
      </w:r>
      <w:r w:rsidR="00B16B13" w:rsidRPr="00B16B13">
        <w:rPr>
          <w:rFonts w:cstheme="minorHAnsi"/>
        </w:rPr>
        <w:t xml:space="preserve"> ,</w:t>
      </w:r>
      <w:proofErr w:type="gramEnd"/>
      <w:r w:rsidR="00B16B13" w:rsidRPr="00B16B13">
        <w:rPr>
          <w:rFonts w:cstheme="minorHAnsi"/>
        </w:rPr>
        <w:t xml:space="preserve"> se realiza por una protección esp</w:t>
      </w:r>
      <w:r>
        <w:rPr>
          <w:rFonts w:cstheme="minorHAnsi"/>
        </w:rPr>
        <w:t>ecial estab</w:t>
      </w:r>
      <w:r w:rsidR="00F36541">
        <w:rPr>
          <w:rFonts w:cstheme="minorHAnsi"/>
        </w:rPr>
        <w:t>lecida en un informe de la EPMAPS</w:t>
      </w:r>
      <w:r>
        <w:rPr>
          <w:rFonts w:cstheme="minorHAnsi"/>
        </w:rPr>
        <w:t xml:space="preserve">. Este caso corresponde al </w:t>
      </w:r>
      <w:r w:rsidR="00B16B13" w:rsidRPr="00B16B13">
        <w:rPr>
          <w:rFonts w:cstheme="minorHAnsi"/>
        </w:rPr>
        <w:t>denominado “El Troje”</w:t>
      </w:r>
      <w:r>
        <w:rPr>
          <w:rFonts w:cstheme="minorHAnsi"/>
        </w:rPr>
        <w:t>.</w:t>
      </w:r>
    </w:p>
    <w:p w:rsidR="008B286F" w:rsidRDefault="008B286F" w:rsidP="008B286F">
      <w:pPr>
        <w:rPr>
          <w:rFonts w:cstheme="minorHAnsi"/>
        </w:rPr>
      </w:pPr>
      <w:r>
        <w:rPr>
          <w:rFonts w:cstheme="minorHAnsi"/>
        </w:rPr>
        <w:t>Respecto a los cambios con origen no determinado, se establece que:</w:t>
      </w:r>
    </w:p>
    <w:p w:rsidR="008B286F" w:rsidRDefault="008B286F" w:rsidP="008B286F">
      <w:pPr>
        <w:pStyle w:val="Prrafodelista"/>
        <w:numPr>
          <w:ilvl w:val="0"/>
          <w:numId w:val="40"/>
        </w:numPr>
        <w:jc w:val="both"/>
      </w:pPr>
      <w:r w:rsidRPr="008B286F">
        <w:rPr>
          <w:b/>
        </w:rPr>
        <w:t>32% (11 cambios)</w:t>
      </w:r>
      <w:r>
        <w:t xml:space="preserve"> de los cambios con origen no determinado, se encontraban en el PUOS en septiembre de 2015, es decir, previo a la separación del archivo en 4 partes para su actualización. Así mismo, se determina que el </w:t>
      </w:r>
    </w:p>
    <w:p w:rsidR="008B286F" w:rsidRDefault="008B286F" w:rsidP="008B286F">
      <w:pPr>
        <w:pStyle w:val="Prrafodelista"/>
        <w:numPr>
          <w:ilvl w:val="0"/>
          <w:numId w:val="40"/>
        </w:numPr>
        <w:jc w:val="both"/>
      </w:pPr>
      <w:r w:rsidRPr="008B286F">
        <w:rPr>
          <w:b/>
        </w:rPr>
        <w:t>38% de los cambios (13 casos)</w:t>
      </w:r>
      <w:r>
        <w:t xml:space="preserve"> se realizan entre septiembre de 2015 y febrero de 2016, cuando se unifica el PUOS. </w:t>
      </w:r>
    </w:p>
    <w:p w:rsidR="008B286F" w:rsidRDefault="008B286F" w:rsidP="008B286F">
      <w:pPr>
        <w:pStyle w:val="Prrafodelista"/>
        <w:numPr>
          <w:ilvl w:val="0"/>
          <w:numId w:val="40"/>
        </w:numPr>
        <w:jc w:val="both"/>
      </w:pPr>
      <w:r w:rsidRPr="008B286F">
        <w:rPr>
          <w:b/>
        </w:rPr>
        <w:t>18% de los cambios (6 casos),</w:t>
      </w:r>
      <w:r>
        <w:t xml:space="preserve"> se realizan sobre la capa unificada del PUOS, previo a su sanción en julio del 2015. </w:t>
      </w:r>
    </w:p>
    <w:p w:rsidR="008B286F" w:rsidRPr="00634256" w:rsidRDefault="008B286F" w:rsidP="008B286F">
      <w:pPr>
        <w:pStyle w:val="Prrafodelista"/>
        <w:numPr>
          <w:ilvl w:val="0"/>
          <w:numId w:val="40"/>
        </w:numPr>
        <w:jc w:val="both"/>
        <w:sectPr w:rsidR="008B286F" w:rsidRPr="00634256" w:rsidSect="005E529C">
          <w:pgSz w:w="11907" w:h="16839" w:code="9"/>
          <w:pgMar w:top="1417" w:right="1701" w:bottom="1417" w:left="1701" w:header="708" w:footer="708" w:gutter="0"/>
          <w:cols w:space="708"/>
          <w:docGrid w:linePitch="360"/>
        </w:sectPr>
      </w:pPr>
      <w:r w:rsidRPr="008B286F">
        <w:rPr>
          <w:b/>
        </w:rPr>
        <w:t>12% de los cambios (4 casos),</w:t>
      </w:r>
      <w:r>
        <w:t xml:space="preserve"> se realizan posterior a la puesta en vigencia de la Ord. 127.</w:t>
      </w:r>
    </w:p>
    <w:p w:rsidR="00C11981" w:rsidRPr="000B580D" w:rsidRDefault="00C11981" w:rsidP="00891293">
      <w:pPr>
        <w:jc w:val="both"/>
        <w:rPr>
          <w:rFonts w:cstheme="minorHAnsi"/>
        </w:rPr>
      </w:pPr>
    </w:p>
    <w:sectPr w:rsidR="00C11981" w:rsidRPr="000B580D" w:rsidSect="00233DE5">
      <w:pgSz w:w="16839" w:h="11907"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AD" w:rsidRDefault="000C0EAD" w:rsidP="00976DD0">
      <w:pPr>
        <w:spacing w:after="0" w:line="240" w:lineRule="auto"/>
      </w:pPr>
      <w:r>
        <w:separator/>
      </w:r>
    </w:p>
  </w:endnote>
  <w:endnote w:type="continuationSeparator" w:id="0">
    <w:p w:rsidR="000C0EAD" w:rsidRDefault="000C0EAD" w:rsidP="0097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AD" w:rsidRDefault="000C0EAD" w:rsidP="00976DD0">
      <w:pPr>
        <w:spacing w:after="0" w:line="240" w:lineRule="auto"/>
      </w:pPr>
      <w:r>
        <w:separator/>
      </w:r>
    </w:p>
  </w:footnote>
  <w:footnote w:type="continuationSeparator" w:id="0">
    <w:p w:rsidR="000C0EAD" w:rsidRDefault="000C0EAD" w:rsidP="00976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53"/>
    <w:multiLevelType w:val="hybridMultilevel"/>
    <w:tmpl w:val="37F633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7811F27"/>
    <w:multiLevelType w:val="hybridMultilevel"/>
    <w:tmpl w:val="96B2D2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94A03C1"/>
    <w:multiLevelType w:val="hybridMultilevel"/>
    <w:tmpl w:val="B9D8397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3A3090A"/>
    <w:multiLevelType w:val="multilevel"/>
    <w:tmpl w:val="66900FAC"/>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69D2C0F"/>
    <w:multiLevelType w:val="hybridMultilevel"/>
    <w:tmpl w:val="E28A6FFC"/>
    <w:lvl w:ilvl="0" w:tplc="810C27C6">
      <w:start w:val="1"/>
      <w:numFmt w:val="bullet"/>
      <w:lvlText w:val="•"/>
      <w:lvlJc w:val="left"/>
      <w:pPr>
        <w:tabs>
          <w:tab w:val="num" w:pos="720"/>
        </w:tabs>
        <w:ind w:left="720" w:hanging="360"/>
      </w:pPr>
      <w:rPr>
        <w:rFonts w:ascii="Arial" w:hAnsi="Arial" w:hint="default"/>
      </w:rPr>
    </w:lvl>
    <w:lvl w:ilvl="1" w:tplc="1F1A8656" w:tentative="1">
      <w:start w:val="1"/>
      <w:numFmt w:val="bullet"/>
      <w:lvlText w:val="•"/>
      <w:lvlJc w:val="left"/>
      <w:pPr>
        <w:tabs>
          <w:tab w:val="num" w:pos="1440"/>
        </w:tabs>
        <w:ind w:left="1440" w:hanging="360"/>
      </w:pPr>
      <w:rPr>
        <w:rFonts w:ascii="Arial" w:hAnsi="Arial" w:hint="default"/>
      </w:rPr>
    </w:lvl>
    <w:lvl w:ilvl="2" w:tplc="00286B88" w:tentative="1">
      <w:start w:val="1"/>
      <w:numFmt w:val="bullet"/>
      <w:lvlText w:val="•"/>
      <w:lvlJc w:val="left"/>
      <w:pPr>
        <w:tabs>
          <w:tab w:val="num" w:pos="2160"/>
        </w:tabs>
        <w:ind w:left="2160" w:hanging="360"/>
      </w:pPr>
      <w:rPr>
        <w:rFonts w:ascii="Arial" w:hAnsi="Arial" w:hint="default"/>
      </w:rPr>
    </w:lvl>
    <w:lvl w:ilvl="3" w:tplc="BE9CED12" w:tentative="1">
      <w:start w:val="1"/>
      <w:numFmt w:val="bullet"/>
      <w:lvlText w:val="•"/>
      <w:lvlJc w:val="left"/>
      <w:pPr>
        <w:tabs>
          <w:tab w:val="num" w:pos="2880"/>
        </w:tabs>
        <w:ind w:left="2880" w:hanging="360"/>
      </w:pPr>
      <w:rPr>
        <w:rFonts w:ascii="Arial" w:hAnsi="Arial" w:hint="default"/>
      </w:rPr>
    </w:lvl>
    <w:lvl w:ilvl="4" w:tplc="6CF69F88" w:tentative="1">
      <w:start w:val="1"/>
      <w:numFmt w:val="bullet"/>
      <w:lvlText w:val="•"/>
      <w:lvlJc w:val="left"/>
      <w:pPr>
        <w:tabs>
          <w:tab w:val="num" w:pos="3600"/>
        </w:tabs>
        <w:ind w:left="3600" w:hanging="360"/>
      </w:pPr>
      <w:rPr>
        <w:rFonts w:ascii="Arial" w:hAnsi="Arial" w:hint="default"/>
      </w:rPr>
    </w:lvl>
    <w:lvl w:ilvl="5" w:tplc="D284A148" w:tentative="1">
      <w:start w:val="1"/>
      <w:numFmt w:val="bullet"/>
      <w:lvlText w:val="•"/>
      <w:lvlJc w:val="left"/>
      <w:pPr>
        <w:tabs>
          <w:tab w:val="num" w:pos="4320"/>
        </w:tabs>
        <w:ind w:left="4320" w:hanging="360"/>
      </w:pPr>
      <w:rPr>
        <w:rFonts w:ascii="Arial" w:hAnsi="Arial" w:hint="default"/>
      </w:rPr>
    </w:lvl>
    <w:lvl w:ilvl="6" w:tplc="EDC2D3D8" w:tentative="1">
      <w:start w:val="1"/>
      <w:numFmt w:val="bullet"/>
      <w:lvlText w:val="•"/>
      <w:lvlJc w:val="left"/>
      <w:pPr>
        <w:tabs>
          <w:tab w:val="num" w:pos="5040"/>
        </w:tabs>
        <w:ind w:left="5040" w:hanging="360"/>
      </w:pPr>
      <w:rPr>
        <w:rFonts w:ascii="Arial" w:hAnsi="Arial" w:hint="default"/>
      </w:rPr>
    </w:lvl>
    <w:lvl w:ilvl="7" w:tplc="A1F80F3A" w:tentative="1">
      <w:start w:val="1"/>
      <w:numFmt w:val="bullet"/>
      <w:lvlText w:val="•"/>
      <w:lvlJc w:val="left"/>
      <w:pPr>
        <w:tabs>
          <w:tab w:val="num" w:pos="5760"/>
        </w:tabs>
        <w:ind w:left="5760" w:hanging="360"/>
      </w:pPr>
      <w:rPr>
        <w:rFonts w:ascii="Arial" w:hAnsi="Arial" w:hint="default"/>
      </w:rPr>
    </w:lvl>
    <w:lvl w:ilvl="8" w:tplc="63204664" w:tentative="1">
      <w:start w:val="1"/>
      <w:numFmt w:val="bullet"/>
      <w:lvlText w:val="•"/>
      <w:lvlJc w:val="left"/>
      <w:pPr>
        <w:tabs>
          <w:tab w:val="num" w:pos="6480"/>
        </w:tabs>
        <w:ind w:left="6480" w:hanging="360"/>
      </w:pPr>
      <w:rPr>
        <w:rFonts w:ascii="Arial" w:hAnsi="Arial" w:hint="default"/>
      </w:rPr>
    </w:lvl>
  </w:abstractNum>
  <w:abstractNum w:abstractNumId="5">
    <w:nsid w:val="1E723070"/>
    <w:multiLevelType w:val="hybridMultilevel"/>
    <w:tmpl w:val="077A21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F3B4B2E"/>
    <w:multiLevelType w:val="hybridMultilevel"/>
    <w:tmpl w:val="27FE9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6363A9"/>
    <w:multiLevelType w:val="hybridMultilevel"/>
    <w:tmpl w:val="EE7A74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6FA7D17"/>
    <w:multiLevelType w:val="hybridMultilevel"/>
    <w:tmpl w:val="48CAF7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C87725C"/>
    <w:multiLevelType w:val="multilevel"/>
    <w:tmpl w:val="66900FAC"/>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DE85F6F"/>
    <w:multiLevelType w:val="hybridMultilevel"/>
    <w:tmpl w:val="DD3E550E"/>
    <w:lvl w:ilvl="0" w:tplc="300A000F">
      <w:start w:val="1"/>
      <w:numFmt w:val="decimal"/>
      <w:lvlText w:val="%1."/>
      <w:lvlJc w:val="left"/>
      <w:pPr>
        <w:ind w:left="720" w:hanging="360"/>
      </w:pPr>
    </w:lvl>
    <w:lvl w:ilvl="1" w:tplc="300A000F">
      <w:start w:val="1"/>
      <w:numFmt w:val="decimal"/>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04054EC"/>
    <w:multiLevelType w:val="hybridMultilevel"/>
    <w:tmpl w:val="92AA3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0B5406E"/>
    <w:multiLevelType w:val="hybridMultilevel"/>
    <w:tmpl w:val="193C59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5DD2566"/>
    <w:multiLevelType w:val="hybridMultilevel"/>
    <w:tmpl w:val="EC76FC3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82B7D3D"/>
    <w:multiLevelType w:val="hybridMultilevel"/>
    <w:tmpl w:val="E4AC4C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C1249E0"/>
    <w:multiLevelType w:val="hybridMultilevel"/>
    <w:tmpl w:val="AB2C4028"/>
    <w:lvl w:ilvl="0" w:tplc="300A0001">
      <w:start w:val="1"/>
      <w:numFmt w:val="bullet"/>
      <w:lvlText w:val=""/>
      <w:lvlJc w:val="left"/>
      <w:pPr>
        <w:ind w:left="1797" w:hanging="360"/>
      </w:pPr>
      <w:rPr>
        <w:rFonts w:ascii="Symbol" w:hAnsi="Symbol"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16">
    <w:nsid w:val="41953CBD"/>
    <w:multiLevelType w:val="hybridMultilevel"/>
    <w:tmpl w:val="EC76FC3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4193614"/>
    <w:multiLevelType w:val="hybridMultilevel"/>
    <w:tmpl w:val="D79AB32A"/>
    <w:lvl w:ilvl="0" w:tplc="C540AE92">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48F646C"/>
    <w:multiLevelType w:val="hybridMultilevel"/>
    <w:tmpl w:val="9F6A469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70E2C63"/>
    <w:multiLevelType w:val="multilevel"/>
    <w:tmpl w:val="01D46E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BC63997"/>
    <w:multiLevelType w:val="hybridMultilevel"/>
    <w:tmpl w:val="2B3855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1143506"/>
    <w:multiLevelType w:val="hybridMultilevel"/>
    <w:tmpl w:val="E92CC7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4AC20EB"/>
    <w:multiLevelType w:val="multilevel"/>
    <w:tmpl w:val="46187C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4FF74D2"/>
    <w:multiLevelType w:val="hybridMultilevel"/>
    <w:tmpl w:val="E8C441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D9F6681"/>
    <w:multiLevelType w:val="hybridMultilevel"/>
    <w:tmpl w:val="46CC8A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38A6A82"/>
    <w:multiLevelType w:val="hybridMultilevel"/>
    <w:tmpl w:val="718A16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4810449"/>
    <w:multiLevelType w:val="hybridMultilevel"/>
    <w:tmpl w:val="15DAB61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65E5F69"/>
    <w:multiLevelType w:val="hybridMultilevel"/>
    <w:tmpl w:val="F1389816"/>
    <w:lvl w:ilvl="0" w:tplc="E9B8CF80">
      <w:start w:val="3"/>
      <w:numFmt w:val="bullet"/>
      <w:lvlText w:val="-"/>
      <w:lvlJc w:val="left"/>
      <w:pPr>
        <w:ind w:left="720" w:hanging="360"/>
      </w:pPr>
      <w:rPr>
        <w:rFonts w:ascii="Calibri" w:eastAsia="MS Mincho"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666A3E0D"/>
    <w:multiLevelType w:val="hybridMultilevel"/>
    <w:tmpl w:val="5E64B1B2"/>
    <w:lvl w:ilvl="0" w:tplc="82241BAC">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B6F53D6"/>
    <w:multiLevelType w:val="hybridMultilevel"/>
    <w:tmpl w:val="1E502D2C"/>
    <w:lvl w:ilvl="0" w:tplc="82241BAC">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6DC444F3"/>
    <w:multiLevelType w:val="hybridMultilevel"/>
    <w:tmpl w:val="E95E607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1">
    <w:nsid w:val="6ED4019F"/>
    <w:multiLevelType w:val="hybridMultilevel"/>
    <w:tmpl w:val="C92085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F850931"/>
    <w:multiLevelType w:val="multilevel"/>
    <w:tmpl w:val="A1F2520C"/>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492554D"/>
    <w:multiLevelType w:val="hybridMultilevel"/>
    <w:tmpl w:val="92AA32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6A908BA"/>
    <w:multiLevelType w:val="multilevel"/>
    <w:tmpl w:val="FE62BC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8A6B79"/>
    <w:multiLevelType w:val="hybridMultilevel"/>
    <w:tmpl w:val="8C0C2D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A30670B"/>
    <w:multiLevelType w:val="hybridMultilevel"/>
    <w:tmpl w:val="CE46D1DC"/>
    <w:lvl w:ilvl="0" w:tplc="C540AE92">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B232F7B"/>
    <w:multiLevelType w:val="hybridMultilevel"/>
    <w:tmpl w:val="440CDBE4"/>
    <w:lvl w:ilvl="0" w:tplc="A9467D3E">
      <w:start w:val="3"/>
      <w:numFmt w:val="bullet"/>
      <w:lvlText w:val="-"/>
      <w:lvlJc w:val="left"/>
      <w:pPr>
        <w:ind w:left="1080" w:hanging="360"/>
      </w:pPr>
      <w:rPr>
        <w:rFonts w:ascii="Calibri" w:eastAsia="MS Mincho" w:hAnsi="Calibri" w:cs="Calibri" w:hint="default"/>
        <w:color w:val="000000" w:themeColor="text1"/>
        <w:sz w:val="20"/>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nsid w:val="7B634C1B"/>
    <w:multiLevelType w:val="hybridMultilevel"/>
    <w:tmpl w:val="D47AEE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CD37AF8"/>
    <w:multiLevelType w:val="hybridMultilevel"/>
    <w:tmpl w:val="B98A9A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EC46D7C"/>
    <w:multiLevelType w:val="hybridMultilevel"/>
    <w:tmpl w:val="198C5A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FC62901"/>
    <w:multiLevelType w:val="hybridMultilevel"/>
    <w:tmpl w:val="B5A8765C"/>
    <w:lvl w:ilvl="0" w:tplc="7F4E36CC">
      <w:start w:val="2"/>
      <w:numFmt w:val="bullet"/>
      <w:lvlText w:val="-"/>
      <w:lvlJc w:val="left"/>
      <w:pPr>
        <w:ind w:left="720" w:hanging="360"/>
      </w:pPr>
      <w:rPr>
        <w:rFonts w:ascii="Calibri" w:eastAsia="MS Mincho"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9"/>
  </w:num>
  <w:num w:numId="4">
    <w:abstractNumId w:val="31"/>
  </w:num>
  <w:num w:numId="5">
    <w:abstractNumId w:val="22"/>
  </w:num>
  <w:num w:numId="6">
    <w:abstractNumId w:val="32"/>
  </w:num>
  <w:num w:numId="7">
    <w:abstractNumId w:val="18"/>
  </w:num>
  <w:num w:numId="8">
    <w:abstractNumId w:val="10"/>
  </w:num>
  <w:num w:numId="9">
    <w:abstractNumId w:val="2"/>
  </w:num>
  <w:num w:numId="10">
    <w:abstractNumId w:val="16"/>
  </w:num>
  <w:num w:numId="11">
    <w:abstractNumId w:val="13"/>
  </w:num>
  <w:num w:numId="12">
    <w:abstractNumId w:val="34"/>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5"/>
  </w:num>
  <w:num w:numId="18">
    <w:abstractNumId w:val="14"/>
  </w:num>
  <w:num w:numId="19">
    <w:abstractNumId w:val="11"/>
  </w:num>
  <w:num w:numId="20">
    <w:abstractNumId w:val="41"/>
  </w:num>
  <w:num w:numId="21">
    <w:abstractNumId w:val="40"/>
  </w:num>
  <w:num w:numId="22">
    <w:abstractNumId w:val="37"/>
  </w:num>
  <w:num w:numId="23">
    <w:abstractNumId w:val="33"/>
  </w:num>
  <w:num w:numId="24">
    <w:abstractNumId w:val="27"/>
  </w:num>
  <w:num w:numId="25">
    <w:abstractNumId w:val="1"/>
  </w:num>
  <w:num w:numId="26">
    <w:abstractNumId w:val="17"/>
  </w:num>
  <w:num w:numId="27">
    <w:abstractNumId w:val="36"/>
  </w:num>
  <w:num w:numId="28">
    <w:abstractNumId w:val="29"/>
  </w:num>
  <w:num w:numId="29">
    <w:abstractNumId w:val="28"/>
  </w:num>
  <w:num w:numId="30">
    <w:abstractNumId w:val="8"/>
  </w:num>
  <w:num w:numId="31">
    <w:abstractNumId w:val="7"/>
  </w:num>
  <w:num w:numId="32">
    <w:abstractNumId w:val="20"/>
  </w:num>
  <w:num w:numId="33">
    <w:abstractNumId w:val="4"/>
  </w:num>
  <w:num w:numId="34">
    <w:abstractNumId w:val="35"/>
  </w:num>
  <w:num w:numId="35">
    <w:abstractNumId w:val="23"/>
  </w:num>
  <w:num w:numId="36">
    <w:abstractNumId w:val="5"/>
  </w:num>
  <w:num w:numId="37">
    <w:abstractNumId w:val="0"/>
  </w:num>
  <w:num w:numId="38">
    <w:abstractNumId w:val="3"/>
  </w:num>
  <w:num w:numId="39">
    <w:abstractNumId w:val="38"/>
  </w:num>
  <w:num w:numId="40">
    <w:abstractNumId w:val="21"/>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AD"/>
    <w:rsid w:val="00000F6A"/>
    <w:rsid w:val="00022A09"/>
    <w:rsid w:val="00022E02"/>
    <w:rsid w:val="0002321E"/>
    <w:rsid w:val="00024A2C"/>
    <w:rsid w:val="00032BCA"/>
    <w:rsid w:val="000415FD"/>
    <w:rsid w:val="00047249"/>
    <w:rsid w:val="00047514"/>
    <w:rsid w:val="0006502F"/>
    <w:rsid w:val="0006547F"/>
    <w:rsid w:val="00071708"/>
    <w:rsid w:val="00080A7C"/>
    <w:rsid w:val="00082A8A"/>
    <w:rsid w:val="000838D9"/>
    <w:rsid w:val="00093214"/>
    <w:rsid w:val="0009561C"/>
    <w:rsid w:val="0009592F"/>
    <w:rsid w:val="000A1A77"/>
    <w:rsid w:val="000A2B6C"/>
    <w:rsid w:val="000A7987"/>
    <w:rsid w:val="000B0CFE"/>
    <w:rsid w:val="000B0FAA"/>
    <w:rsid w:val="000B2D7F"/>
    <w:rsid w:val="000B580D"/>
    <w:rsid w:val="000B7015"/>
    <w:rsid w:val="000C0480"/>
    <w:rsid w:val="000C0EAD"/>
    <w:rsid w:val="000C328D"/>
    <w:rsid w:val="000C7456"/>
    <w:rsid w:val="000D1495"/>
    <w:rsid w:val="000D2CF7"/>
    <w:rsid w:val="000D4203"/>
    <w:rsid w:val="000D60D6"/>
    <w:rsid w:val="000E38D3"/>
    <w:rsid w:val="000E3C4B"/>
    <w:rsid w:val="000E66DC"/>
    <w:rsid w:val="000F1877"/>
    <w:rsid w:val="000F7519"/>
    <w:rsid w:val="001012ED"/>
    <w:rsid w:val="00101A4B"/>
    <w:rsid w:val="001025FD"/>
    <w:rsid w:val="00102991"/>
    <w:rsid w:val="00105ACF"/>
    <w:rsid w:val="00112134"/>
    <w:rsid w:val="00116D42"/>
    <w:rsid w:val="001211E3"/>
    <w:rsid w:val="0013345C"/>
    <w:rsid w:val="00133649"/>
    <w:rsid w:val="00134407"/>
    <w:rsid w:val="00143674"/>
    <w:rsid w:val="00153233"/>
    <w:rsid w:val="00154A08"/>
    <w:rsid w:val="00160A63"/>
    <w:rsid w:val="001615C9"/>
    <w:rsid w:val="001616FE"/>
    <w:rsid w:val="0016437C"/>
    <w:rsid w:val="0016665D"/>
    <w:rsid w:val="0016764C"/>
    <w:rsid w:val="00173C18"/>
    <w:rsid w:val="00186F1E"/>
    <w:rsid w:val="00190A98"/>
    <w:rsid w:val="00197001"/>
    <w:rsid w:val="001B2061"/>
    <w:rsid w:val="001B22C6"/>
    <w:rsid w:val="001B2BB6"/>
    <w:rsid w:val="001B3BEE"/>
    <w:rsid w:val="001C510A"/>
    <w:rsid w:val="001D45A2"/>
    <w:rsid w:val="001D6222"/>
    <w:rsid w:val="001E0C1B"/>
    <w:rsid w:val="001E3863"/>
    <w:rsid w:val="001E392A"/>
    <w:rsid w:val="001E438B"/>
    <w:rsid w:val="001F57A0"/>
    <w:rsid w:val="001F6FFF"/>
    <w:rsid w:val="002011D1"/>
    <w:rsid w:val="00203D66"/>
    <w:rsid w:val="00213EF7"/>
    <w:rsid w:val="00227E8F"/>
    <w:rsid w:val="002319A1"/>
    <w:rsid w:val="00231D96"/>
    <w:rsid w:val="0023379C"/>
    <w:rsid w:val="00233DE5"/>
    <w:rsid w:val="00252958"/>
    <w:rsid w:val="00252C9A"/>
    <w:rsid w:val="00252F03"/>
    <w:rsid w:val="00263B96"/>
    <w:rsid w:val="0026445C"/>
    <w:rsid w:val="002648D2"/>
    <w:rsid w:val="00274592"/>
    <w:rsid w:val="002749C3"/>
    <w:rsid w:val="00277225"/>
    <w:rsid w:val="00291AF9"/>
    <w:rsid w:val="002A6C88"/>
    <w:rsid w:val="002B02DF"/>
    <w:rsid w:val="002B07CE"/>
    <w:rsid w:val="002D71AF"/>
    <w:rsid w:val="002E14B9"/>
    <w:rsid w:val="002E212E"/>
    <w:rsid w:val="002E49F3"/>
    <w:rsid w:val="002E5C56"/>
    <w:rsid w:val="002F5AC3"/>
    <w:rsid w:val="002F7F95"/>
    <w:rsid w:val="0030319F"/>
    <w:rsid w:val="003060B8"/>
    <w:rsid w:val="00310485"/>
    <w:rsid w:val="0031322B"/>
    <w:rsid w:val="00314E4A"/>
    <w:rsid w:val="00325851"/>
    <w:rsid w:val="00326CD6"/>
    <w:rsid w:val="00331F11"/>
    <w:rsid w:val="00333637"/>
    <w:rsid w:val="0033485E"/>
    <w:rsid w:val="00336C16"/>
    <w:rsid w:val="003448E9"/>
    <w:rsid w:val="003521ED"/>
    <w:rsid w:val="00354BEA"/>
    <w:rsid w:val="003560DA"/>
    <w:rsid w:val="003570EB"/>
    <w:rsid w:val="003576C2"/>
    <w:rsid w:val="00363A3A"/>
    <w:rsid w:val="00365E68"/>
    <w:rsid w:val="00366C4E"/>
    <w:rsid w:val="003739FA"/>
    <w:rsid w:val="00381CDF"/>
    <w:rsid w:val="00382585"/>
    <w:rsid w:val="0038360D"/>
    <w:rsid w:val="00393E9E"/>
    <w:rsid w:val="003A08F3"/>
    <w:rsid w:val="003A3628"/>
    <w:rsid w:val="003B4F72"/>
    <w:rsid w:val="003B7ADA"/>
    <w:rsid w:val="003C3854"/>
    <w:rsid w:val="003C6DF2"/>
    <w:rsid w:val="003D0695"/>
    <w:rsid w:val="003D0924"/>
    <w:rsid w:val="003D2133"/>
    <w:rsid w:val="003D4174"/>
    <w:rsid w:val="003D4460"/>
    <w:rsid w:val="003D6AC6"/>
    <w:rsid w:val="003E1D2D"/>
    <w:rsid w:val="003E54E4"/>
    <w:rsid w:val="003E5F3D"/>
    <w:rsid w:val="003E7C0D"/>
    <w:rsid w:val="003F76E7"/>
    <w:rsid w:val="004039F8"/>
    <w:rsid w:val="0040460C"/>
    <w:rsid w:val="004059B9"/>
    <w:rsid w:val="004103B0"/>
    <w:rsid w:val="004154F0"/>
    <w:rsid w:val="004219CB"/>
    <w:rsid w:val="004263AE"/>
    <w:rsid w:val="00431486"/>
    <w:rsid w:val="00447F64"/>
    <w:rsid w:val="00452100"/>
    <w:rsid w:val="00460549"/>
    <w:rsid w:val="00463E23"/>
    <w:rsid w:val="004746FF"/>
    <w:rsid w:val="00481217"/>
    <w:rsid w:val="004872AE"/>
    <w:rsid w:val="004877A3"/>
    <w:rsid w:val="00494FA6"/>
    <w:rsid w:val="00494FC2"/>
    <w:rsid w:val="004A258B"/>
    <w:rsid w:val="004B60B2"/>
    <w:rsid w:val="004B6F2E"/>
    <w:rsid w:val="004C2451"/>
    <w:rsid w:val="004C72B3"/>
    <w:rsid w:val="004C7E05"/>
    <w:rsid w:val="004E5D1A"/>
    <w:rsid w:val="004E6C61"/>
    <w:rsid w:val="004E71C1"/>
    <w:rsid w:val="004F1D90"/>
    <w:rsid w:val="004F7EA6"/>
    <w:rsid w:val="00500026"/>
    <w:rsid w:val="00517169"/>
    <w:rsid w:val="00520ED8"/>
    <w:rsid w:val="0052541E"/>
    <w:rsid w:val="005266F8"/>
    <w:rsid w:val="00526BF7"/>
    <w:rsid w:val="005272BF"/>
    <w:rsid w:val="00527CB7"/>
    <w:rsid w:val="005415D7"/>
    <w:rsid w:val="00543A0F"/>
    <w:rsid w:val="00543EB4"/>
    <w:rsid w:val="005465B4"/>
    <w:rsid w:val="00566911"/>
    <w:rsid w:val="00567FA9"/>
    <w:rsid w:val="00572E53"/>
    <w:rsid w:val="00577CEE"/>
    <w:rsid w:val="00581F2B"/>
    <w:rsid w:val="005855A1"/>
    <w:rsid w:val="0059255B"/>
    <w:rsid w:val="005A36F1"/>
    <w:rsid w:val="005A7396"/>
    <w:rsid w:val="005B149E"/>
    <w:rsid w:val="005B15BF"/>
    <w:rsid w:val="005B2164"/>
    <w:rsid w:val="005B3FA7"/>
    <w:rsid w:val="005B69C5"/>
    <w:rsid w:val="005C030F"/>
    <w:rsid w:val="005C3066"/>
    <w:rsid w:val="005C5B74"/>
    <w:rsid w:val="005C7D23"/>
    <w:rsid w:val="005C7D6B"/>
    <w:rsid w:val="005D1186"/>
    <w:rsid w:val="005E4572"/>
    <w:rsid w:val="005E529C"/>
    <w:rsid w:val="005F1FBB"/>
    <w:rsid w:val="005F288B"/>
    <w:rsid w:val="005F40BA"/>
    <w:rsid w:val="00603F46"/>
    <w:rsid w:val="006041A0"/>
    <w:rsid w:val="00605701"/>
    <w:rsid w:val="00607A0E"/>
    <w:rsid w:val="00607FD9"/>
    <w:rsid w:val="00614BCB"/>
    <w:rsid w:val="00620FE1"/>
    <w:rsid w:val="00623744"/>
    <w:rsid w:val="00625FE2"/>
    <w:rsid w:val="006334F2"/>
    <w:rsid w:val="00633F90"/>
    <w:rsid w:val="00634256"/>
    <w:rsid w:val="00637E7B"/>
    <w:rsid w:val="00640C14"/>
    <w:rsid w:val="00641259"/>
    <w:rsid w:val="006422FE"/>
    <w:rsid w:val="00653A5E"/>
    <w:rsid w:val="00653C43"/>
    <w:rsid w:val="00655B73"/>
    <w:rsid w:val="0066280B"/>
    <w:rsid w:val="00666721"/>
    <w:rsid w:val="0066726B"/>
    <w:rsid w:val="006712B6"/>
    <w:rsid w:val="006729D4"/>
    <w:rsid w:val="00685553"/>
    <w:rsid w:val="006878AE"/>
    <w:rsid w:val="006A0D15"/>
    <w:rsid w:val="006A73DC"/>
    <w:rsid w:val="006A7695"/>
    <w:rsid w:val="006B2026"/>
    <w:rsid w:val="006B56BC"/>
    <w:rsid w:val="006B6DA8"/>
    <w:rsid w:val="006C05BC"/>
    <w:rsid w:val="006C32A4"/>
    <w:rsid w:val="006C3822"/>
    <w:rsid w:val="006C3B93"/>
    <w:rsid w:val="006C59C3"/>
    <w:rsid w:val="006D12D9"/>
    <w:rsid w:val="006D1519"/>
    <w:rsid w:val="006D2EAB"/>
    <w:rsid w:val="006D4CFF"/>
    <w:rsid w:val="006D585C"/>
    <w:rsid w:val="006E1B82"/>
    <w:rsid w:val="006E214C"/>
    <w:rsid w:val="00703D29"/>
    <w:rsid w:val="007102E2"/>
    <w:rsid w:val="00721E62"/>
    <w:rsid w:val="007255A8"/>
    <w:rsid w:val="007260CB"/>
    <w:rsid w:val="00731C6B"/>
    <w:rsid w:val="00731DC4"/>
    <w:rsid w:val="00734A3F"/>
    <w:rsid w:val="0074631D"/>
    <w:rsid w:val="00753935"/>
    <w:rsid w:val="00755BDE"/>
    <w:rsid w:val="007716F2"/>
    <w:rsid w:val="00776B5B"/>
    <w:rsid w:val="0078798D"/>
    <w:rsid w:val="00790DDA"/>
    <w:rsid w:val="0079332D"/>
    <w:rsid w:val="00794CAB"/>
    <w:rsid w:val="0079700E"/>
    <w:rsid w:val="00797061"/>
    <w:rsid w:val="007A0945"/>
    <w:rsid w:val="007A39AC"/>
    <w:rsid w:val="007A4313"/>
    <w:rsid w:val="007A44FF"/>
    <w:rsid w:val="007A4BB8"/>
    <w:rsid w:val="007A5117"/>
    <w:rsid w:val="007B04BC"/>
    <w:rsid w:val="007B2BF0"/>
    <w:rsid w:val="007C1F57"/>
    <w:rsid w:val="007C4228"/>
    <w:rsid w:val="007C68C6"/>
    <w:rsid w:val="007C6E6E"/>
    <w:rsid w:val="007C7BCD"/>
    <w:rsid w:val="007D79AC"/>
    <w:rsid w:val="007E1939"/>
    <w:rsid w:val="007E441A"/>
    <w:rsid w:val="007E5E32"/>
    <w:rsid w:val="007E71D1"/>
    <w:rsid w:val="007E7FC1"/>
    <w:rsid w:val="007F587B"/>
    <w:rsid w:val="007F70EC"/>
    <w:rsid w:val="00801AF3"/>
    <w:rsid w:val="00801F9E"/>
    <w:rsid w:val="00802200"/>
    <w:rsid w:val="00811AA8"/>
    <w:rsid w:val="0081472D"/>
    <w:rsid w:val="00821398"/>
    <w:rsid w:val="00824182"/>
    <w:rsid w:val="00826D48"/>
    <w:rsid w:val="0083251F"/>
    <w:rsid w:val="00832AEB"/>
    <w:rsid w:val="00833234"/>
    <w:rsid w:val="00834D2C"/>
    <w:rsid w:val="00840668"/>
    <w:rsid w:val="00842C2F"/>
    <w:rsid w:val="00854E55"/>
    <w:rsid w:val="008579F5"/>
    <w:rsid w:val="00860061"/>
    <w:rsid w:val="00861202"/>
    <w:rsid w:val="008625F5"/>
    <w:rsid w:val="00864C8F"/>
    <w:rsid w:val="0086582E"/>
    <w:rsid w:val="00875373"/>
    <w:rsid w:val="008835F8"/>
    <w:rsid w:val="00883A3B"/>
    <w:rsid w:val="00887555"/>
    <w:rsid w:val="00891293"/>
    <w:rsid w:val="00891BF3"/>
    <w:rsid w:val="008959CF"/>
    <w:rsid w:val="008A0439"/>
    <w:rsid w:val="008A43EF"/>
    <w:rsid w:val="008A652B"/>
    <w:rsid w:val="008B22F1"/>
    <w:rsid w:val="008B286F"/>
    <w:rsid w:val="008B4642"/>
    <w:rsid w:val="008C2F92"/>
    <w:rsid w:val="008D0318"/>
    <w:rsid w:val="008E01AD"/>
    <w:rsid w:val="008E1F34"/>
    <w:rsid w:val="008E46BA"/>
    <w:rsid w:val="008F2926"/>
    <w:rsid w:val="008F3C3E"/>
    <w:rsid w:val="008F4074"/>
    <w:rsid w:val="008F6951"/>
    <w:rsid w:val="00910843"/>
    <w:rsid w:val="009114BD"/>
    <w:rsid w:val="00913025"/>
    <w:rsid w:val="00915E66"/>
    <w:rsid w:val="00921BCA"/>
    <w:rsid w:val="009366CB"/>
    <w:rsid w:val="00936B4F"/>
    <w:rsid w:val="00942F96"/>
    <w:rsid w:val="00943FDC"/>
    <w:rsid w:val="00944F27"/>
    <w:rsid w:val="0094565B"/>
    <w:rsid w:val="009613C0"/>
    <w:rsid w:val="00962B32"/>
    <w:rsid w:val="00965F4D"/>
    <w:rsid w:val="00967E93"/>
    <w:rsid w:val="009722EC"/>
    <w:rsid w:val="009749B0"/>
    <w:rsid w:val="00976DD0"/>
    <w:rsid w:val="00991E60"/>
    <w:rsid w:val="009934CB"/>
    <w:rsid w:val="009A5EEB"/>
    <w:rsid w:val="009A7668"/>
    <w:rsid w:val="009B15B9"/>
    <w:rsid w:val="009B2CA6"/>
    <w:rsid w:val="009B34EA"/>
    <w:rsid w:val="009B37C1"/>
    <w:rsid w:val="009B4F7B"/>
    <w:rsid w:val="009B6035"/>
    <w:rsid w:val="009C48C8"/>
    <w:rsid w:val="009E2BC0"/>
    <w:rsid w:val="009E5F4E"/>
    <w:rsid w:val="009E673D"/>
    <w:rsid w:val="009F391D"/>
    <w:rsid w:val="00A02A33"/>
    <w:rsid w:val="00A0701A"/>
    <w:rsid w:val="00A16C80"/>
    <w:rsid w:val="00A16D1A"/>
    <w:rsid w:val="00A25BD7"/>
    <w:rsid w:val="00A26292"/>
    <w:rsid w:val="00A3320F"/>
    <w:rsid w:val="00A369AE"/>
    <w:rsid w:val="00A42400"/>
    <w:rsid w:val="00A50BD1"/>
    <w:rsid w:val="00A615CE"/>
    <w:rsid w:val="00A6256B"/>
    <w:rsid w:val="00A654B6"/>
    <w:rsid w:val="00A75CE5"/>
    <w:rsid w:val="00A84345"/>
    <w:rsid w:val="00A9307B"/>
    <w:rsid w:val="00A96412"/>
    <w:rsid w:val="00AA375F"/>
    <w:rsid w:val="00AA5118"/>
    <w:rsid w:val="00AA5645"/>
    <w:rsid w:val="00AB4072"/>
    <w:rsid w:val="00AC028A"/>
    <w:rsid w:val="00AC0BDE"/>
    <w:rsid w:val="00AD0281"/>
    <w:rsid w:val="00AD7D1D"/>
    <w:rsid w:val="00AE0430"/>
    <w:rsid w:val="00AE1F7A"/>
    <w:rsid w:val="00AE37A2"/>
    <w:rsid w:val="00AE57CE"/>
    <w:rsid w:val="00AF017E"/>
    <w:rsid w:val="00B1044D"/>
    <w:rsid w:val="00B132C3"/>
    <w:rsid w:val="00B13D35"/>
    <w:rsid w:val="00B14914"/>
    <w:rsid w:val="00B15ACE"/>
    <w:rsid w:val="00B16B13"/>
    <w:rsid w:val="00B22319"/>
    <w:rsid w:val="00B27C53"/>
    <w:rsid w:val="00B311D0"/>
    <w:rsid w:val="00B35841"/>
    <w:rsid w:val="00B51531"/>
    <w:rsid w:val="00B60109"/>
    <w:rsid w:val="00B619B6"/>
    <w:rsid w:val="00B6379B"/>
    <w:rsid w:val="00B64684"/>
    <w:rsid w:val="00B72A01"/>
    <w:rsid w:val="00B73CF5"/>
    <w:rsid w:val="00B757DC"/>
    <w:rsid w:val="00B769F3"/>
    <w:rsid w:val="00B77D0B"/>
    <w:rsid w:val="00B833F8"/>
    <w:rsid w:val="00B8486D"/>
    <w:rsid w:val="00B907A3"/>
    <w:rsid w:val="00B91333"/>
    <w:rsid w:val="00B93579"/>
    <w:rsid w:val="00B959C3"/>
    <w:rsid w:val="00B960D0"/>
    <w:rsid w:val="00BA2982"/>
    <w:rsid w:val="00BB02DF"/>
    <w:rsid w:val="00BB2BD4"/>
    <w:rsid w:val="00BB5096"/>
    <w:rsid w:val="00BB6758"/>
    <w:rsid w:val="00BC3E2F"/>
    <w:rsid w:val="00BC3E3D"/>
    <w:rsid w:val="00BD2F46"/>
    <w:rsid w:val="00BD2F8D"/>
    <w:rsid w:val="00BD3100"/>
    <w:rsid w:val="00BD57F4"/>
    <w:rsid w:val="00BD6346"/>
    <w:rsid w:val="00BE6C20"/>
    <w:rsid w:val="00BF2FED"/>
    <w:rsid w:val="00BF5381"/>
    <w:rsid w:val="00C07F59"/>
    <w:rsid w:val="00C11981"/>
    <w:rsid w:val="00C123B3"/>
    <w:rsid w:val="00C1595E"/>
    <w:rsid w:val="00C1605C"/>
    <w:rsid w:val="00C171E7"/>
    <w:rsid w:val="00C176C5"/>
    <w:rsid w:val="00C220EC"/>
    <w:rsid w:val="00C23E93"/>
    <w:rsid w:val="00C248EE"/>
    <w:rsid w:val="00C25CD1"/>
    <w:rsid w:val="00C314DA"/>
    <w:rsid w:val="00C35DD2"/>
    <w:rsid w:val="00C45084"/>
    <w:rsid w:val="00C55383"/>
    <w:rsid w:val="00C55B26"/>
    <w:rsid w:val="00C760ED"/>
    <w:rsid w:val="00C818D6"/>
    <w:rsid w:val="00C907D7"/>
    <w:rsid w:val="00C95C63"/>
    <w:rsid w:val="00C96520"/>
    <w:rsid w:val="00CA024C"/>
    <w:rsid w:val="00CA0AAB"/>
    <w:rsid w:val="00CA401D"/>
    <w:rsid w:val="00CA5BAB"/>
    <w:rsid w:val="00CC52B9"/>
    <w:rsid w:val="00CD43A1"/>
    <w:rsid w:val="00CD69FC"/>
    <w:rsid w:val="00CE071F"/>
    <w:rsid w:val="00CE3A93"/>
    <w:rsid w:val="00CF1212"/>
    <w:rsid w:val="00CF222F"/>
    <w:rsid w:val="00CF60BD"/>
    <w:rsid w:val="00D017E1"/>
    <w:rsid w:val="00D121AD"/>
    <w:rsid w:val="00D17B36"/>
    <w:rsid w:val="00D252F2"/>
    <w:rsid w:val="00D277CB"/>
    <w:rsid w:val="00D3284A"/>
    <w:rsid w:val="00D33D5F"/>
    <w:rsid w:val="00D340AD"/>
    <w:rsid w:val="00D409A5"/>
    <w:rsid w:val="00D4111F"/>
    <w:rsid w:val="00D445AB"/>
    <w:rsid w:val="00D44D5A"/>
    <w:rsid w:val="00D51A16"/>
    <w:rsid w:val="00D532E8"/>
    <w:rsid w:val="00D54042"/>
    <w:rsid w:val="00D72E89"/>
    <w:rsid w:val="00D762D1"/>
    <w:rsid w:val="00D81A10"/>
    <w:rsid w:val="00D86D49"/>
    <w:rsid w:val="00D86EFC"/>
    <w:rsid w:val="00D87527"/>
    <w:rsid w:val="00D9155A"/>
    <w:rsid w:val="00D93A88"/>
    <w:rsid w:val="00DA413F"/>
    <w:rsid w:val="00DB3693"/>
    <w:rsid w:val="00DB4606"/>
    <w:rsid w:val="00DB6414"/>
    <w:rsid w:val="00DC340D"/>
    <w:rsid w:val="00DC34E9"/>
    <w:rsid w:val="00DC4CF5"/>
    <w:rsid w:val="00DD506D"/>
    <w:rsid w:val="00DD79BC"/>
    <w:rsid w:val="00DE1A96"/>
    <w:rsid w:val="00DE4C58"/>
    <w:rsid w:val="00DF121E"/>
    <w:rsid w:val="00DF2C0C"/>
    <w:rsid w:val="00DF4442"/>
    <w:rsid w:val="00DF61DB"/>
    <w:rsid w:val="00DF7409"/>
    <w:rsid w:val="00E00B95"/>
    <w:rsid w:val="00E03EA0"/>
    <w:rsid w:val="00E07138"/>
    <w:rsid w:val="00E13808"/>
    <w:rsid w:val="00E164A0"/>
    <w:rsid w:val="00E24110"/>
    <w:rsid w:val="00E275A3"/>
    <w:rsid w:val="00E52599"/>
    <w:rsid w:val="00E60D50"/>
    <w:rsid w:val="00E6129E"/>
    <w:rsid w:val="00E63F9D"/>
    <w:rsid w:val="00E712BF"/>
    <w:rsid w:val="00E72354"/>
    <w:rsid w:val="00E75449"/>
    <w:rsid w:val="00E75B12"/>
    <w:rsid w:val="00E76735"/>
    <w:rsid w:val="00E810DF"/>
    <w:rsid w:val="00E85F22"/>
    <w:rsid w:val="00E9258F"/>
    <w:rsid w:val="00E92985"/>
    <w:rsid w:val="00E94B43"/>
    <w:rsid w:val="00EA00E2"/>
    <w:rsid w:val="00EA0F6F"/>
    <w:rsid w:val="00EA33DB"/>
    <w:rsid w:val="00EA502F"/>
    <w:rsid w:val="00EA5796"/>
    <w:rsid w:val="00EA72FD"/>
    <w:rsid w:val="00EA778B"/>
    <w:rsid w:val="00EB3D28"/>
    <w:rsid w:val="00EB4C7F"/>
    <w:rsid w:val="00EC0151"/>
    <w:rsid w:val="00EC18E6"/>
    <w:rsid w:val="00EC3541"/>
    <w:rsid w:val="00EC6CDC"/>
    <w:rsid w:val="00ED008E"/>
    <w:rsid w:val="00ED4EBC"/>
    <w:rsid w:val="00ED74A0"/>
    <w:rsid w:val="00EE2635"/>
    <w:rsid w:val="00EE5BD2"/>
    <w:rsid w:val="00EE5F56"/>
    <w:rsid w:val="00EF0119"/>
    <w:rsid w:val="00EF23B0"/>
    <w:rsid w:val="00EF652A"/>
    <w:rsid w:val="00F06A9B"/>
    <w:rsid w:val="00F07DAC"/>
    <w:rsid w:val="00F12E25"/>
    <w:rsid w:val="00F15763"/>
    <w:rsid w:val="00F22328"/>
    <w:rsid w:val="00F26CBF"/>
    <w:rsid w:val="00F308C9"/>
    <w:rsid w:val="00F32F51"/>
    <w:rsid w:val="00F344A7"/>
    <w:rsid w:val="00F35F41"/>
    <w:rsid w:val="00F36541"/>
    <w:rsid w:val="00F41AB8"/>
    <w:rsid w:val="00F43674"/>
    <w:rsid w:val="00F50E7E"/>
    <w:rsid w:val="00F56071"/>
    <w:rsid w:val="00F61D13"/>
    <w:rsid w:val="00F6228A"/>
    <w:rsid w:val="00F642E7"/>
    <w:rsid w:val="00F746EF"/>
    <w:rsid w:val="00F90A4C"/>
    <w:rsid w:val="00F93439"/>
    <w:rsid w:val="00F95935"/>
    <w:rsid w:val="00FA2306"/>
    <w:rsid w:val="00FA29FA"/>
    <w:rsid w:val="00FA30E6"/>
    <w:rsid w:val="00FB4139"/>
    <w:rsid w:val="00FB4256"/>
    <w:rsid w:val="00FD72C9"/>
    <w:rsid w:val="00FE1796"/>
    <w:rsid w:val="00FE4E7A"/>
    <w:rsid w:val="00FF1E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B3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47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3BE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4751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7C5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B27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C53"/>
    <w:rPr>
      <w:rFonts w:ascii="Tahoma" w:hAnsi="Tahoma" w:cs="Tahoma"/>
      <w:sz w:val="16"/>
      <w:szCs w:val="16"/>
    </w:rPr>
  </w:style>
  <w:style w:type="paragraph" w:styleId="Prrafodelista">
    <w:name w:val="List Paragraph"/>
    <w:basedOn w:val="Normal"/>
    <w:uiPriority w:val="34"/>
    <w:qFormat/>
    <w:rsid w:val="001B3BEE"/>
    <w:pPr>
      <w:ind w:left="720"/>
      <w:contextualSpacing/>
    </w:pPr>
  </w:style>
  <w:style w:type="table" w:styleId="Tablaconcuadrcula">
    <w:name w:val="Table Grid"/>
    <w:basedOn w:val="Tablanormal"/>
    <w:uiPriority w:val="59"/>
    <w:rsid w:val="00DF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EE5F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EE5F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976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DD0"/>
  </w:style>
  <w:style w:type="paragraph" w:styleId="Piedepgina">
    <w:name w:val="footer"/>
    <w:basedOn w:val="Normal"/>
    <w:link w:val="PiedepginaCar"/>
    <w:uiPriority w:val="99"/>
    <w:unhideWhenUsed/>
    <w:rsid w:val="00976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DD0"/>
  </w:style>
  <w:style w:type="table" w:styleId="Listaclara-nfasis1">
    <w:name w:val="Light List Accent 1"/>
    <w:basedOn w:val="Tablanormal"/>
    <w:uiPriority w:val="61"/>
    <w:rsid w:val="00F12E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independiente">
    <w:name w:val="Body Text"/>
    <w:basedOn w:val="Normal"/>
    <w:link w:val="TextoindependienteCar"/>
    <w:rsid w:val="00494FA6"/>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94FA6"/>
    <w:rPr>
      <w:rFonts w:ascii="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25FE2"/>
    <w:rPr>
      <w:color w:val="0000FF"/>
      <w:u w:val="single"/>
    </w:rPr>
  </w:style>
  <w:style w:type="paragraph" w:styleId="Epgrafe">
    <w:name w:val="caption"/>
    <w:basedOn w:val="Normal"/>
    <w:next w:val="Normal"/>
    <w:uiPriority w:val="35"/>
    <w:unhideWhenUsed/>
    <w:qFormat/>
    <w:rsid w:val="00942F96"/>
    <w:pPr>
      <w:spacing w:line="240" w:lineRule="auto"/>
    </w:pPr>
    <w:rPr>
      <w:b/>
      <w:bCs/>
      <w:color w:val="4F81BD" w:themeColor="accent1"/>
      <w:sz w:val="18"/>
      <w:szCs w:val="18"/>
    </w:rPr>
  </w:style>
  <w:style w:type="table" w:styleId="Sombreadomedio1-nfasis5">
    <w:name w:val="Medium Shading 1 Accent 5"/>
    <w:basedOn w:val="Tablanormal"/>
    <w:uiPriority w:val="63"/>
    <w:rsid w:val="00C95C6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2-nfasis1">
    <w:name w:val="Medium Grid 2 Accent 1"/>
    <w:basedOn w:val="Tablanormal"/>
    <w:uiPriority w:val="68"/>
    <w:rsid w:val="00C95C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C95C6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2-nfasis1">
    <w:name w:val="Medium Shading 2 Accent 1"/>
    <w:basedOn w:val="Tablanormal"/>
    <w:uiPriority w:val="64"/>
    <w:rsid w:val="00C95C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755BD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visitado">
    <w:name w:val="FollowedHyperlink"/>
    <w:basedOn w:val="Fuentedeprrafopredeter"/>
    <w:uiPriority w:val="99"/>
    <w:semiHidden/>
    <w:unhideWhenUsed/>
    <w:rsid w:val="00032BCA"/>
    <w:rPr>
      <w:color w:val="954F72"/>
      <w:u w:val="single"/>
    </w:rPr>
  </w:style>
  <w:style w:type="paragraph" w:customStyle="1" w:styleId="xl65">
    <w:name w:val="xl65"/>
    <w:basedOn w:val="Normal"/>
    <w:rsid w:val="00032BC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table" w:customStyle="1" w:styleId="Tabladecuadrcula4-nfasis11">
    <w:name w:val="Tabla de cuadrícula 4 - Énfasis 11"/>
    <w:basedOn w:val="Tablanormal"/>
    <w:uiPriority w:val="49"/>
    <w:rsid w:val="00AA37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B3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47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3BE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4751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7C5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B27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C53"/>
    <w:rPr>
      <w:rFonts w:ascii="Tahoma" w:hAnsi="Tahoma" w:cs="Tahoma"/>
      <w:sz w:val="16"/>
      <w:szCs w:val="16"/>
    </w:rPr>
  </w:style>
  <w:style w:type="paragraph" w:styleId="Prrafodelista">
    <w:name w:val="List Paragraph"/>
    <w:basedOn w:val="Normal"/>
    <w:uiPriority w:val="34"/>
    <w:qFormat/>
    <w:rsid w:val="001B3BEE"/>
    <w:pPr>
      <w:ind w:left="720"/>
      <w:contextualSpacing/>
    </w:pPr>
  </w:style>
  <w:style w:type="table" w:styleId="Tablaconcuadrcula">
    <w:name w:val="Table Grid"/>
    <w:basedOn w:val="Tablanormal"/>
    <w:uiPriority w:val="59"/>
    <w:rsid w:val="00DF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EE5F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EE5F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976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DD0"/>
  </w:style>
  <w:style w:type="paragraph" w:styleId="Piedepgina">
    <w:name w:val="footer"/>
    <w:basedOn w:val="Normal"/>
    <w:link w:val="PiedepginaCar"/>
    <w:uiPriority w:val="99"/>
    <w:unhideWhenUsed/>
    <w:rsid w:val="00976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DD0"/>
  </w:style>
  <w:style w:type="table" w:styleId="Listaclara-nfasis1">
    <w:name w:val="Light List Accent 1"/>
    <w:basedOn w:val="Tablanormal"/>
    <w:uiPriority w:val="61"/>
    <w:rsid w:val="00F12E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independiente">
    <w:name w:val="Body Text"/>
    <w:basedOn w:val="Normal"/>
    <w:link w:val="TextoindependienteCar"/>
    <w:rsid w:val="00494FA6"/>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94FA6"/>
    <w:rPr>
      <w:rFonts w:ascii="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25FE2"/>
    <w:rPr>
      <w:color w:val="0000FF"/>
      <w:u w:val="single"/>
    </w:rPr>
  </w:style>
  <w:style w:type="paragraph" w:styleId="Epgrafe">
    <w:name w:val="caption"/>
    <w:basedOn w:val="Normal"/>
    <w:next w:val="Normal"/>
    <w:uiPriority w:val="35"/>
    <w:unhideWhenUsed/>
    <w:qFormat/>
    <w:rsid w:val="00942F96"/>
    <w:pPr>
      <w:spacing w:line="240" w:lineRule="auto"/>
    </w:pPr>
    <w:rPr>
      <w:b/>
      <w:bCs/>
      <w:color w:val="4F81BD" w:themeColor="accent1"/>
      <w:sz w:val="18"/>
      <w:szCs w:val="18"/>
    </w:rPr>
  </w:style>
  <w:style w:type="table" w:styleId="Sombreadomedio1-nfasis5">
    <w:name w:val="Medium Shading 1 Accent 5"/>
    <w:basedOn w:val="Tablanormal"/>
    <w:uiPriority w:val="63"/>
    <w:rsid w:val="00C95C6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2-nfasis1">
    <w:name w:val="Medium Grid 2 Accent 1"/>
    <w:basedOn w:val="Tablanormal"/>
    <w:uiPriority w:val="68"/>
    <w:rsid w:val="00C95C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C95C6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2-nfasis1">
    <w:name w:val="Medium Shading 2 Accent 1"/>
    <w:basedOn w:val="Tablanormal"/>
    <w:uiPriority w:val="64"/>
    <w:rsid w:val="00C95C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755BD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visitado">
    <w:name w:val="FollowedHyperlink"/>
    <w:basedOn w:val="Fuentedeprrafopredeter"/>
    <w:uiPriority w:val="99"/>
    <w:semiHidden/>
    <w:unhideWhenUsed/>
    <w:rsid w:val="00032BCA"/>
    <w:rPr>
      <w:color w:val="954F72"/>
      <w:u w:val="single"/>
    </w:rPr>
  </w:style>
  <w:style w:type="paragraph" w:customStyle="1" w:styleId="xl65">
    <w:name w:val="xl65"/>
    <w:basedOn w:val="Normal"/>
    <w:rsid w:val="00032BC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table" w:customStyle="1" w:styleId="Tabladecuadrcula4-nfasis11">
    <w:name w:val="Tabla de cuadrícula 4 - Énfasis 11"/>
    <w:basedOn w:val="Tablanormal"/>
    <w:uiPriority w:val="49"/>
    <w:rsid w:val="00AA37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538">
      <w:bodyDiv w:val="1"/>
      <w:marLeft w:val="0"/>
      <w:marRight w:val="0"/>
      <w:marTop w:val="0"/>
      <w:marBottom w:val="0"/>
      <w:divBdr>
        <w:top w:val="none" w:sz="0" w:space="0" w:color="auto"/>
        <w:left w:val="none" w:sz="0" w:space="0" w:color="auto"/>
        <w:bottom w:val="none" w:sz="0" w:space="0" w:color="auto"/>
        <w:right w:val="none" w:sz="0" w:space="0" w:color="auto"/>
      </w:divBdr>
    </w:div>
    <w:div w:id="92020482">
      <w:bodyDiv w:val="1"/>
      <w:marLeft w:val="0"/>
      <w:marRight w:val="0"/>
      <w:marTop w:val="0"/>
      <w:marBottom w:val="0"/>
      <w:divBdr>
        <w:top w:val="none" w:sz="0" w:space="0" w:color="auto"/>
        <w:left w:val="none" w:sz="0" w:space="0" w:color="auto"/>
        <w:bottom w:val="none" w:sz="0" w:space="0" w:color="auto"/>
        <w:right w:val="none" w:sz="0" w:space="0" w:color="auto"/>
      </w:divBdr>
    </w:div>
    <w:div w:id="340619874">
      <w:bodyDiv w:val="1"/>
      <w:marLeft w:val="0"/>
      <w:marRight w:val="0"/>
      <w:marTop w:val="0"/>
      <w:marBottom w:val="0"/>
      <w:divBdr>
        <w:top w:val="none" w:sz="0" w:space="0" w:color="auto"/>
        <w:left w:val="none" w:sz="0" w:space="0" w:color="auto"/>
        <w:bottom w:val="none" w:sz="0" w:space="0" w:color="auto"/>
        <w:right w:val="none" w:sz="0" w:space="0" w:color="auto"/>
      </w:divBdr>
    </w:div>
    <w:div w:id="345375083">
      <w:bodyDiv w:val="1"/>
      <w:marLeft w:val="0"/>
      <w:marRight w:val="0"/>
      <w:marTop w:val="0"/>
      <w:marBottom w:val="0"/>
      <w:divBdr>
        <w:top w:val="none" w:sz="0" w:space="0" w:color="auto"/>
        <w:left w:val="none" w:sz="0" w:space="0" w:color="auto"/>
        <w:bottom w:val="none" w:sz="0" w:space="0" w:color="auto"/>
        <w:right w:val="none" w:sz="0" w:space="0" w:color="auto"/>
      </w:divBdr>
    </w:div>
    <w:div w:id="350451382">
      <w:bodyDiv w:val="1"/>
      <w:marLeft w:val="0"/>
      <w:marRight w:val="0"/>
      <w:marTop w:val="0"/>
      <w:marBottom w:val="0"/>
      <w:divBdr>
        <w:top w:val="none" w:sz="0" w:space="0" w:color="auto"/>
        <w:left w:val="none" w:sz="0" w:space="0" w:color="auto"/>
        <w:bottom w:val="none" w:sz="0" w:space="0" w:color="auto"/>
        <w:right w:val="none" w:sz="0" w:space="0" w:color="auto"/>
      </w:divBdr>
    </w:div>
    <w:div w:id="353459808">
      <w:bodyDiv w:val="1"/>
      <w:marLeft w:val="0"/>
      <w:marRight w:val="0"/>
      <w:marTop w:val="0"/>
      <w:marBottom w:val="0"/>
      <w:divBdr>
        <w:top w:val="none" w:sz="0" w:space="0" w:color="auto"/>
        <w:left w:val="none" w:sz="0" w:space="0" w:color="auto"/>
        <w:bottom w:val="none" w:sz="0" w:space="0" w:color="auto"/>
        <w:right w:val="none" w:sz="0" w:space="0" w:color="auto"/>
      </w:divBdr>
    </w:div>
    <w:div w:id="407577610">
      <w:bodyDiv w:val="1"/>
      <w:marLeft w:val="0"/>
      <w:marRight w:val="0"/>
      <w:marTop w:val="0"/>
      <w:marBottom w:val="0"/>
      <w:divBdr>
        <w:top w:val="none" w:sz="0" w:space="0" w:color="auto"/>
        <w:left w:val="none" w:sz="0" w:space="0" w:color="auto"/>
        <w:bottom w:val="none" w:sz="0" w:space="0" w:color="auto"/>
        <w:right w:val="none" w:sz="0" w:space="0" w:color="auto"/>
      </w:divBdr>
    </w:div>
    <w:div w:id="528373449">
      <w:bodyDiv w:val="1"/>
      <w:marLeft w:val="0"/>
      <w:marRight w:val="0"/>
      <w:marTop w:val="0"/>
      <w:marBottom w:val="0"/>
      <w:divBdr>
        <w:top w:val="none" w:sz="0" w:space="0" w:color="auto"/>
        <w:left w:val="none" w:sz="0" w:space="0" w:color="auto"/>
        <w:bottom w:val="none" w:sz="0" w:space="0" w:color="auto"/>
        <w:right w:val="none" w:sz="0" w:space="0" w:color="auto"/>
      </w:divBdr>
    </w:div>
    <w:div w:id="552153546">
      <w:bodyDiv w:val="1"/>
      <w:marLeft w:val="0"/>
      <w:marRight w:val="0"/>
      <w:marTop w:val="0"/>
      <w:marBottom w:val="0"/>
      <w:divBdr>
        <w:top w:val="none" w:sz="0" w:space="0" w:color="auto"/>
        <w:left w:val="none" w:sz="0" w:space="0" w:color="auto"/>
        <w:bottom w:val="none" w:sz="0" w:space="0" w:color="auto"/>
        <w:right w:val="none" w:sz="0" w:space="0" w:color="auto"/>
      </w:divBdr>
    </w:div>
    <w:div w:id="553809838">
      <w:bodyDiv w:val="1"/>
      <w:marLeft w:val="0"/>
      <w:marRight w:val="0"/>
      <w:marTop w:val="0"/>
      <w:marBottom w:val="0"/>
      <w:divBdr>
        <w:top w:val="none" w:sz="0" w:space="0" w:color="auto"/>
        <w:left w:val="none" w:sz="0" w:space="0" w:color="auto"/>
        <w:bottom w:val="none" w:sz="0" w:space="0" w:color="auto"/>
        <w:right w:val="none" w:sz="0" w:space="0" w:color="auto"/>
      </w:divBdr>
    </w:div>
    <w:div w:id="658928216">
      <w:bodyDiv w:val="1"/>
      <w:marLeft w:val="0"/>
      <w:marRight w:val="0"/>
      <w:marTop w:val="0"/>
      <w:marBottom w:val="0"/>
      <w:divBdr>
        <w:top w:val="none" w:sz="0" w:space="0" w:color="auto"/>
        <w:left w:val="none" w:sz="0" w:space="0" w:color="auto"/>
        <w:bottom w:val="none" w:sz="0" w:space="0" w:color="auto"/>
        <w:right w:val="none" w:sz="0" w:space="0" w:color="auto"/>
      </w:divBdr>
    </w:div>
    <w:div w:id="699739420">
      <w:bodyDiv w:val="1"/>
      <w:marLeft w:val="0"/>
      <w:marRight w:val="0"/>
      <w:marTop w:val="0"/>
      <w:marBottom w:val="0"/>
      <w:divBdr>
        <w:top w:val="none" w:sz="0" w:space="0" w:color="auto"/>
        <w:left w:val="none" w:sz="0" w:space="0" w:color="auto"/>
        <w:bottom w:val="none" w:sz="0" w:space="0" w:color="auto"/>
        <w:right w:val="none" w:sz="0" w:space="0" w:color="auto"/>
      </w:divBdr>
    </w:div>
    <w:div w:id="795097923">
      <w:bodyDiv w:val="1"/>
      <w:marLeft w:val="0"/>
      <w:marRight w:val="0"/>
      <w:marTop w:val="0"/>
      <w:marBottom w:val="0"/>
      <w:divBdr>
        <w:top w:val="none" w:sz="0" w:space="0" w:color="auto"/>
        <w:left w:val="none" w:sz="0" w:space="0" w:color="auto"/>
        <w:bottom w:val="none" w:sz="0" w:space="0" w:color="auto"/>
        <w:right w:val="none" w:sz="0" w:space="0" w:color="auto"/>
      </w:divBdr>
    </w:div>
    <w:div w:id="811215778">
      <w:bodyDiv w:val="1"/>
      <w:marLeft w:val="0"/>
      <w:marRight w:val="0"/>
      <w:marTop w:val="0"/>
      <w:marBottom w:val="0"/>
      <w:divBdr>
        <w:top w:val="none" w:sz="0" w:space="0" w:color="auto"/>
        <w:left w:val="none" w:sz="0" w:space="0" w:color="auto"/>
        <w:bottom w:val="none" w:sz="0" w:space="0" w:color="auto"/>
        <w:right w:val="none" w:sz="0" w:space="0" w:color="auto"/>
      </w:divBdr>
    </w:div>
    <w:div w:id="873612526">
      <w:bodyDiv w:val="1"/>
      <w:marLeft w:val="0"/>
      <w:marRight w:val="0"/>
      <w:marTop w:val="0"/>
      <w:marBottom w:val="0"/>
      <w:divBdr>
        <w:top w:val="none" w:sz="0" w:space="0" w:color="auto"/>
        <w:left w:val="none" w:sz="0" w:space="0" w:color="auto"/>
        <w:bottom w:val="none" w:sz="0" w:space="0" w:color="auto"/>
        <w:right w:val="none" w:sz="0" w:space="0" w:color="auto"/>
      </w:divBdr>
    </w:div>
    <w:div w:id="881480412">
      <w:bodyDiv w:val="1"/>
      <w:marLeft w:val="0"/>
      <w:marRight w:val="0"/>
      <w:marTop w:val="0"/>
      <w:marBottom w:val="0"/>
      <w:divBdr>
        <w:top w:val="none" w:sz="0" w:space="0" w:color="auto"/>
        <w:left w:val="none" w:sz="0" w:space="0" w:color="auto"/>
        <w:bottom w:val="none" w:sz="0" w:space="0" w:color="auto"/>
        <w:right w:val="none" w:sz="0" w:space="0" w:color="auto"/>
      </w:divBdr>
    </w:div>
    <w:div w:id="908926871">
      <w:bodyDiv w:val="1"/>
      <w:marLeft w:val="0"/>
      <w:marRight w:val="0"/>
      <w:marTop w:val="0"/>
      <w:marBottom w:val="0"/>
      <w:divBdr>
        <w:top w:val="none" w:sz="0" w:space="0" w:color="auto"/>
        <w:left w:val="none" w:sz="0" w:space="0" w:color="auto"/>
        <w:bottom w:val="none" w:sz="0" w:space="0" w:color="auto"/>
        <w:right w:val="none" w:sz="0" w:space="0" w:color="auto"/>
      </w:divBdr>
    </w:div>
    <w:div w:id="944463043">
      <w:bodyDiv w:val="1"/>
      <w:marLeft w:val="0"/>
      <w:marRight w:val="0"/>
      <w:marTop w:val="0"/>
      <w:marBottom w:val="0"/>
      <w:divBdr>
        <w:top w:val="none" w:sz="0" w:space="0" w:color="auto"/>
        <w:left w:val="none" w:sz="0" w:space="0" w:color="auto"/>
        <w:bottom w:val="none" w:sz="0" w:space="0" w:color="auto"/>
        <w:right w:val="none" w:sz="0" w:space="0" w:color="auto"/>
      </w:divBdr>
    </w:div>
    <w:div w:id="998071401">
      <w:bodyDiv w:val="1"/>
      <w:marLeft w:val="0"/>
      <w:marRight w:val="0"/>
      <w:marTop w:val="0"/>
      <w:marBottom w:val="0"/>
      <w:divBdr>
        <w:top w:val="none" w:sz="0" w:space="0" w:color="auto"/>
        <w:left w:val="none" w:sz="0" w:space="0" w:color="auto"/>
        <w:bottom w:val="none" w:sz="0" w:space="0" w:color="auto"/>
        <w:right w:val="none" w:sz="0" w:space="0" w:color="auto"/>
      </w:divBdr>
    </w:div>
    <w:div w:id="1035698165">
      <w:bodyDiv w:val="1"/>
      <w:marLeft w:val="0"/>
      <w:marRight w:val="0"/>
      <w:marTop w:val="0"/>
      <w:marBottom w:val="0"/>
      <w:divBdr>
        <w:top w:val="none" w:sz="0" w:space="0" w:color="auto"/>
        <w:left w:val="none" w:sz="0" w:space="0" w:color="auto"/>
        <w:bottom w:val="none" w:sz="0" w:space="0" w:color="auto"/>
        <w:right w:val="none" w:sz="0" w:space="0" w:color="auto"/>
      </w:divBdr>
    </w:div>
    <w:div w:id="1060207178">
      <w:bodyDiv w:val="1"/>
      <w:marLeft w:val="0"/>
      <w:marRight w:val="0"/>
      <w:marTop w:val="0"/>
      <w:marBottom w:val="0"/>
      <w:divBdr>
        <w:top w:val="none" w:sz="0" w:space="0" w:color="auto"/>
        <w:left w:val="none" w:sz="0" w:space="0" w:color="auto"/>
        <w:bottom w:val="none" w:sz="0" w:space="0" w:color="auto"/>
        <w:right w:val="none" w:sz="0" w:space="0" w:color="auto"/>
      </w:divBdr>
      <w:divsChild>
        <w:div w:id="168720417">
          <w:marLeft w:val="446"/>
          <w:marRight w:val="0"/>
          <w:marTop w:val="0"/>
          <w:marBottom w:val="0"/>
          <w:divBdr>
            <w:top w:val="none" w:sz="0" w:space="0" w:color="auto"/>
            <w:left w:val="none" w:sz="0" w:space="0" w:color="auto"/>
            <w:bottom w:val="none" w:sz="0" w:space="0" w:color="auto"/>
            <w:right w:val="none" w:sz="0" w:space="0" w:color="auto"/>
          </w:divBdr>
        </w:div>
        <w:div w:id="265040636">
          <w:marLeft w:val="446"/>
          <w:marRight w:val="0"/>
          <w:marTop w:val="0"/>
          <w:marBottom w:val="0"/>
          <w:divBdr>
            <w:top w:val="none" w:sz="0" w:space="0" w:color="auto"/>
            <w:left w:val="none" w:sz="0" w:space="0" w:color="auto"/>
            <w:bottom w:val="none" w:sz="0" w:space="0" w:color="auto"/>
            <w:right w:val="none" w:sz="0" w:space="0" w:color="auto"/>
          </w:divBdr>
        </w:div>
        <w:div w:id="1041780178">
          <w:marLeft w:val="446"/>
          <w:marRight w:val="0"/>
          <w:marTop w:val="0"/>
          <w:marBottom w:val="0"/>
          <w:divBdr>
            <w:top w:val="none" w:sz="0" w:space="0" w:color="auto"/>
            <w:left w:val="none" w:sz="0" w:space="0" w:color="auto"/>
            <w:bottom w:val="none" w:sz="0" w:space="0" w:color="auto"/>
            <w:right w:val="none" w:sz="0" w:space="0" w:color="auto"/>
          </w:divBdr>
        </w:div>
        <w:div w:id="1292052101">
          <w:marLeft w:val="446"/>
          <w:marRight w:val="0"/>
          <w:marTop w:val="0"/>
          <w:marBottom w:val="0"/>
          <w:divBdr>
            <w:top w:val="none" w:sz="0" w:space="0" w:color="auto"/>
            <w:left w:val="none" w:sz="0" w:space="0" w:color="auto"/>
            <w:bottom w:val="none" w:sz="0" w:space="0" w:color="auto"/>
            <w:right w:val="none" w:sz="0" w:space="0" w:color="auto"/>
          </w:divBdr>
        </w:div>
        <w:div w:id="1550989647">
          <w:marLeft w:val="446"/>
          <w:marRight w:val="0"/>
          <w:marTop w:val="0"/>
          <w:marBottom w:val="0"/>
          <w:divBdr>
            <w:top w:val="none" w:sz="0" w:space="0" w:color="auto"/>
            <w:left w:val="none" w:sz="0" w:space="0" w:color="auto"/>
            <w:bottom w:val="none" w:sz="0" w:space="0" w:color="auto"/>
            <w:right w:val="none" w:sz="0" w:space="0" w:color="auto"/>
          </w:divBdr>
        </w:div>
      </w:divsChild>
    </w:div>
    <w:div w:id="1064766531">
      <w:bodyDiv w:val="1"/>
      <w:marLeft w:val="0"/>
      <w:marRight w:val="0"/>
      <w:marTop w:val="0"/>
      <w:marBottom w:val="0"/>
      <w:divBdr>
        <w:top w:val="none" w:sz="0" w:space="0" w:color="auto"/>
        <w:left w:val="none" w:sz="0" w:space="0" w:color="auto"/>
        <w:bottom w:val="none" w:sz="0" w:space="0" w:color="auto"/>
        <w:right w:val="none" w:sz="0" w:space="0" w:color="auto"/>
      </w:divBdr>
    </w:div>
    <w:div w:id="1170557783">
      <w:bodyDiv w:val="1"/>
      <w:marLeft w:val="0"/>
      <w:marRight w:val="0"/>
      <w:marTop w:val="0"/>
      <w:marBottom w:val="0"/>
      <w:divBdr>
        <w:top w:val="none" w:sz="0" w:space="0" w:color="auto"/>
        <w:left w:val="none" w:sz="0" w:space="0" w:color="auto"/>
        <w:bottom w:val="none" w:sz="0" w:space="0" w:color="auto"/>
        <w:right w:val="none" w:sz="0" w:space="0" w:color="auto"/>
      </w:divBdr>
    </w:div>
    <w:div w:id="1171605314">
      <w:bodyDiv w:val="1"/>
      <w:marLeft w:val="0"/>
      <w:marRight w:val="0"/>
      <w:marTop w:val="0"/>
      <w:marBottom w:val="0"/>
      <w:divBdr>
        <w:top w:val="none" w:sz="0" w:space="0" w:color="auto"/>
        <w:left w:val="none" w:sz="0" w:space="0" w:color="auto"/>
        <w:bottom w:val="none" w:sz="0" w:space="0" w:color="auto"/>
        <w:right w:val="none" w:sz="0" w:space="0" w:color="auto"/>
      </w:divBdr>
    </w:div>
    <w:div w:id="1209957555">
      <w:bodyDiv w:val="1"/>
      <w:marLeft w:val="0"/>
      <w:marRight w:val="0"/>
      <w:marTop w:val="0"/>
      <w:marBottom w:val="0"/>
      <w:divBdr>
        <w:top w:val="none" w:sz="0" w:space="0" w:color="auto"/>
        <w:left w:val="none" w:sz="0" w:space="0" w:color="auto"/>
        <w:bottom w:val="none" w:sz="0" w:space="0" w:color="auto"/>
        <w:right w:val="none" w:sz="0" w:space="0" w:color="auto"/>
      </w:divBdr>
    </w:div>
    <w:div w:id="1311054605">
      <w:bodyDiv w:val="1"/>
      <w:marLeft w:val="0"/>
      <w:marRight w:val="0"/>
      <w:marTop w:val="0"/>
      <w:marBottom w:val="0"/>
      <w:divBdr>
        <w:top w:val="none" w:sz="0" w:space="0" w:color="auto"/>
        <w:left w:val="none" w:sz="0" w:space="0" w:color="auto"/>
        <w:bottom w:val="none" w:sz="0" w:space="0" w:color="auto"/>
        <w:right w:val="none" w:sz="0" w:space="0" w:color="auto"/>
      </w:divBdr>
    </w:div>
    <w:div w:id="1417944496">
      <w:bodyDiv w:val="1"/>
      <w:marLeft w:val="0"/>
      <w:marRight w:val="0"/>
      <w:marTop w:val="0"/>
      <w:marBottom w:val="0"/>
      <w:divBdr>
        <w:top w:val="none" w:sz="0" w:space="0" w:color="auto"/>
        <w:left w:val="none" w:sz="0" w:space="0" w:color="auto"/>
        <w:bottom w:val="none" w:sz="0" w:space="0" w:color="auto"/>
        <w:right w:val="none" w:sz="0" w:space="0" w:color="auto"/>
      </w:divBdr>
    </w:div>
    <w:div w:id="1419132637">
      <w:bodyDiv w:val="1"/>
      <w:marLeft w:val="0"/>
      <w:marRight w:val="0"/>
      <w:marTop w:val="0"/>
      <w:marBottom w:val="0"/>
      <w:divBdr>
        <w:top w:val="none" w:sz="0" w:space="0" w:color="auto"/>
        <w:left w:val="none" w:sz="0" w:space="0" w:color="auto"/>
        <w:bottom w:val="none" w:sz="0" w:space="0" w:color="auto"/>
        <w:right w:val="none" w:sz="0" w:space="0" w:color="auto"/>
      </w:divBdr>
    </w:div>
    <w:div w:id="1471900232">
      <w:bodyDiv w:val="1"/>
      <w:marLeft w:val="0"/>
      <w:marRight w:val="0"/>
      <w:marTop w:val="0"/>
      <w:marBottom w:val="0"/>
      <w:divBdr>
        <w:top w:val="none" w:sz="0" w:space="0" w:color="auto"/>
        <w:left w:val="none" w:sz="0" w:space="0" w:color="auto"/>
        <w:bottom w:val="none" w:sz="0" w:space="0" w:color="auto"/>
        <w:right w:val="none" w:sz="0" w:space="0" w:color="auto"/>
      </w:divBdr>
    </w:div>
    <w:div w:id="1657607132">
      <w:bodyDiv w:val="1"/>
      <w:marLeft w:val="0"/>
      <w:marRight w:val="0"/>
      <w:marTop w:val="0"/>
      <w:marBottom w:val="0"/>
      <w:divBdr>
        <w:top w:val="none" w:sz="0" w:space="0" w:color="auto"/>
        <w:left w:val="none" w:sz="0" w:space="0" w:color="auto"/>
        <w:bottom w:val="none" w:sz="0" w:space="0" w:color="auto"/>
        <w:right w:val="none" w:sz="0" w:space="0" w:color="auto"/>
      </w:divBdr>
    </w:div>
    <w:div w:id="1704863695">
      <w:bodyDiv w:val="1"/>
      <w:marLeft w:val="0"/>
      <w:marRight w:val="0"/>
      <w:marTop w:val="0"/>
      <w:marBottom w:val="0"/>
      <w:divBdr>
        <w:top w:val="none" w:sz="0" w:space="0" w:color="auto"/>
        <w:left w:val="none" w:sz="0" w:space="0" w:color="auto"/>
        <w:bottom w:val="none" w:sz="0" w:space="0" w:color="auto"/>
        <w:right w:val="none" w:sz="0" w:space="0" w:color="auto"/>
      </w:divBdr>
    </w:div>
    <w:div w:id="1856456771">
      <w:bodyDiv w:val="1"/>
      <w:marLeft w:val="0"/>
      <w:marRight w:val="0"/>
      <w:marTop w:val="0"/>
      <w:marBottom w:val="0"/>
      <w:divBdr>
        <w:top w:val="none" w:sz="0" w:space="0" w:color="auto"/>
        <w:left w:val="none" w:sz="0" w:space="0" w:color="auto"/>
        <w:bottom w:val="none" w:sz="0" w:space="0" w:color="auto"/>
        <w:right w:val="none" w:sz="0" w:space="0" w:color="auto"/>
      </w:divBdr>
    </w:div>
    <w:div w:id="1864858759">
      <w:bodyDiv w:val="1"/>
      <w:marLeft w:val="0"/>
      <w:marRight w:val="0"/>
      <w:marTop w:val="0"/>
      <w:marBottom w:val="0"/>
      <w:divBdr>
        <w:top w:val="none" w:sz="0" w:space="0" w:color="auto"/>
        <w:left w:val="none" w:sz="0" w:space="0" w:color="auto"/>
        <w:bottom w:val="none" w:sz="0" w:space="0" w:color="auto"/>
        <w:right w:val="none" w:sz="0" w:space="0" w:color="auto"/>
      </w:divBdr>
    </w:div>
    <w:div w:id="1920863458">
      <w:bodyDiv w:val="1"/>
      <w:marLeft w:val="0"/>
      <w:marRight w:val="0"/>
      <w:marTop w:val="0"/>
      <w:marBottom w:val="0"/>
      <w:divBdr>
        <w:top w:val="none" w:sz="0" w:space="0" w:color="auto"/>
        <w:left w:val="none" w:sz="0" w:space="0" w:color="auto"/>
        <w:bottom w:val="none" w:sz="0" w:space="0" w:color="auto"/>
        <w:right w:val="none" w:sz="0" w:space="0" w:color="auto"/>
      </w:divBdr>
    </w:div>
    <w:div w:id="1932857646">
      <w:bodyDiv w:val="1"/>
      <w:marLeft w:val="0"/>
      <w:marRight w:val="0"/>
      <w:marTop w:val="0"/>
      <w:marBottom w:val="0"/>
      <w:divBdr>
        <w:top w:val="none" w:sz="0" w:space="0" w:color="auto"/>
        <w:left w:val="none" w:sz="0" w:space="0" w:color="auto"/>
        <w:bottom w:val="none" w:sz="0" w:space="0" w:color="auto"/>
        <w:right w:val="none" w:sz="0" w:space="0" w:color="auto"/>
      </w:divBdr>
    </w:div>
    <w:div w:id="2020615717">
      <w:bodyDiv w:val="1"/>
      <w:marLeft w:val="0"/>
      <w:marRight w:val="0"/>
      <w:marTop w:val="0"/>
      <w:marBottom w:val="0"/>
      <w:divBdr>
        <w:top w:val="none" w:sz="0" w:space="0" w:color="auto"/>
        <w:left w:val="none" w:sz="0" w:space="0" w:color="auto"/>
        <w:bottom w:val="none" w:sz="0" w:space="0" w:color="auto"/>
        <w:right w:val="none" w:sz="0" w:space="0" w:color="auto"/>
      </w:divBdr>
    </w:div>
    <w:div w:id="21233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rolminero.gob.ec/"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REVISION%20_354%20_CASOS_25_DE%20AGO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AGRUPADO!$E$3</c:f>
              <c:strCache>
                <c:ptCount val="1"/>
                <c:pt idx="0">
                  <c:v>Motivo de cambio</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C"/>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AGRUPADO!$D$5:$D$8</c:f>
              <c:strCache>
                <c:ptCount val="4"/>
                <c:pt idx="0">
                  <c:v>Criterio Técnico</c:v>
                </c:pt>
                <c:pt idx="1">
                  <c:v>Error</c:v>
                </c:pt>
                <c:pt idx="2">
                  <c:v>Con justificativo</c:v>
                </c:pt>
                <c:pt idx="3">
                  <c:v>No determinado</c:v>
                </c:pt>
              </c:strCache>
            </c:strRef>
          </c:cat>
          <c:val>
            <c:numRef>
              <c:f>AGRUPADO!$E$5:$E$8</c:f>
              <c:numCache>
                <c:formatCode>General</c:formatCode>
                <c:ptCount val="4"/>
                <c:pt idx="0">
                  <c:v>170</c:v>
                </c:pt>
                <c:pt idx="1">
                  <c:v>51</c:v>
                </c:pt>
                <c:pt idx="2">
                  <c:v>99</c:v>
                </c:pt>
                <c:pt idx="3">
                  <c:v>34</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B29F-3553-4FC5-AD6A-80D20FF0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4781</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Rashid Aguilar Meneses</dc:creator>
  <cp:lastModifiedBy>Paulina Elizabeth Cubillo Betancourt</cp:lastModifiedBy>
  <cp:revision>2</cp:revision>
  <cp:lastPrinted>2017-09-01T16:58:00Z</cp:lastPrinted>
  <dcterms:created xsi:type="dcterms:W3CDTF">2017-09-04T13:15:00Z</dcterms:created>
  <dcterms:modified xsi:type="dcterms:W3CDTF">2017-09-04T13:15:00Z</dcterms:modified>
</cp:coreProperties>
</file>