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00484" w14:textId="77777777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B4D282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5163EB">
        <w:t>CONVOCATORIA A SESIÓN 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77777777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14:paraId="74DFADAD" w14:textId="55259FD3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473776">
        <w:rPr>
          <w:b/>
        </w:rPr>
        <w:t xml:space="preserve">LUNES </w:t>
      </w:r>
      <w:r w:rsidR="00A83036">
        <w:rPr>
          <w:b/>
        </w:rPr>
        <w:t>01</w:t>
      </w:r>
      <w:r w:rsidRPr="003253EE">
        <w:rPr>
          <w:b/>
        </w:rPr>
        <w:t xml:space="preserve"> DE </w:t>
      </w:r>
      <w:r w:rsidR="00A83036">
        <w:rPr>
          <w:b/>
        </w:rPr>
        <w:t>FEBRERO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DA6171">
        <w:rPr>
          <w:b/>
          <w:spacing w:val="2"/>
        </w:rPr>
        <w:t>0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DE93514" w14:textId="77777777"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14:paraId="11D81CF8" w14:textId="77777777" w:rsidR="00D64819" w:rsidRDefault="00D64819" w:rsidP="00D64819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Aprobación de actas</w:t>
      </w:r>
    </w:p>
    <w:p w14:paraId="2ADC218C" w14:textId="77777777" w:rsidR="00D64819" w:rsidRDefault="00D64819" w:rsidP="00D64819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459B3785" w14:textId="4D7B162A" w:rsidR="00D64819" w:rsidRDefault="00D64819" w:rsidP="00D64819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05</w:t>
      </w:r>
      <w:r w:rsidR="00944645">
        <w:rPr>
          <w:sz w:val="24"/>
          <w:szCs w:val="24"/>
        </w:rPr>
        <w:t>3</w:t>
      </w:r>
      <w:r w:rsidR="00203CB9">
        <w:rPr>
          <w:sz w:val="24"/>
          <w:szCs w:val="24"/>
        </w:rPr>
        <w:t xml:space="preserve"> de la sesión ordinaria del </w:t>
      </w:r>
      <w:r w:rsidR="00944645">
        <w:rPr>
          <w:sz w:val="24"/>
          <w:szCs w:val="24"/>
        </w:rPr>
        <w:t>01</w:t>
      </w:r>
      <w:r w:rsidRPr="00E2441A">
        <w:rPr>
          <w:sz w:val="24"/>
          <w:szCs w:val="24"/>
        </w:rPr>
        <w:t xml:space="preserve"> de </w:t>
      </w:r>
      <w:r w:rsidR="00944645">
        <w:rPr>
          <w:sz w:val="24"/>
          <w:szCs w:val="24"/>
        </w:rPr>
        <w:t>febrero</w:t>
      </w:r>
      <w:r w:rsidRPr="00E2441A">
        <w:rPr>
          <w:sz w:val="24"/>
          <w:szCs w:val="24"/>
        </w:rPr>
        <w:t xml:space="preserve"> 202</w:t>
      </w:r>
      <w:r w:rsidR="00203CB9">
        <w:rPr>
          <w:sz w:val="24"/>
          <w:szCs w:val="24"/>
        </w:rPr>
        <w:t>1</w:t>
      </w:r>
      <w:r w:rsidRPr="00365B09">
        <w:rPr>
          <w:sz w:val="24"/>
          <w:szCs w:val="24"/>
        </w:rPr>
        <w:t xml:space="preserve"> </w:t>
      </w:r>
    </w:p>
    <w:p w14:paraId="605513EF" w14:textId="2F55FE94" w:rsidR="00944645" w:rsidRDefault="00944645" w:rsidP="00944645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054 de la sesión extraordinaria del 12</w:t>
      </w:r>
      <w:r w:rsidRPr="00E2441A">
        <w:rPr>
          <w:sz w:val="24"/>
          <w:szCs w:val="24"/>
        </w:rPr>
        <w:t xml:space="preserve"> de </w:t>
      </w:r>
      <w:r>
        <w:rPr>
          <w:sz w:val="24"/>
          <w:szCs w:val="24"/>
        </w:rPr>
        <w:t>febrero</w:t>
      </w:r>
      <w:r w:rsidRPr="00E2441A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365B09">
        <w:rPr>
          <w:sz w:val="24"/>
          <w:szCs w:val="24"/>
        </w:rPr>
        <w:t xml:space="preserve"> </w:t>
      </w:r>
    </w:p>
    <w:p w14:paraId="3AEA945C" w14:textId="51E44AE4" w:rsidR="00944645" w:rsidRDefault="00944645" w:rsidP="00944645">
      <w:pPr>
        <w:pStyle w:val="Prrafodelista"/>
        <w:numPr>
          <w:ilvl w:val="0"/>
          <w:numId w:val="12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E2441A">
        <w:rPr>
          <w:sz w:val="24"/>
          <w:szCs w:val="24"/>
        </w:rPr>
        <w:t>Acta No.</w:t>
      </w:r>
      <w:r w:rsidRPr="00E2441A">
        <w:t xml:space="preserve"> </w:t>
      </w:r>
      <w:r>
        <w:rPr>
          <w:sz w:val="24"/>
          <w:szCs w:val="24"/>
        </w:rPr>
        <w:t>055 de la sesión extraordinaria del 17</w:t>
      </w:r>
      <w:r w:rsidRPr="00E2441A">
        <w:rPr>
          <w:sz w:val="24"/>
          <w:szCs w:val="24"/>
        </w:rPr>
        <w:t xml:space="preserve"> de </w:t>
      </w:r>
      <w:r>
        <w:rPr>
          <w:sz w:val="24"/>
          <w:szCs w:val="24"/>
        </w:rPr>
        <w:t>febrero</w:t>
      </w:r>
      <w:r w:rsidRPr="00E2441A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365B09">
        <w:rPr>
          <w:sz w:val="24"/>
          <w:szCs w:val="24"/>
        </w:rPr>
        <w:t xml:space="preserve"> </w:t>
      </w:r>
    </w:p>
    <w:p w14:paraId="060E354F" w14:textId="77777777" w:rsidR="00944645" w:rsidRDefault="00944645" w:rsidP="00944645">
      <w:pPr>
        <w:pStyle w:val="Prrafodelista"/>
        <w:tabs>
          <w:tab w:val="left" w:pos="828"/>
        </w:tabs>
        <w:spacing w:before="8"/>
        <w:ind w:left="1080" w:firstLine="0"/>
        <w:jc w:val="both"/>
        <w:rPr>
          <w:sz w:val="24"/>
          <w:szCs w:val="24"/>
        </w:rPr>
      </w:pPr>
    </w:p>
    <w:p w14:paraId="192D1B77" w14:textId="6244BD6D" w:rsidR="00D3540B" w:rsidRPr="0066594D" w:rsidRDefault="00944645" w:rsidP="00D3540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6594D">
        <w:rPr>
          <w:sz w:val="24"/>
          <w:szCs w:val="24"/>
        </w:rPr>
        <w:t>I</w:t>
      </w:r>
      <w:r w:rsidR="00D3540B" w:rsidRPr="0066594D">
        <w:rPr>
          <w:sz w:val="24"/>
          <w:szCs w:val="24"/>
        </w:rPr>
        <w:t>nforme por parte de la Secretarí</w:t>
      </w:r>
      <w:r w:rsidRPr="0066594D">
        <w:rPr>
          <w:sz w:val="24"/>
          <w:szCs w:val="24"/>
        </w:rPr>
        <w:t xml:space="preserve">a de </w:t>
      </w:r>
      <w:r w:rsidR="004173E6" w:rsidRPr="0066594D">
        <w:rPr>
          <w:sz w:val="24"/>
          <w:szCs w:val="24"/>
        </w:rPr>
        <w:t xml:space="preserve">Inclusión Social </w:t>
      </w:r>
      <w:r w:rsidRPr="0066594D">
        <w:rPr>
          <w:sz w:val="24"/>
          <w:szCs w:val="24"/>
        </w:rPr>
        <w:t xml:space="preserve">referente </w:t>
      </w:r>
      <w:r w:rsidR="00446048">
        <w:rPr>
          <w:sz w:val="24"/>
          <w:szCs w:val="24"/>
        </w:rPr>
        <w:t>a los avances del proceso del</w:t>
      </w:r>
      <w:r w:rsidR="00354B36" w:rsidRPr="0066594D">
        <w:rPr>
          <w:sz w:val="24"/>
          <w:szCs w:val="24"/>
        </w:rPr>
        <w:t xml:space="preserve"> </w:t>
      </w:r>
      <w:r w:rsidRPr="0066594D">
        <w:rPr>
          <w:sz w:val="24"/>
          <w:szCs w:val="24"/>
        </w:rPr>
        <w:t xml:space="preserve">concurso </w:t>
      </w:r>
      <w:r w:rsidR="004173E6" w:rsidRPr="0066594D">
        <w:rPr>
          <w:sz w:val="24"/>
          <w:szCs w:val="24"/>
        </w:rPr>
        <w:t xml:space="preserve">para la otorgación </w:t>
      </w:r>
      <w:r w:rsidRPr="0066594D">
        <w:rPr>
          <w:sz w:val="24"/>
          <w:szCs w:val="24"/>
        </w:rPr>
        <w:t>del Premio “Manuela Espejo” estipulado en el Código Municipal en la Sección IV,  Art.  II.3.75</w:t>
      </w:r>
      <w:r w:rsidR="004173E6" w:rsidRPr="0066594D">
        <w:rPr>
          <w:sz w:val="24"/>
          <w:szCs w:val="24"/>
        </w:rPr>
        <w:t xml:space="preserve">, con especial detalle </w:t>
      </w:r>
      <w:r w:rsidR="00F906D6">
        <w:rPr>
          <w:sz w:val="24"/>
          <w:szCs w:val="24"/>
        </w:rPr>
        <w:t>en</w:t>
      </w:r>
      <w:r w:rsidR="004173E6" w:rsidRPr="0066594D">
        <w:rPr>
          <w:sz w:val="24"/>
          <w:szCs w:val="24"/>
        </w:rPr>
        <w:t xml:space="preserve"> las estrategia</w:t>
      </w:r>
      <w:r w:rsidR="00F906D6">
        <w:rPr>
          <w:sz w:val="24"/>
          <w:szCs w:val="24"/>
        </w:rPr>
        <w:t>s implementadas por la Secretarí</w:t>
      </w:r>
      <w:r w:rsidR="004173E6" w:rsidRPr="0066594D">
        <w:rPr>
          <w:sz w:val="24"/>
          <w:szCs w:val="24"/>
        </w:rPr>
        <w:t>a de Comunicación;</w:t>
      </w:r>
      <w:r w:rsidRPr="0066594D">
        <w:rPr>
          <w:sz w:val="24"/>
          <w:szCs w:val="24"/>
        </w:rPr>
        <w:t xml:space="preserve"> y, resolución al respecto.</w:t>
      </w:r>
    </w:p>
    <w:p w14:paraId="0FA4B80A" w14:textId="77777777" w:rsidR="00944645" w:rsidRDefault="00944645" w:rsidP="00944645">
      <w:pPr>
        <w:pStyle w:val="Prrafodelista"/>
        <w:ind w:left="720" w:firstLine="0"/>
        <w:jc w:val="both"/>
        <w:rPr>
          <w:sz w:val="24"/>
          <w:szCs w:val="24"/>
        </w:rPr>
      </w:pPr>
    </w:p>
    <w:p w14:paraId="39EE1D61" w14:textId="0489AA73" w:rsidR="0066594D" w:rsidRDefault="0066594D" w:rsidP="00504557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Informe por parte de la Secretaría de Inclusión Social referente al</w:t>
      </w:r>
      <w:r w:rsidR="005A73BE">
        <w:rPr>
          <w:sz w:val="24"/>
          <w:szCs w:val="24"/>
        </w:rPr>
        <w:t xml:space="preserve"> avance de los </w:t>
      </w:r>
      <w:r>
        <w:rPr>
          <w:sz w:val="24"/>
          <w:szCs w:val="24"/>
        </w:rPr>
        <w:t xml:space="preserve"> concurso</w:t>
      </w:r>
      <w:r w:rsidR="005A73BE">
        <w:rPr>
          <w:sz w:val="24"/>
          <w:szCs w:val="24"/>
        </w:rPr>
        <w:t xml:space="preserve">s de méritos y oposiciones de los miembros </w:t>
      </w:r>
      <w:r w:rsidR="00F906D6">
        <w:rPr>
          <w:sz w:val="24"/>
          <w:szCs w:val="24"/>
        </w:rPr>
        <w:t xml:space="preserve">de </w:t>
      </w:r>
      <w:bookmarkStart w:id="1" w:name="_GoBack"/>
      <w:bookmarkEnd w:id="1"/>
      <w:r>
        <w:rPr>
          <w:sz w:val="24"/>
          <w:szCs w:val="24"/>
        </w:rPr>
        <w:t xml:space="preserve">Juntas </w:t>
      </w:r>
      <w:r w:rsidR="005A73BE">
        <w:rPr>
          <w:sz w:val="24"/>
          <w:szCs w:val="24"/>
        </w:rPr>
        <w:t>Niñez</w:t>
      </w:r>
      <w:r>
        <w:rPr>
          <w:sz w:val="24"/>
          <w:szCs w:val="24"/>
        </w:rPr>
        <w:t xml:space="preserve"> y Adolescentes para las zonas de la Delicia y Centro</w:t>
      </w:r>
      <w:r w:rsidR="000D14C9">
        <w:rPr>
          <w:sz w:val="24"/>
          <w:szCs w:val="24"/>
        </w:rPr>
        <w:t>.</w:t>
      </w:r>
    </w:p>
    <w:p w14:paraId="120DAB18" w14:textId="77777777" w:rsidR="00DF2D77" w:rsidRDefault="00DF2D77" w:rsidP="00DF2D77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14:paraId="13085DA8" w14:textId="42FDA576" w:rsidR="00714C51" w:rsidRDefault="00714C51" w:rsidP="00C41602">
      <w:pPr>
        <w:pStyle w:val="Prrafodelista"/>
        <w:numPr>
          <w:ilvl w:val="0"/>
          <w:numId w:val="7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>
        <w:rPr>
          <w:sz w:val="24"/>
          <w:szCs w:val="24"/>
        </w:rPr>
        <w:t>Varios</w:t>
      </w:r>
    </w:p>
    <w:p w14:paraId="64A7E351" w14:textId="77777777" w:rsidR="00705361" w:rsidRPr="00705361" w:rsidRDefault="00705361" w:rsidP="00705361">
      <w:pPr>
        <w:pStyle w:val="Prrafodelista"/>
        <w:rPr>
          <w:sz w:val="24"/>
          <w:szCs w:val="24"/>
        </w:rPr>
      </w:pPr>
    </w:p>
    <w:p w14:paraId="7AB48209" w14:textId="77777777" w:rsidR="0080249F" w:rsidRDefault="0080249F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850A17F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62D42BD6" w14:textId="7D80C098" w:rsidR="005A73BE" w:rsidRDefault="005A73B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14:paraId="4F6986AC" w14:textId="6F7C3874" w:rsidR="005A73BE" w:rsidRDefault="005A73BE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COMISIÓN METROPOLITANA DE LUCHA CONTRA LA CORRUPCIÓN QUITO HONESTO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lastRenderedPageBreak/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E7818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74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7FFD9-B14B-462B-BFB9-6D7A5F90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HP</cp:lastModifiedBy>
  <cp:revision>9</cp:revision>
  <cp:lastPrinted>2020-10-09T02:13:00Z</cp:lastPrinted>
  <dcterms:created xsi:type="dcterms:W3CDTF">2021-02-25T21:47:00Z</dcterms:created>
  <dcterms:modified xsi:type="dcterms:W3CDTF">2021-02-26T16:35:00Z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