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9" w:rsidRDefault="00F21D39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</w:p>
    <w:p w:rsidR="00F21D39" w:rsidRDefault="00F21D39">
      <w:pPr>
        <w:pStyle w:val="Ttulo1"/>
        <w:spacing w:before="153" w:line="276" w:lineRule="auto"/>
        <w:ind w:left="519" w:right="513"/>
        <w:jc w:val="center"/>
      </w:pPr>
    </w:p>
    <w:p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0006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F96F8B">
        <w:rPr>
          <w:b/>
        </w:rPr>
        <w:t>LUNES 08</w:t>
      </w:r>
      <w:r w:rsidRPr="003253EE">
        <w:rPr>
          <w:b/>
        </w:rPr>
        <w:t xml:space="preserve"> DE </w:t>
      </w:r>
      <w:r w:rsidR="00F96F8B">
        <w:rPr>
          <w:b/>
        </w:rPr>
        <w:t>JUNIO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07007E" w:rsidRDefault="0007007E" w:rsidP="0007007E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:rsidR="00CA135F" w:rsidRDefault="00CA135F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:rsidR="00CA135F" w:rsidRDefault="003D4945" w:rsidP="00CA135F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Acta de la Sesión Ordinaria No. 23 del 3 de febrero del 2020</w:t>
      </w:r>
    </w:p>
    <w:p w:rsidR="003D4945" w:rsidRDefault="003D4945" w:rsidP="00CA135F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Acta de la sesión Extraordinaria No. 24 del 11 de febrero del 2020</w:t>
      </w:r>
    </w:p>
    <w:p w:rsidR="003D4945" w:rsidRDefault="003D4945" w:rsidP="00CA135F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1631C9" w:rsidRDefault="001631C9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Secretaria General de Seguridad y Gobernabilidad y la Dirección Metropolitana de Recursos Humanos respecto a</w:t>
      </w:r>
      <w:r w:rsidR="00F34103">
        <w:rPr>
          <w:sz w:val="24"/>
          <w:szCs w:val="24"/>
        </w:rPr>
        <w:t>l</w:t>
      </w:r>
      <w:r>
        <w:rPr>
          <w:sz w:val="24"/>
          <w:szCs w:val="24"/>
        </w:rPr>
        <w:t xml:space="preserve"> proceso del Concurso de Mérito y Oposiciones que se llevará a cabo en dicha dependencia para </w:t>
      </w:r>
      <w:r w:rsidR="00F34103">
        <w:rPr>
          <w:sz w:val="24"/>
          <w:szCs w:val="24"/>
        </w:rPr>
        <w:t>el fortalecimiento de las Juntas de P</w:t>
      </w:r>
      <w:r>
        <w:rPr>
          <w:sz w:val="24"/>
          <w:szCs w:val="24"/>
        </w:rPr>
        <w:t>rotección; y, resolución al respecto.</w:t>
      </w:r>
    </w:p>
    <w:p w:rsidR="001631C9" w:rsidRDefault="001631C9" w:rsidP="001631C9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F96F8B" w:rsidRPr="00603FD1" w:rsidRDefault="00603FD1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603FD1">
        <w:rPr>
          <w:sz w:val="24"/>
          <w:szCs w:val="24"/>
        </w:rPr>
        <w:t xml:space="preserve">Conocimiento y resolución </w:t>
      </w:r>
      <w:r w:rsidR="00A22931">
        <w:rPr>
          <w:sz w:val="24"/>
          <w:szCs w:val="24"/>
        </w:rPr>
        <w:t>del proceso del</w:t>
      </w:r>
      <w:r w:rsidRPr="00603FD1">
        <w:rPr>
          <w:sz w:val="24"/>
          <w:szCs w:val="24"/>
        </w:rPr>
        <w:t xml:space="preserve"> </w:t>
      </w:r>
      <w:r w:rsidR="00526126">
        <w:rPr>
          <w:sz w:val="24"/>
          <w:szCs w:val="24"/>
        </w:rPr>
        <w:t xml:space="preserve">informe técnico </w:t>
      </w:r>
      <w:r w:rsidRPr="00603FD1">
        <w:rPr>
          <w:sz w:val="24"/>
          <w:szCs w:val="24"/>
        </w:rPr>
        <w:t xml:space="preserve">de Observancia del Consejo de Protección de Derechos del Distrito Metropolitano de Quito sobre la política pública de desarrollo infantil, con énfasis en la situación de los Guaguas Centros del M.D.M.Q. </w:t>
      </w:r>
    </w:p>
    <w:p w:rsidR="00F96F8B" w:rsidRDefault="00F96F8B" w:rsidP="00F96F8B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603B" w:rsidRDefault="00F8603B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por parte de la Secretaria de Salud en </w:t>
      </w:r>
      <w:r w:rsidR="00624D66">
        <w:rPr>
          <w:sz w:val="24"/>
          <w:szCs w:val="24"/>
        </w:rPr>
        <w:t>referencia</w:t>
      </w:r>
      <w:r>
        <w:rPr>
          <w:sz w:val="24"/>
          <w:szCs w:val="24"/>
        </w:rPr>
        <w:t xml:space="preserve"> </w:t>
      </w:r>
      <w:r w:rsidR="00624D66">
        <w:rPr>
          <w:sz w:val="24"/>
          <w:szCs w:val="24"/>
        </w:rPr>
        <w:t xml:space="preserve">a las </w:t>
      </w:r>
      <w:r w:rsidR="00076199">
        <w:rPr>
          <w:sz w:val="24"/>
          <w:szCs w:val="24"/>
        </w:rPr>
        <w:t xml:space="preserve">supuestas </w:t>
      </w:r>
      <w:r w:rsidR="00624D66">
        <w:rPr>
          <w:sz w:val="24"/>
          <w:szCs w:val="24"/>
        </w:rPr>
        <w:t>denuncias</w:t>
      </w:r>
      <w:r w:rsidR="00526126">
        <w:rPr>
          <w:sz w:val="24"/>
          <w:szCs w:val="24"/>
        </w:rPr>
        <w:t xml:space="preserve"> aparecidas en medios de comunicación</w:t>
      </w:r>
      <w:r w:rsidR="00624D66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actos de violencia y acoso laboral </w:t>
      </w:r>
      <w:r w:rsidR="00227F23">
        <w:rPr>
          <w:sz w:val="24"/>
          <w:szCs w:val="24"/>
        </w:rPr>
        <w:t xml:space="preserve">a </w:t>
      </w:r>
      <w:r w:rsidR="00076199">
        <w:rPr>
          <w:sz w:val="24"/>
          <w:szCs w:val="24"/>
        </w:rPr>
        <w:t xml:space="preserve">funcionarias que </w:t>
      </w:r>
      <w:r w:rsidR="00227F23">
        <w:rPr>
          <w:sz w:val="24"/>
          <w:szCs w:val="24"/>
        </w:rPr>
        <w:t>prestan sus servicios en dicha</w:t>
      </w:r>
      <w:r w:rsidR="00624D66">
        <w:rPr>
          <w:sz w:val="24"/>
          <w:szCs w:val="24"/>
        </w:rPr>
        <w:t xml:space="preserve"> </w:t>
      </w:r>
      <w:r w:rsidR="00076199">
        <w:rPr>
          <w:sz w:val="24"/>
          <w:szCs w:val="24"/>
        </w:rPr>
        <w:t>dependencia.</w:t>
      </w:r>
      <w:r>
        <w:rPr>
          <w:sz w:val="24"/>
          <w:szCs w:val="24"/>
        </w:rPr>
        <w:t xml:space="preserve"> </w:t>
      </w:r>
    </w:p>
    <w:p w:rsidR="00F8603B" w:rsidRPr="00F8603B" w:rsidRDefault="00F8603B" w:rsidP="00F8603B">
      <w:pPr>
        <w:pStyle w:val="Prrafodelista"/>
        <w:rPr>
          <w:sz w:val="24"/>
          <w:szCs w:val="24"/>
        </w:rPr>
      </w:pPr>
    </w:p>
    <w:p w:rsidR="005F5A65" w:rsidRDefault="005F5A65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</w:t>
      </w:r>
      <w:r w:rsidR="00C62353">
        <w:rPr>
          <w:sz w:val="24"/>
          <w:szCs w:val="24"/>
        </w:rPr>
        <w:t xml:space="preserve">por parte de la Secretaria de Territorio Hábitat y Vivienda </w:t>
      </w:r>
      <w:r>
        <w:rPr>
          <w:sz w:val="24"/>
          <w:szCs w:val="24"/>
        </w:rPr>
        <w:t>del Plan Emergente de Acciones en el Uso y Ocupación del Espacio Público</w:t>
      </w:r>
      <w:r w:rsidR="00C62353">
        <w:rPr>
          <w:sz w:val="24"/>
          <w:szCs w:val="24"/>
        </w:rPr>
        <w:t>, en el marco de la emergencia Sanitaria producida por el Covid-19; y, resolución al respecto.</w:t>
      </w:r>
    </w:p>
    <w:p w:rsidR="00C62353" w:rsidRDefault="00C62353" w:rsidP="00C62353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A3820" w:rsidRPr="005F5A65" w:rsidRDefault="005F5A65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5F5A65">
        <w:rPr>
          <w:sz w:val="24"/>
          <w:szCs w:val="24"/>
        </w:rPr>
        <w:t>Informes  por  parte  de  la  Agencia  Metropolitana  de  Control  sobre  las  acciones  realizadas para dar  cumplimiento  lo  que  establece  el Código Municipal, Libro IV.3, Título VI  sobre  la Tenencia, Protección y Control de la Fauna Urbana en el Distrito Metropolitano de Quito; y, resolución al respecto.</w:t>
      </w:r>
    </w:p>
    <w:p w:rsidR="00154E6C" w:rsidRPr="00154E6C" w:rsidRDefault="00154E6C" w:rsidP="00154E6C">
      <w:pPr>
        <w:pStyle w:val="Prrafodelista"/>
        <w:rPr>
          <w:sz w:val="24"/>
          <w:szCs w:val="24"/>
        </w:rPr>
      </w:pPr>
    </w:p>
    <w:p w:rsidR="00B140BC" w:rsidRPr="00A207B5" w:rsidRDefault="00B140BC" w:rsidP="00B140BC">
      <w:pPr>
        <w:pStyle w:val="Prrafodelista"/>
        <w:tabs>
          <w:tab w:val="left" w:pos="828"/>
        </w:tabs>
        <w:spacing w:before="8"/>
        <w:ind w:firstLine="0"/>
        <w:jc w:val="both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Pr="00A207B5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Gissela</w:t>
      </w:r>
      <w:proofErr w:type="spellEnd"/>
      <w:r w:rsidR="009D7B8E" w:rsidRPr="00A207B5">
        <w:rPr>
          <w:spacing w:val="-14"/>
          <w:position w:val="1"/>
        </w:rPr>
        <w:t xml:space="preserve"> </w:t>
      </w:r>
      <w:proofErr w:type="spellStart"/>
      <w:r w:rsidR="009D7B8E" w:rsidRPr="00A207B5">
        <w:rPr>
          <w:spacing w:val="-14"/>
          <w:position w:val="1"/>
        </w:rPr>
        <w:t>Chalá</w:t>
      </w:r>
      <w:proofErr w:type="spellEnd"/>
      <w:r w:rsidR="009D7B8E" w:rsidRPr="00A207B5">
        <w:rPr>
          <w:spacing w:val="-14"/>
          <w:position w:val="1"/>
        </w:rPr>
        <w:t xml:space="preserve">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:rsidR="00376DBC" w:rsidRPr="00A207B5" w:rsidRDefault="00F900F4">
      <w:pPr>
        <w:pStyle w:val="Ttulo1"/>
        <w:spacing w:before="2"/>
        <w:ind w:left="120"/>
      </w:pPr>
      <w:r>
        <w:lastRenderedPageBreak/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4300EF" w:rsidRDefault="006A3820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SECRETARÍ</w:t>
      </w:r>
      <w:r w:rsidR="004300EF" w:rsidRPr="00A207B5">
        <w:rPr>
          <w:sz w:val="24"/>
          <w:szCs w:val="24"/>
        </w:rPr>
        <w:t>A DE INCLUSIÓN SOCIAL</w:t>
      </w:r>
    </w:p>
    <w:p w:rsidR="00C62353" w:rsidRDefault="00C62353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SECRETARIA DE TERRITORIO HÁBITAT Y VIVIENDA</w:t>
      </w:r>
    </w:p>
    <w:p w:rsidR="00E268AE" w:rsidRDefault="006A3820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SECRETARÍ</w:t>
      </w:r>
      <w:r w:rsidR="00E268AE">
        <w:rPr>
          <w:sz w:val="24"/>
          <w:szCs w:val="24"/>
        </w:rPr>
        <w:t>A DE COORDINACION TERRITORIAL</w:t>
      </w:r>
    </w:p>
    <w:p w:rsidR="00B93846" w:rsidRPr="00DA6FCA" w:rsidRDefault="00B93846" w:rsidP="00B9384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SECRETARIA DE SALUD</w:t>
      </w:r>
    </w:p>
    <w:p w:rsidR="00DA6FCA" w:rsidRPr="00C62353" w:rsidRDefault="00DA6FCA" w:rsidP="00B9384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SECRETARIA DE SEGURIDAD</w:t>
      </w:r>
    </w:p>
    <w:p w:rsidR="00C62353" w:rsidRPr="00B93846" w:rsidRDefault="00C62353" w:rsidP="00B9384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AGENCIA METROPOLITANA DE CONTROL</w:t>
      </w:r>
    </w:p>
    <w:p w:rsidR="004300EF" w:rsidRDefault="004300EF" w:rsidP="004300EF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207B5">
        <w:rPr>
          <w:sz w:val="24"/>
          <w:szCs w:val="24"/>
        </w:rPr>
        <w:t>CONSEJO DE PROTECCIÓN DE DERECHOS</w:t>
      </w:r>
    </w:p>
    <w:p w:rsidR="00C820BD" w:rsidRPr="00526126" w:rsidRDefault="00E268AE" w:rsidP="00C820BD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E268AE">
        <w:rPr>
          <w:sz w:val="24"/>
          <w:szCs w:val="24"/>
        </w:rPr>
        <w:t>PROCURADURIA METROPOLITANA</w:t>
      </w:r>
    </w:p>
    <w:p w:rsidR="00526126" w:rsidRPr="003D77F6" w:rsidRDefault="00526126" w:rsidP="00C820BD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PATRONATO MUNICIPAL SAN JOSÉ (INDELEGABLE)</w:t>
      </w:r>
    </w:p>
    <w:p w:rsidR="003D77F6" w:rsidRPr="00F21D39" w:rsidRDefault="003D77F6" w:rsidP="00C820BD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DIRECCIÓN </w:t>
      </w:r>
      <w:r w:rsidR="00F34103">
        <w:rPr>
          <w:sz w:val="24"/>
          <w:szCs w:val="24"/>
        </w:rPr>
        <w:t xml:space="preserve">METROPOLITANA </w:t>
      </w:r>
      <w:r>
        <w:rPr>
          <w:sz w:val="24"/>
          <w:szCs w:val="24"/>
        </w:rPr>
        <w:t>DE RECURSOS HUMANOS</w:t>
      </w:r>
    </w:p>
    <w:p w:rsidR="00F21D39" w:rsidRPr="00B93846" w:rsidRDefault="00F21D39" w:rsidP="00C62353">
      <w:pPr>
        <w:pStyle w:val="Prrafodelista"/>
        <w:ind w:left="720" w:firstLine="0"/>
        <w:rPr>
          <w:b/>
          <w:sz w:val="24"/>
          <w:szCs w:val="24"/>
        </w:rPr>
      </w:pPr>
    </w:p>
    <w:p w:rsidR="00F21D39" w:rsidRDefault="00F21D39" w:rsidP="00F21D39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proofErr w:type="spellStart"/>
      <w:r w:rsidRPr="00A207B5">
        <w:rPr>
          <w:b/>
          <w:sz w:val="24"/>
          <w:szCs w:val="24"/>
        </w:rPr>
        <w:t>Gissela</w:t>
      </w:r>
      <w:proofErr w:type="spellEnd"/>
      <w:r w:rsidRPr="00A207B5">
        <w:rPr>
          <w:b/>
          <w:sz w:val="24"/>
          <w:szCs w:val="24"/>
        </w:rPr>
        <w:t xml:space="preserve"> </w:t>
      </w:r>
      <w:proofErr w:type="spellStart"/>
      <w:r w:rsidRPr="00A207B5">
        <w:rPr>
          <w:b/>
          <w:sz w:val="24"/>
          <w:szCs w:val="24"/>
        </w:rPr>
        <w:t>Chalá</w:t>
      </w:r>
      <w:proofErr w:type="spellEnd"/>
      <w:r w:rsidRPr="00A207B5">
        <w:rPr>
          <w:b/>
          <w:sz w:val="24"/>
          <w:szCs w:val="24"/>
        </w:rPr>
        <w:t xml:space="preserve">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1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 w15:restartNumberingAfterBreak="0">
    <w:nsid w:val="44C02FD3"/>
    <w:multiLevelType w:val="hybridMultilevel"/>
    <w:tmpl w:val="FFD42D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4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443C3"/>
    <w:rsid w:val="000524A9"/>
    <w:rsid w:val="0007007E"/>
    <w:rsid w:val="00076199"/>
    <w:rsid w:val="00084B91"/>
    <w:rsid w:val="0012322D"/>
    <w:rsid w:val="00154E6C"/>
    <w:rsid w:val="001631C9"/>
    <w:rsid w:val="0020087F"/>
    <w:rsid w:val="00217C05"/>
    <w:rsid w:val="00227F23"/>
    <w:rsid w:val="00236D7A"/>
    <w:rsid w:val="002407E8"/>
    <w:rsid w:val="00264587"/>
    <w:rsid w:val="002679FD"/>
    <w:rsid w:val="002A0566"/>
    <w:rsid w:val="002F59C4"/>
    <w:rsid w:val="003151B7"/>
    <w:rsid w:val="0032251D"/>
    <w:rsid w:val="003253EE"/>
    <w:rsid w:val="0036130F"/>
    <w:rsid w:val="00376DBC"/>
    <w:rsid w:val="00396146"/>
    <w:rsid w:val="003A64DF"/>
    <w:rsid w:val="003D4945"/>
    <w:rsid w:val="003D77F6"/>
    <w:rsid w:val="004300EF"/>
    <w:rsid w:val="004449A9"/>
    <w:rsid w:val="004562C7"/>
    <w:rsid w:val="005163EB"/>
    <w:rsid w:val="00526126"/>
    <w:rsid w:val="00542A4E"/>
    <w:rsid w:val="00550A62"/>
    <w:rsid w:val="00596A02"/>
    <w:rsid w:val="005B4EEE"/>
    <w:rsid w:val="005D7B64"/>
    <w:rsid w:val="005F5A65"/>
    <w:rsid w:val="00603FD1"/>
    <w:rsid w:val="00624D66"/>
    <w:rsid w:val="00630F22"/>
    <w:rsid w:val="00654AD8"/>
    <w:rsid w:val="006A1BD1"/>
    <w:rsid w:val="006A3820"/>
    <w:rsid w:val="007146BE"/>
    <w:rsid w:val="007912F2"/>
    <w:rsid w:val="007C20A4"/>
    <w:rsid w:val="00837BA7"/>
    <w:rsid w:val="00894C23"/>
    <w:rsid w:val="008B7369"/>
    <w:rsid w:val="008D50F2"/>
    <w:rsid w:val="008F0E72"/>
    <w:rsid w:val="00973318"/>
    <w:rsid w:val="00996EA4"/>
    <w:rsid w:val="009D7B8E"/>
    <w:rsid w:val="00A207B5"/>
    <w:rsid w:val="00A22931"/>
    <w:rsid w:val="00B140BC"/>
    <w:rsid w:val="00B93846"/>
    <w:rsid w:val="00BB1FE1"/>
    <w:rsid w:val="00BC079B"/>
    <w:rsid w:val="00C3701A"/>
    <w:rsid w:val="00C37D64"/>
    <w:rsid w:val="00C62353"/>
    <w:rsid w:val="00C820BD"/>
    <w:rsid w:val="00CA135F"/>
    <w:rsid w:val="00CD340C"/>
    <w:rsid w:val="00D24CBD"/>
    <w:rsid w:val="00D4574B"/>
    <w:rsid w:val="00D56848"/>
    <w:rsid w:val="00DA6171"/>
    <w:rsid w:val="00DA6FCA"/>
    <w:rsid w:val="00DF5ED5"/>
    <w:rsid w:val="00E268AE"/>
    <w:rsid w:val="00E522BD"/>
    <w:rsid w:val="00E719A3"/>
    <w:rsid w:val="00EA1E55"/>
    <w:rsid w:val="00EA3026"/>
    <w:rsid w:val="00EE7818"/>
    <w:rsid w:val="00F21D39"/>
    <w:rsid w:val="00F34103"/>
    <w:rsid w:val="00F8603B"/>
    <w:rsid w:val="00F900F4"/>
    <w:rsid w:val="00F96F8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3F775D-ED02-49C2-AE24-B9E79CCB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Malena</dc:creator>
  <cp:lastModifiedBy>Usuario de Windows</cp:lastModifiedBy>
  <cp:revision>2</cp:revision>
  <dcterms:created xsi:type="dcterms:W3CDTF">2020-06-05T14:46:00Z</dcterms:created>
  <dcterms:modified xsi:type="dcterms:W3CDTF">2020-06-05T14:46:00Z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